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ACEA3B" w14:textId="77777777" w:rsidR="00E77EC7" w:rsidRPr="00FD552D" w:rsidRDefault="00FE54EE">
      <w:pPr>
        <w:rPr>
          <w:rFonts w:ascii="Times New Roman" w:hAnsi="Times New Roman" w:cs="Times New Roman"/>
          <w:sz w:val="32"/>
          <w:szCs w:val="32"/>
        </w:rPr>
      </w:pPr>
      <w:r w:rsidRPr="00FD552D">
        <w:rPr>
          <w:noProof/>
          <w:lang w:eastAsia="bg-BG"/>
        </w:rPr>
        <mc:AlternateContent>
          <mc:Choice Requires="wps">
            <w:drawing>
              <wp:anchor distT="45720" distB="45720" distL="114300" distR="114300" simplePos="0" relativeHeight="251666432" behindDoc="0" locked="0" layoutInCell="1" allowOverlap="1" wp14:anchorId="17CA829E" wp14:editId="329F40AC">
                <wp:simplePos x="0" y="0"/>
                <wp:positionH relativeFrom="column">
                  <wp:posOffset>2061845</wp:posOffset>
                </wp:positionH>
                <wp:positionV relativeFrom="paragraph">
                  <wp:posOffset>8947150</wp:posOffset>
                </wp:positionV>
                <wp:extent cx="1990725" cy="662305"/>
                <wp:effectExtent l="0" t="0" r="0" b="444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0725" cy="662305"/>
                        </a:xfrm>
                        <a:prstGeom prst="rect">
                          <a:avLst/>
                        </a:prstGeom>
                        <a:noFill/>
                        <a:ln w="9525">
                          <a:noFill/>
                          <a:miter lim="800000"/>
                          <a:headEnd/>
                          <a:tailEnd/>
                        </a:ln>
                      </wps:spPr>
                      <wps:txbx>
                        <w:txbxContent>
                          <w:p w14:paraId="002281E8" w14:textId="77777777" w:rsidR="00DE0FD8" w:rsidRPr="00593FAF" w:rsidRDefault="00DE0FD8" w:rsidP="006E57AA">
                            <w:pPr>
                              <w:jc w:val="center"/>
                              <w:rPr>
                                <w:rFonts w:ascii="Arial" w:hAnsi="Arial" w:cs="Arial"/>
                                <w:b/>
                                <w:color w:val="A6A6A6" w:themeColor="background1" w:themeShade="A6"/>
                                <w:sz w:val="90"/>
                                <w:szCs w:val="90"/>
                              </w:rPr>
                            </w:pPr>
                            <w:r w:rsidRPr="00593FAF">
                              <w:rPr>
                                <w:rFonts w:ascii="Arial" w:hAnsi="Arial" w:cs="Arial"/>
                                <w:b/>
                                <w:color w:val="A6A6A6" w:themeColor="background1" w:themeShade="A6"/>
                                <w:sz w:val="90"/>
                                <w:szCs w:val="90"/>
                              </w:rPr>
                              <w:t>20</w:t>
                            </w:r>
                            <w:r>
                              <w:rPr>
                                <w:rFonts w:ascii="Arial" w:hAnsi="Arial" w:cs="Arial"/>
                                <w:b/>
                                <w:color w:val="A6A6A6" w:themeColor="background1" w:themeShade="A6"/>
                                <w:sz w:val="90"/>
                                <w:szCs w:val="90"/>
                              </w:rPr>
                              <w:t>22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7CA829E" id="_x0000_t202" coordsize="21600,21600" o:spt="202" path="m,l,21600r21600,l21600,xe">
                <v:stroke joinstyle="miter"/>
                <v:path gradientshapeok="t" o:connecttype="rect"/>
              </v:shapetype>
              <v:shape id="Text Box 2" o:spid="_x0000_s1026" type="#_x0000_t202" style="position:absolute;margin-left:162.35pt;margin-top:704.5pt;width:156.75pt;height:52.15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" filled="f" stroked="f">
                <v:textbox>
                  <w:txbxContent>
                    <w:p w14:paraId="002281E8" w14:textId="77777777" w:rsidR="00DE0FD8" w:rsidRPr="00593FAF" w:rsidRDefault="00DE0FD8" w:rsidP="006E57AA">
                      <w:pPr>
                        <w:jc w:val="center"/>
                        <w:rPr>
                          <w:rFonts w:ascii="Arial" w:hAnsi="Arial" w:cs="Arial"/>
                          <w:b/>
                          <w:color w:val="A6A6A6" w:themeColor="background1" w:themeShade="A6"/>
                          <w:sz w:val="90"/>
                          <w:szCs w:val="90"/>
                        </w:rPr>
                      </w:pPr>
                      <w:r w:rsidRPr="00593FAF">
                        <w:rPr>
                          <w:rFonts w:ascii="Arial" w:hAnsi="Arial" w:cs="Arial"/>
                          <w:b/>
                          <w:color w:val="A6A6A6" w:themeColor="background1" w:themeShade="A6"/>
                          <w:sz w:val="90"/>
                          <w:szCs w:val="90"/>
                        </w:rPr>
                        <w:t>20</w:t>
                      </w:r>
                      <w:r>
                        <w:rPr>
                          <w:rFonts w:ascii="Arial" w:hAnsi="Arial" w:cs="Arial"/>
                          <w:b/>
                          <w:color w:val="A6A6A6" w:themeColor="background1" w:themeShade="A6"/>
                          <w:sz w:val="90"/>
                          <w:szCs w:val="90"/>
                        </w:rPr>
                        <w:t>22</w:t>
                      </w:r>
                    </w:p>
                  </w:txbxContent>
                </v:textbox>
              </v:shape>
            </w:pict>
          </mc:Fallback>
        </mc:AlternateContent>
      </w:r>
      <w:r w:rsidR="00E80748" w:rsidRPr="00FD552D">
        <w:rPr>
          <w:noProof/>
          <w:lang w:eastAsia="bg-BG"/>
        </w:rPr>
        <mc:AlternateContent>
          <mc:Choice Requires="wps">
            <w:drawing>
              <wp:anchor distT="45720" distB="45720" distL="114300" distR="114300" simplePos="0" relativeHeight="251664384" behindDoc="0" locked="0" layoutInCell="1" allowOverlap="1" wp14:anchorId="0BDE9235" wp14:editId="749BA057">
                <wp:simplePos x="0" y="0"/>
                <wp:positionH relativeFrom="column">
                  <wp:posOffset>-336550</wp:posOffset>
                </wp:positionH>
                <wp:positionV relativeFrom="paragraph">
                  <wp:posOffset>3355975</wp:posOffset>
                </wp:positionV>
                <wp:extent cx="6705600" cy="1692275"/>
                <wp:effectExtent l="0" t="0" r="0" b="317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05600" cy="1692275"/>
                        </a:xfrm>
                        <a:prstGeom prst="rect">
                          <a:avLst/>
                        </a:prstGeom>
                        <a:noFill/>
                        <a:ln w="9525">
                          <a:noFill/>
                          <a:miter lim="800000"/>
                          <a:headEnd/>
                          <a:tailEnd/>
                        </a:ln>
                      </wps:spPr>
                      <wps:txbx>
                        <w:txbxContent>
                          <w:p w14:paraId="574FEBB7" w14:textId="0DA59EA6" w:rsidR="00DE0FD8" w:rsidRPr="00E80748" w:rsidRDefault="00DE0FD8" w:rsidP="00B66075">
                            <w:pPr>
                              <w:spacing w:line="240" w:lineRule="auto"/>
                              <w:contextualSpacing/>
                              <w:jc w:val="center"/>
                              <w:rPr>
                                <w:rFonts w:ascii="Garamond" w:hAnsi="Garamond"/>
                                <w:b/>
                                <w:color w:val="000000" w:themeColor="text1"/>
                                <w:sz w:val="76"/>
                                <w:szCs w:val="76"/>
                              </w:rPr>
                            </w:pPr>
                            <w:r w:rsidRPr="00E80748">
                              <w:rPr>
                                <w:rFonts w:ascii="Garamond" w:hAnsi="Garamond" w:cs="Arial"/>
                                <w:b/>
                                <w:color w:val="000000" w:themeColor="text1"/>
                                <w:sz w:val="76"/>
                                <w:szCs w:val="76"/>
                              </w:rPr>
                              <w:t>Методология за определяне на рамка</w:t>
                            </w:r>
                            <w:r w:rsidR="00D14C12">
                              <w:rPr>
                                <w:rFonts w:ascii="Garamond" w:hAnsi="Garamond" w:cs="Arial"/>
                                <w:b/>
                                <w:color w:val="000000" w:themeColor="text1"/>
                                <w:sz w:val="76"/>
                                <w:szCs w:val="76"/>
                              </w:rPr>
                              <w:t>та на показателите</w:t>
                            </w:r>
                            <w:r w:rsidRPr="00E80748">
                              <w:rPr>
                                <w:rFonts w:ascii="Garamond" w:hAnsi="Garamond" w:cs="Arial"/>
                                <w:b/>
                                <w:color w:val="000000" w:themeColor="text1"/>
                                <w:sz w:val="76"/>
                                <w:szCs w:val="76"/>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DE9235" id="_x0000_s1027" type="#_x0000_t202" style="position:absolute;margin-left:-26.5pt;margin-top:264.25pt;width:528pt;height:133.2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" filled="f" stroked="f">
                <v:textbox>
                  <w:txbxContent>
                    <w:p w14:paraId="574FEBB7" w14:textId="0DA59EA6" w:rsidR="00DE0FD8" w:rsidRPr="00E80748" w:rsidRDefault="00DE0FD8" w:rsidP="00B66075">
                      <w:pPr>
                        <w:spacing w:line="240" w:lineRule="auto"/>
                        <w:contextualSpacing/>
                        <w:jc w:val="center"/>
                        <w:rPr>
                          <w:rFonts w:ascii="Garamond" w:hAnsi="Garamond"/>
                          <w:b/>
                          <w:color w:val="000000" w:themeColor="text1"/>
                          <w:sz w:val="76"/>
                          <w:szCs w:val="76"/>
                        </w:rPr>
                      </w:pPr>
                      <w:r w:rsidRPr="00E80748">
                        <w:rPr>
                          <w:rFonts w:ascii="Garamond" w:hAnsi="Garamond" w:cs="Arial"/>
                          <w:b/>
                          <w:color w:val="000000" w:themeColor="text1"/>
                          <w:sz w:val="76"/>
                          <w:szCs w:val="76"/>
                        </w:rPr>
                        <w:t>Методология за определяне на рамка</w:t>
                      </w:r>
                      <w:r w:rsidR="00D14C12">
                        <w:rPr>
                          <w:rFonts w:ascii="Garamond" w:hAnsi="Garamond" w:cs="Arial"/>
                          <w:b/>
                          <w:color w:val="000000" w:themeColor="text1"/>
                          <w:sz w:val="76"/>
                          <w:szCs w:val="76"/>
                        </w:rPr>
                        <w:t>та на показателите</w:t>
                      </w:r>
                      <w:r w:rsidRPr="00E80748">
                        <w:rPr>
                          <w:rFonts w:ascii="Garamond" w:hAnsi="Garamond" w:cs="Arial"/>
                          <w:b/>
                          <w:color w:val="000000" w:themeColor="text1"/>
                          <w:sz w:val="76"/>
                          <w:szCs w:val="76"/>
                        </w:rPr>
                        <w:t xml:space="preserve"> </w:t>
                      </w:r>
                    </w:p>
                  </w:txbxContent>
                </v:textbox>
                <w10:wrap type="square"/>
              </v:shape>
            </w:pict>
          </mc:Fallback>
        </mc:AlternateContent>
      </w:r>
      <w:r w:rsidR="00E80748" w:rsidRPr="00FD552D">
        <w:rPr>
          <w:noProof/>
          <w:lang w:eastAsia="bg-BG"/>
        </w:rPr>
        <mc:AlternateContent>
          <mc:Choice Requires="wps">
            <w:drawing>
              <wp:anchor distT="45720" distB="45720" distL="114300" distR="114300" simplePos="0" relativeHeight="251665408" behindDoc="1" locked="0" layoutInCell="1" allowOverlap="1" wp14:anchorId="11632670" wp14:editId="23C661D8">
                <wp:simplePos x="0" y="0"/>
                <wp:positionH relativeFrom="column">
                  <wp:posOffset>-708025</wp:posOffset>
                </wp:positionH>
                <wp:positionV relativeFrom="paragraph">
                  <wp:posOffset>6048538</wp:posOffset>
                </wp:positionV>
                <wp:extent cx="7309623" cy="817659"/>
                <wp:effectExtent l="0" t="0" r="0" b="1905"/>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09623" cy="817659"/>
                        </a:xfrm>
                        <a:prstGeom prst="rect">
                          <a:avLst/>
                        </a:prstGeom>
                        <a:noFill/>
                        <a:ln w="9525">
                          <a:noFill/>
                          <a:miter lim="800000"/>
                          <a:headEnd/>
                          <a:tailEnd/>
                        </a:ln>
                      </wps:spPr>
                      <wps:txbx>
                        <w:txbxContent>
                          <w:p w14:paraId="55D032CC" w14:textId="77777777" w:rsidR="00DE0FD8" w:rsidRPr="00B66075" w:rsidRDefault="00DE0FD8" w:rsidP="009C635B">
                            <w:pPr>
                              <w:spacing w:line="240" w:lineRule="auto"/>
                              <w:contextualSpacing/>
                              <w:rPr>
                                <w:rFonts w:ascii="Garamond" w:hAnsi="Garamond"/>
                                <w:color w:val="000000" w:themeColor="text1"/>
                                <w:sz w:val="60"/>
                                <w:szCs w:val="60"/>
                              </w:rPr>
                            </w:pPr>
                            <w:r w:rsidRPr="00B66075">
                              <w:rPr>
                                <w:rFonts w:ascii="Garamond" w:hAnsi="Garamond" w:cs="Arial"/>
                                <w:color w:val="000000" w:themeColor="text1"/>
                                <w:sz w:val="60"/>
                                <w:szCs w:val="60"/>
                              </w:rPr>
                              <w:t xml:space="preserve">ПРОГРАМА „ОБРАЗОВАНИЕ“ 2021-2027 </w:t>
                            </w:r>
                          </w:p>
                          <w:p w14:paraId="2F399F9E" w14:textId="77777777" w:rsidR="00DE0FD8" w:rsidRPr="009C635B" w:rsidRDefault="00DE0FD8">
                            <w:pPr>
                              <w:rPr>
                                <w:rFonts w:ascii="Garamond" w:hAnsi="Garamond" w:cs="Arial"/>
                                <w:b/>
                                <w:color w:val="000000" w:themeColor="text1"/>
                                <w:sz w:val="44"/>
                                <w:szCs w:val="3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632670" id="Text Box 3" o:spid="_x0000_s1028" type="#_x0000_t202" style="position:absolute;margin-left:-55.75pt;margin-top:476.25pt;width:575.55pt;height:64.4pt;z-index:-25165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" filled="f" stroked="f">
                <v:textbox>
                  <w:txbxContent>
                    <w:p w14:paraId="55D032CC" w14:textId="77777777" w:rsidR="00DE0FD8" w:rsidRPr="00B66075" w:rsidRDefault="00DE0FD8" w:rsidP="009C635B">
                      <w:pPr>
                        <w:spacing w:line="240" w:lineRule="auto"/>
                        <w:contextualSpacing/>
                        <w:rPr>
                          <w:rFonts w:ascii="Garamond" w:hAnsi="Garamond"/>
                          <w:color w:val="000000" w:themeColor="text1"/>
                          <w:sz w:val="60"/>
                          <w:szCs w:val="60"/>
                        </w:rPr>
                      </w:pPr>
                      <w:r w:rsidRPr="00B66075">
                        <w:rPr>
                          <w:rFonts w:ascii="Garamond" w:hAnsi="Garamond" w:cs="Arial"/>
                          <w:color w:val="000000" w:themeColor="text1"/>
                          <w:sz w:val="60"/>
                          <w:szCs w:val="60"/>
                        </w:rPr>
                        <w:t xml:space="preserve">ПРОГРАМА „ОБРАЗОВАНИЕ“ 2021-2027 </w:t>
                      </w:r>
                    </w:p>
                    <w:p w14:paraId="2F399F9E" w14:textId="77777777" w:rsidR="00DE0FD8" w:rsidRPr="009C635B" w:rsidRDefault="00DE0FD8">
                      <w:pPr>
                        <w:rPr>
                          <w:rFonts w:ascii="Garamond" w:hAnsi="Garamond" w:cs="Arial"/>
                          <w:b/>
                          <w:color w:val="000000" w:themeColor="text1"/>
                          <w:sz w:val="44"/>
                          <w:szCs w:val="30"/>
                        </w:rPr>
                      </w:pPr>
                    </w:p>
                  </w:txbxContent>
                </v:textbox>
              </v:shape>
            </w:pict>
          </mc:Fallback>
        </mc:AlternateContent>
      </w:r>
      <w:r w:rsidR="00E80748" w:rsidRPr="00FD552D">
        <w:rPr>
          <w:noProof/>
          <w:lang w:eastAsia="bg-BG"/>
        </w:rPr>
        <mc:AlternateContent>
          <mc:Choice Requires="wps">
            <w:drawing>
              <wp:anchor distT="45720" distB="45720" distL="114300" distR="114300" simplePos="0" relativeHeight="251667456" behindDoc="0" locked="0" layoutInCell="1" allowOverlap="1" wp14:anchorId="0CA45611" wp14:editId="17867F4E">
                <wp:simplePos x="0" y="0"/>
                <wp:positionH relativeFrom="column">
                  <wp:posOffset>-59524</wp:posOffset>
                </wp:positionH>
                <wp:positionV relativeFrom="paragraph">
                  <wp:posOffset>1044078</wp:posOffset>
                </wp:positionV>
                <wp:extent cx="6429955" cy="1564005"/>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9955" cy="1564005"/>
                        </a:xfrm>
                        <a:prstGeom prst="rect">
                          <a:avLst/>
                        </a:prstGeom>
                        <a:noFill/>
                        <a:ln w="9525">
                          <a:noFill/>
                          <a:miter lim="800000"/>
                          <a:headEnd/>
                          <a:tailEnd/>
                        </a:ln>
                      </wps:spPr>
                      <wps:txbx>
                        <w:txbxContent>
                          <w:p w14:paraId="1E880B91" w14:textId="77777777" w:rsidR="00DE0FD8" w:rsidRPr="00B66075" w:rsidRDefault="00DE0FD8" w:rsidP="00DE0FD8">
                            <w:pPr>
                              <w:spacing w:after="0" w:line="240" w:lineRule="auto"/>
                              <w:contextualSpacing/>
                              <w:jc w:val="center"/>
                              <w:rPr>
                                <w:rFonts w:ascii="Garamond" w:hAnsi="Garamond" w:cstheme="minorHAnsi"/>
                                <w:color w:val="0D0D0D" w:themeColor="text1" w:themeTint="F2"/>
                                <w:sz w:val="70"/>
                                <w:szCs w:val="70"/>
                              </w:rPr>
                            </w:pPr>
                            <w:r w:rsidRPr="00B66075">
                              <w:rPr>
                                <w:rFonts w:ascii="Garamond" w:hAnsi="Garamond" w:cstheme="minorHAnsi"/>
                                <w:color w:val="0D0D0D" w:themeColor="text1" w:themeTint="F2"/>
                                <w:sz w:val="70"/>
                                <w:szCs w:val="70"/>
                              </w:rPr>
                              <w:t>Изпълнителна агенция „Програма за образование“</w:t>
                            </w:r>
                          </w:p>
                          <w:p w14:paraId="64306B80" w14:textId="77777777" w:rsidR="00DE0FD8" w:rsidRPr="006E57AA" w:rsidRDefault="00DE0FD8" w:rsidP="00DE0FD8">
                            <w:pPr>
                              <w:spacing w:line="240" w:lineRule="auto"/>
                              <w:contextualSpacing/>
                              <w:jc w:val="center"/>
                              <w:rPr>
                                <w:rFonts w:ascii="Garamond" w:hAnsi="Garamond" w:cstheme="minorHAnsi"/>
                                <w:color w:val="0D0D0D" w:themeColor="text1" w:themeTint="F2"/>
                                <w:sz w:val="70"/>
                                <w:szCs w:val="70"/>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A45611" id="_x0000_s1029" type="#_x0000_t202" style="position:absolute;margin-left:-4.7pt;margin-top:82.2pt;width:506.3pt;height:123.1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" filled="f" stroked="f">
                <v:textbox>
                  <w:txbxContent>
                    <w:p w14:paraId="1E880B91" w14:textId="77777777" w:rsidR="00DE0FD8" w:rsidRPr="00B66075" w:rsidRDefault="00DE0FD8" w:rsidP="00DE0FD8">
                      <w:pPr>
                        <w:spacing w:after="0" w:line="240" w:lineRule="auto"/>
                        <w:contextualSpacing/>
                        <w:jc w:val="center"/>
                        <w:rPr>
                          <w:rFonts w:ascii="Garamond" w:hAnsi="Garamond" w:cstheme="minorHAnsi"/>
                          <w:color w:val="0D0D0D" w:themeColor="text1" w:themeTint="F2"/>
                          <w:sz w:val="70"/>
                          <w:szCs w:val="70"/>
                        </w:rPr>
                      </w:pPr>
                      <w:r w:rsidRPr="00B66075">
                        <w:rPr>
                          <w:rFonts w:ascii="Garamond" w:hAnsi="Garamond" w:cstheme="minorHAnsi"/>
                          <w:color w:val="0D0D0D" w:themeColor="text1" w:themeTint="F2"/>
                          <w:sz w:val="70"/>
                          <w:szCs w:val="70"/>
                        </w:rPr>
                        <w:t>Изпълнителна агенция „Програма за образование“</w:t>
                      </w:r>
                    </w:p>
                    <w:p w14:paraId="64306B80" w14:textId="77777777" w:rsidR="00DE0FD8" w:rsidRPr="006E57AA" w:rsidRDefault="00DE0FD8" w:rsidP="00DE0FD8">
                      <w:pPr>
                        <w:spacing w:line="240" w:lineRule="auto"/>
                        <w:contextualSpacing/>
                        <w:jc w:val="center"/>
                        <w:rPr>
                          <w:rFonts w:ascii="Garamond" w:hAnsi="Garamond" w:cstheme="minorHAnsi"/>
                          <w:color w:val="0D0D0D" w:themeColor="text1" w:themeTint="F2"/>
                          <w:sz w:val="70"/>
                          <w:szCs w:val="70"/>
                          <w:lang w:val="en-US"/>
                        </w:rPr>
                      </w:pPr>
                    </w:p>
                  </w:txbxContent>
                </v:textbox>
              </v:shape>
            </w:pict>
          </mc:Fallback>
        </mc:AlternateContent>
      </w:r>
      <w:r w:rsidR="00C911EA">
        <w:rPr>
          <w:noProof/>
        </w:rPr>
        <w:pict w14:anchorId="1DCE7E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69.85pt;margin-top:583.5pt;width:595.1pt;height:227.35pt;z-index:-251654144;mso-position-horizontal-relative:text;mso-position-vertical-relative:text;mso-width-relative:page;mso-height-relative:page">
            <v:imagedata r:id="rId8" o:title="c6-footer"/>
          </v:shape>
        </w:pict>
      </w:r>
      <w:r w:rsidR="009C635B" w:rsidRPr="00FD552D">
        <w:rPr>
          <w:noProof/>
          <w:lang w:eastAsia="bg-BG"/>
        </w:rPr>
        <w:drawing>
          <wp:anchor distT="0" distB="0" distL="114300" distR="114300" simplePos="0" relativeHeight="251669504" behindDoc="0" locked="0" layoutInCell="1" allowOverlap="1" wp14:anchorId="15D79998" wp14:editId="0B2C0C54">
            <wp:simplePos x="0" y="0"/>
            <wp:positionH relativeFrom="column">
              <wp:posOffset>4717234</wp:posOffset>
            </wp:positionH>
            <wp:positionV relativeFrom="paragraph">
              <wp:posOffset>-257875</wp:posOffset>
            </wp:positionV>
            <wp:extent cx="1217791" cy="994384"/>
            <wp:effectExtent l="0" t="0" r="190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l="28562" t="28219" r="54013" b="46537"/>
                    <a:stretch/>
                  </pic:blipFill>
                  <pic:spPr bwMode="auto">
                    <a:xfrm>
                      <a:off x="0" y="0"/>
                      <a:ext cx="1225001" cy="100027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911EA">
        <w:rPr>
          <w:noProof/>
        </w:rPr>
        <w:pict w14:anchorId="33E19728">
          <v:shape id="_x0000_s1026" type="#_x0000_t75" style="position:absolute;margin-left:-75pt;margin-top:-77.1pt;width:599.6pt;height:846.6pt;z-index:-251655168;mso-position-horizontal-relative:text;mso-position-vertical-relative:text;mso-width-relative:page;mso-height-relative:page">
            <v:imagedata r:id="rId10" o:title="c6-greybg"/>
          </v:shape>
        </w:pict>
      </w:r>
      <w:r w:rsidR="00C911EA">
        <w:rPr>
          <w:noProof/>
        </w:rPr>
        <w:pict w14:anchorId="7070AC8D">
          <v:shape id="_x0000_s1028" type="#_x0000_t75" style="position:absolute;margin-left:-75pt;margin-top:-77.1pt;width:613.85pt;height:212.1pt;z-index:251663360;mso-position-horizontal-relative:text;mso-position-vertical-relative:text;mso-width-relative:page;mso-height-relative:page">
            <v:imagedata r:id="rId11" o:title="c6-header"/>
          </v:shape>
        </w:pict>
      </w:r>
      <w:r w:rsidR="00E77EC7" w:rsidRPr="00FD552D">
        <w:rPr>
          <w:rFonts w:ascii="Times New Roman" w:hAnsi="Times New Roman" w:cs="Times New Roman"/>
          <w:sz w:val="32"/>
          <w:szCs w:val="32"/>
        </w:rPr>
        <w:br w:type="page"/>
      </w:r>
    </w:p>
    <w:p w14:paraId="30E5B48B" w14:textId="77777777" w:rsidR="00AC1E9E" w:rsidRDefault="00AC1E9E" w:rsidP="00D02E48">
      <w:pPr>
        <w:jc w:val="center"/>
        <w:rPr>
          <w:rFonts w:ascii="Times New Roman" w:hAnsi="Times New Roman" w:cs="Times New Roman"/>
          <w:sz w:val="32"/>
          <w:szCs w:val="32"/>
        </w:rPr>
        <w:sectPr w:rsidR="00AC1E9E" w:rsidSect="00B276EF">
          <w:footerReference w:type="default" r:id="rId12"/>
          <w:pgSz w:w="11906" w:h="16838"/>
          <w:pgMar w:top="1418" w:right="1418" w:bottom="1418" w:left="1418" w:header="706" w:footer="706" w:gutter="0"/>
          <w:cols w:space="708"/>
          <w:docGrid w:linePitch="360"/>
        </w:sectPr>
      </w:pPr>
    </w:p>
    <w:p w14:paraId="6B6964AA" w14:textId="77777777" w:rsidR="006F73C2" w:rsidRPr="00895D58" w:rsidRDefault="006F73C2">
      <w:pPr>
        <w:rPr>
          <w:rFonts w:ascii="Times New Roman" w:hAnsi="Times New Roman" w:cs="Times New Roman"/>
          <w:b/>
          <w:sz w:val="24"/>
          <w:szCs w:val="24"/>
        </w:rPr>
      </w:pPr>
      <w:r w:rsidRPr="00895D58">
        <w:rPr>
          <w:rFonts w:ascii="Times New Roman" w:hAnsi="Times New Roman" w:cs="Times New Roman"/>
          <w:b/>
          <w:sz w:val="24"/>
          <w:szCs w:val="24"/>
        </w:rPr>
        <w:lastRenderedPageBreak/>
        <w:t>СЪДЪРЖАНИЕ</w:t>
      </w:r>
    </w:p>
    <w:sdt>
      <w:sdtPr>
        <w:rPr>
          <w:rFonts w:ascii="Times New Roman" w:eastAsiaTheme="minorHAnsi" w:hAnsi="Times New Roman" w:cs="Times New Roman"/>
          <w:color w:val="auto"/>
          <w:sz w:val="24"/>
          <w:szCs w:val="24"/>
          <w:lang w:val="bg-BG"/>
        </w:rPr>
        <w:id w:val="-1263371091"/>
        <w:docPartObj>
          <w:docPartGallery w:val="Table of Contents"/>
          <w:docPartUnique/>
        </w:docPartObj>
      </w:sdtPr>
      <w:sdtEndPr>
        <w:rPr>
          <w:rFonts w:asciiTheme="minorHAnsi" w:hAnsiTheme="minorHAnsi" w:cstheme="minorBidi"/>
          <w:b/>
          <w:bCs/>
          <w:noProof/>
          <w:sz w:val="22"/>
          <w:szCs w:val="22"/>
        </w:rPr>
      </w:sdtEndPr>
      <w:sdtContent>
        <w:p w14:paraId="34C97B4C" w14:textId="6856E610" w:rsidR="006F73C2" w:rsidRPr="00E9729E" w:rsidRDefault="006F73C2">
          <w:pPr>
            <w:pStyle w:val="TOCHeading"/>
            <w:rPr>
              <w:rFonts w:ascii="Times New Roman" w:hAnsi="Times New Roman" w:cs="Times New Roman"/>
              <w:sz w:val="2"/>
              <w:szCs w:val="2"/>
            </w:rPr>
          </w:pPr>
        </w:p>
        <w:p w14:paraId="6CC5B6DF" w14:textId="66260934" w:rsidR="00DE2FE6" w:rsidRDefault="006F73C2">
          <w:pPr>
            <w:pStyle w:val="TOC1"/>
            <w:tabs>
              <w:tab w:val="right" w:leader="dot" w:pos="9487"/>
            </w:tabs>
            <w:rPr>
              <w:rFonts w:eastAsiaTheme="minorEastAsia"/>
              <w:noProof/>
              <w:lang w:eastAsia="bg-BG"/>
            </w:rPr>
          </w:pPr>
          <w:r w:rsidRPr="00895D58">
            <w:rPr>
              <w:rFonts w:ascii="Times New Roman" w:hAnsi="Times New Roman" w:cs="Times New Roman"/>
              <w:b/>
              <w:sz w:val="24"/>
              <w:szCs w:val="24"/>
            </w:rPr>
            <w:fldChar w:fldCharType="begin"/>
          </w:r>
          <w:r w:rsidRPr="00895D58">
            <w:rPr>
              <w:rFonts w:ascii="Times New Roman" w:hAnsi="Times New Roman" w:cs="Times New Roman"/>
              <w:b/>
              <w:sz w:val="24"/>
              <w:szCs w:val="24"/>
            </w:rPr>
            <w:instrText xml:space="preserve"> TOC \o "1-3" \h \z \u </w:instrText>
          </w:r>
          <w:r w:rsidRPr="00895D58">
            <w:rPr>
              <w:rFonts w:ascii="Times New Roman" w:hAnsi="Times New Roman" w:cs="Times New Roman"/>
              <w:b/>
              <w:sz w:val="24"/>
              <w:szCs w:val="24"/>
            </w:rPr>
            <w:fldChar w:fldCharType="separate"/>
          </w:r>
          <w:hyperlink w:anchor="_Toc103586632" w:history="1">
            <w:r w:rsidR="00DE2FE6" w:rsidRPr="00B01AEA">
              <w:rPr>
                <w:rStyle w:val="Hyperlink"/>
                <w:rFonts w:ascii="Times New Roman" w:hAnsi="Times New Roman" w:cs="Times New Roman"/>
                <w:b/>
                <w:bCs/>
                <w:noProof/>
              </w:rPr>
              <w:t>Логика на интервенцията по Програма „Образование“ 2021–2027</w:t>
            </w:r>
            <w:r w:rsidR="00DE2FE6">
              <w:rPr>
                <w:noProof/>
                <w:webHidden/>
              </w:rPr>
              <w:tab/>
            </w:r>
            <w:r w:rsidR="00DE2FE6">
              <w:rPr>
                <w:noProof/>
                <w:webHidden/>
              </w:rPr>
              <w:fldChar w:fldCharType="begin"/>
            </w:r>
            <w:r w:rsidR="00DE2FE6">
              <w:rPr>
                <w:noProof/>
                <w:webHidden/>
              </w:rPr>
              <w:instrText xml:space="preserve"> PAGEREF _Toc103586632 \h </w:instrText>
            </w:r>
            <w:r w:rsidR="00DE2FE6">
              <w:rPr>
                <w:noProof/>
                <w:webHidden/>
              </w:rPr>
            </w:r>
            <w:r w:rsidR="00DE2FE6">
              <w:rPr>
                <w:noProof/>
                <w:webHidden/>
              </w:rPr>
              <w:fldChar w:fldCharType="separate"/>
            </w:r>
            <w:r w:rsidR="00DE2FE6">
              <w:rPr>
                <w:noProof/>
                <w:webHidden/>
              </w:rPr>
              <w:t>6</w:t>
            </w:r>
            <w:r w:rsidR="00DE2FE6">
              <w:rPr>
                <w:noProof/>
                <w:webHidden/>
              </w:rPr>
              <w:fldChar w:fldCharType="end"/>
            </w:r>
          </w:hyperlink>
        </w:p>
        <w:p w14:paraId="7805779A" w14:textId="32DAEE82" w:rsidR="00DE2FE6" w:rsidRDefault="00C911EA">
          <w:pPr>
            <w:pStyle w:val="TOC1"/>
            <w:tabs>
              <w:tab w:val="left" w:pos="440"/>
              <w:tab w:val="right" w:leader="dot" w:pos="9487"/>
            </w:tabs>
            <w:rPr>
              <w:rFonts w:eastAsiaTheme="minorEastAsia"/>
              <w:noProof/>
              <w:lang w:eastAsia="bg-BG"/>
            </w:rPr>
          </w:pPr>
          <w:hyperlink w:anchor="_Toc103586633" w:history="1">
            <w:r w:rsidR="00DE2FE6" w:rsidRPr="00B01AEA">
              <w:rPr>
                <w:rStyle w:val="Hyperlink"/>
                <w:rFonts w:ascii="Times New Roman" w:hAnsi="Times New Roman" w:cs="Times New Roman"/>
                <w:b/>
                <w:noProof/>
              </w:rPr>
              <w:t>1.</w:t>
            </w:r>
            <w:r w:rsidR="00DE2FE6">
              <w:rPr>
                <w:rFonts w:eastAsiaTheme="minorEastAsia"/>
                <w:noProof/>
                <w:lang w:eastAsia="bg-BG"/>
              </w:rPr>
              <w:tab/>
            </w:r>
            <w:r w:rsidR="00DE2FE6" w:rsidRPr="00B01AEA">
              <w:rPr>
                <w:rStyle w:val="Hyperlink"/>
                <w:rFonts w:ascii="Times New Roman" w:hAnsi="Times New Roman" w:cs="Times New Roman"/>
                <w:b/>
                <w:noProof/>
              </w:rPr>
              <w:t>Избор на показатели</w:t>
            </w:r>
            <w:r w:rsidR="00DE2FE6">
              <w:rPr>
                <w:noProof/>
                <w:webHidden/>
              </w:rPr>
              <w:tab/>
            </w:r>
            <w:r w:rsidR="00DE2FE6">
              <w:rPr>
                <w:noProof/>
                <w:webHidden/>
              </w:rPr>
              <w:fldChar w:fldCharType="begin"/>
            </w:r>
            <w:r w:rsidR="00DE2FE6">
              <w:rPr>
                <w:noProof/>
                <w:webHidden/>
              </w:rPr>
              <w:instrText xml:space="preserve"> PAGEREF _Toc103586633 \h </w:instrText>
            </w:r>
            <w:r w:rsidR="00DE2FE6">
              <w:rPr>
                <w:noProof/>
                <w:webHidden/>
              </w:rPr>
            </w:r>
            <w:r w:rsidR="00DE2FE6">
              <w:rPr>
                <w:noProof/>
                <w:webHidden/>
              </w:rPr>
              <w:fldChar w:fldCharType="separate"/>
            </w:r>
            <w:r w:rsidR="00DE2FE6">
              <w:rPr>
                <w:noProof/>
                <w:webHidden/>
              </w:rPr>
              <w:t>8</w:t>
            </w:r>
            <w:r w:rsidR="00DE2FE6">
              <w:rPr>
                <w:noProof/>
                <w:webHidden/>
              </w:rPr>
              <w:fldChar w:fldCharType="end"/>
            </w:r>
          </w:hyperlink>
        </w:p>
        <w:p w14:paraId="04CA530C" w14:textId="7E95A5C8" w:rsidR="00DE2FE6" w:rsidRDefault="00C911EA">
          <w:pPr>
            <w:pStyle w:val="TOC1"/>
            <w:tabs>
              <w:tab w:val="left" w:pos="440"/>
              <w:tab w:val="right" w:leader="dot" w:pos="9487"/>
            </w:tabs>
            <w:rPr>
              <w:rFonts w:eastAsiaTheme="minorEastAsia"/>
              <w:noProof/>
              <w:lang w:eastAsia="bg-BG"/>
            </w:rPr>
          </w:pPr>
          <w:hyperlink w:anchor="_Toc103586634" w:history="1">
            <w:r w:rsidR="00DE2FE6" w:rsidRPr="00B01AEA">
              <w:rPr>
                <w:rStyle w:val="Hyperlink"/>
                <w:rFonts w:ascii="Times New Roman" w:hAnsi="Times New Roman" w:cs="Times New Roman"/>
                <w:b/>
                <w:noProof/>
              </w:rPr>
              <w:t>2.</w:t>
            </w:r>
            <w:r w:rsidR="00DE2FE6">
              <w:rPr>
                <w:rFonts w:eastAsiaTheme="minorEastAsia"/>
                <w:noProof/>
                <w:lang w:eastAsia="bg-BG"/>
              </w:rPr>
              <w:tab/>
            </w:r>
            <w:r w:rsidR="00DE2FE6" w:rsidRPr="00B01AEA">
              <w:rPr>
                <w:rStyle w:val="Hyperlink"/>
                <w:rFonts w:ascii="Times New Roman" w:hAnsi="Times New Roman" w:cs="Times New Roman"/>
                <w:b/>
                <w:noProof/>
              </w:rPr>
              <w:t>Преглед на рамката на показателите</w:t>
            </w:r>
            <w:r w:rsidR="00DE2FE6">
              <w:rPr>
                <w:noProof/>
                <w:webHidden/>
              </w:rPr>
              <w:tab/>
            </w:r>
            <w:r w:rsidR="00DE2FE6">
              <w:rPr>
                <w:noProof/>
                <w:webHidden/>
              </w:rPr>
              <w:fldChar w:fldCharType="begin"/>
            </w:r>
            <w:r w:rsidR="00DE2FE6">
              <w:rPr>
                <w:noProof/>
                <w:webHidden/>
              </w:rPr>
              <w:instrText xml:space="preserve"> PAGEREF _Toc103586634 \h </w:instrText>
            </w:r>
            <w:r w:rsidR="00DE2FE6">
              <w:rPr>
                <w:noProof/>
                <w:webHidden/>
              </w:rPr>
            </w:r>
            <w:r w:rsidR="00DE2FE6">
              <w:rPr>
                <w:noProof/>
                <w:webHidden/>
              </w:rPr>
              <w:fldChar w:fldCharType="separate"/>
            </w:r>
            <w:r w:rsidR="00DE2FE6">
              <w:rPr>
                <w:noProof/>
                <w:webHidden/>
              </w:rPr>
              <w:t>10</w:t>
            </w:r>
            <w:r w:rsidR="00DE2FE6">
              <w:rPr>
                <w:noProof/>
                <w:webHidden/>
              </w:rPr>
              <w:fldChar w:fldCharType="end"/>
            </w:r>
          </w:hyperlink>
        </w:p>
        <w:p w14:paraId="60E0AFD3" w14:textId="73E076C3" w:rsidR="00DE2FE6" w:rsidRDefault="00C911EA">
          <w:pPr>
            <w:pStyle w:val="TOC1"/>
            <w:tabs>
              <w:tab w:val="left" w:pos="440"/>
              <w:tab w:val="right" w:leader="dot" w:pos="9487"/>
            </w:tabs>
            <w:rPr>
              <w:rFonts w:eastAsiaTheme="minorEastAsia"/>
              <w:noProof/>
              <w:lang w:eastAsia="bg-BG"/>
            </w:rPr>
          </w:pPr>
          <w:hyperlink w:anchor="_Toc103586635" w:history="1">
            <w:r w:rsidR="00DE2FE6" w:rsidRPr="00B01AEA">
              <w:rPr>
                <w:rStyle w:val="Hyperlink"/>
                <w:rFonts w:ascii="Times New Roman" w:hAnsi="Times New Roman" w:cs="Times New Roman"/>
                <w:b/>
                <w:noProof/>
              </w:rPr>
              <w:t>3.</w:t>
            </w:r>
            <w:r w:rsidR="00DE2FE6">
              <w:rPr>
                <w:rFonts w:eastAsiaTheme="minorEastAsia"/>
                <w:noProof/>
                <w:lang w:eastAsia="bg-BG"/>
              </w:rPr>
              <w:tab/>
            </w:r>
            <w:r w:rsidR="00DE2FE6" w:rsidRPr="00B01AEA">
              <w:rPr>
                <w:rStyle w:val="Hyperlink"/>
                <w:rFonts w:ascii="Times New Roman" w:hAnsi="Times New Roman" w:cs="Times New Roman"/>
                <w:b/>
                <w:noProof/>
              </w:rPr>
              <w:t>Определяне на етапни цели и целеви стойности на показателите</w:t>
            </w:r>
            <w:r w:rsidR="00DE2FE6">
              <w:rPr>
                <w:noProof/>
                <w:webHidden/>
              </w:rPr>
              <w:tab/>
            </w:r>
            <w:r w:rsidR="00DE2FE6">
              <w:rPr>
                <w:noProof/>
                <w:webHidden/>
              </w:rPr>
              <w:fldChar w:fldCharType="begin"/>
            </w:r>
            <w:r w:rsidR="00DE2FE6">
              <w:rPr>
                <w:noProof/>
                <w:webHidden/>
              </w:rPr>
              <w:instrText xml:space="preserve"> PAGEREF _Toc103586635 \h </w:instrText>
            </w:r>
            <w:r w:rsidR="00DE2FE6">
              <w:rPr>
                <w:noProof/>
                <w:webHidden/>
              </w:rPr>
            </w:r>
            <w:r w:rsidR="00DE2FE6">
              <w:rPr>
                <w:noProof/>
                <w:webHidden/>
              </w:rPr>
              <w:fldChar w:fldCharType="separate"/>
            </w:r>
            <w:r w:rsidR="00DE2FE6">
              <w:rPr>
                <w:noProof/>
                <w:webHidden/>
              </w:rPr>
              <w:t>18</w:t>
            </w:r>
            <w:r w:rsidR="00DE2FE6">
              <w:rPr>
                <w:noProof/>
                <w:webHidden/>
              </w:rPr>
              <w:fldChar w:fldCharType="end"/>
            </w:r>
          </w:hyperlink>
        </w:p>
        <w:p w14:paraId="26C621E6" w14:textId="28FF69C8" w:rsidR="00DE2FE6" w:rsidRDefault="00C911EA">
          <w:pPr>
            <w:pStyle w:val="TOC1"/>
            <w:tabs>
              <w:tab w:val="left" w:pos="440"/>
              <w:tab w:val="right" w:leader="dot" w:pos="9487"/>
            </w:tabs>
            <w:rPr>
              <w:rFonts w:eastAsiaTheme="minorEastAsia"/>
              <w:noProof/>
              <w:lang w:eastAsia="bg-BG"/>
            </w:rPr>
          </w:pPr>
          <w:hyperlink w:anchor="_Toc103586636" w:history="1">
            <w:r w:rsidR="00DE2FE6" w:rsidRPr="00B01AEA">
              <w:rPr>
                <w:rStyle w:val="Hyperlink"/>
                <w:rFonts w:ascii="Times New Roman" w:hAnsi="Times New Roman" w:cs="Times New Roman"/>
                <w:b/>
                <w:noProof/>
              </w:rPr>
              <w:t>4.</w:t>
            </w:r>
            <w:r w:rsidR="00DE2FE6">
              <w:rPr>
                <w:rFonts w:eastAsiaTheme="minorEastAsia"/>
                <w:noProof/>
                <w:lang w:eastAsia="bg-BG"/>
              </w:rPr>
              <w:tab/>
            </w:r>
            <w:r w:rsidR="00DE2FE6" w:rsidRPr="00B01AEA">
              <w:rPr>
                <w:rStyle w:val="Hyperlink"/>
                <w:rFonts w:ascii="Times New Roman" w:hAnsi="Times New Roman" w:cs="Times New Roman"/>
                <w:b/>
                <w:noProof/>
              </w:rPr>
              <w:t>Документиране на връзката между изходните и крайните данни на общите и специфичните показатели по Програмата</w:t>
            </w:r>
            <w:r w:rsidR="00DE2FE6">
              <w:rPr>
                <w:noProof/>
                <w:webHidden/>
              </w:rPr>
              <w:tab/>
            </w:r>
            <w:r w:rsidR="00DE2FE6">
              <w:rPr>
                <w:noProof/>
                <w:webHidden/>
              </w:rPr>
              <w:fldChar w:fldCharType="begin"/>
            </w:r>
            <w:r w:rsidR="00DE2FE6">
              <w:rPr>
                <w:noProof/>
                <w:webHidden/>
              </w:rPr>
              <w:instrText xml:space="preserve"> PAGEREF _Toc103586636 \h </w:instrText>
            </w:r>
            <w:r w:rsidR="00DE2FE6">
              <w:rPr>
                <w:noProof/>
                <w:webHidden/>
              </w:rPr>
            </w:r>
            <w:r w:rsidR="00DE2FE6">
              <w:rPr>
                <w:noProof/>
                <w:webHidden/>
              </w:rPr>
              <w:fldChar w:fldCharType="separate"/>
            </w:r>
            <w:r w:rsidR="00DE2FE6">
              <w:rPr>
                <w:noProof/>
                <w:webHidden/>
              </w:rPr>
              <w:t>22</w:t>
            </w:r>
            <w:r w:rsidR="00DE2FE6">
              <w:rPr>
                <w:noProof/>
                <w:webHidden/>
              </w:rPr>
              <w:fldChar w:fldCharType="end"/>
            </w:r>
          </w:hyperlink>
        </w:p>
        <w:p w14:paraId="1A0F2BC8" w14:textId="4C35BEAE" w:rsidR="00DE2FE6" w:rsidRDefault="00C911EA">
          <w:pPr>
            <w:pStyle w:val="TOC1"/>
            <w:tabs>
              <w:tab w:val="left" w:pos="440"/>
              <w:tab w:val="right" w:leader="dot" w:pos="9487"/>
            </w:tabs>
            <w:rPr>
              <w:rFonts w:eastAsiaTheme="minorEastAsia"/>
              <w:noProof/>
              <w:lang w:eastAsia="bg-BG"/>
            </w:rPr>
          </w:pPr>
          <w:hyperlink w:anchor="_Toc103586637" w:history="1">
            <w:r w:rsidR="00DE2FE6" w:rsidRPr="00B01AEA">
              <w:rPr>
                <w:rStyle w:val="Hyperlink"/>
                <w:rFonts w:ascii="Times New Roman" w:hAnsi="Times New Roman" w:cs="Times New Roman"/>
                <w:b/>
                <w:noProof/>
              </w:rPr>
              <w:t>5.</w:t>
            </w:r>
            <w:r w:rsidR="00DE2FE6">
              <w:rPr>
                <w:rFonts w:eastAsiaTheme="minorEastAsia"/>
                <w:noProof/>
                <w:lang w:eastAsia="bg-BG"/>
              </w:rPr>
              <w:tab/>
            </w:r>
            <w:r w:rsidR="00DE2FE6" w:rsidRPr="00B01AEA">
              <w:rPr>
                <w:rStyle w:val="Hyperlink"/>
                <w:rFonts w:ascii="Times New Roman" w:hAnsi="Times New Roman" w:cs="Times New Roman"/>
                <w:b/>
                <w:noProof/>
              </w:rPr>
              <w:t>Фактори, които могат да повлияят върху постигането на целевите стойности на показателите</w:t>
            </w:r>
            <w:r w:rsidR="00DE2FE6">
              <w:rPr>
                <w:noProof/>
                <w:webHidden/>
              </w:rPr>
              <w:tab/>
            </w:r>
            <w:r w:rsidR="00DE2FE6">
              <w:rPr>
                <w:noProof/>
                <w:webHidden/>
              </w:rPr>
              <w:fldChar w:fldCharType="begin"/>
            </w:r>
            <w:r w:rsidR="00DE2FE6">
              <w:rPr>
                <w:noProof/>
                <w:webHidden/>
              </w:rPr>
              <w:instrText xml:space="preserve"> PAGEREF _Toc103586637 \h </w:instrText>
            </w:r>
            <w:r w:rsidR="00DE2FE6">
              <w:rPr>
                <w:noProof/>
                <w:webHidden/>
              </w:rPr>
            </w:r>
            <w:r w:rsidR="00DE2FE6">
              <w:rPr>
                <w:noProof/>
                <w:webHidden/>
              </w:rPr>
              <w:fldChar w:fldCharType="separate"/>
            </w:r>
            <w:r w:rsidR="00DE2FE6">
              <w:rPr>
                <w:noProof/>
                <w:webHidden/>
              </w:rPr>
              <w:t>25</w:t>
            </w:r>
            <w:r w:rsidR="00DE2FE6">
              <w:rPr>
                <w:noProof/>
                <w:webHidden/>
              </w:rPr>
              <w:fldChar w:fldCharType="end"/>
            </w:r>
          </w:hyperlink>
        </w:p>
        <w:p w14:paraId="530F461C" w14:textId="68B02600" w:rsidR="00DE2FE6" w:rsidRDefault="00C911EA">
          <w:pPr>
            <w:pStyle w:val="TOC1"/>
            <w:tabs>
              <w:tab w:val="left" w:pos="440"/>
              <w:tab w:val="right" w:leader="dot" w:pos="9487"/>
            </w:tabs>
            <w:rPr>
              <w:rFonts w:eastAsiaTheme="minorEastAsia"/>
              <w:noProof/>
              <w:lang w:eastAsia="bg-BG"/>
            </w:rPr>
          </w:pPr>
          <w:hyperlink w:anchor="_Toc103586638" w:history="1">
            <w:r w:rsidR="00DE2FE6" w:rsidRPr="00B01AEA">
              <w:rPr>
                <w:rStyle w:val="Hyperlink"/>
                <w:rFonts w:ascii="Times New Roman" w:hAnsi="Times New Roman" w:cs="Times New Roman"/>
                <w:b/>
                <w:noProof/>
              </w:rPr>
              <w:t>6.</w:t>
            </w:r>
            <w:r w:rsidR="00DE2FE6">
              <w:rPr>
                <w:rFonts w:eastAsiaTheme="minorEastAsia"/>
                <w:noProof/>
                <w:lang w:eastAsia="bg-BG"/>
              </w:rPr>
              <w:tab/>
            </w:r>
            <w:r w:rsidR="00DE2FE6" w:rsidRPr="00B01AEA">
              <w:rPr>
                <w:rStyle w:val="Hyperlink"/>
                <w:rFonts w:ascii="Times New Roman" w:hAnsi="Times New Roman" w:cs="Times New Roman"/>
                <w:b/>
                <w:noProof/>
              </w:rPr>
              <w:t>Преразглеждане на целевите стойности на показателите в процеса на изпълнение на ПО</w:t>
            </w:r>
            <w:r w:rsidR="00DE2FE6">
              <w:rPr>
                <w:noProof/>
                <w:webHidden/>
              </w:rPr>
              <w:tab/>
            </w:r>
            <w:r w:rsidR="00DE2FE6">
              <w:rPr>
                <w:noProof/>
                <w:webHidden/>
              </w:rPr>
              <w:fldChar w:fldCharType="begin"/>
            </w:r>
            <w:r w:rsidR="00DE2FE6">
              <w:rPr>
                <w:noProof/>
                <w:webHidden/>
              </w:rPr>
              <w:instrText xml:space="preserve"> PAGEREF _Toc103586638 \h </w:instrText>
            </w:r>
            <w:r w:rsidR="00DE2FE6">
              <w:rPr>
                <w:noProof/>
                <w:webHidden/>
              </w:rPr>
            </w:r>
            <w:r w:rsidR="00DE2FE6">
              <w:rPr>
                <w:noProof/>
                <w:webHidden/>
              </w:rPr>
              <w:fldChar w:fldCharType="separate"/>
            </w:r>
            <w:r w:rsidR="00DE2FE6">
              <w:rPr>
                <w:noProof/>
                <w:webHidden/>
              </w:rPr>
              <w:t>26</w:t>
            </w:r>
            <w:r w:rsidR="00DE2FE6">
              <w:rPr>
                <w:noProof/>
                <w:webHidden/>
              </w:rPr>
              <w:fldChar w:fldCharType="end"/>
            </w:r>
          </w:hyperlink>
        </w:p>
        <w:p w14:paraId="0C0191B1" w14:textId="084355E6" w:rsidR="00DE2FE6" w:rsidRDefault="00C911EA">
          <w:pPr>
            <w:pStyle w:val="TOC1"/>
            <w:tabs>
              <w:tab w:val="left" w:pos="440"/>
              <w:tab w:val="right" w:leader="dot" w:pos="9487"/>
            </w:tabs>
            <w:rPr>
              <w:rFonts w:eastAsiaTheme="minorEastAsia"/>
              <w:noProof/>
              <w:lang w:eastAsia="bg-BG"/>
            </w:rPr>
          </w:pPr>
          <w:hyperlink w:anchor="_Toc103586639" w:history="1">
            <w:r w:rsidR="00DE2FE6" w:rsidRPr="00B01AEA">
              <w:rPr>
                <w:rStyle w:val="Hyperlink"/>
                <w:rFonts w:ascii="Times New Roman" w:hAnsi="Times New Roman" w:cs="Times New Roman"/>
                <w:b/>
                <w:noProof/>
              </w:rPr>
              <w:t>7.</w:t>
            </w:r>
            <w:r w:rsidR="00DE2FE6">
              <w:rPr>
                <w:rFonts w:eastAsiaTheme="minorEastAsia"/>
                <w:noProof/>
                <w:lang w:eastAsia="bg-BG"/>
              </w:rPr>
              <w:tab/>
            </w:r>
            <w:r w:rsidR="00DE2FE6" w:rsidRPr="00B01AEA">
              <w:rPr>
                <w:rStyle w:val="Hyperlink"/>
                <w:rFonts w:ascii="Times New Roman" w:hAnsi="Times New Roman" w:cs="Times New Roman"/>
                <w:b/>
                <w:noProof/>
              </w:rPr>
              <w:t>Фишове на показателите от Програма „Образование“ 2021 – 2027</w:t>
            </w:r>
            <w:r w:rsidR="00DE2FE6">
              <w:rPr>
                <w:noProof/>
                <w:webHidden/>
              </w:rPr>
              <w:tab/>
            </w:r>
            <w:r w:rsidR="00DE2FE6">
              <w:rPr>
                <w:noProof/>
                <w:webHidden/>
              </w:rPr>
              <w:fldChar w:fldCharType="begin"/>
            </w:r>
            <w:r w:rsidR="00DE2FE6">
              <w:rPr>
                <w:noProof/>
                <w:webHidden/>
              </w:rPr>
              <w:instrText xml:space="preserve"> PAGEREF _Toc103586639 \h </w:instrText>
            </w:r>
            <w:r w:rsidR="00DE2FE6">
              <w:rPr>
                <w:noProof/>
                <w:webHidden/>
              </w:rPr>
            </w:r>
            <w:r w:rsidR="00DE2FE6">
              <w:rPr>
                <w:noProof/>
                <w:webHidden/>
              </w:rPr>
              <w:fldChar w:fldCharType="separate"/>
            </w:r>
            <w:r w:rsidR="00DE2FE6">
              <w:rPr>
                <w:noProof/>
                <w:webHidden/>
              </w:rPr>
              <w:t>27</w:t>
            </w:r>
            <w:r w:rsidR="00DE2FE6">
              <w:rPr>
                <w:noProof/>
                <w:webHidden/>
              </w:rPr>
              <w:fldChar w:fldCharType="end"/>
            </w:r>
          </w:hyperlink>
        </w:p>
        <w:p w14:paraId="333EEDE5" w14:textId="0D9FEF8B" w:rsidR="00DE2FE6" w:rsidRDefault="00C911EA">
          <w:pPr>
            <w:pStyle w:val="TOC1"/>
            <w:tabs>
              <w:tab w:val="right" w:leader="dot" w:pos="9487"/>
            </w:tabs>
            <w:rPr>
              <w:rFonts w:eastAsiaTheme="minorEastAsia"/>
              <w:noProof/>
              <w:lang w:eastAsia="bg-BG"/>
            </w:rPr>
          </w:pPr>
          <w:hyperlink w:anchor="_Toc103586640" w:history="1">
            <w:r w:rsidR="00DE2FE6" w:rsidRPr="00B01AEA">
              <w:rPr>
                <w:rStyle w:val="Hyperlink"/>
                <w:rFonts w:ascii="Times New Roman" w:hAnsi="Times New Roman" w:cs="Times New Roman"/>
                <w:noProof/>
              </w:rPr>
              <w:t>ПРИОРИТЕТ 1 – ПРИОБЩАВАЩО ОБРАЗОВАНИЕ И ОБРАЗОВАТЕЛНА ИНТЕГРАЦИЯ</w:t>
            </w:r>
            <w:r w:rsidR="00DE2FE6">
              <w:rPr>
                <w:noProof/>
                <w:webHidden/>
              </w:rPr>
              <w:tab/>
            </w:r>
            <w:r w:rsidR="00DE2FE6">
              <w:rPr>
                <w:noProof/>
                <w:webHidden/>
              </w:rPr>
              <w:fldChar w:fldCharType="begin"/>
            </w:r>
            <w:r w:rsidR="00DE2FE6">
              <w:rPr>
                <w:noProof/>
                <w:webHidden/>
              </w:rPr>
              <w:instrText xml:space="preserve"> PAGEREF _Toc103586640 \h </w:instrText>
            </w:r>
            <w:r w:rsidR="00DE2FE6">
              <w:rPr>
                <w:noProof/>
                <w:webHidden/>
              </w:rPr>
            </w:r>
            <w:r w:rsidR="00DE2FE6">
              <w:rPr>
                <w:noProof/>
                <w:webHidden/>
              </w:rPr>
              <w:fldChar w:fldCharType="separate"/>
            </w:r>
            <w:r w:rsidR="00DE2FE6">
              <w:rPr>
                <w:noProof/>
                <w:webHidden/>
              </w:rPr>
              <w:t>27</w:t>
            </w:r>
            <w:r w:rsidR="00DE2FE6">
              <w:rPr>
                <w:noProof/>
                <w:webHidden/>
              </w:rPr>
              <w:fldChar w:fldCharType="end"/>
            </w:r>
          </w:hyperlink>
        </w:p>
        <w:p w14:paraId="103945AF" w14:textId="3BC1F7D4" w:rsidR="00DE2FE6" w:rsidRDefault="00C911EA">
          <w:pPr>
            <w:pStyle w:val="TOC1"/>
            <w:tabs>
              <w:tab w:val="right" w:leader="dot" w:pos="9487"/>
            </w:tabs>
            <w:rPr>
              <w:rFonts w:eastAsiaTheme="minorEastAsia"/>
              <w:noProof/>
              <w:lang w:eastAsia="bg-BG"/>
            </w:rPr>
          </w:pPr>
          <w:hyperlink w:anchor="_Toc103586641" w:history="1">
            <w:r w:rsidR="00DE2FE6" w:rsidRPr="00B01AEA">
              <w:rPr>
                <w:rStyle w:val="Hyperlink"/>
                <w:rFonts w:ascii="Times New Roman" w:hAnsi="Times New Roman" w:cs="Times New Roman"/>
                <w:b/>
                <w:bCs/>
                <w:noProof/>
              </w:rPr>
              <w:t>СЦ по Чл. 4, пар. 1, буква е)</w:t>
            </w:r>
            <w:r w:rsidR="00DE2FE6">
              <w:rPr>
                <w:noProof/>
                <w:webHidden/>
              </w:rPr>
              <w:tab/>
            </w:r>
            <w:r w:rsidR="00DE2FE6">
              <w:rPr>
                <w:noProof/>
                <w:webHidden/>
              </w:rPr>
              <w:fldChar w:fldCharType="begin"/>
            </w:r>
            <w:r w:rsidR="00DE2FE6">
              <w:rPr>
                <w:noProof/>
                <w:webHidden/>
              </w:rPr>
              <w:instrText xml:space="preserve"> PAGEREF _Toc103586641 \h </w:instrText>
            </w:r>
            <w:r w:rsidR="00DE2FE6">
              <w:rPr>
                <w:noProof/>
                <w:webHidden/>
              </w:rPr>
            </w:r>
            <w:r w:rsidR="00DE2FE6">
              <w:rPr>
                <w:noProof/>
                <w:webHidden/>
              </w:rPr>
              <w:fldChar w:fldCharType="separate"/>
            </w:r>
            <w:r w:rsidR="00DE2FE6">
              <w:rPr>
                <w:noProof/>
                <w:webHidden/>
              </w:rPr>
              <w:t>27</w:t>
            </w:r>
            <w:r w:rsidR="00DE2FE6">
              <w:rPr>
                <w:noProof/>
                <w:webHidden/>
              </w:rPr>
              <w:fldChar w:fldCharType="end"/>
            </w:r>
          </w:hyperlink>
        </w:p>
        <w:p w14:paraId="0032F5BD" w14:textId="1B6DA21A" w:rsidR="00DE2FE6" w:rsidRDefault="00C911EA">
          <w:pPr>
            <w:pStyle w:val="TOC3"/>
            <w:tabs>
              <w:tab w:val="right" w:leader="dot" w:pos="9487"/>
            </w:tabs>
            <w:rPr>
              <w:rFonts w:eastAsiaTheme="minorEastAsia"/>
              <w:noProof/>
              <w:lang w:eastAsia="bg-BG"/>
            </w:rPr>
          </w:pPr>
          <w:hyperlink w:anchor="_Toc103586642" w:history="1">
            <w:r w:rsidR="00DE2FE6" w:rsidRPr="00B01AEA">
              <w:rPr>
                <w:rStyle w:val="Hyperlink"/>
                <w:rFonts w:ascii="Times New Roman" w:hAnsi="Times New Roman" w:cs="Times New Roman"/>
                <w:noProof/>
              </w:rPr>
              <w:t>Показатели за крайни продукти</w:t>
            </w:r>
            <w:r w:rsidR="00DE2FE6">
              <w:rPr>
                <w:noProof/>
                <w:webHidden/>
              </w:rPr>
              <w:tab/>
            </w:r>
            <w:r w:rsidR="00DE2FE6">
              <w:rPr>
                <w:noProof/>
                <w:webHidden/>
              </w:rPr>
              <w:fldChar w:fldCharType="begin"/>
            </w:r>
            <w:r w:rsidR="00DE2FE6">
              <w:rPr>
                <w:noProof/>
                <w:webHidden/>
              </w:rPr>
              <w:instrText xml:space="preserve"> PAGEREF _Toc103586642 \h </w:instrText>
            </w:r>
            <w:r w:rsidR="00DE2FE6">
              <w:rPr>
                <w:noProof/>
                <w:webHidden/>
              </w:rPr>
            </w:r>
            <w:r w:rsidR="00DE2FE6">
              <w:rPr>
                <w:noProof/>
                <w:webHidden/>
              </w:rPr>
              <w:fldChar w:fldCharType="separate"/>
            </w:r>
            <w:r w:rsidR="00DE2FE6">
              <w:rPr>
                <w:noProof/>
                <w:webHidden/>
              </w:rPr>
              <w:t>27</w:t>
            </w:r>
            <w:r w:rsidR="00DE2FE6">
              <w:rPr>
                <w:noProof/>
                <w:webHidden/>
              </w:rPr>
              <w:fldChar w:fldCharType="end"/>
            </w:r>
          </w:hyperlink>
        </w:p>
        <w:p w14:paraId="3E09F8C0" w14:textId="5C690DE2" w:rsidR="00DE2FE6" w:rsidRDefault="00C911EA">
          <w:pPr>
            <w:pStyle w:val="TOC3"/>
            <w:tabs>
              <w:tab w:val="right" w:leader="dot" w:pos="9487"/>
            </w:tabs>
            <w:rPr>
              <w:rFonts w:eastAsiaTheme="minorEastAsia"/>
              <w:noProof/>
              <w:lang w:eastAsia="bg-BG"/>
            </w:rPr>
          </w:pPr>
          <w:hyperlink w:anchor="_Toc103586643" w:history="1">
            <w:r w:rsidR="00DE2FE6" w:rsidRPr="00B01AEA">
              <w:rPr>
                <w:rStyle w:val="Hyperlink"/>
                <w:b/>
                <w:bCs/>
                <w:i/>
                <w:iCs/>
                <w:noProof/>
              </w:rPr>
              <w:t>EECO06 брой на децата на възраст под 18 години</w:t>
            </w:r>
            <w:r w:rsidR="00DE2FE6">
              <w:rPr>
                <w:noProof/>
                <w:webHidden/>
              </w:rPr>
              <w:tab/>
            </w:r>
            <w:r w:rsidR="00DE2FE6">
              <w:rPr>
                <w:noProof/>
                <w:webHidden/>
              </w:rPr>
              <w:fldChar w:fldCharType="begin"/>
            </w:r>
            <w:r w:rsidR="00DE2FE6">
              <w:rPr>
                <w:noProof/>
                <w:webHidden/>
              </w:rPr>
              <w:instrText xml:space="preserve"> PAGEREF _Toc103586643 \h </w:instrText>
            </w:r>
            <w:r w:rsidR="00DE2FE6">
              <w:rPr>
                <w:noProof/>
                <w:webHidden/>
              </w:rPr>
            </w:r>
            <w:r w:rsidR="00DE2FE6">
              <w:rPr>
                <w:noProof/>
                <w:webHidden/>
              </w:rPr>
              <w:fldChar w:fldCharType="separate"/>
            </w:r>
            <w:r w:rsidR="00DE2FE6">
              <w:rPr>
                <w:noProof/>
                <w:webHidden/>
              </w:rPr>
              <w:t>27</w:t>
            </w:r>
            <w:r w:rsidR="00DE2FE6">
              <w:rPr>
                <w:noProof/>
                <w:webHidden/>
              </w:rPr>
              <w:fldChar w:fldCharType="end"/>
            </w:r>
          </w:hyperlink>
        </w:p>
        <w:p w14:paraId="1F98B439" w14:textId="08B58FE2" w:rsidR="00DE2FE6" w:rsidRDefault="00C911EA">
          <w:pPr>
            <w:pStyle w:val="TOC3"/>
            <w:tabs>
              <w:tab w:val="right" w:leader="dot" w:pos="9487"/>
            </w:tabs>
            <w:rPr>
              <w:rFonts w:eastAsiaTheme="minorEastAsia"/>
              <w:noProof/>
              <w:lang w:eastAsia="bg-BG"/>
            </w:rPr>
          </w:pPr>
          <w:hyperlink w:anchor="_Toc103586644" w:history="1">
            <w:r w:rsidR="00DE2FE6" w:rsidRPr="00B01AEA">
              <w:rPr>
                <w:rStyle w:val="Hyperlink"/>
                <w:b/>
                <w:bCs/>
                <w:i/>
                <w:iCs/>
                <w:noProof/>
              </w:rPr>
              <w:t>EECO15 малцинства (включително маргинализирани общности като ромите)</w:t>
            </w:r>
            <w:r w:rsidR="00DE2FE6">
              <w:rPr>
                <w:noProof/>
                <w:webHidden/>
              </w:rPr>
              <w:tab/>
            </w:r>
            <w:r w:rsidR="00DE2FE6">
              <w:rPr>
                <w:noProof/>
                <w:webHidden/>
              </w:rPr>
              <w:fldChar w:fldCharType="begin"/>
            </w:r>
            <w:r w:rsidR="00DE2FE6">
              <w:rPr>
                <w:noProof/>
                <w:webHidden/>
              </w:rPr>
              <w:instrText xml:space="preserve"> PAGEREF _Toc103586644 \h </w:instrText>
            </w:r>
            <w:r w:rsidR="00DE2FE6">
              <w:rPr>
                <w:noProof/>
                <w:webHidden/>
              </w:rPr>
            </w:r>
            <w:r w:rsidR="00DE2FE6">
              <w:rPr>
                <w:noProof/>
                <w:webHidden/>
              </w:rPr>
              <w:fldChar w:fldCharType="separate"/>
            </w:r>
            <w:r w:rsidR="00DE2FE6">
              <w:rPr>
                <w:noProof/>
                <w:webHidden/>
              </w:rPr>
              <w:t>31</w:t>
            </w:r>
            <w:r w:rsidR="00DE2FE6">
              <w:rPr>
                <w:noProof/>
                <w:webHidden/>
              </w:rPr>
              <w:fldChar w:fldCharType="end"/>
            </w:r>
          </w:hyperlink>
        </w:p>
        <w:p w14:paraId="4046A1BC" w14:textId="30AB7CC4" w:rsidR="00DE2FE6" w:rsidRDefault="00C911EA">
          <w:pPr>
            <w:pStyle w:val="TOC3"/>
            <w:tabs>
              <w:tab w:val="right" w:leader="dot" w:pos="9487"/>
            </w:tabs>
            <w:rPr>
              <w:rFonts w:eastAsiaTheme="minorEastAsia"/>
              <w:noProof/>
              <w:lang w:eastAsia="bg-BG"/>
            </w:rPr>
          </w:pPr>
          <w:hyperlink w:anchor="_Toc103586645" w:history="1">
            <w:r w:rsidR="00DE2FE6" w:rsidRPr="00B01AEA">
              <w:rPr>
                <w:rStyle w:val="Hyperlink"/>
                <w:b/>
                <w:bCs/>
                <w:i/>
                <w:iCs/>
                <w:noProof/>
              </w:rPr>
              <w:t>SOI1.1. Брой деца и ученици обхванати от механизма за съвместна работа на институциите</w:t>
            </w:r>
            <w:r w:rsidR="00DE2FE6">
              <w:rPr>
                <w:noProof/>
                <w:webHidden/>
              </w:rPr>
              <w:tab/>
            </w:r>
            <w:r w:rsidR="00DE2FE6">
              <w:rPr>
                <w:noProof/>
                <w:webHidden/>
              </w:rPr>
              <w:fldChar w:fldCharType="begin"/>
            </w:r>
            <w:r w:rsidR="00DE2FE6">
              <w:rPr>
                <w:noProof/>
                <w:webHidden/>
              </w:rPr>
              <w:instrText xml:space="preserve"> PAGEREF _Toc103586645 \h </w:instrText>
            </w:r>
            <w:r w:rsidR="00DE2FE6">
              <w:rPr>
                <w:noProof/>
                <w:webHidden/>
              </w:rPr>
            </w:r>
            <w:r w:rsidR="00DE2FE6">
              <w:rPr>
                <w:noProof/>
                <w:webHidden/>
              </w:rPr>
              <w:fldChar w:fldCharType="separate"/>
            </w:r>
            <w:r w:rsidR="00DE2FE6">
              <w:rPr>
                <w:noProof/>
                <w:webHidden/>
              </w:rPr>
              <w:t>35</w:t>
            </w:r>
            <w:r w:rsidR="00DE2FE6">
              <w:rPr>
                <w:noProof/>
                <w:webHidden/>
              </w:rPr>
              <w:fldChar w:fldCharType="end"/>
            </w:r>
          </w:hyperlink>
        </w:p>
        <w:p w14:paraId="70B77785" w14:textId="3D3E20AC" w:rsidR="00DE2FE6" w:rsidRDefault="00C911EA">
          <w:pPr>
            <w:pStyle w:val="TOC3"/>
            <w:tabs>
              <w:tab w:val="right" w:leader="dot" w:pos="9487"/>
            </w:tabs>
            <w:rPr>
              <w:rFonts w:eastAsiaTheme="minorEastAsia"/>
              <w:noProof/>
              <w:lang w:eastAsia="bg-BG"/>
            </w:rPr>
          </w:pPr>
          <w:hyperlink w:anchor="_Toc103586646" w:history="1">
            <w:r w:rsidR="00DE2FE6" w:rsidRPr="00B01AEA">
              <w:rPr>
                <w:rStyle w:val="Hyperlink"/>
                <w:b/>
                <w:bCs/>
                <w:i/>
                <w:iCs/>
                <w:noProof/>
              </w:rPr>
              <w:t>SOI1.2. Брой деца и ученици в предучилищното и училищното образование със специални образователни потребности (СОП), в риск, с хронични заболявания и с изявени дарби, получили допълнителна подкрепа за личностно развитие</w:t>
            </w:r>
            <w:r w:rsidR="00DE2FE6">
              <w:rPr>
                <w:noProof/>
                <w:webHidden/>
              </w:rPr>
              <w:tab/>
            </w:r>
            <w:r w:rsidR="00DE2FE6">
              <w:rPr>
                <w:noProof/>
                <w:webHidden/>
              </w:rPr>
              <w:fldChar w:fldCharType="begin"/>
            </w:r>
            <w:r w:rsidR="00DE2FE6">
              <w:rPr>
                <w:noProof/>
                <w:webHidden/>
              </w:rPr>
              <w:instrText xml:space="preserve"> PAGEREF _Toc103586646 \h </w:instrText>
            </w:r>
            <w:r w:rsidR="00DE2FE6">
              <w:rPr>
                <w:noProof/>
                <w:webHidden/>
              </w:rPr>
            </w:r>
            <w:r w:rsidR="00DE2FE6">
              <w:rPr>
                <w:noProof/>
                <w:webHidden/>
              </w:rPr>
              <w:fldChar w:fldCharType="separate"/>
            </w:r>
            <w:r w:rsidR="00DE2FE6">
              <w:rPr>
                <w:noProof/>
                <w:webHidden/>
              </w:rPr>
              <w:t>39</w:t>
            </w:r>
            <w:r w:rsidR="00DE2FE6">
              <w:rPr>
                <w:noProof/>
                <w:webHidden/>
              </w:rPr>
              <w:fldChar w:fldCharType="end"/>
            </w:r>
          </w:hyperlink>
        </w:p>
        <w:p w14:paraId="49711B6F" w14:textId="705FF12D" w:rsidR="00DE2FE6" w:rsidRDefault="00C911EA">
          <w:pPr>
            <w:pStyle w:val="TOC3"/>
            <w:tabs>
              <w:tab w:val="right" w:leader="dot" w:pos="9487"/>
            </w:tabs>
            <w:rPr>
              <w:rFonts w:eastAsiaTheme="minorEastAsia"/>
              <w:noProof/>
              <w:lang w:eastAsia="bg-BG"/>
            </w:rPr>
          </w:pPr>
          <w:hyperlink w:anchor="_Toc103586647" w:history="1">
            <w:r w:rsidR="00DE2FE6" w:rsidRPr="00B01AEA">
              <w:rPr>
                <w:rStyle w:val="Hyperlink"/>
                <w:b/>
                <w:bCs/>
                <w:i/>
                <w:iCs/>
                <w:noProof/>
              </w:rPr>
              <w:t>SOI 1.3. Брой родители, подкрепени в процеса на приобщаващото образование</w:t>
            </w:r>
            <w:r w:rsidR="00DE2FE6">
              <w:rPr>
                <w:noProof/>
                <w:webHidden/>
              </w:rPr>
              <w:tab/>
            </w:r>
            <w:r w:rsidR="00DE2FE6">
              <w:rPr>
                <w:noProof/>
                <w:webHidden/>
              </w:rPr>
              <w:fldChar w:fldCharType="begin"/>
            </w:r>
            <w:r w:rsidR="00DE2FE6">
              <w:rPr>
                <w:noProof/>
                <w:webHidden/>
              </w:rPr>
              <w:instrText xml:space="preserve"> PAGEREF _Toc103586647 \h </w:instrText>
            </w:r>
            <w:r w:rsidR="00DE2FE6">
              <w:rPr>
                <w:noProof/>
                <w:webHidden/>
              </w:rPr>
            </w:r>
            <w:r w:rsidR="00DE2FE6">
              <w:rPr>
                <w:noProof/>
                <w:webHidden/>
              </w:rPr>
              <w:fldChar w:fldCharType="separate"/>
            </w:r>
            <w:r w:rsidR="00DE2FE6">
              <w:rPr>
                <w:noProof/>
                <w:webHidden/>
              </w:rPr>
              <w:t>44</w:t>
            </w:r>
            <w:r w:rsidR="00DE2FE6">
              <w:rPr>
                <w:noProof/>
                <w:webHidden/>
              </w:rPr>
              <w:fldChar w:fldCharType="end"/>
            </w:r>
          </w:hyperlink>
        </w:p>
        <w:p w14:paraId="13363D61" w14:textId="158E1F88" w:rsidR="00DE2FE6" w:rsidRDefault="00C911EA">
          <w:pPr>
            <w:pStyle w:val="TOC3"/>
            <w:tabs>
              <w:tab w:val="right" w:leader="dot" w:pos="9487"/>
            </w:tabs>
            <w:rPr>
              <w:rFonts w:eastAsiaTheme="minorEastAsia"/>
              <w:noProof/>
              <w:lang w:eastAsia="bg-BG"/>
            </w:rPr>
          </w:pPr>
          <w:hyperlink w:anchor="_Toc103586648" w:history="1">
            <w:r w:rsidR="00DE2FE6" w:rsidRPr="00B01AEA">
              <w:rPr>
                <w:rStyle w:val="Hyperlink"/>
                <w:b/>
                <w:bCs/>
                <w:i/>
                <w:iCs/>
                <w:noProof/>
              </w:rPr>
              <w:t>SOI 1.4 Брой деца и ученици от предучилищното и училищното образование от уязвими групи, получили подкрепа</w:t>
            </w:r>
            <w:r w:rsidR="00DE2FE6">
              <w:rPr>
                <w:noProof/>
                <w:webHidden/>
              </w:rPr>
              <w:tab/>
            </w:r>
            <w:r w:rsidR="00DE2FE6">
              <w:rPr>
                <w:noProof/>
                <w:webHidden/>
              </w:rPr>
              <w:fldChar w:fldCharType="begin"/>
            </w:r>
            <w:r w:rsidR="00DE2FE6">
              <w:rPr>
                <w:noProof/>
                <w:webHidden/>
              </w:rPr>
              <w:instrText xml:space="preserve"> PAGEREF _Toc103586648 \h </w:instrText>
            </w:r>
            <w:r w:rsidR="00DE2FE6">
              <w:rPr>
                <w:noProof/>
                <w:webHidden/>
              </w:rPr>
            </w:r>
            <w:r w:rsidR="00DE2FE6">
              <w:rPr>
                <w:noProof/>
                <w:webHidden/>
              </w:rPr>
              <w:fldChar w:fldCharType="separate"/>
            </w:r>
            <w:r w:rsidR="00DE2FE6">
              <w:rPr>
                <w:noProof/>
                <w:webHidden/>
              </w:rPr>
              <w:t>47</w:t>
            </w:r>
            <w:r w:rsidR="00DE2FE6">
              <w:rPr>
                <w:noProof/>
                <w:webHidden/>
              </w:rPr>
              <w:fldChar w:fldCharType="end"/>
            </w:r>
          </w:hyperlink>
        </w:p>
        <w:p w14:paraId="22DD73BA" w14:textId="22856722" w:rsidR="00DE2FE6" w:rsidRDefault="00C911EA">
          <w:pPr>
            <w:pStyle w:val="TOC3"/>
            <w:tabs>
              <w:tab w:val="right" w:leader="dot" w:pos="9487"/>
            </w:tabs>
            <w:rPr>
              <w:rFonts w:eastAsiaTheme="minorEastAsia"/>
              <w:noProof/>
              <w:lang w:eastAsia="bg-BG"/>
            </w:rPr>
          </w:pPr>
          <w:hyperlink w:anchor="_Toc103586649" w:history="1">
            <w:r w:rsidR="00DE2FE6" w:rsidRPr="00B01AEA">
              <w:rPr>
                <w:rStyle w:val="Hyperlink"/>
                <w:b/>
                <w:bCs/>
                <w:i/>
                <w:iCs/>
                <w:noProof/>
              </w:rPr>
              <w:t>SOI 1.5. Педагогически специалисти и непедагогически персонал, обучени за работа с деца и ученици от уязвими групи</w:t>
            </w:r>
            <w:r w:rsidR="00DE2FE6">
              <w:rPr>
                <w:noProof/>
                <w:webHidden/>
              </w:rPr>
              <w:tab/>
            </w:r>
            <w:r w:rsidR="00DE2FE6">
              <w:rPr>
                <w:noProof/>
                <w:webHidden/>
              </w:rPr>
              <w:fldChar w:fldCharType="begin"/>
            </w:r>
            <w:r w:rsidR="00DE2FE6">
              <w:rPr>
                <w:noProof/>
                <w:webHidden/>
              </w:rPr>
              <w:instrText xml:space="preserve"> PAGEREF _Toc103586649 \h </w:instrText>
            </w:r>
            <w:r w:rsidR="00DE2FE6">
              <w:rPr>
                <w:noProof/>
                <w:webHidden/>
              </w:rPr>
            </w:r>
            <w:r w:rsidR="00DE2FE6">
              <w:rPr>
                <w:noProof/>
                <w:webHidden/>
              </w:rPr>
              <w:fldChar w:fldCharType="separate"/>
            </w:r>
            <w:r w:rsidR="00DE2FE6">
              <w:rPr>
                <w:noProof/>
                <w:webHidden/>
              </w:rPr>
              <w:t>53</w:t>
            </w:r>
            <w:r w:rsidR="00DE2FE6">
              <w:rPr>
                <w:noProof/>
                <w:webHidden/>
              </w:rPr>
              <w:fldChar w:fldCharType="end"/>
            </w:r>
          </w:hyperlink>
        </w:p>
        <w:p w14:paraId="24AD76F8" w14:textId="7C30D877" w:rsidR="00DE2FE6" w:rsidRDefault="00C911EA">
          <w:pPr>
            <w:pStyle w:val="TOC3"/>
            <w:tabs>
              <w:tab w:val="right" w:leader="dot" w:pos="9487"/>
            </w:tabs>
            <w:rPr>
              <w:rFonts w:eastAsiaTheme="minorEastAsia"/>
              <w:noProof/>
              <w:lang w:eastAsia="bg-BG"/>
            </w:rPr>
          </w:pPr>
          <w:hyperlink w:anchor="_Toc103586650" w:history="1">
            <w:r w:rsidR="00DE2FE6" w:rsidRPr="00B01AEA">
              <w:rPr>
                <w:rStyle w:val="Hyperlink"/>
                <w:rFonts w:ascii="Times New Roman" w:hAnsi="Times New Roman" w:cs="Times New Roman"/>
                <w:noProof/>
              </w:rPr>
              <w:t>Показатели за резултатите</w:t>
            </w:r>
            <w:r w:rsidR="00DE2FE6">
              <w:rPr>
                <w:noProof/>
                <w:webHidden/>
              </w:rPr>
              <w:tab/>
            </w:r>
            <w:r w:rsidR="00DE2FE6">
              <w:rPr>
                <w:noProof/>
                <w:webHidden/>
              </w:rPr>
              <w:fldChar w:fldCharType="begin"/>
            </w:r>
            <w:r w:rsidR="00DE2FE6">
              <w:rPr>
                <w:noProof/>
                <w:webHidden/>
              </w:rPr>
              <w:instrText xml:space="preserve"> PAGEREF _Toc103586650 \h </w:instrText>
            </w:r>
            <w:r w:rsidR="00DE2FE6">
              <w:rPr>
                <w:noProof/>
                <w:webHidden/>
              </w:rPr>
            </w:r>
            <w:r w:rsidR="00DE2FE6">
              <w:rPr>
                <w:noProof/>
                <w:webHidden/>
              </w:rPr>
              <w:fldChar w:fldCharType="separate"/>
            </w:r>
            <w:r w:rsidR="00DE2FE6">
              <w:rPr>
                <w:noProof/>
                <w:webHidden/>
              </w:rPr>
              <w:t>58</w:t>
            </w:r>
            <w:r w:rsidR="00DE2FE6">
              <w:rPr>
                <w:noProof/>
                <w:webHidden/>
              </w:rPr>
              <w:fldChar w:fldCharType="end"/>
            </w:r>
          </w:hyperlink>
        </w:p>
        <w:p w14:paraId="2DB9DE1D" w14:textId="76E45E54" w:rsidR="00DE2FE6" w:rsidRDefault="00C911EA">
          <w:pPr>
            <w:pStyle w:val="TOC3"/>
            <w:tabs>
              <w:tab w:val="right" w:leader="dot" w:pos="9487"/>
            </w:tabs>
            <w:rPr>
              <w:rFonts w:eastAsiaTheme="minorEastAsia"/>
              <w:noProof/>
              <w:lang w:eastAsia="bg-BG"/>
            </w:rPr>
          </w:pPr>
          <w:hyperlink w:anchor="_Toc103586651" w:history="1">
            <w:r w:rsidR="00DE2FE6" w:rsidRPr="00B01AEA">
              <w:rPr>
                <w:rStyle w:val="Hyperlink"/>
                <w:b/>
                <w:bCs/>
                <w:i/>
                <w:iCs/>
                <w:noProof/>
              </w:rPr>
              <w:t>EECR03 участници, които при напускане на операцията получават квалификация</w:t>
            </w:r>
            <w:r w:rsidR="00DE2FE6">
              <w:rPr>
                <w:noProof/>
                <w:webHidden/>
              </w:rPr>
              <w:tab/>
            </w:r>
            <w:r w:rsidR="00DE2FE6">
              <w:rPr>
                <w:noProof/>
                <w:webHidden/>
              </w:rPr>
              <w:fldChar w:fldCharType="begin"/>
            </w:r>
            <w:r w:rsidR="00DE2FE6">
              <w:rPr>
                <w:noProof/>
                <w:webHidden/>
              </w:rPr>
              <w:instrText xml:space="preserve"> PAGEREF _Toc103586651 \h </w:instrText>
            </w:r>
            <w:r w:rsidR="00DE2FE6">
              <w:rPr>
                <w:noProof/>
                <w:webHidden/>
              </w:rPr>
            </w:r>
            <w:r w:rsidR="00DE2FE6">
              <w:rPr>
                <w:noProof/>
                <w:webHidden/>
              </w:rPr>
              <w:fldChar w:fldCharType="separate"/>
            </w:r>
            <w:r w:rsidR="00DE2FE6">
              <w:rPr>
                <w:noProof/>
                <w:webHidden/>
              </w:rPr>
              <w:t>58</w:t>
            </w:r>
            <w:r w:rsidR="00DE2FE6">
              <w:rPr>
                <w:noProof/>
                <w:webHidden/>
              </w:rPr>
              <w:fldChar w:fldCharType="end"/>
            </w:r>
          </w:hyperlink>
        </w:p>
        <w:p w14:paraId="4E8AC617" w14:textId="0A989CDB" w:rsidR="00DE2FE6" w:rsidRDefault="00C911EA">
          <w:pPr>
            <w:pStyle w:val="TOC3"/>
            <w:tabs>
              <w:tab w:val="right" w:leader="dot" w:pos="9487"/>
            </w:tabs>
            <w:rPr>
              <w:rFonts w:eastAsiaTheme="minorEastAsia"/>
              <w:noProof/>
              <w:lang w:eastAsia="bg-BG"/>
            </w:rPr>
          </w:pPr>
          <w:hyperlink w:anchor="_Toc103586652" w:history="1">
            <w:r w:rsidR="00DE2FE6" w:rsidRPr="00B01AEA">
              <w:rPr>
                <w:rStyle w:val="Hyperlink"/>
                <w:b/>
                <w:bCs/>
                <w:i/>
                <w:iCs/>
                <w:noProof/>
              </w:rPr>
              <w:t>SRI 1.1. Брой деца и ученици записани в предучилищно и училищно образование чрез механизма за съвместна работа на институциите</w:t>
            </w:r>
            <w:r w:rsidR="00DE2FE6">
              <w:rPr>
                <w:noProof/>
                <w:webHidden/>
              </w:rPr>
              <w:tab/>
            </w:r>
            <w:r w:rsidR="00DE2FE6">
              <w:rPr>
                <w:noProof/>
                <w:webHidden/>
              </w:rPr>
              <w:fldChar w:fldCharType="begin"/>
            </w:r>
            <w:r w:rsidR="00DE2FE6">
              <w:rPr>
                <w:noProof/>
                <w:webHidden/>
              </w:rPr>
              <w:instrText xml:space="preserve"> PAGEREF _Toc103586652 \h </w:instrText>
            </w:r>
            <w:r w:rsidR="00DE2FE6">
              <w:rPr>
                <w:noProof/>
                <w:webHidden/>
              </w:rPr>
            </w:r>
            <w:r w:rsidR="00DE2FE6">
              <w:rPr>
                <w:noProof/>
                <w:webHidden/>
              </w:rPr>
              <w:fldChar w:fldCharType="separate"/>
            </w:r>
            <w:r w:rsidR="00DE2FE6">
              <w:rPr>
                <w:noProof/>
                <w:webHidden/>
              </w:rPr>
              <w:t>62</w:t>
            </w:r>
            <w:r w:rsidR="00DE2FE6">
              <w:rPr>
                <w:noProof/>
                <w:webHidden/>
              </w:rPr>
              <w:fldChar w:fldCharType="end"/>
            </w:r>
          </w:hyperlink>
        </w:p>
        <w:p w14:paraId="3CDE4C1A" w14:textId="154DD962" w:rsidR="00DE2FE6" w:rsidRDefault="00C911EA">
          <w:pPr>
            <w:pStyle w:val="TOC3"/>
            <w:tabs>
              <w:tab w:val="right" w:leader="dot" w:pos="9487"/>
            </w:tabs>
            <w:rPr>
              <w:rFonts w:eastAsiaTheme="minorEastAsia"/>
              <w:noProof/>
              <w:lang w:eastAsia="bg-BG"/>
            </w:rPr>
          </w:pPr>
          <w:hyperlink w:anchor="_Toc103586653" w:history="1">
            <w:r w:rsidR="00DE2FE6" w:rsidRPr="00B01AEA">
              <w:rPr>
                <w:rStyle w:val="Hyperlink"/>
                <w:b/>
                <w:bCs/>
                <w:i/>
                <w:iCs/>
                <w:noProof/>
              </w:rPr>
              <w:t>SRI 1.2. Брой деца и ученици от уязвими групи с подобрени образователни резултати след 1 година участие в операцията</w:t>
            </w:r>
            <w:r w:rsidR="00DE2FE6">
              <w:rPr>
                <w:noProof/>
                <w:webHidden/>
              </w:rPr>
              <w:tab/>
            </w:r>
            <w:r w:rsidR="00DE2FE6">
              <w:rPr>
                <w:noProof/>
                <w:webHidden/>
              </w:rPr>
              <w:fldChar w:fldCharType="begin"/>
            </w:r>
            <w:r w:rsidR="00DE2FE6">
              <w:rPr>
                <w:noProof/>
                <w:webHidden/>
              </w:rPr>
              <w:instrText xml:space="preserve"> PAGEREF _Toc103586653 \h </w:instrText>
            </w:r>
            <w:r w:rsidR="00DE2FE6">
              <w:rPr>
                <w:noProof/>
                <w:webHidden/>
              </w:rPr>
            </w:r>
            <w:r w:rsidR="00DE2FE6">
              <w:rPr>
                <w:noProof/>
                <w:webHidden/>
              </w:rPr>
              <w:fldChar w:fldCharType="separate"/>
            </w:r>
            <w:r w:rsidR="00DE2FE6">
              <w:rPr>
                <w:noProof/>
                <w:webHidden/>
              </w:rPr>
              <w:t>65</w:t>
            </w:r>
            <w:r w:rsidR="00DE2FE6">
              <w:rPr>
                <w:noProof/>
                <w:webHidden/>
              </w:rPr>
              <w:fldChar w:fldCharType="end"/>
            </w:r>
          </w:hyperlink>
        </w:p>
        <w:p w14:paraId="371A62EE" w14:textId="760FE372" w:rsidR="00DE2FE6" w:rsidRDefault="00C911EA">
          <w:pPr>
            <w:pStyle w:val="TOC1"/>
            <w:tabs>
              <w:tab w:val="right" w:leader="dot" w:pos="9487"/>
            </w:tabs>
            <w:rPr>
              <w:rFonts w:eastAsiaTheme="minorEastAsia"/>
              <w:noProof/>
              <w:lang w:eastAsia="bg-BG"/>
            </w:rPr>
          </w:pPr>
          <w:hyperlink w:anchor="_Toc103586654" w:history="1">
            <w:r w:rsidR="00DE2FE6" w:rsidRPr="00B01AEA">
              <w:rPr>
                <w:rStyle w:val="Hyperlink"/>
                <w:rFonts w:ascii="Times New Roman" w:hAnsi="Times New Roman" w:cs="Times New Roman"/>
                <w:b/>
                <w:bCs/>
                <w:noProof/>
              </w:rPr>
              <w:t>СЦ по чл. 4, пар. 1, буква ж)</w:t>
            </w:r>
            <w:r w:rsidR="00DE2FE6">
              <w:rPr>
                <w:noProof/>
                <w:webHidden/>
              </w:rPr>
              <w:tab/>
            </w:r>
            <w:r w:rsidR="00DE2FE6">
              <w:rPr>
                <w:noProof/>
                <w:webHidden/>
              </w:rPr>
              <w:fldChar w:fldCharType="begin"/>
            </w:r>
            <w:r w:rsidR="00DE2FE6">
              <w:rPr>
                <w:noProof/>
                <w:webHidden/>
              </w:rPr>
              <w:instrText xml:space="preserve"> PAGEREF _Toc103586654 \h </w:instrText>
            </w:r>
            <w:r w:rsidR="00DE2FE6">
              <w:rPr>
                <w:noProof/>
                <w:webHidden/>
              </w:rPr>
            </w:r>
            <w:r w:rsidR="00DE2FE6">
              <w:rPr>
                <w:noProof/>
                <w:webHidden/>
              </w:rPr>
              <w:fldChar w:fldCharType="separate"/>
            </w:r>
            <w:r w:rsidR="00DE2FE6">
              <w:rPr>
                <w:noProof/>
                <w:webHidden/>
              </w:rPr>
              <w:t>72</w:t>
            </w:r>
            <w:r w:rsidR="00DE2FE6">
              <w:rPr>
                <w:noProof/>
                <w:webHidden/>
              </w:rPr>
              <w:fldChar w:fldCharType="end"/>
            </w:r>
          </w:hyperlink>
        </w:p>
        <w:p w14:paraId="0A520401" w14:textId="24BEB7DC" w:rsidR="00DE2FE6" w:rsidRDefault="00C911EA">
          <w:pPr>
            <w:pStyle w:val="TOC3"/>
            <w:tabs>
              <w:tab w:val="right" w:leader="dot" w:pos="9487"/>
            </w:tabs>
            <w:rPr>
              <w:rFonts w:eastAsiaTheme="minorEastAsia"/>
              <w:noProof/>
              <w:lang w:eastAsia="bg-BG"/>
            </w:rPr>
          </w:pPr>
          <w:hyperlink w:anchor="_Toc103586655" w:history="1">
            <w:r w:rsidR="00DE2FE6" w:rsidRPr="00B01AEA">
              <w:rPr>
                <w:rStyle w:val="Hyperlink"/>
                <w:rFonts w:ascii="Times New Roman" w:hAnsi="Times New Roman" w:cs="Times New Roman"/>
                <w:noProof/>
              </w:rPr>
              <w:t>Показатели за крайни продукти</w:t>
            </w:r>
            <w:r w:rsidR="00DE2FE6">
              <w:rPr>
                <w:noProof/>
                <w:webHidden/>
              </w:rPr>
              <w:tab/>
            </w:r>
            <w:r w:rsidR="00DE2FE6">
              <w:rPr>
                <w:noProof/>
                <w:webHidden/>
              </w:rPr>
              <w:fldChar w:fldCharType="begin"/>
            </w:r>
            <w:r w:rsidR="00DE2FE6">
              <w:rPr>
                <w:noProof/>
                <w:webHidden/>
              </w:rPr>
              <w:instrText xml:space="preserve"> PAGEREF _Toc103586655 \h </w:instrText>
            </w:r>
            <w:r w:rsidR="00DE2FE6">
              <w:rPr>
                <w:noProof/>
                <w:webHidden/>
              </w:rPr>
            </w:r>
            <w:r w:rsidR="00DE2FE6">
              <w:rPr>
                <w:noProof/>
                <w:webHidden/>
              </w:rPr>
              <w:fldChar w:fldCharType="separate"/>
            </w:r>
            <w:r w:rsidR="00DE2FE6">
              <w:rPr>
                <w:noProof/>
                <w:webHidden/>
              </w:rPr>
              <w:t>72</w:t>
            </w:r>
            <w:r w:rsidR="00DE2FE6">
              <w:rPr>
                <w:noProof/>
                <w:webHidden/>
              </w:rPr>
              <w:fldChar w:fldCharType="end"/>
            </w:r>
          </w:hyperlink>
        </w:p>
        <w:p w14:paraId="07704F0B" w14:textId="4ECCAF91" w:rsidR="00DE2FE6" w:rsidRDefault="00C911EA">
          <w:pPr>
            <w:pStyle w:val="TOC3"/>
            <w:tabs>
              <w:tab w:val="right" w:leader="dot" w:pos="9487"/>
            </w:tabs>
            <w:rPr>
              <w:rFonts w:eastAsiaTheme="minorEastAsia"/>
              <w:noProof/>
              <w:lang w:eastAsia="bg-BG"/>
            </w:rPr>
          </w:pPr>
          <w:hyperlink w:anchor="_Toc103586656" w:history="1">
            <w:r w:rsidR="00DE2FE6" w:rsidRPr="00B01AEA">
              <w:rPr>
                <w:rStyle w:val="Hyperlink"/>
                <w:b/>
                <w:bCs/>
                <w:i/>
                <w:iCs/>
                <w:noProof/>
              </w:rPr>
              <w:t>EECO02 безработни, включително трайно безработни</w:t>
            </w:r>
            <w:r w:rsidR="00DE2FE6">
              <w:rPr>
                <w:noProof/>
                <w:webHidden/>
              </w:rPr>
              <w:tab/>
            </w:r>
            <w:r w:rsidR="00DE2FE6">
              <w:rPr>
                <w:noProof/>
                <w:webHidden/>
              </w:rPr>
              <w:fldChar w:fldCharType="begin"/>
            </w:r>
            <w:r w:rsidR="00DE2FE6">
              <w:rPr>
                <w:noProof/>
                <w:webHidden/>
              </w:rPr>
              <w:instrText xml:space="preserve"> PAGEREF _Toc103586656 \h </w:instrText>
            </w:r>
            <w:r w:rsidR="00DE2FE6">
              <w:rPr>
                <w:noProof/>
                <w:webHidden/>
              </w:rPr>
            </w:r>
            <w:r w:rsidR="00DE2FE6">
              <w:rPr>
                <w:noProof/>
                <w:webHidden/>
              </w:rPr>
              <w:fldChar w:fldCharType="separate"/>
            </w:r>
            <w:r w:rsidR="00DE2FE6">
              <w:rPr>
                <w:noProof/>
                <w:webHidden/>
              </w:rPr>
              <w:t>72</w:t>
            </w:r>
            <w:r w:rsidR="00DE2FE6">
              <w:rPr>
                <w:noProof/>
                <w:webHidden/>
              </w:rPr>
              <w:fldChar w:fldCharType="end"/>
            </w:r>
          </w:hyperlink>
        </w:p>
        <w:p w14:paraId="7A9500B4" w14:textId="5AECA9F7" w:rsidR="00DE2FE6" w:rsidRDefault="00C911EA">
          <w:pPr>
            <w:pStyle w:val="TOC3"/>
            <w:tabs>
              <w:tab w:val="right" w:leader="dot" w:pos="9487"/>
            </w:tabs>
            <w:rPr>
              <w:rFonts w:eastAsiaTheme="minorEastAsia"/>
              <w:noProof/>
              <w:lang w:eastAsia="bg-BG"/>
            </w:rPr>
          </w:pPr>
          <w:hyperlink w:anchor="_Toc103586657" w:history="1">
            <w:r w:rsidR="00DE2FE6" w:rsidRPr="00B01AEA">
              <w:rPr>
                <w:rStyle w:val="Hyperlink"/>
                <w:b/>
                <w:bCs/>
                <w:i/>
                <w:iCs/>
                <w:noProof/>
              </w:rPr>
              <w:t>EECO04 неактивни</w:t>
            </w:r>
            <w:r w:rsidR="00DE2FE6">
              <w:rPr>
                <w:noProof/>
                <w:webHidden/>
              </w:rPr>
              <w:tab/>
            </w:r>
            <w:r w:rsidR="00DE2FE6">
              <w:rPr>
                <w:noProof/>
                <w:webHidden/>
              </w:rPr>
              <w:fldChar w:fldCharType="begin"/>
            </w:r>
            <w:r w:rsidR="00DE2FE6">
              <w:rPr>
                <w:noProof/>
                <w:webHidden/>
              </w:rPr>
              <w:instrText xml:space="preserve"> PAGEREF _Toc103586657 \h </w:instrText>
            </w:r>
            <w:r w:rsidR="00DE2FE6">
              <w:rPr>
                <w:noProof/>
                <w:webHidden/>
              </w:rPr>
            </w:r>
            <w:r w:rsidR="00DE2FE6">
              <w:rPr>
                <w:noProof/>
                <w:webHidden/>
              </w:rPr>
              <w:fldChar w:fldCharType="separate"/>
            </w:r>
            <w:r w:rsidR="00DE2FE6">
              <w:rPr>
                <w:noProof/>
                <w:webHidden/>
              </w:rPr>
              <w:t>76</w:t>
            </w:r>
            <w:r w:rsidR="00DE2FE6">
              <w:rPr>
                <w:noProof/>
                <w:webHidden/>
              </w:rPr>
              <w:fldChar w:fldCharType="end"/>
            </w:r>
          </w:hyperlink>
        </w:p>
        <w:p w14:paraId="414903EF" w14:textId="726AD110" w:rsidR="00DE2FE6" w:rsidRDefault="00C911EA">
          <w:pPr>
            <w:pStyle w:val="TOC3"/>
            <w:tabs>
              <w:tab w:val="right" w:leader="dot" w:pos="9487"/>
            </w:tabs>
            <w:rPr>
              <w:rFonts w:eastAsiaTheme="minorEastAsia"/>
              <w:noProof/>
              <w:lang w:eastAsia="bg-BG"/>
            </w:rPr>
          </w:pPr>
          <w:hyperlink w:anchor="_Toc103586658" w:history="1">
            <w:r w:rsidR="00DE2FE6" w:rsidRPr="00B01AEA">
              <w:rPr>
                <w:rStyle w:val="Hyperlink"/>
                <w:b/>
                <w:bCs/>
                <w:i/>
                <w:iCs/>
                <w:noProof/>
              </w:rPr>
              <w:t>EECO05 Заети, вкл. самостоятелно заети</w:t>
            </w:r>
            <w:r w:rsidR="00DE2FE6">
              <w:rPr>
                <w:noProof/>
                <w:webHidden/>
              </w:rPr>
              <w:tab/>
            </w:r>
            <w:r w:rsidR="00DE2FE6">
              <w:rPr>
                <w:noProof/>
                <w:webHidden/>
              </w:rPr>
              <w:fldChar w:fldCharType="begin"/>
            </w:r>
            <w:r w:rsidR="00DE2FE6">
              <w:rPr>
                <w:noProof/>
                <w:webHidden/>
              </w:rPr>
              <w:instrText xml:space="preserve"> PAGEREF _Toc103586658 \h </w:instrText>
            </w:r>
            <w:r w:rsidR="00DE2FE6">
              <w:rPr>
                <w:noProof/>
                <w:webHidden/>
              </w:rPr>
            </w:r>
            <w:r w:rsidR="00DE2FE6">
              <w:rPr>
                <w:noProof/>
                <w:webHidden/>
              </w:rPr>
              <w:fldChar w:fldCharType="separate"/>
            </w:r>
            <w:r w:rsidR="00DE2FE6">
              <w:rPr>
                <w:noProof/>
                <w:webHidden/>
              </w:rPr>
              <w:t>79</w:t>
            </w:r>
            <w:r w:rsidR="00DE2FE6">
              <w:rPr>
                <w:noProof/>
                <w:webHidden/>
              </w:rPr>
              <w:fldChar w:fldCharType="end"/>
            </w:r>
          </w:hyperlink>
        </w:p>
        <w:p w14:paraId="2928BC1F" w14:textId="6D030ED4" w:rsidR="00DE2FE6" w:rsidRDefault="00C911EA">
          <w:pPr>
            <w:pStyle w:val="TOC3"/>
            <w:tabs>
              <w:tab w:val="right" w:leader="dot" w:pos="9487"/>
            </w:tabs>
            <w:rPr>
              <w:rFonts w:eastAsiaTheme="minorEastAsia"/>
              <w:noProof/>
              <w:lang w:eastAsia="bg-BG"/>
            </w:rPr>
          </w:pPr>
          <w:hyperlink w:anchor="_Toc103586659" w:history="1">
            <w:r w:rsidR="00DE2FE6" w:rsidRPr="00B01AEA">
              <w:rPr>
                <w:rStyle w:val="Hyperlink"/>
                <w:b/>
                <w:bCs/>
                <w:i/>
                <w:iCs/>
                <w:noProof/>
              </w:rPr>
              <w:t>EEOC09 участници с прогимназиален етап на основното образование или по-ниска степен на образование</w:t>
            </w:r>
            <w:r w:rsidR="00DE2FE6">
              <w:rPr>
                <w:noProof/>
                <w:webHidden/>
              </w:rPr>
              <w:tab/>
            </w:r>
            <w:r w:rsidR="00DE2FE6">
              <w:rPr>
                <w:noProof/>
                <w:webHidden/>
              </w:rPr>
              <w:fldChar w:fldCharType="begin"/>
            </w:r>
            <w:r w:rsidR="00DE2FE6">
              <w:rPr>
                <w:noProof/>
                <w:webHidden/>
              </w:rPr>
              <w:instrText xml:space="preserve"> PAGEREF _Toc103586659 \h </w:instrText>
            </w:r>
            <w:r w:rsidR="00DE2FE6">
              <w:rPr>
                <w:noProof/>
                <w:webHidden/>
              </w:rPr>
            </w:r>
            <w:r w:rsidR="00DE2FE6">
              <w:rPr>
                <w:noProof/>
                <w:webHidden/>
              </w:rPr>
              <w:fldChar w:fldCharType="separate"/>
            </w:r>
            <w:r w:rsidR="00DE2FE6">
              <w:rPr>
                <w:noProof/>
                <w:webHidden/>
              </w:rPr>
              <w:t>82</w:t>
            </w:r>
            <w:r w:rsidR="00DE2FE6">
              <w:rPr>
                <w:noProof/>
                <w:webHidden/>
              </w:rPr>
              <w:fldChar w:fldCharType="end"/>
            </w:r>
          </w:hyperlink>
        </w:p>
        <w:p w14:paraId="1AC5B201" w14:textId="739CA47D" w:rsidR="00DE2FE6" w:rsidRDefault="00C911EA">
          <w:pPr>
            <w:pStyle w:val="TOC3"/>
            <w:tabs>
              <w:tab w:val="right" w:leader="dot" w:pos="9487"/>
            </w:tabs>
            <w:rPr>
              <w:rFonts w:eastAsiaTheme="minorEastAsia"/>
              <w:noProof/>
              <w:lang w:eastAsia="bg-BG"/>
            </w:rPr>
          </w:pPr>
          <w:hyperlink w:anchor="_Toc103586660" w:history="1">
            <w:r w:rsidR="00DE2FE6" w:rsidRPr="00B01AEA">
              <w:rPr>
                <w:rStyle w:val="Hyperlink"/>
                <w:rFonts w:ascii="Times New Roman" w:hAnsi="Times New Roman" w:cs="Times New Roman"/>
                <w:noProof/>
              </w:rPr>
              <w:t>Показатели за резултатите</w:t>
            </w:r>
            <w:r w:rsidR="00DE2FE6">
              <w:rPr>
                <w:noProof/>
                <w:webHidden/>
              </w:rPr>
              <w:tab/>
            </w:r>
            <w:r w:rsidR="00DE2FE6">
              <w:rPr>
                <w:noProof/>
                <w:webHidden/>
              </w:rPr>
              <w:fldChar w:fldCharType="begin"/>
            </w:r>
            <w:r w:rsidR="00DE2FE6">
              <w:rPr>
                <w:noProof/>
                <w:webHidden/>
              </w:rPr>
              <w:instrText xml:space="preserve"> PAGEREF _Toc103586660 \h </w:instrText>
            </w:r>
            <w:r w:rsidR="00DE2FE6">
              <w:rPr>
                <w:noProof/>
                <w:webHidden/>
              </w:rPr>
            </w:r>
            <w:r w:rsidR="00DE2FE6">
              <w:rPr>
                <w:noProof/>
                <w:webHidden/>
              </w:rPr>
              <w:fldChar w:fldCharType="separate"/>
            </w:r>
            <w:r w:rsidR="00DE2FE6">
              <w:rPr>
                <w:noProof/>
                <w:webHidden/>
              </w:rPr>
              <w:t>91</w:t>
            </w:r>
            <w:r w:rsidR="00DE2FE6">
              <w:rPr>
                <w:noProof/>
                <w:webHidden/>
              </w:rPr>
              <w:fldChar w:fldCharType="end"/>
            </w:r>
          </w:hyperlink>
        </w:p>
        <w:p w14:paraId="2D4A8171" w14:textId="37D46082" w:rsidR="00DE2FE6" w:rsidRDefault="00C911EA">
          <w:pPr>
            <w:pStyle w:val="TOC3"/>
            <w:tabs>
              <w:tab w:val="right" w:leader="dot" w:pos="9487"/>
            </w:tabs>
            <w:rPr>
              <w:rFonts w:eastAsiaTheme="minorEastAsia"/>
              <w:noProof/>
              <w:lang w:eastAsia="bg-BG"/>
            </w:rPr>
          </w:pPr>
          <w:hyperlink w:anchor="_Toc103586661" w:history="1">
            <w:r w:rsidR="00DE2FE6" w:rsidRPr="00B01AEA">
              <w:rPr>
                <w:rStyle w:val="Hyperlink"/>
                <w:b/>
                <w:bCs/>
                <w:i/>
                <w:iCs/>
                <w:noProof/>
              </w:rPr>
              <w:t>EECR01 участници, които при напускане на операцията са започнали да търсят работа</w:t>
            </w:r>
            <w:r w:rsidR="00DE2FE6">
              <w:rPr>
                <w:noProof/>
                <w:webHidden/>
              </w:rPr>
              <w:tab/>
            </w:r>
            <w:r w:rsidR="00DE2FE6">
              <w:rPr>
                <w:noProof/>
                <w:webHidden/>
              </w:rPr>
              <w:fldChar w:fldCharType="begin"/>
            </w:r>
            <w:r w:rsidR="00DE2FE6">
              <w:rPr>
                <w:noProof/>
                <w:webHidden/>
              </w:rPr>
              <w:instrText xml:space="preserve"> PAGEREF _Toc103586661 \h </w:instrText>
            </w:r>
            <w:r w:rsidR="00DE2FE6">
              <w:rPr>
                <w:noProof/>
                <w:webHidden/>
              </w:rPr>
            </w:r>
            <w:r w:rsidR="00DE2FE6">
              <w:rPr>
                <w:noProof/>
                <w:webHidden/>
              </w:rPr>
              <w:fldChar w:fldCharType="separate"/>
            </w:r>
            <w:r w:rsidR="00DE2FE6">
              <w:rPr>
                <w:noProof/>
                <w:webHidden/>
              </w:rPr>
              <w:t>91</w:t>
            </w:r>
            <w:r w:rsidR="00DE2FE6">
              <w:rPr>
                <w:noProof/>
                <w:webHidden/>
              </w:rPr>
              <w:fldChar w:fldCharType="end"/>
            </w:r>
          </w:hyperlink>
        </w:p>
        <w:p w14:paraId="1E54A4EB" w14:textId="474C33C6" w:rsidR="00DE2FE6" w:rsidRDefault="00C911EA">
          <w:pPr>
            <w:pStyle w:val="TOC3"/>
            <w:tabs>
              <w:tab w:val="right" w:leader="dot" w:pos="9487"/>
            </w:tabs>
            <w:rPr>
              <w:rFonts w:eastAsiaTheme="minorEastAsia"/>
              <w:noProof/>
              <w:lang w:eastAsia="bg-BG"/>
            </w:rPr>
          </w:pPr>
          <w:hyperlink w:anchor="_Toc103586662" w:history="1">
            <w:r w:rsidR="00DE2FE6" w:rsidRPr="00B01AEA">
              <w:rPr>
                <w:rStyle w:val="Hyperlink"/>
                <w:b/>
                <w:bCs/>
                <w:i/>
                <w:iCs/>
                <w:noProof/>
              </w:rPr>
              <w:t>EECR03 участници, които при напускане на операцията получават квалификация</w:t>
            </w:r>
            <w:r w:rsidR="00DE2FE6">
              <w:rPr>
                <w:noProof/>
                <w:webHidden/>
              </w:rPr>
              <w:tab/>
            </w:r>
            <w:r w:rsidR="00DE2FE6">
              <w:rPr>
                <w:noProof/>
                <w:webHidden/>
              </w:rPr>
              <w:fldChar w:fldCharType="begin"/>
            </w:r>
            <w:r w:rsidR="00DE2FE6">
              <w:rPr>
                <w:noProof/>
                <w:webHidden/>
              </w:rPr>
              <w:instrText xml:space="preserve"> PAGEREF _Toc103586662 \h </w:instrText>
            </w:r>
            <w:r w:rsidR="00DE2FE6">
              <w:rPr>
                <w:noProof/>
                <w:webHidden/>
              </w:rPr>
            </w:r>
            <w:r w:rsidR="00DE2FE6">
              <w:rPr>
                <w:noProof/>
                <w:webHidden/>
              </w:rPr>
              <w:fldChar w:fldCharType="separate"/>
            </w:r>
            <w:r w:rsidR="00DE2FE6">
              <w:rPr>
                <w:noProof/>
                <w:webHidden/>
              </w:rPr>
              <w:t>95</w:t>
            </w:r>
            <w:r w:rsidR="00DE2FE6">
              <w:rPr>
                <w:noProof/>
                <w:webHidden/>
              </w:rPr>
              <w:fldChar w:fldCharType="end"/>
            </w:r>
          </w:hyperlink>
        </w:p>
        <w:p w14:paraId="30478F2F" w14:textId="5957BA78" w:rsidR="00DE2FE6" w:rsidRDefault="00C911EA">
          <w:pPr>
            <w:pStyle w:val="TOC1"/>
            <w:tabs>
              <w:tab w:val="right" w:leader="dot" w:pos="9487"/>
            </w:tabs>
            <w:rPr>
              <w:rFonts w:eastAsiaTheme="minorEastAsia"/>
              <w:noProof/>
              <w:lang w:eastAsia="bg-BG"/>
            </w:rPr>
          </w:pPr>
          <w:hyperlink w:anchor="_Toc103586663" w:history="1">
            <w:r w:rsidR="00DE2FE6" w:rsidRPr="00B01AEA">
              <w:rPr>
                <w:rStyle w:val="Hyperlink"/>
                <w:rFonts w:ascii="Times New Roman" w:hAnsi="Times New Roman" w:cs="Times New Roman"/>
                <w:b/>
                <w:bCs/>
                <w:noProof/>
              </w:rPr>
              <w:t>СЦ по чл. 4, пар. 1, буква й)</w:t>
            </w:r>
            <w:r w:rsidR="00DE2FE6">
              <w:rPr>
                <w:noProof/>
                <w:webHidden/>
              </w:rPr>
              <w:tab/>
            </w:r>
            <w:r w:rsidR="00DE2FE6">
              <w:rPr>
                <w:noProof/>
                <w:webHidden/>
              </w:rPr>
              <w:fldChar w:fldCharType="begin"/>
            </w:r>
            <w:r w:rsidR="00DE2FE6">
              <w:rPr>
                <w:noProof/>
                <w:webHidden/>
              </w:rPr>
              <w:instrText xml:space="preserve"> PAGEREF _Toc103586663 \h </w:instrText>
            </w:r>
            <w:r w:rsidR="00DE2FE6">
              <w:rPr>
                <w:noProof/>
                <w:webHidden/>
              </w:rPr>
            </w:r>
            <w:r w:rsidR="00DE2FE6">
              <w:rPr>
                <w:noProof/>
                <w:webHidden/>
              </w:rPr>
              <w:fldChar w:fldCharType="separate"/>
            </w:r>
            <w:r w:rsidR="00DE2FE6">
              <w:rPr>
                <w:noProof/>
                <w:webHidden/>
              </w:rPr>
              <w:t>99</w:t>
            </w:r>
            <w:r w:rsidR="00DE2FE6">
              <w:rPr>
                <w:noProof/>
                <w:webHidden/>
              </w:rPr>
              <w:fldChar w:fldCharType="end"/>
            </w:r>
          </w:hyperlink>
        </w:p>
        <w:p w14:paraId="444CC050" w14:textId="676B3479" w:rsidR="00DE2FE6" w:rsidRDefault="00C911EA">
          <w:pPr>
            <w:pStyle w:val="TOC3"/>
            <w:tabs>
              <w:tab w:val="right" w:leader="dot" w:pos="9487"/>
            </w:tabs>
            <w:rPr>
              <w:rFonts w:eastAsiaTheme="minorEastAsia"/>
              <w:noProof/>
              <w:lang w:eastAsia="bg-BG"/>
            </w:rPr>
          </w:pPr>
          <w:hyperlink w:anchor="_Toc103586664" w:history="1">
            <w:r w:rsidR="00DE2FE6" w:rsidRPr="00B01AEA">
              <w:rPr>
                <w:rStyle w:val="Hyperlink"/>
                <w:rFonts w:ascii="Times New Roman" w:hAnsi="Times New Roman" w:cs="Times New Roman"/>
                <w:noProof/>
              </w:rPr>
              <w:t>Показатели за крайни продукти</w:t>
            </w:r>
            <w:r w:rsidR="00DE2FE6">
              <w:rPr>
                <w:noProof/>
                <w:webHidden/>
              </w:rPr>
              <w:tab/>
            </w:r>
            <w:r w:rsidR="00DE2FE6">
              <w:rPr>
                <w:noProof/>
                <w:webHidden/>
              </w:rPr>
              <w:fldChar w:fldCharType="begin"/>
            </w:r>
            <w:r w:rsidR="00DE2FE6">
              <w:rPr>
                <w:noProof/>
                <w:webHidden/>
              </w:rPr>
              <w:instrText xml:space="preserve"> PAGEREF _Toc103586664 \h </w:instrText>
            </w:r>
            <w:r w:rsidR="00DE2FE6">
              <w:rPr>
                <w:noProof/>
                <w:webHidden/>
              </w:rPr>
            </w:r>
            <w:r w:rsidR="00DE2FE6">
              <w:rPr>
                <w:noProof/>
                <w:webHidden/>
              </w:rPr>
              <w:fldChar w:fldCharType="separate"/>
            </w:r>
            <w:r w:rsidR="00DE2FE6">
              <w:rPr>
                <w:noProof/>
                <w:webHidden/>
              </w:rPr>
              <w:t>99</w:t>
            </w:r>
            <w:r w:rsidR="00DE2FE6">
              <w:rPr>
                <w:noProof/>
                <w:webHidden/>
              </w:rPr>
              <w:fldChar w:fldCharType="end"/>
            </w:r>
          </w:hyperlink>
        </w:p>
        <w:p w14:paraId="4F7A866B" w14:textId="656B6E3C" w:rsidR="00DE2FE6" w:rsidRDefault="00C911EA">
          <w:pPr>
            <w:pStyle w:val="TOC3"/>
            <w:tabs>
              <w:tab w:val="right" w:leader="dot" w:pos="9487"/>
            </w:tabs>
            <w:rPr>
              <w:rFonts w:eastAsiaTheme="minorEastAsia"/>
              <w:noProof/>
              <w:lang w:eastAsia="bg-BG"/>
            </w:rPr>
          </w:pPr>
          <w:hyperlink w:anchor="_Toc103586665" w:history="1">
            <w:r w:rsidR="00DE2FE6" w:rsidRPr="00B01AEA">
              <w:rPr>
                <w:rStyle w:val="Hyperlink"/>
                <w:b/>
                <w:bCs/>
                <w:i/>
                <w:iCs/>
                <w:noProof/>
              </w:rPr>
              <w:t>EECO15 малцинства (включително маргинализирани общности като ромите)</w:t>
            </w:r>
            <w:r w:rsidR="00DE2FE6">
              <w:rPr>
                <w:noProof/>
                <w:webHidden/>
              </w:rPr>
              <w:tab/>
            </w:r>
            <w:r w:rsidR="00DE2FE6">
              <w:rPr>
                <w:noProof/>
                <w:webHidden/>
              </w:rPr>
              <w:fldChar w:fldCharType="begin"/>
            </w:r>
            <w:r w:rsidR="00DE2FE6">
              <w:rPr>
                <w:noProof/>
                <w:webHidden/>
              </w:rPr>
              <w:instrText xml:space="preserve"> PAGEREF _Toc103586665 \h </w:instrText>
            </w:r>
            <w:r w:rsidR="00DE2FE6">
              <w:rPr>
                <w:noProof/>
                <w:webHidden/>
              </w:rPr>
            </w:r>
            <w:r w:rsidR="00DE2FE6">
              <w:rPr>
                <w:noProof/>
                <w:webHidden/>
              </w:rPr>
              <w:fldChar w:fldCharType="separate"/>
            </w:r>
            <w:r w:rsidR="00DE2FE6">
              <w:rPr>
                <w:noProof/>
                <w:webHidden/>
              </w:rPr>
              <w:t>99</w:t>
            </w:r>
            <w:r w:rsidR="00DE2FE6">
              <w:rPr>
                <w:noProof/>
                <w:webHidden/>
              </w:rPr>
              <w:fldChar w:fldCharType="end"/>
            </w:r>
          </w:hyperlink>
        </w:p>
        <w:p w14:paraId="2A838A0B" w14:textId="7E16EB27" w:rsidR="00DE2FE6" w:rsidRDefault="00C911EA">
          <w:pPr>
            <w:pStyle w:val="TOC3"/>
            <w:tabs>
              <w:tab w:val="right" w:leader="dot" w:pos="9487"/>
            </w:tabs>
            <w:rPr>
              <w:rFonts w:eastAsiaTheme="minorEastAsia"/>
              <w:noProof/>
              <w:lang w:eastAsia="bg-BG"/>
            </w:rPr>
          </w:pPr>
          <w:hyperlink w:anchor="_Toc103586666" w:history="1">
            <w:r w:rsidR="00DE2FE6" w:rsidRPr="00B01AEA">
              <w:rPr>
                <w:rStyle w:val="Hyperlink"/>
                <w:b/>
                <w:bCs/>
                <w:i/>
                <w:iCs/>
                <w:noProof/>
              </w:rPr>
              <w:t>SOI 1.4. Брой деца и ученици от предучилищното и училищното образование от уязвими групи, получили подкрепа</w:t>
            </w:r>
            <w:r w:rsidR="00DE2FE6">
              <w:rPr>
                <w:noProof/>
                <w:webHidden/>
              </w:rPr>
              <w:tab/>
            </w:r>
            <w:r w:rsidR="00DE2FE6">
              <w:rPr>
                <w:noProof/>
                <w:webHidden/>
              </w:rPr>
              <w:fldChar w:fldCharType="begin"/>
            </w:r>
            <w:r w:rsidR="00DE2FE6">
              <w:rPr>
                <w:noProof/>
                <w:webHidden/>
              </w:rPr>
              <w:instrText xml:space="preserve"> PAGEREF _Toc103586666 \h </w:instrText>
            </w:r>
            <w:r w:rsidR="00DE2FE6">
              <w:rPr>
                <w:noProof/>
                <w:webHidden/>
              </w:rPr>
            </w:r>
            <w:r w:rsidR="00DE2FE6">
              <w:rPr>
                <w:noProof/>
                <w:webHidden/>
              </w:rPr>
              <w:fldChar w:fldCharType="separate"/>
            </w:r>
            <w:r w:rsidR="00DE2FE6">
              <w:rPr>
                <w:noProof/>
                <w:webHidden/>
              </w:rPr>
              <w:t>104</w:t>
            </w:r>
            <w:r w:rsidR="00DE2FE6">
              <w:rPr>
                <w:noProof/>
                <w:webHidden/>
              </w:rPr>
              <w:fldChar w:fldCharType="end"/>
            </w:r>
          </w:hyperlink>
        </w:p>
        <w:p w14:paraId="1353934D" w14:textId="0D932BE2" w:rsidR="00DE2FE6" w:rsidRDefault="00C911EA">
          <w:pPr>
            <w:pStyle w:val="TOC3"/>
            <w:tabs>
              <w:tab w:val="right" w:leader="dot" w:pos="9487"/>
            </w:tabs>
            <w:rPr>
              <w:rFonts w:eastAsiaTheme="minorEastAsia"/>
              <w:noProof/>
              <w:lang w:eastAsia="bg-BG"/>
            </w:rPr>
          </w:pPr>
          <w:hyperlink w:anchor="_Toc103586667" w:history="1">
            <w:r w:rsidR="00DE2FE6" w:rsidRPr="00B01AEA">
              <w:rPr>
                <w:rStyle w:val="Hyperlink"/>
                <w:b/>
                <w:bCs/>
                <w:i/>
                <w:iCs/>
                <w:noProof/>
              </w:rPr>
              <w:t>SOI 1.5. Педагогически специалисти и непедагогически персонал, обучени за работа с деца и ученици от уязвими групи</w:t>
            </w:r>
            <w:r w:rsidR="00DE2FE6">
              <w:rPr>
                <w:noProof/>
                <w:webHidden/>
              </w:rPr>
              <w:tab/>
            </w:r>
            <w:r w:rsidR="00DE2FE6">
              <w:rPr>
                <w:noProof/>
                <w:webHidden/>
              </w:rPr>
              <w:fldChar w:fldCharType="begin"/>
            </w:r>
            <w:r w:rsidR="00DE2FE6">
              <w:rPr>
                <w:noProof/>
                <w:webHidden/>
              </w:rPr>
              <w:instrText xml:space="preserve"> PAGEREF _Toc103586667 \h </w:instrText>
            </w:r>
            <w:r w:rsidR="00DE2FE6">
              <w:rPr>
                <w:noProof/>
                <w:webHidden/>
              </w:rPr>
            </w:r>
            <w:r w:rsidR="00DE2FE6">
              <w:rPr>
                <w:noProof/>
                <w:webHidden/>
              </w:rPr>
              <w:fldChar w:fldCharType="separate"/>
            </w:r>
            <w:r w:rsidR="00DE2FE6">
              <w:rPr>
                <w:noProof/>
                <w:webHidden/>
              </w:rPr>
              <w:t>109</w:t>
            </w:r>
            <w:r w:rsidR="00DE2FE6">
              <w:rPr>
                <w:noProof/>
                <w:webHidden/>
              </w:rPr>
              <w:fldChar w:fldCharType="end"/>
            </w:r>
          </w:hyperlink>
        </w:p>
        <w:p w14:paraId="0846B982" w14:textId="79439FB1" w:rsidR="00DE2FE6" w:rsidRDefault="00C911EA">
          <w:pPr>
            <w:pStyle w:val="TOC3"/>
            <w:tabs>
              <w:tab w:val="right" w:leader="dot" w:pos="9487"/>
            </w:tabs>
            <w:rPr>
              <w:rFonts w:eastAsiaTheme="minorEastAsia"/>
              <w:noProof/>
              <w:lang w:eastAsia="bg-BG"/>
            </w:rPr>
          </w:pPr>
          <w:hyperlink w:anchor="_Toc103586668" w:history="1">
            <w:r w:rsidR="00DE2FE6" w:rsidRPr="00B01AEA">
              <w:rPr>
                <w:rStyle w:val="Hyperlink"/>
                <w:b/>
                <w:bCs/>
                <w:i/>
                <w:iCs/>
                <w:noProof/>
              </w:rPr>
              <w:t>SOI 1.6. Брой училища обхванати в дейности за десегрегация по програмата</w:t>
            </w:r>
            <w:r w:rsidR="00DE2FE6">
              <w:rPr>
                <w:noProof/>
                <w:webHidden/>
              </w:rPr>
              <w:tab/>
            </w:r>
            <w:r w:rsidR="00DE2FE6">
              <w:rPr>
                <w:noProof/>
                <w:webHidden/>
              </w:rPr>
              <w:fldChar w:fldCharType="begin"/>
            </w:r>
            <w:r w:rsidR="00DE2FE6">
              <w:rPr>
                <w:noProof/>
                <w:webHidden/>
              </w:rPr>
              <w:instrText xml:space="preserve"> PAGEREF _Toc103586668 \h </w:instrText>
            </w:r>
            <w:r w:rsidR="00DE2FE6">
              <w:rPr>
                <w:noProof/>
                <w:webHidden/>
              </w:rPr>
            </w:r>
            <w:r w:rsidR="00DE2FE6">
              <w:rPr>
                <w:noProof/>
                <w:webHidden/>
              </w:rPr>
              <w:fldChar w:fldCharType="separate"/>
            </w:r>
            <w:r w:rsidR="00DE2FE6">
              <w:rPr>
                <w:noProof/>
                <w:webHidden/>
              </w:rPr>
              <w:t>112</w:t>
            </w:r>
            <w:r w:rsidR="00DE2FE6">
              <w:rPr>
                <w:noProof/>
                <w:webHidden/>
              </w:rPr>
              <w:fldChar w:fldCharType="end"/>
            </w:r>
          </w:hyperlink>
        </w:p>
        <w:p w14:paraId="1C475D1C" w14:textId="05A82B3E" w:rsidR="00DE2FE6" w:rsidRDefault="00C911EA">
          <w:pPr>
            <w:pStyle w:val="TOC3"/>
            <w:tabs>
              <w:tab w:val="right" w:leader="dot" w:pos="9487"/>
            </w:tabs>
            <w:rPr>
              <w:rFonts w:eastAsiaTheme="minorEastAsia"/>
              <w:noProof/>
              <w:lang w:eastAsia="bg-BG"/>
            </w:rPr>
          </w:pPr>
          <w:hyperlink w:anchor="_Toc103586669" w:history="1">
            <w:r w:rsidR="00DE2FE6" w:rsidRPr="00B01AEA">
              <w:rPr>
                <w:rStyle w:val="Hyperlink"/>
                <w:rFonts w:ascii="Times New Roman" w:hAnsi="Times New Roman" w:cs="Times New Roman"/>
                <w:noProof/>
              </w:rPr>
              <w:t>Показатели за резултатите</w:t>
            </w:r>
            <w:r w:rsidR="00DE2FE6">
              <w:rPr>
                <w:noProof/>
                <w:webHidden/>
              </w:rPr>
              <w:tab/>
            </w:r>
            <w:r w:rsidR="00DE2FE6">
              <w:rPr>
                <w:noProof/>
                <w:webHidden/>
              </w:rPr>
              <w:fldChar w:fldCharType="begin"/>
            </w:r>
            <w:r w:rsidR="00DE2FE6">
              <w:rPr>
                <w:noProof/>
                <w:webHidden/>
              </w:rPr>
              <w:instrText xml:space="preserve"> PAGEREF _Toc103586669 \h </w:instrText>
            </w:r>
            <w:r w:rsidR="00DE2FE6">
              <w:rPr>
                <w:noProof/>
                <w:webHidden/>
              </w:rPr>
            </w:r>
            <w:r w:rsidR="00DE2FE6">
              <w:rPr>
                <w:noProof/>
                <w:webHidden/>
              </w:rPr>
              <w:fldChar w:fldCharType="separate"/>
            </w:r>
            <w:r w:rsidR="00DE2FE6">
              <w:rPr>
                <w:noProof/>
                <w:webHidden/>
              </w:rPr>
              <w:t>114</w:t>
            </w:r>
            <w:r w:rsidR="00DE2FE6">
              <w:rPr>
                <w:noProof/>
                <w:webHidden/>
              </w:rPr>
              <w:fldChar w:fldCharType="end"/>
            </w:r>
          </w:hyperlink>
        </w:p>
        <w:p w14:paraId="78CBCD71" w14:textId="403A6EBE" w:rsidR="00DE2FE6" w:rsidRDefault="00C911EA">
          <w:pPr>
            <w:pStyle w:val="TOC3"/>
            <w:tabs>
              <w:tab w:val="right" w:leader="dot" w:pos="9487"/>
            </w:tabs>
            <w:rPr>
              <w:rFonts w:eastAsiaTheme="minorEastAsia"/>
              <w:noProof/>
              <w:lang w:eastAsia="bg-BG"/>
            </w:rPr>
          </w:pPr>
          <w:hyperlink w:anchor="_Toc103586670" w:history="1">
            <w:r w:rsidR="00DE2FE6" w:rsidRPr="00B01AEA">
              <w:rPr>
                <w:rStyle w:val="Hyperlink"/>
                <w:b/>
                <w:bCs/>
                <w:i/>
                <w:iCs/>
                <w:noProof/>
              </w:rPr>
              <w:t>EECR03 участници, които при напускане на операцията получават квалификация</w:t>
            </w:r>
            <w:r w:rsidR="00DE2FE6">
              <w:rPr>
                <w:noProof/>
                <w:webHidden/>
              </w:rPr>
              <w:tab/>
            </w:r>
            <w:r w:rsidR="00DE2FE6">
              <w:rPr>
                <w:noProof/>
                <w:webHidden/>
              </w:rPr>
              <w:fldChar w:fldCharType="begin"/>
            </w:r>
            <w:r w:rsidR="00DE2FE6">
              <w:rPr>
                <w:noProof/>
                <w:webHidden/>
              </w:rPr>
              <w:instrText xml:space="preserve"> PAGEREF _Toc103586670 \h </w:instrText>
            </w:r>
            <w:r w:rsidR="00DE2FE6">
              <w:rPr>
                <w:noProof/>
                <w:webHidden/>
              </w:rPr>
            </w:r>
            <w:r w:rsidR="00DE2FE6">
              <w:rPr>
                <w:noProof/>
                <w:webHidden/>
              </w:rPr>
              <w:fldChar w:fldCharType="separate"/>
            </w:r>
            <w:r w:rsidR="00DE2FE6">
              <w:rPr>
                <w:noProof/>
                <w:webHidden/>
              </w:rPr>
              <w:t>114</w:t>
            </w:r>
            <w:r w:rsidR="00DE2FE6">
              <w:rPr>
                <w:noProof/>
                <w:webHidden/>
              </w:rPr>
              <w:fldChar w:fldCharType="end"/>
            </w:r>
          </w:hyperlink>
        </w:p>
        <w:p w14:paraId="3D9552D3" w14:textId="0B093CF9" w:rsidR="00DE2FE6" w:rsidRDefault="00C911EA">
          <w:pPr>
            <w:pStyle w:val="TOC3"/>
            <w:tabs>
              <w:tab w:val="right" w:leader="dot" w:pos="9487"/>
            </w:tabs>
            <w:rPr>
              <w:rFonts w:eastAsiaTheme="minorEastAsia"/>
              <w:noProof/>
              <w:lang w:eastAsia="bg-BG"/>
            </w:rPr>
          </w:pPr>
          <w:hyperlink w:anchor="_Toc103586671" w:history="1">
            <w:r w:rsidR="00DE2FE6" w:rsidRPr="00B01AEA">
              <w:rPr>
                <w:rStyle w:val="Hyperlink"/>
                <w:b/>
                <w:bCs/>
                <w:i/>
                <w:iCs/>
                <w:noProof/>
              </w:rPr>
              <w:t>SRI 1.2. Брой деца и ученици от уязвими групи с подобрени образователни резултати след 1 година участие в операцията</w:t>
            </w:r>
            <w:r w:rsidR="00DE2FE6">
              <w:rPr>
                <w:noProof/>
                <w:webHidden/>
              </w:rPr>
              <w:tab/>
            </w:r>
            <w:r w:rsidR="00DE2FE6">
              <w:rPr>
                <w:noProof/>
                <w:webHidden/>
              </w:rPr>
              <w:fldChar w:fldCharType="begin"/>
            </w:r>
            <w:r w:rsidR="00DE2FE6">
              <w:rPr>
                <w:noProof/>
                <w:webHidden/>
              </w:rPr>
              <w:instrText xml:space="preserve"> PAGEREF _Toc103586671 \h </w:instrText>
            </w:r>
            <w:r w:rsidR="00DE2FE6">
              <w:rPr>
                <w:noProof/>
                <w:webHidden/>
              </w:rPr>
            </w:r>
            <w:r w:rsidR="00DE2FE6">
              <w:rPr>
                <w:noProof/>
                <w:webHidden/>
              </w:rPr>
              <w:fldChar w:fldCharType="separate"/>
            </w:r>
            <w:r w:rsidR="00DE2FE6">
              <w:rPr>
                <w:noProof/>
                <w:webHidden/>
              </w:rPr>
              <w:t>118</w:t>
            </w:r>
            <w:r w:rsidR="00DE2FE6">
              <w:rPr>
                <w:noProof/>
                <w:webHidden/>
              </w:rPr>
              <w:fldChar w:fldCharType="end"/>
            </w:r>
          </w:hyperlink>
        </w:p>
        <w:p w14:paraId="24973C59" w14:textId="4B262704" w:rsidR="00DE2FE6" w:rsidRDefault="00C911EA">
          <w:pPr>
            <w:pStyle w:val="TOC1"/>
            <w:tabs>
              <w:tab w:val="right" w:leader="dot" w:pos="9487"/>
            </w:tabs>
            <w:rPr>
              <w:rFonts w:eastAsiaTheme="minorEastAsia"/>
              <w:noProof/>
              <w:lang w:eastAsia="bg-BG"/>
            </w:rPr>
          </w:pPr>
          <w:hyperlink w:anchor="_Toc103586672" w:history="1">
            <w:r w:rsidR="00DE2FE6" w:rsidRPr="00B01AEA">
              <w:rPr>
                <w:rStyle w:val="Hyperlink"/>
                <w:rFonts w:ascii="Times New Roman" w:hAnsi="Times New Roman" w:cs="Times New Roman"/>
                <w:noProof/>
              </w:rPr>
              <w:t>ПРИОРИТЕТ 2 – МОДЕРНИЗАЦИЯ И КАЧЕСТВО НА ОБРАЗОВАНИЕТО</w:t>
            </w:r>
            <w:r w:rsidR="00DE2FE6">
              <w:rPr>
                <w:noProof/>
                <w:webHidden/>
              </w:rPr>
              <w:tab/>
            </w:r>
            <w:r w:rsidR="00DE2FE6">
              <w:rPr>
                <w:noProof/>
                <w:webHidden/>
              </w:rPr>
              <w:fldChar w:fldCharType="begin"/>
            </w:r>
            <w:r w:rsidR="00DE2FE6">
              <w:rPr>
                <w:noProof/>
                <w:webHidden/>
              </w:rPr>
              <w:instrText xml:space="preserve"> PAGEREF _Toc103586672 \h </w:instrText>
            </w:r>
            <w:r w:rsidR="00DE2FE6">
              <w:rPr>
                <w:noProof/>
                <w:webHidden/>
              </w:rPr>
            </w:r>
            <w:r w:rsidR="00DE2FE6">
              <w:rPr>
                <w:noProof/>
                <w:webHidden/>
              </w:rPr>
              <w:fldChar w:fldCharType="separate"/>
            </w:r>
            <w:r w:rsidR="00DE2FE6">
              <w:rPr>
                <w:noProof/>
                <w:webHidden/>
              </w:rPr>
              <w:t>125</w:t>
            </w:r>
            <w:r w:rsidR="00DE2FE6">
              <w:rPr>
                <w:noProof/>
                <w:webHidden/>
              </w:rPr>
              <w:fldChar w:fldCharType="end"/>
            </w:r>
          </w:hyperlink>
        </w:p>
        <w:p w14:paraId="58F2F80C" w14:textId="78ECFBBA" w:rsidR="00DE2FE6" w:rsidRDefault="00C911EA">
          <w:pPr>
            <w:pStyle w:val="TOC2"/>
            <w:tabs>
              <w:tab w:val="right" w:leader="dot" w:pos="9487"/>
            </w:tabs>
            <w:rPr>
              <w:rFonts w:eastAsiaTheme="minorEastAsia"/>
              <w:noProof/>
              <w:lang w:eastAsia="bg-BG"/>
            </w:rPr>
          </w:pPr>
          <w:hyperlink w:anchor="_Toc103586673" w:history="1">
            <w:r w:rsidR="00DE2FE6" w:rsidRPr="00B01AEA">
              <w:rPr>
                <w:rStyle w:val="Hyperlink"/>
                <w:rFonts w:ascii="Times New Roman" w:hAnsi="Times New Roman" w:cs="Times New Roman"/>
                <w:b/>
                <w:bCs/>
                <w:noProof/>
              </w:rPr>
              <w:t>СЦ по чл. 4, пар. 1, буква д)</w:t>
            </w:r>
            <w:r w:rsidR="00DE2FE6">
              <w:rPr>
                <w:noProof/>
                <w:webHidden/>
              </w:rPr>
              <w:tab/>
            </w:r>
            <w:r w:rsidR="00DE2FE6">
              <w:rPr>
                <w:noProof/>
                <w:webHidden/>
              </w:rPr>
              <w:fldChar w:fldCharType="begin"/>
            </w:r>
            <w:r w:rsidR="00DE2FE6">
              <w:rPr>
                <w:noProof/>
                <w:webHidden/>
              </w:rPr>
              <w:instrText xml:space="preserve"> PAGEREF _Toc103586673 \h </w:instrText>
            </w:r>
            <w:r w:rsidR="00DE2FE6">
              <w:rPr>
                <w:noProof/>
                <w:webHidden/>
              </w:rPr>
            </w:r>
            <w:r w:rsidR="00DE2FE6">
              <w:rPr>
                <w:noProof/>
                <w:webHidden/>
              </w:rPr>
              <w:fldChar w:fldCharType="separate"/>
            </w:r>
            <w:r w:rsidR="00DE2FE6">
              <w:rPr>
                <w:noProof/>
                <w:webHidden/>
              </w:rPr>
              <w:t>125</w:t>
            </w:r>
            <w:r w:rsidR="00DE2FE6">
              <w:rPr>
                <w:noProof/>
                <w:webHidden/>
              </w:rPr>
              <w:fldChar w:fldCharType="end"/>
            </w:r>
          </w:hyperlink>
        </w:p>
        <w:p w14:paraId="7C22DCC4" w14:textId="429EC1BF" w:rsidR="00DE2FE6" w:rsidRDefault="00C911EA">
          <w:pPr>
            <w:pStyle w:val="TOC3"/>
            <w:tabs>
              <w:tab w:val="right" w:leader="dot" w:pos="9487"/>
            </w:tabs>
            <w:rPr>
              <w:rFonts w:eastAsiaTheme="minorEastAsia"/>
              <w:noProof/>
              <w:lang w:eastAsia="bg-BG"/>
            </w:rPr>
          </w:pPr>
          <w:hyperlink w:anchor="_Toc103586674" w:history="1">
            <w:r w:rsidR="00DE2FE6" w:rsidRPr="00B01AEA">
              <w:rPr>
                <w:rStyle w:val="Hyperlink"/>
                <w:rFonts w:ascii="Times New Roman" w:hAnsi="Times New Roman" w:cs="Times New Roman"/>
                <w:noProof/>
              </w:rPr>
              <w:t>Показатели за крайни продукти</w:t>
            </w:r>
            <w:r w:rsidR="00DE2FE6">
              <w:rPr>
                <w:noProof/>
                <w:webHidden/>
              </w:rPr>
              <w:tab/>
            </w:r>
            <w:r w:rsidR="00DE2FE6">
              <w:rPr>
                <w:noProof/>
                <w:webHidden/>
              </w:rPr>
              <w:fldChar w:fldCharType="begin"/>
            </w:r>
            <w:r w:rsidR="00DE2FE6">
              <w:rPr>
                <w:noProof/>
                <w:webHidden/>
              </w:rPr>
              <w:instrText xml:space="preserve"> PAGEREF _Toc103586674 \h </w:instrText>
            </w:r>
            <w:r w:rsidR="00DE2FE6">
              <w:rPr>
                <w:noProof/>
                <w:webHidden/>
              </w:rPr>
            </w:r>
            <w:r w:rsidR="00DE2FE6">
              <w:rPr>
                <w:noProof/>
                <w:webHidden/>
              </w:rPr>
              <w:fldChar w:fldCharType="separate"/>
            </w:r>
            <w:r w:rsidR="00DE2FE6">
              <w:rPr>
                <w:noProof/>
                <w:webHidden/>
              </w:rPr>
              <w:t>125</w:t>
            </w:r>
            <w:r w:rsidR="00DE2FE6">
              <w:rPr>
                <w:noProof/>
                <w:webHidden/>
              </w:rPr>
              <w:fldChar w:fldCharType="end"/>
            </w:r>
          </w:hyperlink>
        </w:p>
        <w:p w14:paraId="607C476F" w14:textId="2A2B5A02" w:rsidR="00DE2FE6" w:rsidRDefault="00C911EA">
          <w:pPr>
            <w:pStyle w:val="TOC3"/>
            <w:tabs>
              <w:tab w:val="right" w:leader="dot" w:pos="9487"/>
            </w:tabs>
            <w:rPr>
              <w:rFonts w:eastAsiaTheme="minorEastAsia"/>
              <w:noProof/>
              <w:lang w:eastAsia="bg-BG"/>
            </w:rPr>
          </w:pPr>
          <w:hyperlink w:anchor="_Toc103586675" w:history="1">
            <w:r w:rsidR="00DE2FE6" w:rsidRPr="00B01AEA">
              <w:rPr>
                <w:rStyle w:val="Hyperlink"/>
                <w:b/>
                <w:bCs/>
                <w:i/>
                <w:iCs/>
                <w:noProof/>
              </w:rPr>
              <w:t>EECO15 малцинства (включително маргинализирани общности като ромите)</w:t>
            </w:r>
            <w:r w:rsidR="00DE2FE6">
              <w:rPr>
                <w:noProof/>
                <w:webHidden/>
              </w:rPr>
              <w:tab/>
            </w:r>
            <w:r w:rsidR="00DE2FE6">
              <w:rPr>
                <w:noProof/>
                <w:webHidden/>
              </w:rPr>
              <w:fldChar w:fldCharType="begin"/>
            </w:r>
            <w:r w:rsidR="00DE2FE6">
              <w:rPr>
                <w:noProof/>
                <w:webHidden/>
              </w:rPr>
              <w:instrText xml:space="preserve"> PAGEREF _Toc103586675 \h </w:instrText>
            </w:r>
            <w:r w:rsidR="00DE2FE6">
              <w:rPr>
                <w:noProof/>
                <w:webHidden/>
              </w:rPr>
            </w:r>
            <w:r w:rsidR="00DE2FE6">
              <w:rPr>
                <w:noProof/>
                <w:webHidden/>
              </w:rPr>
              <w:fldChar w:fldCharType="separate"/>
            </w:r>
            <w:r w:rsidR="00DE2FE6">
              <w:rPr>
                <w:noProof/>
                <w:webHidden/>
              </w:rPr>
              <w:t>125</w:t>
            </w:r>
            <w:r w:rsidR="00DE2FE6">
              <w:rPr>
                <w:noProof/>
                <w:webHidden/>
              </w:rPr>
              <w:fldChar w:fldCharType="end"/>
            </w:r>
          </w:hyperlink>
        </w:p>
        <w:p w14:paraId="1ACD4D76" w14:textId="13666AF1" w:rsidR="00DE2FE6" w:rsidRDefault="00C911EA">
          <w:pPr>
            <w:pStyle w:val="TOC3"/>
            <w:tabs>
              <w:tab w:val="right" w:leader="dot" w:pos="9487"/>
            </w:tabs>
            <w:rPr>
              <w:rFonts w:eastAsiaTheme="minorEastAsia"/>
              <w:noProof/>
              <w:lang w:eastAsia="bg-BG"/>
            </w:rPr>
          </w:pPr>
          <w:hyperlink w:anchor="_Toc103586676" w:history="1">
            <w:r w:rsidR="00DE2FE6" w:rsidRPr="00B01AEA">
              <w:rPr>
                <w:rStyle w:val="Hyperlink"/>
                <w:b/>
                <w:bCs/>
                <w:i/>
                <w:iCs/>
                <w:noProof/>
              </w:rPr>
              <w:t>SOI 2.1 Брой подкрепени родители и образователни медиатори</w:t>
            </w:r>
            <w:r w:rsidR="00DE2FE6">
              <w:rPr>
                <w:noProof/>
                <w:webHidden/>
              </w:rPr>
              <w:tab/>
            </w:r>
            <w:r w:rsidR="00DE2FE6">
              <w:rPr>
                <w:noProof/>
                <w:webHidden/>
              </w:rPr>
              <w:fldChar w:fldCharType="begin"/>
            </w:r>
            <w:r w:rsidR="00DE2FE6">
              <w:rPr>
                <w:noProof/>
                <w:webHidden/>
              </w:rPr>
              <w:instrText xml:space="preserve"> PAGEREF _Toc103586676 \h </w:instrText>
            </w:r>
            <w:r w:rsidR="00DE2FE6">
              <w:rPr>
                <w:noProof/>
                <w:webHidden/>
              </w:rPr>
            </w:r>
            <w:r w:rsidR="00DE2FE6">
              <w:rPr>
                <w:noProof/>
                <w:webHidden/>
              </w:rPr>
              <w:fldChar w:fldCharType="separate"/>
            </w:r>
            <w:r w:rsidR="00DE2FE6">
              <w:rPr>
                <w:noProof/>
                <w:webHidden/>
              </w:rPr>
              <w:t>128</w:t>
            </w:r>
            <w:r w:rsidR="00DE2FE6">
              <w:rPr>
                <w:noProof/>
                <w:webHidden/>
              </w:rPr>
              <w:fldChar w:fldCharType="end"/>
            </w:r>
          </w:hyperlink>
        </w:p>
        <w:p w14:paraId="51215D11" w14:textId="6E332EB1" w:rsidR="00DE2FE6" w:rsidRDefault="00C911EA">
          <w:pPr>
            <w:pStyle w:val="TOC3"/>
            <w:tabs>
              <w:tab w:val="right" w:leader="dot" w:pos="9487"/>
            </w:tabs>
            <w:rPr>
              <w:rFonts w:eastAsiaTheme="minorEastAsia"/>
              <w:noProof/>
              <w:lang w:eastAsia="bg-BG"/>
            </w:rPr>
          </w:pPr>
          <w:hyperlink w:anchor="_Toc103586677" w:history="1">
            <w:r w:rsidR="00DE2FE6" w:rsidRPr="00B01AEA">
              <w:rPr>
                <w:rStyle w:val="Hyperlink"/>
                <w:b/>
                <w:bCs/>
                <w:i/>
                <w:iCs/>
                <w:noProof/>
              </w:rPr>
              <w:t>SOI 2.2 Брой училища, въвели методически планове за действие за развитие на ключови компетентности</w:t>
            </w:r>
            <w:r w:rsidR="00DE2FE6">
              <w:rPr>
                <w:noProof/>
                <w:webHidden/>
              </w:rPr>
              <w:tab/>
            </w:r>
            <w:r w:rsidR="00DE2FE6">
              <w:rPr>
                <w:noProof/>
                <w:webHidden/>
              </w:rPr>
              <w:fldChar w:fldCharType="begin"/>
            </w:r>
            <w:r w:rsidR="00DE2FE6">
              <w:rPr>
                <w:noProof/>
                <w:webHidden/>
              </w:rPr>
              <w:instrText xml:space="preserve"> PAGEREF _Toc103586677 \h </w:instrText>
            </w:r>
            <w:r w:rsidR="00DE2FE6">
              <w:rPr>
                <w:noProof/>
                <w:webHidden/>
              </w:rPr>
            </w:r>
            <w:r w:rsidR="00DE2FE6">
              <w:rPr>
                <w:noProof/>
                <w:webHidden/>
              </w:rPr>
              <w:fldChar w:fldCharType="separate"/>
            </w:r>
            <w:r w:rsidR="00DE2FE6">
              <w:rPr>
                <w:noProof/>
                <w:webHidden/>
              </w:rPr>
              <w:t>130</w:t>
            </w:r>
            <w:r w:rsidR="00DE2FE6">
              <w:rPr>
                <w:noProof/>
                <w:webHidden/>
              </w:rPr>
              <w:fldChar w:fldCharType="end"/>
            </w:r>
          </w:hyperlink>
        </w:p>
        <w:p w14:paraId="07FC2DAB" w14:textId="601F8D3F" w:rsidR="00DE2FE6" w:rsidRDefault="00C911EA">
          <w:pPr>
            <w:pStyle w:val="TOC3"/>
            <w:tabs>
              <w:tab w:val="right" w:leader="dot" w:pos="9487"/>
            </w:tabs>
            <w:rPr>
              <w:rFonts w:eastAsiaTheme="minorEastAsia"/>
              <w:noProof/>
              <w:lang w:eastAsia="bg-BG"/>
            </w:rPr>
          </w:pPr>
          <w:hyperlink w:anchor="_Toc103586678" w:history="1">
            <w:r w:rsidR="00DE2FE6" w:rsidRPr="00B01AEA">
              <w:rPr>
                <w:rStyle w:val="Hyperlink"/>
                <w:b/>
                <w:bCs/>
                <w:i/>
                <w:iCs/>
                <w:noProof/>
              </w:rPr>
              <w:t>SOI 2.3 Брой образователни институции, разработили иновативни обучителни пакети</w:t>
            </w:r>
            <w:r w:rsidR="00DE2FE6">
              <w:rPr>
                <w:noProof/>
                <w:webHidden/>
              </w:rPr>
              <w:tab/>
            </w:r>
            <w:r w:rsidR="00DE2FE6">
              <w:rPr>
                <w:noProof/>
                <w:webHidden/>
              </w:rPr>
              <w:fldChar w:fldCharType="begin"/>
            </w:r>
            <w:r w:rsidR="00DE2FE6">
              <w:rPr>
                <w:noProof/>
                <w:webHidden/>
              </w:rPr>
              <w:instrText xml:space="preserve"> PAGEREF _Toc103586678 \h </w:instrText>
            </w:r>
            <w:r w:rsidR="00DE2FE6">
              <w:rPr>
                <w:noProof/>
                <w:webHidden/>
              </w:rPr>
            </w:r>
            <w:r w:rsidR="00DE2FE6">
              <w:rPr>
                <w:noProof/>
                <w:webHidden/>
              </w:rPr>
              <w:fldChar w:fldCharType="separate"/>
            </w:r>
            <w:r w:rsidR="00DE2FE6">
              <w:rPr>
                <w:noProof/>
                <w:webHidden/>
              </w:rPr>
              <w:t>133</w:t>
            </w:r>
            <w:r w:rsidR="00DE2FE6">
              <w:rPr>
                <w:noProof/>
                <w:webHidden/>
              </w:rPr>
              <w:fldChar w:fldCharType="end"/>
            </w:r>
          </w:hyperlink>
        </w:p>
        <w:p w14:paraId="7070C073" w14:textId="43F987A9" w:rsidR="00DE2FE6" w:rsidRDefault="00C911EA">
          <w:pPr>
            <w:pStyle w:val="TOC3"/>
            <w:tabs>
              <w:tab w:val="right" w:leader="dot" w:pos="9487"/>
            </w:tabs>
            <w:rPr>
              <w:rFonts w:eastAsiaTheme="minorEastAsia"/>
              <w:noProof/>
              <w:lang w:eastAsia="bg-BG"/>
            </w:rPr>
          </w:pPr>
          <w:hyperlink w:anchor="_Toc103586679" w:history="1">
            <w:r w:rsidR="00DE2FE6" w:rsidRPr="00B01AEA">
              <w:rPr>
                <w:rStyle w:val="Hyperlink"/>
                <w:b/>
                <w:bCs/>
                <w:i/>
                <w:iCs/>
                <w:noProof/>
              </w:rPr>
              <w:t>SOI 2.4 Участници, придобили умения за преподаване в STEM среда</w:t>
            </w:r>
            <w:r w:rsidR="00DE2FE6">
              <w:rPr>
                <w:noProof/>
                <w:webHidden/>
              </w:rPr>
              <w:tab/>
            </w:r>
            <w:r w:rsidR="00DE2FE6">
              <w:rPr>
                <w:noProof/>
                <w:webHidden/>
              </w:rPr>
              <w:fldChar w:fldCharType="begin"/>
            </w:r>
            <w:r w:rsidR="00DE2FE6">
              <w:rPr>
                <w:noProof/>
                <w:webHidden/>
              </w:rPr>
              <w:instrText xml:space="preserve"> PAGEREF _Toc103586679 \h </w:instrText>
            </w:r>
            <w:r w:rsidR="00DE2FE6">
              <w:rPr>
                <w:noProof/>
                <w:webHidden/>
              </w:rPr>
            </w:r>
            <w:r w:rsidR="00DE2FE6">
              <w:rPr>
                <w:noProof/>
                <w:webHidden/>
              </w:rPr>
              <w:fldChar w:fldCharType="separate"/>
            </w:r>
            <w:r w:rsidR="00DE2FE6">
              <w:rPr>
                <w:noProof/>
                <w:webHidden/>
              </w:rPr>
              <w:t>135</w:t>
            </w:r>
            <w:r w:rsidR="00DE2FE6">
              <w:rPr>
                <w:noProof/>
                <w:webHidden/>
              </w:rPr>
              <w:fldChar w:fldCharType="end"/>
            </w:r>
          </w:hyperlink>
        </w:p>
        <w:p w14:paraId="3093F8FC" w14:textId="04CC9892" w:rsidR="00DE2FE6" w:rsidRDefault="00C911EA">
          <w:pPr>
            <w:pStyle w:val="TOC3"/>
            <w:tabs>
              <w:tab w:val="right" w:leader="dot" w:pos="9487"/>
            </w:tabs>
            <w:rPr>
              <w:rFonts w:eastAsiaTheme="minorEastAsia"/>
              <w:noProof/>
              <w:lang w:eastAsia="bg-BG"/>
            </w:rPr>
          </w:pPr>
          <w:hyperlink w:anchor="_Toc103586680" w:history="1">
            <w:r w:rsidR="00DE2FE6" w:rsidRPr="00B01AEA">
              <w:rPr>
                <w:rStyle w:val="Hyperlink"/>
                <w:b/>
                <w:bCs/>
                <w:i/>
                <w:iCs/>
                <w:noProof/>
              </w:rPr>
              <w:t>SOI 2.5 Участници, които са завършили обучение за подобряване на уменията за работа в образователната система</w:t>
            </w:r>
            <w:r w:rsidR="00DE2FE6">
              <w:rPr>
                <w:noProof/>
                <w:webHidden/>
              </w:rPr>
              <w:tab/>
            </w:r>
            <w:r w:rsidR="00DE2FE6">
              <w:rPr>
                <w:noProof/>
                <w:webHidden/>
              </w:rPr>
              <w:fldChar w:fldCharType="begin"/>
            </w:r>
            <w:r w:rsidR="00DE2FE6">
              <w:rPr>
                <w:noProof/>
                <w:webHidden/>
              </w:rPr>
              <w:instrText xml:space="preserve"> PAGEREF _Toc103586680 \h </w:instrText>
            </w:r>
            <w:r w:rsidR="00DE2FE6">
              <w:rPr>
                <w:noProof/>
                <w:webHidden/>
              </w:rPr>
            </w:r>
            <w:r w:rsidR="00DE2FE6">
              <w:rPr>
                <w:noProof/>
                <w:webHidden/>
              </w:rPr>
              <w:fldChar w:fldCharType="separate"/>
            </w:r>
            <w:r w:rsidR="00DE2FE6">
              <w:rPr>
                <w:noProof/>
                <w:webHidden/>
              </w:rPr>
              <w:t>138</w:t>
            </w:r>
            <w:r w:rsidR="00DE2FE6">
              <w:rPr>
                <w:noProof/>
                <w:webHidden/>
              </w:rPr>
              <w:fldChar w:fldCharType="end"/>
            </w:r>
          </w:hyperlink>
        </w:p>
        <w:p w14:paraId="37C3A31B" w14:textId="21AF621F" w:rsidR="00DE2FE6" w:rsidRDefault="00C911EA">
          <w:pPr>
            <w:pStyle w:val="TOC3"/>
            <w:tabs>
              <w:tab w:val="right" w:leader="dot" w:pos="9487"/>
            </w:tabs>
            <w:rPr>
              <w:rFonts w:eastAsiaTheme="minorEastAsia"/>
              <w:noProof/>
              <w:lang w:eastAsia="bg-BG"/>
            </w:rPr>
          </w:pPr>
          <w:hyperlink w:anchor="_Toc103586681" w:history="1">
            <w:r w:rsidR="00DE2FE6" w:rsidRPr="00B01AEA">
              <w:rPr>
                <w:rStyle w:val="Hyperlink"/>
                <w:b/>
                <w:bCs/>
                <w:i/>
                <w:iCs/>
                <w:noProof/>
              </w:rPr>
              <w:t>SOI 2.6 Брой високо квалифицирани специалисти, които са привлечени към учителската професия чрез алтернативни мерки за достъп</w:t>
            </w:r>
            <w:r w:rsidR="00DE2FE6">
              <w:rPr>
                <w:noProof/>
                <w:webHidden/>
              </w:rPr>
              <w:tab/>
            </w:r>
            <w:r w:rsidR="00DE2FE6">
              <w:rPr>
                <w:noProof/>
                <w:webHidden/>
              </w:rPr>
              <w:fldChar w:fldCharType="begin"/>
            </w:r>
            <w:r w:rsidR="00DE2FE6">
              <w:rPr>
                <w:noProof/>
                <w:webHidden/>
              </w:rPr>
              <w:instrText xml:space="preserve"> PAGEREF _Toc103586681 \h </w:instrText>
            </w:r>
            <w:r w:rsidR="00DE2FE6">
              <w:rPr>
                <w:noProof/>
                <w:webHidden/>
              </w:rPr>
            </w:r>
            <w:r w:rsidR="00DE2FE6">
              <w:rPr>
                <w:noProof/>
                <w:webHidden/>
              </w:rPr>
              <w:fldChar w:fldCharType="separate"/>
            </w:r>
            <w:r w:rsidR="00DE2FE6">
              <w:rPr>
                <w:noProof/>
                <w:webHidden/>
              </w:rPr>
              <w:t>142</w:t>
            </w:r>
            <w:r w:rsidR="00DE2FE6">
              <w:rPr>
                <w:noProof/>
                <w:webHidden/>
              </w:rPr>
              <w:fldChar w:fldCharType="end"/>
            </w:r>
          </w:hyperlink>
        </w:p>
        <w:p w14:paraId="67550831" w14:textId="75AB730A" w:rsidR="00DE2FE6" w:rsidRDefault="00C911EA">
          <w:pPr>
            <w:pStyle w:val="TOC3"/>
            <w:tabs>
              <w:tab w:val="right" w:leader="dot" w:pos="9487"/>
            </w:tabs>
            <w:rPr>
              <w:rFonts w:eastAsiaTheme="minorEastAsia"/>
              <w:noProof/>
              <w:lang w:eastAsia="bg-BG"/>
            </w:rPr>
          </w:pPr>
          <w:hyperlink w:anchor="_Toc103586682" w:history="1">
            <w:r w:rsidR="00DE2FE6" w:rsidRPr="00B01AEA">
              <w:rPr>
                <w:rStyle w:val="Hyperlink"/>
                <w:b/>
                <w:bCs/>
                <w:i/>
                <w:iCs/>
                <w:noProof/>
              </w:rPr>
              <w:t>SOI 2.7 Брой подкрепени деца и ученици</w:t>
            </w:r>
            <w:r w:rsidR="00DE2FE6">
              <w:rPr>
                <w:noProof/>
                <w:webHidden/>
              </w:rPr>
              <w:tab/>
            </w:r>
            <w:r w:rsidR="00DE2FE6">
              <w:rPr>
                <w:noProof/>
                <w:webHidden/>
              </w:rPr>
              <w:fldChar w:fldCharType="begin"/>
            </w:r>
            <w:r w:rsidR="00DE2FE6">
              <w:rPr>
                <w:noProof/>
                <w:webHidden/>
              </w:rPr>
              <w:instrText xml:space="preserve"> PAGEREF _Toc103586682 \h </w:instrText>
            </w:r>
            <w:r w:rsidR="00DE2FE6">
              <w:rPr>
                <w:noProof/>
                <w:webHidden/>
              </w:rPr>
            </w:r>
            <w:r w:rsidR="00DE2FE6">
              <w:rPr>
                <w:noProof/>
                <w:webHidden/>
              </w:rPr>
              <w:fldChar w:fldCharType="separate"/>
            </w:r>
            <w:r w:rsidR="00DE2FE6">
              <w:rPr>
                <w:noProof/>
                <w:webHidden/>
              </w:rPr>
              <w:t>144</w:t>
            </w:r>
            <w:r w:rsidR="00DE2FE6">
              <w:rPr>
                <w:noProof/>
                <w:webHidden/>
              </w:rPr>
              <w:fldChar w:fldCharType="end"/>
            </w:r>
          </w:hyperlink>
        </w:p>
        <w:p w14:paraId="44282148" w14:textId="3E558C22" w:rsidR="00DE2FE6" w:rsidRDefault="00C911EA">
          <w:pPr>
            <w:pStyle w:val="TOC3"/>
            <w:tabs>
              <w:tab w:val="right" w:leader="dot" w:pos="9487"/>
            </w:tabs>
            <w:rPr>
              <w:rFonts w:eastAsiaTheme="minorEastAsia"/>
              <w:noProof/>
              <w:lang w:eastAsia="bg-BG"/>
            </w:rPr>
          </w:pPr>
          <w:hyperlink w:anchor="_Toc103586683" w:history="1">
            <w:r w:rsidR="00DE2FE6" w:rsidRPr="00B01AEA">
              <w:rPr>
                <w:rStyle w:val="Hyperlink"/>
                <w:rFonts w:ascii="Times New Roman" w:hAnsi="Times New Roman" w:cs="Times New Roman"/>
                <w:noProof/>
              </w:rPr>
              <w:t>Показатели за резултатите</w:t>
            </w:r>
            <w:r w:rsidR="00DE2FE6">
              <w:rPr>
                <w:noProof/>
                <w:webHidden/>
              </w:rPr>
              <w:tab/>
            </w:r>
            <w:r w:rsidR="00DE2FE6">
              <w:rPr>
                <w:noProof/>
                <w:webHidden/>
              </w:rPr>
              <w:fldChar w:fldCharType="begin"/>
            </w:r>
            <w:r w:rsidR="00DE2FE6">
              <w:rPr>
                <w:noProof/>
                <w:webHidden/>
              </w:rPr>
              <w:instrText xml:space="preserve"> PAGEREF _Toc103586683 \h </w:instrText>
            </w:r>
            <w:r w:rsidR="00DE2FE6">
              <w:rPr>
                <w:noProof/>
                <w:webHidden/>
              </w:rPr>
            </w:r>
            <w:r w:rsidR="00DE2FE6">
              <w:rPr>
                <w:noProof/>
                <w:webHidden/>
              </w:rPr>
              <w:fldChar w:fldCharType="separate"/>
            </w:r>
            <w:r w:rsidR="00DE2FE6">
              <w:rPr>
                <w:noProof/>
                <w:webHidden/>
              </w:rPr>
              <w:t>148</w:t>
            </w:r>
            <w:r w:rsidR="00DE2FE6">
              <w:rPr>
                <w:noProof/>
                <w:webHidden/>
              </w:rPr>
              <w:fldChar w:fldCharType="end"/>
            </w:r>
          </w:hyperlink>
        </w:p>
        <w:p w14:paraId="5291AD0F" w14:textId="7417F542" w:rsidR="00DE2FE6" w:rsidRDefault="00C911EA">
          <w:pPr>
            <w:pStyle w:val="TOC3"/>
            <w:tabs>
              <w:tab w:val="right" w:leader="dot" w:pos="9487"/>
            </w:tabs>
            <w:rPr>
              <w:rFonts w:eastAsiaTheme="minorEastAsia"/>
              <w:noProof/>
              <w:lang w:eastAsia="bg-BG"/>
            </w:rPr>
          </w:pPr>
          <w:hyperlink w:anchor="_Toc103586684" w:history="1">
            <w:r w:rsidR="00DE2FE6" w:rsidRPr="00B01AEA">
              <w:rPr>
                <w:rStyle w:val="Hyperlink"/>
                <w:b/>
                <w:bCs/>
                <w:i/>
                <w:iCs/>
                <w:noProof/>
              </w:rPr>
              <w:t>EECR03 участници, които при напускане на операцията получават квалификация</w:t>
            </w:r>
            <w:r w:rsidR="00DE2FE6">
              <w:rPr>
                <w:noProof/>
                <w:webHidden/>
              </w:rPr>
              <w:tab/>
            </w:r>
            <w:r w:rsidR="00DE2FE6">
              <w:rPr>
                <w:noProof/>
                <w:webHidden/>
              </w:rPr>
              <w:fldChar w:fldCharType="begin"/>
            </w:r>
            <w:r w:rsidR="00DE2FE6">
              <w:rPr>
                <w:noProof/>
                <w:webHidden/>
              </w:rPr>
              <w:instrText xml:space="preserve"> PAGEREF _Toc103586684 \h </w:instrText>
            </w:r>
            <w:r w:rsidR="00DE2FE6">
              <w:rPr>
                <w:noProof/>
                <w:webHidden/>
              </w:rPr>
            </w:r>
            <w:r w:rsidR="00DE2FE6">
              <w:rPr>
                <w:noProof/>
                <w:webHidden/>
              </w:rPr>
              <w:fldChar w:fldCharType="separate"/>
            </w:r>
            <w:r w:rsidR="00DE2FE6">
              <w:rPr>
                <w:noProof/>
                <w:webHidden/>
              </w:rPr>
              <w:t>148</w:t>
            </w:r>
            <w:r w:rsidR="00DE2FE6">
              <w:rPr>
                <w:noProof/>
                <w:webHidden/>
              </w:rPr>
              <w:fldChar w:fldCharType="end"/>
            </w:r>
          </w:hyperlink>
        </w:p>
        <w:p w14:paraId="39A8F37D" w14:textId="5F5DBAB4" w:rsidR="00DE2FE6" w:rsidRDefault="00C911EA">
          <w:pPr>
            <w:pStyle w:val="TOC3"/>
            <w:tabs>
              <w:tab w:val="right" w:leader="dot" w:pos="9487"/>
            </w:tabs>
            <w:rPr>
              <w:rFonts w:eastAsiaTheme="minorEastAsia"/>
              <w:noProof/>
              <w:lang w:eastAsia="bg-BG"/>
            </w:rPr>
          </w:pPr>
          <w:hyperlink w:anchor="_Toc103586685" w:history="1">
            <w:r w:rsidR="00DE2FE6" w:rsidRPr="00B01AEA">
              <w:rPr>
                <w:rStyle w:val="Hyperlink"/>
                <w:b/>
                <w:bCs/>
                <w:i/>
                <w:iCs/>
                <w:noProof/>
              </w:rPr>
              <w:t>SRI 2.1. Подобрени образователни резултати на подкрепените деца и ученици</w:t>
            </w:r>
            <w:r w:rsidR="00DE2FE6">
              <w:rPr>
                <w:noProof/>
                <w:webHidden/>
              </w:rPr>
              <w:tab/>
            </w:r>
            <w:r w:rsidR="00DE2FE6">
              <w:rPr>
                <w:noProof/>
                <w:webHidden/>
              </w:rPr>
              <w:fldChar w:fldCharType="begin"/>
            </w:r>
            <w:r w:rsidR="00DE2FE6">
              <w:rPr>
                <w:noProof/>
                <w:webHidden/>
              </w:rPr>
              <w:instrText xml:space="preserve"> PAGEREF _Toc103586685 \h </w:instrText>
            </w:r>
            <w:r w:rsidR="00DE2FE6">
              <w:rPr>
                <w:noProof/>
                <w:webHidden/>
              </w:rPr>
            </w:r>
            <w:r w:rsidR="00DE2FE6">
              <w:rPr>
                <w:noProof/>
                <w:webHidden/>
              </w:rPr>
              <w:fldChar w:fldCharType="separate"/>
            </w:r>
            <w:r w:rsidR="00DE2FE6">
              <w:rPr>
                <w:noProof/>
                <w:webHidden/>
              </w:rPr>
              <w:t>151</w:t>
            </w:r>
            <w:r w:rsidR="00DE2FE6">
              <w:rPr>
                <w:noProof/>
                <w:webHidden/>
              </w:rPr>
              <w:fldChar w:fldCharType="end"/>
            </w:r>
          </w:hyperlink>
        </w:p>
        <w:p w14:paraId="2191D07D" w14:textId="7F75065C" w:rsidR="00DE2FE6" w:rsidRDefault="00C911EA">
          <w:pPr>
            <w:pStyle w:val="TOC3"/>
            <w:tabs>
              <w:tab w:val="right" w:leader="dot" w:pos="9487"/>
            </w:tabs>
            <w:rPr>
              <w:rFonts w:eastAsiaTheme="minorEastAsia"/>
              <w:noProof/>
              <w:lang w:eastAsia="bg-BG"/>
            </w:rPr>
          </w:pPr>
          <w:hyperlink w:anchor="_Toc103586686" w:history="1">
            <w:r w:rsidR="00DE2FE6" w:rsidRPr="00B01AEA">
              <w:rPr>
                <w:rStyle w:val="Hyperlink"/>
                <w:b/>
                <w:bCs/>
                <w:i/>
                <w:iCs/>
                <w:noProof/>
              </w:rPr>
              <w:t>SRI 2.2 Дял на училищата, които изпълняват методически планове за действие с разширена група ключови компетентности 2 години след въвеждането им</w:t>
            </w:r>
            <w:r w:rsidR="00DE2FE6">
              <w:rPr>
                <w:noProof/>
                <w:webHidden/>
              </w:rPr>
              <w:tab/>
            </w:r>
            <w:r w:rsidR="00DE2FE6">
              <w:rPr>
                <w:noProof/>
                <w:webHidden/>
              </w:rPr>
              <w:fldChar w:fldCharType="begin"/>
            </w:r>
            <w:r w:rsidR="00DE2FE6">
              <w:rPr>
                <w:noProof/>
                <w:webHidden/>
              </w:rPr>
              <w:instrText xml:space="preserve"> PAGEREF _Toc103586686 \h </w:instrText>
            </w:r>
            <w:r w:rsidR="00DE2FE6">
              <w:rPr>
                <w:noProof/>
                <w:webHidden/>
              </w:rPr>
            </w:r>
            <w:r w:rsidR="00DE2FE6">
              <w:rPr>
                <w:noProof/>
                <w:webHidden/>
              </w:rPr>
              <w:fldChar w:fldCharType="separate"/>
            </w:r>
            <w:r w:rsidR="00DE2FE6">
              <w:rPr>
                <w:noProof/>
                <w:webHidden/>
              </w:rPr>
              <w:t>156</w:t>
            </w:r>
            <w:r w:rsidR="00DE2FE6">
              <w:rPr>
                <w:noProof/>
                <w:webHidden/>
              </w:rPr>
              <w:fldChar w:fldCharType="end"/>
            </w:r>
          </w:hyperlink>
        </w:p>
        <w:p w14:paraId="71F80939" w14:textId="1FD35687" w:rsidR="00DE2FE6" w:rsidRDefault="00C911EA">
          <w:pPr>
            <w:pStyle w:val="TOC3"/>
            <w:tabs>
              <w:tab w:val="right" w:leader="dot" w:pos="9487"/>
            </w:tabs>
            <w:rPr>
              <w:rFonts w:eastAsiaTheme="minorEastAsia"/>
              <w:noProof/>
              <w:lang w:eastAsia="bg-BG"/>
            </w:rPr>
          </w:pPr>
          <w:hyperlink w:anchor="_Toc103586687" w:history="1">
            <w:r w:rsidR="00DE2FE6" w:rsidRPr="00B01AEA">
              <w:rPr>
                <w:rStyle w:val="Hyperlink"/>
                <w:b/>
                <w:bCs/>
                <w:i/>
                <w:iCs/>
                <w:noProof/>
              </w:rPr>
              <w:t>SRI 2.3 Брой потребители на разработените иновативни обучителни пакети</w:t>
            </w:r>
            <w:r w:rsidR="00DE2FE6">
              <w:rPr>
                <w:noProof/>
                <w:webHidden/>
              </w:rPr>
              <w:tab/>
            </w:r>
            <w:r w:rsidR="00DE2FE6">
              <w:rPr>
                <w:noProof/>
                <w:webHidden/>
              </w:rPr>
              <w:fldChar w:fldCharType="begin"/>
            </w:r>
            <w:r w:rsidR="00DE2FE6">
              <w:rPr>
                <w:noProof/>
                <w:webHidden/>
              </w:rPr>
              <w:instrText xml:space="preserve"> PAGEREF _Toc103586687 \h </w:instrText>
            </w:r>
            <w:r w:rsidR="00DE2FE6">
              <w:rPr>
                <w:noProof/>
                <w:webHidden/>
              </w:rPr>
            </w:r>
            <w:r w:rsidR="00DE2FE6">
              <w:rPr>
                <w:noProof/>
                <w:webHidden/>
              </w:rPr>
              <w:fldChar w:fldCharType="separate"/>
            </w:r>
            <w:r w:rsidR="00DE2FE6">
              <w:rPr>
                <w:noProof/>
                <w:webHidden/>
              </w:rPr>
              <w:t>158</w:t>
            </w:r>
            <w:r w:rsidR="00DE2FE6">
              <w:rPr>
                <w:noProof/>
                <w:webHidden/>
              </w:rPr>
              <w:fldChar w:fldCharType="end"/>
            </w:r>
          </w:hyperlink>
        </w:p>
        <w:p w14:paraId="5386CA4A" w14:textId="46154033" w:rsidR="00DE2FE6" w:rsidRDefault="00C911EA">
          <w:pPr>
            <w:pStyle w:val="TOC1"/>
            <w:tabs>
              <w:tab w:val="right" w:leader="dot" w:pos="9487"/>
            </w:tabs>
            <w:rPr>
              <w:rFonts w:eastAsiaTheme="minorEastAsia"/>
              <w:noProof/>
              <w:lang w:eastAsia="bg-BG"/>
            </w:rPr>
          </w:pPr>
          <w:hyperlink w:anchor="_Toc103586688" w:history="1">
            <w:r w:rsidR="00DE2FE6" w:rsidRPr="00B01AEA">
              <w:rPr>
                <w:rStyle w:val="Hyperlink"/>
                <w:rFonts w:ascii="Times New Roman" w:hAnsi="Times New Roman" w:cs="Times New Roman"/>
                <w:noProof/>
              </w:rPr>
              <w:t>ПРИОРИТЕТ 3 – ВРЪЗКА НА ОБРАЗОВАНИЕТО С ПАЗАРА НА ТРУДА</w:t>
            </w:r>
            <w:r w:rsidR="00DE2FE6">
              <w:rPr>
                <w:noProof/>
                <w:webHidden/>
              </w:rPr>
              <w:tab/>
            </w:r>
            <w:r w:rsidR="00DE2FE6">
              <w:rPr>
                <w:noProof/>
                <w:webHidden/>
              </w:rPr>
              <w:fldChar w:fldCharType="begin"/>
            </w:r>
            <w:r w:rsidR="00DE2FE6">
              <w:rPr>
                <w:noProof/>
                <w:webHidden/>
              </w:rPr>
              <w:instrText xml:space="preserve"> PAGEREF _Toc103586688 \h </w:instrText>
            </w:r>
            <w:r w:rsidR="00DE2FE6">
              <w:rPr>
                <w:noProof/>
                <w:webHidden/>
              </w:rPr>
            </w:r>
            <w:r w:rsidR="00DE2FE6">
              <w:rPr>
                <w:noProof/>
                <w:webHidden/>
              </w:rPr>
              <w:fldChar w:fldCharType="separate"/>
            </w:r>
            <w:r w:rsidR="00DE2FE6">
              <w:rPr>
                <w:noProof/>
                <w:webHidden/>
              </w:rPr>
              <w:t>160</w:t>
            </w:r>
            <w:r w:rsidR="00DE2FE6">
              <w:rPr>
                <w:noProof/>
                <w:webHidden/>
              </w:rPr>
              <w:fldChar w:fldCharType="end"/>
            </w:r>
          </w:hyperlink>
        </w:p>
        <w:p w14:paraId="750B5903" w14:textId="3DC59802" w:rsidR="00DE2FE6" w:rsidRDefault="00C911EA">
          <w:pPr>
            <w:pStyle w:val="TOC2"/>
            <w:tabs>
              <w:tab w:val="right" w:leader="dot" w:pos="9487"/>
            </w:tabs>
            <w:rPr>
              <w:rFonts w:eastAsiaTheme="minorEastAsia"/>
              <w:noProof/>
              <w:lang w:eastAsia="bg-BG"/>
            </w:rPr>
          </w:pPr>
          <w:hyperlink w:anchor="_Toc103586689" w:history="1">
            <w:r w:rsidR="00DE2FE6" w:rsidRPr="00B01AEA">
              <w:rPr>
                <w:rStyle w:val="Hyperlink"/>
                <w:rFonts w:ascii="Times New Roman" w:hAnsi="Times New Roman" w:cs="Times New Roman"/>
                <w:b/>
                <w:bCs/>
                <w:noProof/>
              </w:rPr>
              <w:t>СЦ по чл. 4, пар. 1, буква д)</w:t>
            </w:r>
            <w:r w:rsidR="00DE2FE6">
              <w:rPr>
                <w:noProof/>
                <w:webHidden/>
              </w:rPr>
              <w:tab/>
            </w:r>
            <w:r w:rsidR="00DE2FE6">
              <w:rPr>
                <w:noProof/>
                <w:webHidden/>
              </w:rPr>
              <w:fldChar w:fldCharType="begin"/>
            </w:r>
            <w:r w:rsidR="00DE2FE6">
              <w:rPr>
                <w:noProof/>
                <w:webHidden/>
              </w:rPr>
              <w:instrText xml:space="preserve"> PAGEREF _Toc103586689 \h </w:instrText>
            </w:r>
            <w:r w:rsidR="00DE2FE6">
              <w:rPr>
                <w:noProof/>
                <w:webHidden/>
              </w:rPr>
            </w:r>
            <w:r w:rsidR="00DE2FE6">
              <w:rPr>
                <w:noProof/>
                <w:webHidden/>
              </w:rPr>
              <w:fldChar w:fldCharType="separate"/>
            </w:r>
            <w:r w:rsidR="00DE2FE6">
              <w:rPr>
                <w:noProof/>
                <w:webHidden/>
              </w:rPr>
              <w:t>160</w:t>
            </w:r>
            <w:r w:rsidR="00DE2FE6">
              <w:rPr>
                <w:noProof/>
                <w:webHidden/>
              </w:rPr>
              <w:fldChar w:fldCharType="end"/>
            </w:r>
          </w:hyperlink>
        </w:p>
        <w:p w14:paraId="4F62CA04" w14:textId="1C18F9A6" w:rsidR="00DE2FE6" w:rsidRDefault="00C911EA">
          <w:pPr>
            <w:pStyle w:val="TOC3"/>
            <w:tabs>
              <w:tab w:val="right" w:leader="dot" w:pos="9487"/>
            </w:tabs>
            <w:rPr>
              <w:rFonts w:eastAsiaTheme="minorEastAsia"/>
              <w:noProof/>
              <w:lang w:eastAsia="bg-BG"/>
            </w:rPr>
          </w:pPr>
          <w:hyperlink w:anchor="_Toc103586690" w:history="1">
            <w:r w:rsidR="00DE2FE6" w:rsidRPr="00B01AEA">
              <w:rPr>
                <w:rStyle w:val="Hyperlink"/>
                <w:rFonts w:ascii="Times New Roman" w:hAnsi="Times New Roman" w:cs="Times New Roman"/>
                <w:noProof/>
              </w:rPr>
              <w:t>Показатели за крайни продукти</w:t>
            </w:r>
            <w:r w:rsidR="00DE2FE6">
              <w:rPr>
                <w:noProof/>
                <w:webHidden/>
              </w:rPr>
              <w:tab/>
            </w:r>
            <w:r w:rsidR="00DE2FE6">
              <w:rPr>
                <w:noProof/>
                <w:webHidden/>
              </w:rPr>
              <w:fldChar w:fldCharType="begin"/>
            </w:r>
            <w:r w:rsidR="00DE2FE6">
              <w:rPr>
                <w:noProof/>
                <w:webHidden/>
              </w:rPr>
              <w:instrText xml:space="preserve"> PAGEREF _Toc103586690 \h </w:instrText>
            </w:r>
            <w:r w:rsidR="00DE2FE6">
              <w:rPr>
                <w:noProof/>
                <w:webHidden/>
              </w:rPr>
            </w:r>
            <w:r w:rsidR="00DE2FE6">
              <w:rPr>
                <w:noProof/>
                <w:webHidden/>
              </w:rPr>
              <w:fldChar w:fldCharType="separate"/>
            </w:r>
            <w:r w:rsidR="00DE2FE6">
              <w:rPr>
                <w:noProof/>
                <w:webHidden/>
              </w:rPr>
              <w:t>160</w:t>
            </w:r>
            <w:r w:rsidR="00DE2FE6">
              <w:rPr>
                <w:noProof/>
                <w:webHidden/>
              </w:rPr>
              <w:fldChar w:fldCharType="end"/>
            </w:r>
          </w:hyperlink>
        </w:p>
        <w:p w14:paraId="1BECD419" w14:textId="55DB1320" w:rsidR="00DE2FE6" w:rsidRDefault="00C911EA">
          <w:pPr>
            <w:pStyle w:val="TOC3"/>
            <w:tabs>
              <w:tab w:val="right" w:leader="dot" w:pos="9487"/>
            </w:tabs>
            <w:rPr>
              <w:rFonts w:eastAsiaTheme="minorEastAsia"/>
              <w:noProof/>
              <w:lang w:eastAsia="bg-BG"/>
            </w:rPr>
          </w:pPr>
          <w:hyperlink w:anchor="_Toc103586691" w:history="1">
            <w:r w:rsidR="00DE2FE6" w:rsidRPr="00B01AEA">
              <w:rPr>
                <w:rStyle w:val="Hyperlink"/>
                <w:b/>
                <w:bCs/>
                <w:i/>
                <w:iCs/>
                <w:noProof/>
              </w:rPr>
              <w:t>EECO05 Заети, включително самостоятелно заети</w:t>
            </w:r>
            <w:r w:rsidR="00DE2FE6">
              <w:rPr>
                <w:noProof/>
                <w:webHidden/>
              </w:rPr>
              <w:tab/>
            </w:r>
            <w:r w:rsidR="00DE2FE6">
              <w:rPr>
                <w:noProof/>
                <w:webHidden/>
              </w:rPr>
              <w:fldChar w:fldCharType="begin"/>
            </w:r>
            <w:r w:rsidR="00DE2FE6">
              <w:rPr>
                <w:noProof/>
                <w:webHidden/>
              </w:rPr>
              <w:instrText xml:space="preserve"> PAGEREF _Toc103586691 \h </w:instrText>
            </w:r>
            <w:r w:rsidR="00DE2FE6">
              <w:rPr>
                <w:noProof/>
                <w:webHidden/>
              </w:rPr>
            </w:r>
            <w:r w:rsidR="00DE2FE6">
              <w:rPr>
                <w:noProof/>
                <w:webHidden/>
              </w:rPr>
              <w:fldChar w:fldCharType="separate"/>
            </w:r>
            <w:r w:rsidR="00DE2FE6">
              <w:rPr>
                <w:noProof/>
                <w:webHidden/>
              </w:rPr>
              <w:t>160</w:t>
            </w:r>
            <w:r w:rsidR="00DE2FE6">
              <w:rPr>
                <w:noProof/>
                <w:webHidden/>
              </w:rPr>
              <w:fldChar w:fldCharType="end"/>
            </w:r>
          </w:hyperlink>
        </w:p>
        <w:p w14:paraId="679171FC" w14:textId="5E5A8FD3" w:rsidR="00DE2FE6" w:rsidRDefault="00C911EA">
          <w:pPr>
            <w:pStyle w:val="TOC3"/>
            <w:tabs>
              <w:tab w:val="right" w:leader="dot" w:pos="9487"/>
            </w:tabs>
            <w:rPr>
              <w:rFonts w:eastAsiaTheme="minorEastAsia"/>
              <w:noProof/>
              <w:lang w:eastAsia="bg-BG"/>
            </w:rPr>
          </w:pPr>
          <w:hyperlink w:anchor="_Toc103586692" w:history="1">
            <w:r w:rsidR="00DE2FE6" w:rsidRPr="00B01AEA">
              <w:rPr>
                <w:rStyle w:val="Hyperlink"/>
                <w:b/>
                <w:bCs/>
                <w:i/>
                <w:iCs/>
                <w:noProof/>
              </w:rPr>
              <w:t>EECO09 Участници с прогимназиален етап на основното образование или по-ниска степен (ISCED 0-2)</w:t>
            </w:r>
            <w:r w:rsidR="00DE2FE6">
              <w:rPr>
                <w:noProof/>
                <w:webHidden/>
              </w:rPr>
              <w:tab/>
            </w:r>
            <w:r w:rsidR="00DE2FE6">
              <w:rPr>
                <w:noProof/>
                <w:webHidden/>
              </w:rPr>
              <w:fldChar w:fldCharType="begin"/>
            </w:r>
            <w:r w:rsidR="00DE2FE6">
              <w:rPr>
                <w:noProof/>
                <w:webHidden/>
              </w:rPr>
              <w:instrText xml:space="preserve"> PAGEREF _Toc103586692 \h </w:instrText>
            </w:r>
            <w:r w:rsidR="00DE2FE6">
              <w:rPr>
                <w:noProof/>
                <w:webHidden/>
              </w:rPr>
            </w:r>
            <w:r w:rsidR="00DE2FE6">
              <w:rPr>
                <w:noProof/>
                <w:webHidden/>
              </w:rPr>
              <w:fldChar w:fldCharType="separate"/>
            </w:r>
            <w:r w:rsidR="00DE2FE6">
              <w:rPr>
                <w:noProof/>
                <w:webHidden/>
              </w:rPr>
              <w:t>163</w:t>
            </w:r>
            <w:r w:rsidR="00DE2FE6">
              <w:rPr>
                <w:noProof/>
                <w:webHidden/>
              </w:rPr>
              <w:fldChar w:fldCharType="end"/>
            </w:r>
          </w:hyperlink>
        </w:p>
        <w:p w14:paraId="51CEC582" w14:textId="77BA50A6" w:rsidR="00DE2FE6" w:rsidRDefault="00C911EA">
          <w:pPr>
            <w:pStyle w:val="TOC3"/>
            <w:tabs>
              <w:tab w:val="right" w:leader="dot" w:pos="9487"/>
            </w:tabs>
            <w:rPr>
              <w:rFonts w:eastAsiaTheme="minorEastAsia"/>
              <w:noProof/>
              <w:lang w:eastAsia="bg-BG"/>
            </w:rPr>
          </w:pPr>
          <w:hyperlink w:anchor="_Toc103586693" w:history="1">
            <w:r w:rsidR="00DE2FE6" w:rsidRPr="00B01AEA">
              <w:rPr>
                <w:rStyle w:val="Hyperlink"/>
                <w:b/>
                <w:bCs/>
                <w:i/>
                <w:iCs/>
                <w:noProof/>
              </w:rPr>
              <w:t>EEC010 Участници със средно образование (ISCED 3) или образование след средното образование (ISCED 4)</w:t>
            </w:r>
            <w:r w:rsidR="00DE2FE6">
              <w:rPr>
                <w:noProof/>
                <w:webHidden/>
              </w:rPr>
              <w:tab/>
            </w:r>
            <w:r w:rsidR="00DE2FE6">
              <w:rPr>
                <w:noProof/>
                <w:webHidden/>
              </w:rPr>
              <w:fldChar w:fldCharType="begin"/>
            </w:r>
            <w:r w:rsidR="00DE2FE6">
              <w:rPr>
                <w:noProof/>
                <w:webHidden/>
              </w:rPr>
              <w:instrText xml:space="preserve"> PAGEREF _Toc103586693 \h </w:instrText>
            </w:r>
            <w:r w:rsidR="00DE2FE6">
              <w:rPr>
                <w:noProof/>
                <w:webHidden/>
              </w:rPr>
            </w:r>
            <w:r w:rsidR="00DE2FE6">
              <w:rPr>
                <w:noProof/>
                <w:webHidden/>
              </w:rPr>
              <w:fldChar w:fldCharType="separate"/>
            </w:r>
            <w:r w:rsidR="00DE2FE6">
              <w:rPr>
                <w:noProof/>
                <w:webHidden/>
              </w:rPr>
              <w:t>167</w:t>
            </w:r>
            <w:r w:rsidR="00DE2FE6">
              <w:rPr>
                <w:noProof/>
                <w:webHidden/>
              </w:rPr>
              <w:fldChar w:fldCharType="end"/>
            </w:r>
          </w:hyperlink>
        </w:p>
        <w:p w14:paraId="047BFAD3" w14:textId="216AFCD7" w:rsidR="00DE2FE6" w:rsidRDefault="00C911EA">
          <w:pPr>
            <w:pStyle w:val="TOC3"/>
            <w:tabs>
              <w:tab w:val="right" w:leader="dot" w:pos="9487"/>
            </w:tabs>
            <w:rPr>
              <w:rFonts w:eastAsiaTheme="minorEastAsia"/>
              <w:noProof/>
              <w:lang w:eastAsia="bg-BG"/>
            </w:rPr>
          </w:pPr>
          <w:hyperlink w:anchor="_Toc103586694" w:history="1">
            <w:r w:rsidR="00DE2FE6" w:rsidRPr="00B01AEA">
              <w:rPr>
                <w:rStyle w:val="Hyperlink"/>
                <w:b/>
                <w:bCs/>
                <w:i/>
                <w:iCs/>
                <w:noProof/>
              </w:rPr>
              <w:t>EEC011 Участници с висше образование (ISCED 5 до 8)</w:t>
            </w:r>
            <w:r w:rsidR="00DE2FE6">
              <w:rPr>
                <w:noProof/>
                <w:webHidden/>
              </w:rPr>
              <w:tab/>
            </w:r>
            <w:r w:rsidR="00DE2FE6">
              <w:rPr>
                <w:noProof/>
                <w:webHidden/>
              </w:rPr>
              <w:fldChar w:fldCharType="begin"/>
            </w:r>
            <w:r w:rsidR="00DE2FE6">
              <w:rPr>
                <w:noProof/>
                <w:webHidden/>
              </w:rPr>
              <w:instrText xml:space="preserve"> PAGEREF _Toc103586694 \h </w:instrText>
            </w:r>
            <w:r w:rsidR="00DE2FE6">
              <w:rPr>
                <w:noProof/>
                <w:webHidden/>
              </w:rPr>
            </w:r>
            <w:r w:rsidR="00DE2FE6">
              <w:rPr>
                <w:noProof/>
                <w:webHidden/>
              </w:rPr>
              <w:fldChar w:fldCharType="separate"/>
            </w:r>
            <w:r w:rsidR="00DE2FE6">
              <w:rPr>
                <w:noProof/>
                <w:webHidden/>
              </w:rPr>
              <w:t>172</w:t>
            </w:r>
            <w:r w:rsidR="00DE2FE6">
              <w:rPr>
                <w:noProof/>
                <w:webHidden/>
              </w:rPr>
              <w:fldChar w:fldCharType="end"/>
            </w:r>
          </w:hyperlink>
        </w:p>
        <w:p w14:paraId="23522807" w14:textId="64D813F0" w:rsidR="00DE2FE6" w:rsidRDefault="00C911EA">
          <w:pPr>
            <w:pStyle w:val="TOC3"/>
            <w:tabs>
              <w:tab w:val="right" w:leader="dot" w:pos="9487"/>
            </w:tabs>
            <w:rPr>
              <w:rFonts w:eastAsiaTheme="minorEastAsia"/>
              <w:noProof/>
              <w:lang w:eastAsia="bg-BG"/>
            </w:rPr>
          </w:pPr>
          <w:hyperlink w:anchor="_Toc103586695" w:history="1">
            <w:r w:rsidR="00DE2FE6" w:rsidRPr="00B01AEA">
              <w:rPr>
                <w:rStyle w:val="Hyperlink"/>
                <w:b/>
                <w:bCs/>
                <w:i/>
                <w:iCs/>
                <w:noProof/>
              </w:rPr>
              <w:t>EECO15 малцинства (включително маргинализирани общности като ромите)</w:t>
            </w:r>
            <w:r w:rsidR="00DE2FE6">
              <w:rPr>
                <w:noProof/>
                <w:webHidden/>
              </w:rPr>
              <w:tab/>
            </w:r>
            <w:r w:rsidR="00DE2FE6">
              <w:rPr>
                <w:noProof/>
                <w:webHidden/>
              </w:rPr>
              <w:fldChar w:fldCharType="begin"/>
            </w:r>
            <w:r w:rsidR="00DE2FE6">
              <w:rPr>
                <w:noProof/>
                <w:webHidden/>
              </w:rPr>
              <w:instrText xml:space="preserve"> PAGEREF _Toc103586695 \h </w:instrText>
            </w:r>
            <w:r w:rsidR="00DE2FE6">
              <w:rPr>
                <w:noProof/>
                <w:webHidden/>
              </w:rPr>
            </w:r>
            <w:r w:rsidR="00DE2FE6">
              <w:rPr>
                <w:noProof/>
                <w:webHidden/>
              </w:rPr>
              <w:fldChar w:fldCharType="separate"/>
            </w:r>
            <w:r w:rsidR="00DE2FE6">
              <w:rPr>
                <w:noProof/>
                <w:webHidden/>
              </w:rPr>
              <w:t>175</w:t>
            </w:r>
            <w:r w:rsidR="00DE2FE6">
              <w:rPr>
                <w:noProof/>
                <w:webHidden/>
              </w:rPr>
              <w:fldChar w:fldCharType="end"/>
            </w:r>
          </w:hyperlink>
        </w:p>
        <w:p w14:paraId="21D650F0" w14:textId="530B51B1" w:rsidR="00DE2FE6" w:rsidRDefault="00C911EA">
          <w:pPr>
            <w:pStyle w:val="TOC3"/>
            <w:tabs>
              <w:tab w:val="right" w:leader="dot" w:pos="9487"/>
            </w:tabs>
            <w:rPr>
              <w:rFonts w:eastAsiaTheme="minorEastAsia"/>
              <w:noProof/>
              <w:lang w:eastAsia="bg-BG"/>
            </w:rPr>
          </w:pPr>
          <w:hyperlink w:anchor="_Toc103586696" w:history="1">
            <w:r w:rsidR="00DE2FE6" w:rsidRPr="00B01AEA">
              <w:rPr>
                <w:rStyle w:val="Hyperlink"/>
                <w:b/>
                <w:bCs/>
                <w:i/>
                <w:iCs/>
                <w:noProof/>
              </w:rPr>
              <w:t>SOI 3.1 Брой професионални училища въвели модернизирани учебни програми по професионална подготовка</w:t>
            </w:r>
            <w:r w:rsidR="00DE2FE6">
              <w:rPr>
                <w:noProof/>
                <w:webHidden/>
              </w:rPr>
              <w:tab/>
            </w:r>
            <w:r w:rsidR="00DE2FE6">
              <w:rPr>
                <w:noProof/>
                <w:webHidden/>
              </w:rPr>
              <w:fldChar w:fldCharType="begin"/>
            </w:r>
            <w:r w:rsidR="00DE2FE6">
              <w:rPr>
                <w:noProof/>
                <w:webHidden/>
              </w:rPr>
              <w:instrText xml:space="preserve"> PAGEREF _Toc103586696 \h </w:instrText>
            </w:r>
            <w:r w:rsidR="00DE2FE6">
              <w:rPr>
                <w:noProof/>
                <w:webHidden/>
              </w:rPr>
            </w:r>
            <w:r w:rsidR="00DE2FE6">
              <w:rPr>
                <w:noProof/>
                <w:webHidden/>
              </w:rPr>
              <w:fldChar w:fldCharType="separate"/>
            </w:r>
            <w:r w:rsidR="00DE2FE6">
              <w:rPr>
                <w:noProof/>
                <w:webHidden/>
              </w:rPr>
              <w:t>179</w:t>
            </w:r>
            <w:r w:rsidR="00DE2FE6">
              <w:rPr>
                <w:noProof/>
                <w:webHidden/>
              </w:rPr>
              <w:fldChar w:fldCharType="end"/>
            </w:r>
          </w:hyperlink>
        </w:p>
        <w:p w14:paraId="35EBCA19" w14:textId="3C949B09" w:rsidR="00DE2FE6" w:rsidRDefault="00C911EA">
          <w:pPr>
            <w:pStyle w:val="TOC3"/>
            <w:tabs>
              <w:tab w:val="right" w:leader="dot" w:pos="9487"/>
            </w:tabs>
            <w:rPr>
              <w:rFonts w:eastAsiaTheme="minorEastAsia"/>
              <w:noProof/>
              <w:lang w:eastAsia="bg-BG"/>
            </w:rPr>
          </w:pPr>
          <w:hyperlink w:anchor="_Toc103586697" w:history="1">
            <w:r w:rsidR="00DE2FE6" w:rsidRPr="00B01AEA">
              <w:rPr>
                <w:rStyle w:val="Hyperlink"/>
                <w:b/>
                <w:bCs/>
                <w:i/>
                <w:iCs/>
                <w:noProof/>
              </w:rPr>
              <w:t>SOI 3.2 Брой подкрепени Центрове за високи постижения (ЦВП)</w:t>
            </w:r>
            <w:r w:rsidR="00DE2FE6">
              <w:rPr>
                <w:noProof/>
                <w:webHidden/>
              </w:rPr>
              <w:tab/>
            </w:r>
            <w:r w:rsidR="00DE2FE6">
              <w:rPr>
                <w:noProof/>
                <w:webHidden/>
              </w:rPr>
              <w:fldChar w:fldCharType="begin"/>
            </w:r>
            <w:r w:rsidR="00DE2FE6">
              <w:rPr>
                <w:noProof/>
                <w:webHidden/>
              </w:rPr>
              <w:instrText xml:space="preserve"> PAGEREF _Toc103586697 \h </w:instrText>
            </w:r>
            <w:r w:rsidR="00DE2FE6">
              <w:rPr>
                <w:noProof/>
                <w:webHidden/>
              </w:rPr>
            </w:r>
            <w:r w:rsidR="00DE2FE6">
              <w:rPr>
                <w:noProof/>
                <w:webHidden/>
              </w:rPr>
              <w:fldChar w:fldCharType="separate"/>
            </w:r>
            <w:r w:rsidR="00DE2FE6">
              <w:rPr>
                <w:noProof/>
                <w:webHidden/>
              </w:rPr>
              <w:t>182</w:t>
            </w:r>
            <w:r w:rsidR="00DE2FE6">
              <w:rPr>
                <w:noProof/>
                <w:webHidden/>
              </w:rPr>
              <w:fldChar w:fldCharType="end"/>
            </w:r>
          </w:hyperlink>
        </w:p>
        <w:p w14:paraId="31B502CA" w14:textId="11216D58" w:rsidR="00DE2FE6" w:rsidRDefault="00C911EA">
          <w:pPr>
            <w:pStyle w:val="TOC3"/>
            <w:tabs>
              <w:tab w:val="right" w:leader="dot" w:pos="9487"/>
            </w:tabs>
            <w:rPr>
              <w:rFonts w:eastAsiaTheme="minorEastAsia"/>
              <w:noProof/>
              <w:lang w:eastAsia="bg-BG"/>
            </w:rPr>
          </w:pPr>
          <w:hyperlink w:anchor="_Toc103586698" w:history="1">
            <w:r w:rsidR="00DE2FE6" w:rsidRPr="00B01AEA">
              <w:rPr>
                <w:rStyle w:val="Hyperlink"/>
                <w:b/>
                <w:bCs/>
                <w:i/>
                <w:iCs/>
                <w:noProof/>
              </w:rPr>
              <w:t>SOI 3.3 Брой училища въвели дуална система на обучение</w:t>
            </w:r>
            <w:r w:rsidR="00DE2FE6">
              <w:rPr>
                <w:noProof/>
                <w:webHidden/>
              </w:rPr>
              <w:tab/>
            </w:r>
            <w:r w:rsidR="00DE2FE6">
              <w:rPr>
                <w:noProof/>
                <w:webHidden/>
              </w:rPr>
              <w:fldChar w:fldCharType="begin"/>
            </w:r>
            <w:r w:rsidR="00DE2FE6">
              <w:rPr>
                <w:noProof/>
                <w:webHidden/>
              </w:rPr>
              <w:instrText xml:space="preserve"> PAGEREF _Toc103586698 \h </w:instrText>
            </w:r>
            <w:r w:rsidR="00DE2FE6">
              <w:rPr>
                <w:noProof/>
                <w:webHidden/>
              </w:rPr>
            </w:r>
            <w:r w:rsidR="00DE2FE6">
              <w:rPr>
                <w:noProof/>
                <w:webHidden/>
              </w:rPr>
              <w:fldChar w:fldCharType="separate"/>
            </w:r>
            <w:r w:rsidR="00DE2FE6">
              <w:rPr>
                <w:noProof/>
                <w:webHidden/>
              </w:rPr>
              <w:t>184</w:t>
            </w:r>
            <w:r w:rsidR="00DE2FE6">
              <w:rPr>
                <w:noProof/>
                <w:webHidden/>
              </w:rPr>
              <w:fldChar w:fldCharType="end"/>
            </w:r>
          </w:hyperlink>
        </w:p>
        <w:p w14:paraId="0838D3D5" w14:textId="7CF95497" w:rsidR="00DE2FE6" w:rsidRDefault="00C911EA">
          <w:pPr>
            <w:pStyle w:val="TOC3"/>
            <w:tabs>
              <w:tab w:val="right" w:leader="dot" w:pos="9487"/>
            </w:tabs>
            <w:rPr>
              <w:rFonts w:eastAsiaTheme="minorEastAsia"/>
              <w:noProof/>
              <w:lang w:eastAsia="bg-BG"/>
            </w:rPr>
          </w:pPr>
          <w:hyperlink w:anchor="_Toc103586699" w:history="1">
            <w:r w:rsidR="00DE2FE6" w:rsidRPr="00B01AEA">
              <w:rPr>
                <w:rStyle w:val="Hyperlink"/>
                <w:b/>
                <w:bCs/>
                <w:i/>
                <w:iCs/>
                <w:noProof/>
              </w:rPr>
              <w:t>SOI 3.4 Брой висши училища, въвели дуална форма на преподаване</w:t>
            </w:r>
            <w:r w:rsidR="00DE2FE6">
              <w:rPr>
                <w:noProof/>
                <w:webHidden/>
              </w:rPr>
              <w:tab/>
            </w:r>
            <w:r w:rsidR="00DE2FE6">
              <w:rPr>
                <w:noProof/>
                <w:webHidden/>
              </w:rPr>
              <w:fldChar w:fldCharType="begin"/>
            </w:r>
            <w:r w:rsidR="00DE2FE6">
              <w:rPr>
                <w:noProof/>
                <w:webHidden/>
              </w:rPr>
              <w:instrText xml:space="preserve"> PAGEREF _Toc103586699 \h </w:instrText>
            </w:r>
            <w:r w:rsidR="00DE2FE6">
              <w:rPr>
                <w:noProof/>
                <w:webHidden/>
              </w:rPr>
            </w:r>
            <w:r w:rsidR="00DE2FE6">
              <w:rPr>
                <w:noProof/>
                <w:webHidden/>
              </w:rPr>
              <w:fldChar w:fldCharType="separate"/>
            </w:r>
            <w:r w:rsidR="00DE2FE6">
              <w:rPr>
                <w:noProof/>
                <w:webHidden/>
              </w:rPr>
              <w:t>187</w:t>
            </w:r>
            <w:r w:rsidR="00DE2FE6">
              <w:rPr>
                <w:noProof/>
                <w:webHidden/>
              </w:rPr>
              <w:fldChar w:fldCharType="end"/>
            </w:r>
          </w:hyperlink>
        </w:p>
        <w:p w14:paraId="07233AB2" w14:textId="1B86F134" w:rsidR="00DE2FE6" w:rsidRDefault="00C911EA">
          <w:pPr>
            <w:pStyle w:val="TOC3"/>
            <w:tabs>
              <w:tab w:val="right" w:leader="dot" w:pos="9487"/>
            </w:tabs>
            <w:rPr>
              <w:rFonts w:eastAsiaTheme="minorEastAsia"/>
              <w:noProof/>
              <w:lang w:eastAsia="bg-BG"/>
            </w:rPr>
          </w:pPr>
          <w:hyperlink w:anchor="_Toc103586700" w:history="1">
            <w:r w:rsidR="00DE2FE6" w:rsidRPr="00B01AEA">
              <w:rPr>
                <w:rStyle w:val="Hyperlink"/>
                <w:rFonts w:ascii="Times New Roman" w:hAnsi="Times New Roman" w:cs="Times New Roman"/>
                <w:noProof/>
              </w:rPr>
              <w:t>Показатели за резултатите</w:t>
            </w:r>
            <w:r w:rsidR="00DE2FE6">
              <w:rPr>
                <w:noProof/>
                <w:webHidden/>
              </w:rPr>
              <w:tab/>
            </w:r>
            <w:r w:rsidR="00DE2FE6">
              <w:rPr>
                <w:noProof/>
                <w:webHidden/>
              </w:rPr>
              <w:fldChar w:fldCharType="begin"/>
            </w:r>
            <w:r w:rsidR="00DE2FE6">
              <w:rPr>
                <w:noProof/>
                <w:webHidden/>
              </w:rPr>
              <w:instrText xml:space="preserve"> PAGEREF _Toc103586700 \h </w:instrText>
            </w:r>
            <w:r w:rsidR="00DE2FE6">
              <w:rPr>
                <w:noProof/>
                <w:webHidden/>
              </w:rPr>
            </w:r>
            <w:r w:rsidR="00DE2FE6">
              <w:rPr>
                <w:noProof/>
                <w:webHidden/>
              </w:rPr>
              <w:fldChar w:fldCharType="separate"/>
            </w:r>
            <w:r w:rsidR="00DE2FE6">
              <w:rPr>
                <w:noProof/>
                <w:webHidden/>
              </w:rPr>
              <w:t>189</w:t>
            </w:r>
            <w:r w:rsidR="00DE2FE6">
              <w:rPr>
                <w:noProof/>
                <w:webHidden/>
              </w:rPr>
              <w:fldChar w:fldCharType="end"/>
            </w:r>
          </w:hyperlink>
        </w:p>
        <w:p w14:paraId="6D8F677F" w14:textId="05CCFB03" w:rsidR="00DE2FE6" w:rsidRDefault="00C911EA">
          <w:pPr>
            <w:pStyle w:val="TOC3"/>
            <w:tabs>
              <w:tab w:val="right" w:leader="dot" w:pos="9487"/>
            </w:tabs>
            <w:rPr>
              <w:rFonts w:eastAsiaTheme="minorEastAsia"/>
              <w:noProof/>
              <w:lang w:eastAsia="bg-BG"/>
            </w:rPr>
          </w:pPr>
          <w:hyperlink w:anchor="_Toc103586701" w:history="1">
            <w:r w:rsidR="00DE2FE6" w:rsidRPr="00B01AEA">
              <w:rPr>
                <w:rStyle w:val="Hyperlink"/>
                <w:b/>
                <w:bCs/>
                <w:i/>
                <w:iCs/>
                <w:noProof/>
              </w:rPr>
              <w:t>EECR02 Участници, които при напускане на операцията са ангажирани с образование или обучение</w:t>
            </w:r>
            <w:r w:rsidR="00DE2FE6">
              <w:rPr>
                <w:noProof/>
                <w:webHidden/>
              </w:rPr>
              <w:tab/>
            </w:r>
            <w:r w:rsidR="00DE2FE6">
              <w:rPr>
                <w:noProof/>
                <w:webHidden/>
              </w:rPr>
              <w:fldChar w:fldCharType="begin"/>
            </w:r>
            <w:r w:rsidR="00DE2FE6">
              <w:rPr>
                <w:noProof/>
                <w:webHidden/>
              </w:rPr>
              <w:instrText xml:space="preserve"> PAGEREF _Toc103586701 \h </w:instrText>
            </w:r>
            <w:r w:rsidR="00DE2FE6">
              <w:rPr>
                <w:noProof/>
                <w:webHidden/>
              </w:rPr>
            </w:r>
            <w:r w:rsidR="00DE2FE6">
              <w:rPr>
                <w:noProof/>
                <w:webHidden/>
              </w:rPr>
              <w:fldChar w:fldCharType="separate"/>
            </w:r>
            <w:r w:rsidR="00DE2FE6">
              <w:rPr>
                <w:noProof/>
                <w:webHidden/>
              </w:rPr>
              <w:t>189</w:t>
            </w:r>
            <w:r w:rsidR="00DE2FE6">
              <w:rPr>
                <w:noProof/>
                <w:webHidden/>
              </w:rPr>
              <w:fldChar w:fldCharType="end"/>
            </w:r>
          </w:hyperlink>
        </w:p>
        <w:p w14:paraId="3182731E" w14:textId="439F33CE" w:rsidR="00DE2FE6" w:rsidRDefault="00C911EA">
          <w:pPr>
            <w:pStyle w:val="TOC3"/>
            <w:tabs>
              <w:tab w:val="right" w:leader="dot" w:pos="9487"/>
            </w:tabs>
            <w:rPr>
              <w:rFonts w:eastAsiaTheme="minorEastAsia"/>
              <w:noProof/>
              <w:lang w:eastAsia="bg-BG"/>
            </w:rPr>
          </w:pPr>
          <w:hyperlink w:anchor="_Toc103586702" w:history="1">
            <w:r w:rsidR="00DE2FE6" w:rsidRPr="00B01AEA">
              <w:rPr>
                <w:rStyle w:val="Hyperlink"/>
                <w:b/>
                <w:bCs/>
                <w:i/>
                <w:iCs/>
                <w:noProof/>
              </w:rPr>
              <w:t>EECR03  участници, които при напускане на операцията получават квалификация</w:t>
            </w:r>
            <w:r w:rsidR="00DE2FE6">
              <w:rPr>
                <w:noProof/>
                <w:webHidden/>
              </w:rPr>
              <w:tab/>
            </w:r>
            <w:r w:rsidR="00DE2FE6">
              <w:rPr>
                <w:noProof/>
                <w:webHidden/>
              </w:rPr>
              <w:fldChar w:fldCharType="begin"/>
            </w:r>
            <w:r w:rsidR="00DE2FE6">
              <w:rPr>
                <w:noProof/>
                <w:webHidden/>
              </w:rPr>
              <w:instrText xml:space="preserve"> PAGEREF _Toc103586702 \h </w:instrText>
            </w:r>
            <w:r w:rsidR="00DE2FE6">
              <w:rPr>
                <w:noProof/>
                <w:webHidden/>
              </w:rPr>
            </w:r>
            <w:r w:rsidR="00DE2FE6">
              <w:rPr>
                <w:noProof/>
                <w:webHidden/>
              </w:rPr>
              <w:fldChar w:fldCharType="separate"/>
            </w:r>
            <w:r w:rsidR="00DE2FE6">
              <w:rPr>
                <w:noProof/>
                <w:webHidden/>
              </w:rPr>
              <w:t>193</w:t>
            </w:r>
            <w:r w:rsidR="00DE2FE6">
              <w:rPr>
                <w:noProof/>
                <w:webHidden/>
              </w:rPr>
              <w:fldChar w:fldCharType="end"/>
            </w:r>
          </w:hyperlink>
        </w:p>
        <w:p w14:paraId="748702AA" w14:textId="2A26A066" w:rsidR="00DE2FE6" w:rsidRDefault="00C911EA">
          <w:pPr>
            <w:pStyle w:val="TOC3"/>
            <w:tabs>
              <w:tab w:val="right" w:leader="dot" w:pos="9487"/>
            </w:tabs>
            <w:rPr>
              <w:rFonts w:eastAsiaTheme="minorEastAsia"/>
              <w:noProof/>
              <w:lang w:eastAsia="bg-BG"/>
            </w:rPr>
          </w:pPr>
          <w:hyperlink w:anchor="_Toc103586703" w:history="1">
            <w:r w:rsidR="00DE2FE6" w:rsidRPr="00B01AEA">
              <w:rPr>
                <w:rStyle w:val="Hyperlink"/>
                <w:b/>
                <w:bCs/>
                <w:i/>
                <w:iCs/>
                <w:noProof/>
              </w:rPr>
              <w:t>ЕЕСR04 - Участници, които при напускане на операцията имат работа, включително като самостоятелно заети лица</w:t>
            </w:r>
            <w:r w:rsidR="00DE2FE6">
              <w:rPr>
                <w:noProof/>
                <w:webHidden/>
              </w:rPr>
              <w:tab/>
            </w:r>
            <w:r w:rsidR="00DE2FE6">
              <w:rPr>
                <w:noProof/>
                <w:webHidden/>
              </w:rPr>
              <w:fldChar w:fldCharType="begin"/>
            </w:r>
            <w:r w:rsidR="00DE2FE6">
              <w:rPr>
                <w:noProof/>
                <w:webHidden/>
              </w:rPr>
              <w:instrText xml:space="preserve"> PAGEREF _Toc103586703 \h </w:instrText>
            </w:r>
            <w:r w:rsidR="00DE2FE6">
              <w:rPr>
                <w:noProof/>
                <w:webHidden/>
              </w:rPr>
            </w:r>
            <w:r w:rsidR="00DE2FE6">
              <w:rPr>
                <w:noProof/>
                <w:webHidden/>
              </w:rPr>
              <w:fldChar w:fldCharType="separate"/>
            </w:r>
            <w:r w:rsidR="00DE2FE6">
              <w:rPr>
                <w:noProof/>
                <w:webHidden/>
              </w:rPr>
              <w:t>196</w:t>
            </w:r>
            <w:r w:rsidR="00DE2FE6">
              <w:rPr>
                <w:noProof/>
                <w:webHidden/>
              </w:rPr>
              <w:fldChar w:fldCharType="end"/>
            </w:r>
          </w:hyperlink>
        </w:p>
        <w:p w14:paraId="7A7E1982" w14:textId="6B942A54" w:rsidR="00DE2FE6" w:rsidRDefault="00C911EA">
          <w:pPr>
            <w:pStyle w:val="TOC3"/>
            <w:tabs>
              <w:tab w:val="right" w:leader="dot" w:pos="9487"/>
            </w:tabs>
            <w:rPr>
              <w:rFonts w:eastAsiaTheme="minorEastAsia"/>
              <w:noProof/>
              <w:lang w:eastAsia="bg-BG"/>
            </w:rPr>
          </w:pPr>
          <w:hyperlink w:anchor="_Toc103586704" w:history="1">
            <w:r w:rsidR="00DE2FE6" w:rsidRPr="00B01AEA">
              <w:rPr>
                <w:rStyle w:val="Hyperlink"/>
                <w:b/>
                <w:bCs/>
                <w:i/>
                <w:iCs/>
                <w:noProof/>
              </w:rPr>
              <w:t>SRI 3.1 – Ученици и студенти, започнали да търсят работа</w:t>
            </w:r>
            <w:r w:rsidR="00DE2FE6">
              <w:rPr>
                <w:noProof/>
                <w:webHidden/>
              </w:rPr>
              <w:tab/>
            </w:r>
            <w:r w:rsidR="00DE2FE6">
              <w:rPr>
                <w:noProof/>
                <w:webHidden/>
              </w:rPr>
              <w:fldChar w:fldCharType="begin"/>
            </w:r>
            <w:r w:rsidR="00DE2FE6">
              <w:rPr>
                <w:noProof/>
                <w:webHidden/>
              </w:rPr>
              <w:instrText xml:space="preserve"> PAGEREF _Toc103586704 \h </w:instrText>
            </w:r>
            <w:r w:rsidR="00DE2FE6">
              <w:rPr>
                <w:noProof/>
                <w:webHidden/>
              </w:rPr>
            </w:r>
            <w:r w:rsidR="00DE2FE6">
              <w:rPr>
                <w:noProof/>
                <w:webHidden/>
              </w:rPr>
              <w:fldChar w:fldCharType="separate"/>
            </w:r>
            <w:r w:rsidR="00DE2FE6">
              <w:rPr>
                <w:noProof/>
                <w:webHidden/>
              </w:rPr>
              <w:t>199</w:t>
            </w:r>
            <w:r w:rsidR="00DE2FE6">
              <w:rPr>
                <w:noProof/>
                <w:webHidden/>
              </w:rPr>
              <w:fldChar w:fldCharType="end"/>
            </w:r>
          </w:hyperlink>
        </w:p>
        <w:p w14:paraId="52A583D7" w14:textId="4E37C975" w:rsidR="00DE2FE6" w:rsidRDefault="00C911EA">
          <w:pPr>
            <w:pStyle w:val="TOC3"/>
            <w:tabs>
              <w:tab w:val="right" w:leader="dot" w:pos="9487"/>
            </w:tabs>
            <w:rPr>
              <w:rFonts w:eastAsiaTheme="minorEastAsia"/>
              <w:noProof/>
              <w:lang w:eastAsia="bg-BG"/>
            </w:rPr>
          </w:pPr>
          <w:hyperlink w:anchor="_Toc103586705" w:history="1">
            <w:r w:rsidR="00DE2FE6" w:rsidRPr="00B01AEA">
              <w:rPr>
                <w:rStyle w:val="Hyperlink"/>
                <w:b/>
                <w:bCs/>
                <w:i/>
                <w:iCs/>
                <w:noProof/>
              </w:rPr>
              <w:t>SRI 3.2 Брой студенти, които се обучават в дуална форма</w:t>
            </w:r>
            <w:r w:rsidR="00DE2FE6">
              <w:rPr>
                <w:noProof/>
                <w:webHidden/>
              </w:rPr>
              <w:tab/>
            </w:r>
            <w:r w:rsidR="00DE2FE6">
              <w:rPr>
                <w:noProof/>
                <w:webHidden/>
              </w:rPr>
              <w:fldChar w:fldCharType="begin"/>
            </w:r>
            <w:r w:rsidR="00DE2FE6">
              <w:rPr>
                <w:noProof/>
                <w:webHidden/>
              </w:rPr>
              <w:instrText xml:space="preserve"> PAGEREF _Toc103586705 \h </w:instrText>
            </w:r>
            <w:r w:rsidR="00DE2FE6">
              <w:rPr>
                <w:noProof/>
                <w:webHidden/>
              </w:rPr>
            </w:r>
            <w:r w:rsidR="00DE2FE6">
              <w:rPr>
                <w:noProof/>
                <w:webHidden/>
              </w:rPr>
              <w:fldChar w:fldCharType="separate"/>
            </w:r>
            <w:r w:rsidR="00DE2FE6">
              <w:rPr>
                <w:noProof/>
                <w:webHidden/>
              </w:rPr>
              <w:t>202</w:t>
            </w:r>
            <w:r w:rsidR="00DE2FE6">
              <w:rPr>
                <w:noProof/>
                <w:webHidden/>
              </w:rPr>
              <w:fldChar w:fldCharType="end"/>
            </w:r>
          </w:hyperlink>
        </w:p>
        <w:p w14:paraId="32BFB370" w14:textId="23E5C108" w:rsidR="00DE2FE6" w:rsidRDefault="00C911EA">
          <w:pPr>
            <w:pStyle w:val="TOC3"/>
            <w:tabs>
              <w:tab w:val="right" w:leader="dot" w:pos="9487"/>
            </w:tabs>
            <w:rPr>
              <w:rFonts w:eastAsiaTheme="minorEastAsia"/>
              <w:noProof/>
              <w:lang w:eastAsia="bg-BG"/>
            </w:rPr>
          </w:pPr>
          <w:hyperlink w:anchor="_Toc103586706" w:history="1">
            <w:r w:rsidR="00DE2FE6" w:rsidRPr="00B01AEA">
              <w:rPr>
                <w:rStyle w:val="Hyperlink"/>
                <w:b/>
                <w:bCs/>
                <w:i/>
                <w:iCs/>
                <w:noProof/>
              </w:rPr>
              <w:t>SRI 3.3. Участници, които остават в образование</w:t>
            </w:r>
            <w:r w:rsidR="00DE2FE6">
              <w:rPr>
                <w:noProof/>
                <w:webHidden/>
              </w:rPr>
              <w:tab/>
            </w:r>
            <w:r w:rsidR="00DE2FE6">
              <w:rPr>
                <w:noProof/>
                <w:webHidden/>
              </w:rPr>
              <w:fldChar w:fldCharType="begin"/>
            </w:r>
            <w:r w:rsidR="00DE2FE6">
              <w:rPr>
                <w:noProof/>
                <w:webHidden/>
              </w:rPr>
              <w:instrText xml:space="preserve"> PAGEREF _Toc103586706 \h </w:instrText>
            </w:r>
            <w:r w:rsidR="00DE2FE6">
              <w:rPr>
                <w:noProof/>
                <w:webHidden/>
              </w:rPr>
            </w:r>
            <w:r w:rsidR="00DE2FE6">
              <w:rPr>
                <w:noProof/>
                <w:webHidden/>
              </w:rPr>
              <w:fldChar w:fldCharType="separate"/>
            </w:r>
            <w:r w:rsidR="00DE2FE6">
              <w:rPr>
                <w:noProof/>
                <w:webHidden/>
              </w:rPr>
              <w:t>204</w:t>
            </w:r>
            <w:r w:rsidR="00DE2FE6">
              <w:rPr>
                <w:noProof/>
                <w:webHidden/>
              </w:rPr>
              <w:fldChar w:fldCharType="end"/>
            </w:r>
          </w:hyperlink>
        </w:p>
        <w:p w14:paraId="7F538B7A" w14:textId="5BBB9DD9" w:rsidR="00DE2FE6" w:rsidRDefault="00C911EA">
          <w:pPr>
            <w:pStyle w:val="TOC3"/>
            <w:tabs>
              <w:tab w:val="right" w:leader="dot" w:pos="9487"/>
            </w:tabs>
            <w:rPr>
              <w:rFonts w:eastAsiaTheme="minorEastAsia"/>
              <w:noProof/>
              <w:lang w:eastAsia="bg-BG"/>
            </w:rPr>
          </w:pPr>
          <w:hyperlink w:anchor="_Toc103586707" w:history="1">
            <w:r w:rsidR="00DE2FE6" w:rsidRPr="00B01AEA">
              <w:rPr>
                <w:rStyle w:val="Hyperlink"/>
                <w:b/>
                <w:bCs/>
                <w:i/>
                <w:iCs/>
                <w:noProof/>
              </w:rPr>
              <w:t>SRI 3.4. Брой подкрепени стартиращи фирми</w:t>
            </w:r>
            <w:r w:rsidR="00DE2FE6">
              <w:rPr>
                <w:noProof/>
                <w:webHidden/>
              </w:rPr>
              <w:tab/>
            </w:r>
            <w:r w:rsidR="00DE2FE6">
              <w:rPr>
                <w:noProof/>
                <w:webHidden/>
              </w:rPr>
              <w:fldChar w:fldCharType="begin"/>
            </w:r>
            <w:r w:rsidR="00DE2FE6">
              <w:rPr>
                <w:noProof/>
                <w:webHidden/>
              </w:rPr>
              <w:instrText xml:space="preserve"> PAGEREF _Toc103586707 \h </w:instrText>
            </w:r>
            <w:r w:rsidR="00DE2FE6">
              <w:rPr>
                <w:noProof/>
                <w:webHidden/>
              </w:rPr>
            </w:r>
            <w:r w:rsidR="00DE2FE6">
              <w:rPr>
                <w:noProof/>
                <w:webHidden/>
              </w:rPr>
              <w:fldChar w:fldCharType="separate"/>
            </w:r>
            <w:r w:rsidR="00DE2FE6">
              <w:rPr>
                <w:noProof/>
                <w:webHidden/>
              </w:rPr>
              <w:t>206</w:t>
            </w:r>
            <w:r w:rsidR="00DE2FE6">
              <w:rPr>
                <w:noProof/>
                <w:webHidden/>
              </w:rPr>
              <w:fldChar w:fldCharType="end"/>
            </w:r>
          </w:hyperlink>
        </w:p>
        <w:p w14:paraId="431AC593" w14:textId="5877D1DB" w:rsidR="00DE2FE6" w:rsidRDefault="00C911EA">
          <w:pPr>
            <w:pStyle w:val="TOC2"/>
            <w:tabs>
              <w:tab w:val="right" w:leader="dot" w:pos="9487"/>
            </w:tabs>
            <w:rPr>
              <w:rFonts w:eastAsiaTheme="minorEastAsia"/>
              <w:noProof/>
              <w:lang w:eastAsia="bg-BG"/>
            </w:rPr>
          </w:pPr>
          <w:hyperlink w:anchor="_Toc103586708" w:history="1">
            <w:r w:rsidR="00DE2FE6" w:rsidRPr="00B01AEA">
              <w:rPr>
                <w:rStyle w:val="Hyperlink"/>
                <w:rFonts w:ascii="Times New Roman" w:hAnsi="Times New Roman" w:cs="Times New Roman"/>
                <w:b/>
                <w:bCs/>
                <w:noProof/>
              </w:rPr>
              <w:t>СЦ по чл. 4, пар. 1, буква ж)</w:t>
            </w:r>
            <w:r w:rsidR="00DE2FE6">
              <w:rPr>
                <w:noProof/>
                <w:webHidden/>
              </w:rPr>
              <w:tab/>
            </w:r>
            <w:r w:rsidR="00DE2FE6">
              <w:rPr>
                <w:noProof/>
                <w:webHidden/>
              </w:rPr>
              <w:fldChar w:fldCharType="begin"/>
            </w:r>
            <w:r w:rsidR="00DE2FE6">
              <w:rPr>
                <w:noProof/>
                <w:webHidden/>
              </w:rPr>
              <w:instrText xml:space="preserve"> PAGEREF _Toc103586708 \h </w:instrText>
            </w:r>
            <w:r w:rsidR="00DE2FE6">
              <w:rPr>
                <w:noProof/>
                <w:webHidden/>
              </w:rPr>
            </w:r>
            <w:r w:rsidR="00DE2FE6">
              <w:rPr>
                <w:noProof/>
                <w:webHidden/>
              </w:rPr>
              <w:fldChar w:fldCharType="separate"/>
            </w:r>
            <w:r w:rsidR="00DE2FE6">
              <w:rPr>
                <w:noProof/>
                <w:webHidden/>
              </w:rPr>
              <w:t>209</w:t>
            </w:r>
            <w:r w:rsidR="00DE2FE6">
              <w:rPr>
                <w:noProof/>
                <w:webHidden/>
              </w:rPr>
              <w:fldChar w:fldCharType="end"/>
            </w:r>
          </w:hyperlink>
        </w:p>
        <w:p w14:paraId="751A74C9" w14:textId="6D3F2172" w:rsidR="00DE2FE6" w:rsidRDefault="00C911EA">
          <w:pPr>
            <w:pStyle w:val="TOC3"/>
            <w:tabs>
              <w:tab w:val="right" w:leader="dot" w:pos="9487"/>
            </w:tabs>
            <w:rPr>
              <w:rFonts w:eastAsiaTheme="minorEastAsia"/>
              <w:noProof/>
              <w:lang w:eastAsia="bg-BG"/>
            </w:rPr>
          </w:pPr>
          <w:hyperlink w:anchor="_Toc103586709" w:history="1">
            <w:r w:rsidR="00DE2FE6" w:rsidRPr="00B01AEA">
              <w:rPr>
                <w:rStyle w:val="Hyperlink"/>
                <w:rFonts w:ascii="Times New Roman" w:hAnsi="Times New Roman" w:cs="Times New Roman"/>
                <w:noProof/>
              </w:rPr>
              <w:t>Показатели за крайни продукти</w:t>
            </w:r>
            <w:r w:rsidR="00DE2FE6">
              <w:rPr>
                <w:noProof/>
                <w:webHidden/>
              </w:rPr>
              <w:tab/>
            </w:r>
            <w:r w:rsidR="00DE2FE6">
              <w:rPr>
                <w:noProof/>
                <w:webHidden/>
              </w:rPr>
              <w:fldChar w:fldCharType="begin"/>
            </w:r>
            <w:r w:rsidR="00DE2FE6">
              <w:rPr>
                <w:noProof/>
                <w:webHidden/>
              </w:rPr>
              <w:instrText xml:space="preserve"> PAGEREF _Toc103586709 \h </w:instrText>
            </w:r>
            <w:r w:rsidR="00DE2FE6">
              <w:rPr>
                <w:noProof/>
                <w:webHidden/>
              </w:rPr>
            </w:r>
            <w:r w:rsidR="00DE2FE6">
              <w:rPr>
                <w:noProof/>
                <w:webHidden/>
              </w:rPr>
              <w:fldChar w:fldCharType="separate"/>
            </w:r>
            <w:r w:rsidR="00DE2FE6">
              <w:rPr>
                <w:noProof/>
                <w:webHidden/>
              </w:rPr>
              <w:t>209</w:t>
            </w:r>
            <w:r w:rsidR="00DE2FE6">
              <w:rPr>
                <w:noProof/>
                <w:webHidden/>
              </w:rPr>
              <w:fldChar w:fldCharType="end"/>
            </w:r>
          </w:hyperlink>
        </w:p>
        <w:p w14:paraId="12FF41CD" w14:textId="63A120C9" w:rsidR="00DE2FE6" w:rsidRDefault="00C911EA">
          <w:pPr>
            <w:pStyle w:val="TOC3"/>
            <w:tabs>
              <w:tab w:val="right" w:leader="dot" w:pos="9487"/>
            </w:tabs>
            <w:rPr>
              <w:rFonts w:eastAsiaTheme="minorEastAsia"/>
              <w:noProof/>
              <w:lang w:eastAsia="bg-BG"/>
            </w:rPr>
          </w:pPr>
          <w:hyperlink w:anchor="_Toc103586710" w:history="1">
            <w:r w:rsidR="00DE2FE6" w:rsidRPr="00B01AEA">
              <w:rPr>
                <w:rStyle w:val="Hyperlink"/>
                <w:b/>
                <w:bCs/>
                <w:i/>
                <w:iCs/>
                <w:noProof/>
              </w:rPr>
              <w:t>EEC011 Участници с висше образование (ISCED 5 до 8)</w:t>
            </w:r>
            <w:r w:rsidR="00DE2FE6">
              <w:rPr>
                <w:noProof/>
                <w:webHidden/>
              </w:rPr>
              <w:tab/>
            </w:r>
            <w:r w:rsidR="00DE2FE6">
              <w:rPr>
                <w:noProof/>
                <w:webHidden/>
              </w:rPr>
              <w:fldChar w:fldCharType="begin"/>
            </w:r>
            <w:r w:rsidR="00DE2FE6">
              <w:rPr>
                <w:noProof/>
                <w:webHidden/>
              </w:rPr>
              <w:instrText xml:space="preserve"> PAGEREF _Toc103586710 \h </w:instrText>
            </w:r>
            <w:r w:rsidR="00DE2FE6">
              <w:rPr>
                <w:noProof/>
                <w:webHidden/>
              </w:rPr>
            </w:r>
            <w:r w:rsidR="00DE2FE6">
              <w:rPr>
                <w:noProof/>
                <w:webHidden/>
              </w:rPr>
              <w:fldChar w:fldCharType="separate"/>
            </w:r>
            <w:r w:rsidR="00DE2FE6">
              <w:rPr>
                <w:noProof/>
                <w:webHidden/>
              </w:rPr>
              <w:t>209</w:t>
            </w:r>
            <w:r w:rsidR="00DE2FE6">
              <w:rPr>
                <w:noProof/>
                <w:webHidden/>
              </w:rPr>
              <w:fldChar w:fldCharType="end"/>
            </w:r>
          </w:hyperlink>
        </w:p>
        <w:p w14:paraId="658C15D6" w14:textId="0FCB6F36" w:rsidR="00DE2FE6" w:rsidRDefault="00C911EA">
          <w:pPr>
            <w:pStyle w:val="TOC3"/>
            <w:tabs>
              <w:tab w:val="right" w:leader="dot" w:pos="9487"/>
            </w:tabs>
            <w:rPr>
              <w:rFonts w:eastAsiaTheme="minorEastAsia"/>
              <w:noProof/>
              <w:lang w:eastAsia="bg-BG"/>
            </w:rPr>
          </w:pPr>
          <w:hyperlink w:anchor="_Toc103586711" w:history="1">
            <w:r w:rsidR="00DE2FE6" w:rsidRPr="00B01AEA">
              <w:rPr>
                <w:rStyle w:val="Hyperlink"/>
                <w:b/>
                <w:bCs/>
                <w:i/>
                <w:iCs/>
                <w:noProof/>
              </w:rPr>
              <w:t>SOI 3.5 Брой докторантски училища</w:t>
            </w:r>
            <w:r w:rsidR="00DE2FE6">
              <w:rPr>
                <w:noProof/>
                <w:webHidden/>
              </w:rPr>
              <w:tab/>
            </w:r>
            <w:r w:rsidR="00DE2FE6">
              <w:rPr>
                <w:noProof/>
                <w:webHidden/>
              </w:rPr>
              <w:fldChar w:fldCharType="begin"/>
            </w:r>
            <w:r w:rsidR="00DE2FE6">
              <w:rPr>
                <w:noProof/>
                <w:webHidden/>
              </w:rPr>
              <w:instrText xml:space="preserve"> PAGEREF _Toc103586711 \h </w:instrText>
            </w:r>
            <w:r w:rsidR="00DE2FE6">
              <w:rPr>
                <w:noProof/>
                <w:webHidden/>
              </w:rPr>
            </w:r>
            <w:r w:rsidR="00DE2FE6">
              <w:rPr>
                <w:noProof/>
                <w:webHidden/>
              </w:rPr>
              <w:fldChar w:fldCharType="separate"/>
            </w:r>
            <w:r w:rsidR="00DE2FE6">
              <w:rPr>
                <w:noProof/>
                <w:webHidden/>
              </w:rPr>
              <w:t>211</w:t>
            </w:r>
            <w:r w:rsidR="00DE2FE6">
              <w:rPr>
                <w:noProof/>
                <w:webHidden/>
              </w:rPr>
              <w:fldChar w:fldCharType="end"/>
            </w:r>
          </w:hyperlink>
        </w:p>
        <w:p w14:paraId="4A2E8DB4" w14:textId="037C3423" w:rsidR="00DE2FE6" w:rsidRDefault="00C911EA">
          <w:pPr>
            <w:pStyle w:val="TOC3"/>
            <w:tabs>
              <w:tab w:val="right" w:leader="dot" w:pos="9487"/>
            </w:tabs>
            <w:rPr>
              <w:rFonts w:eastAsiaTheme="minorEastAsia"/>
              <w:noProof/>
              <w:lang w:eastAsia="bg-BG"/>
            </w:rPr>
          </w:pPr>
          <w:hyperlink w:anchor="_Toc103586712" w:history="1">
            <w:r w:rsidR="00DE2FE6" w:rsidRPr="00B01AEA">
              <w:rPr>
                <w:rStyle w:val="Hyperlink"/>
                <w:rFonts w:ascii="Times New Roman" w:hAnsi="Times New Roman" w:cs="Times New Roman"/>
                <w:noProof/>
              </w:rPr>
              <w:t>Показатели за резултатите</w:t>
            </w:r>
            <w:r w:rsidR="00DE2FE6">
              <w:rPr>
                <w:noProof/>
                <w:webHidden/>
              </w:rPr>
              <w:tab/>
            </w:r>
            <w:r w:rsidR="00DE2FE6">
              <w:rPr>
                <w:noProof/>
                <w:webHidden/>
              </w:rPr>
              <w:fldChar w:fldCharType="begin"/>
            </w:r>
            <w:r w:rsidR="00DE2FE6">
              <w:rPr>
                <w:noProof/>
                <w:webHidden/>
              </w:rPr>
              <w:instrText xml:space="preserve"> PAGEREF _Toc103586712 \h </w:instrText>
            </w:r>
            <w:r w:rsidR="00DE2FE6">
              <w:rPr>
                <w:noProof/>
                <w:webHidden/>
              </w:rPr>
            </w:r>
            <w:r w:rsidR="00DE2FE6">
              <w:rPr>
                <w:noProof/>
                <w:webHidden/>
              </w:rPr>
              <w:fldChar w:fldCharType="separate"/>
            </w:r>
            <w:r w:rsidR="00DE2FE6">
              <w:rPr>
                <w:noProof/>
                <w:webHidden/>
              </w:rPr>
              <w:t>213</w:t>
            </w:r>
            <w:r w:rsidR="00DE2FE6">
              <w:rPr>
                <w:noProof/>
                <w:webHidden/>
              </w:rPr>
              <w:fldChar w:fldCharType="end"/>
            </w:r>
          </w:hyperlink>
        </w:p>
        <w:p w14:paraId="76FF1FDC" w14:textId="2A2740EF" w:rsidR="00DE2FE6" w:rsidRDefault="00C911EA">
          <w:pPr>
            <w:pStyle w:val="TOC3"/>
            <w:tabs>
              <w:tab w:val="right" w:leader="dot" w:pos="9487"/>
            </w:tabs>
            <w:rPr>
              <w:rFonts w:eastAsiaTheme="minorEastAsia"/>
              <w:noProof/>
              <w:lang w:eastAsia="bg-BG"/>
            </w:rPr>
          </w:pPr>
          <w:hyperlink w:anchor="_Toc103586713" w:history="1">
            <w:r w:rsidR="00DE2FE6" w:rsidRPr="00B01AEA">
              <w:rPr>
                <w:rStyle w:val="Hyperlink"/>
                <w:b/>
                <w:bCs/>
                <w:i/>
                <w:iCs/>
                <w:noProof/>
              </w:rPr>
              <w:t>EECR03 участници, които при напускане на операцията получават квалификация</w:t>
            </w:r>
            <w:r w:rsidR="00DE2FE6">
              <w:rPr>
                <w:noProof/>
                <w:webHidden/>
              </w:rPr>
              <w:tab/>
            </w:r>
            <w:r w:rsidR="00DE2FE6">
              <w:rPr>
                <w:noProof/>
                <w:webHidden/>
              </w:rPr>
              <w:fldChar w:fldCharType="begin"/>
            </w:r>
            <w:r w:rsidR="00DE2FE6">
              <w:rPr>
                <w:noProof/>
                <w:webHidden/>
              </w:rPr>
              <w:instrText xml:space="preserve"> PAGEREF _Toc103586713 \h </w:instrText>
            </w:r>
            <w:r w:rsidR="00DE2FE6">
              <w:rPr>
                <w:noProof/>
                <w:webHidden/>
              </w:rPr>
            </w:r>
            <w:r w:rsidR="00DE2FE6">
              <w:rPr>
                <w:noProof/>
                <w:webHidden/>
              </w:rPr>
              <w:fldChar w:fldCharType="separate"/>
            </w:r>
            <w:r w:rsidR="00DE2FE6">
              <w:rPr>
                <w:noProof/>
                <w:webHidden/>
              </w:rPr>
              <w:t>213</w:t>
            </w:r>
            <w:r w:rsidR="00DE2FE6">
              <w:rPr>
                <w:noProof/>
                <w:webHidden/>
              </w:rPr>
              <w:fldChar w:fldCharType="end"/>
            </w:r>
          </w:hyperlink>
        </w:p>
        <w:p w14:paraId="34762339" w14:textId="732EE28D" w:rsidR="00DE2FE6" w:rsidRDefault="00C911EA">
          <w:pPr>
            <w:pStyle w:val="TOC1"/>
            <w:tabs>
              <w:tab w:val="right" w:leader="dot" w:pos="9487"/>
            </w:tabs>
            <w:rPr>
              <w:rFonts w:eastAsiaTheme="minorEastAsia"/>
              <w:noProof/>
              <w:lang w:eastAsia="bg-BG"/>
            </w:rPr>
          </w:pPr>
          <w:hyperlink w:anchor="_Toc103586714" w:history="1">
            <w:r w:rsidR="00DE2FE6" w:rsidRPr="00B01AEA">
              <w:rPr>
                <w:rStyle w:val="Hyperlink"/>
                <w:rFonts w:ascii="Times New Roman" w:hAnsi="Times New Roman" w:cs="Times New Roman"/>
                <w:noProof/>
              </w:rPr>
              <w:t>ПРИОРИТЕТ ЗА ТЕХНИЧЕСКА ПОМОЩ</w:t>
            </w:r>
            <w:r w:rsidR="00DE2FE6">
              <w:rPr>
                <w:noProof/>
                <w:webHidden/>
              </w:rPr>
              <w:tab/>
            </w:r>
            <w:r w:rsidR="00DE2FE6">
              <w:rPr>
                <w:noProof/>
                <w:webHidden/>
              </w:rPr>
              <w:fldChar w:fldCharType="begin"/>
            </w:r>
            <w:r w:rsidR="00DE2FE6">
              <w:rPr>
                <w:noProof/>
                <w:webHidden/>
              </w:rPr>
              <w:instrText xml:space="preserve"> PAGEREF _Toc103586714 \h </w:instrText>
            </w:r>
            <w:r w:rsidR="00DE2FE6">
              <w:rPr>
                <w:noProof/>
                <w:webHidden/>
              </w:rPr>
            </w:r>
            <w:r w:rsidR="00DE2FE6">
              <w:rPr>
                <w:noProof/>
                <w:webHidden/>
              </w:rPr>
              <w:fldChar w:fldCharType="separate"/>
            </w:r>
            <w:r w:rsidR="00DE2FE6">
              <w:rPr>
                <w:noProof/>
                <w:webHidden/>
              </w:rPr>
              <w:t>215</w:t>
            </w:r>
            <w:r w:rsidR="00DE2FE6">
              <w:rPr>
                <w:noProof/>
                <w:webHidden/>
              </w:rPr>
              <w:fldChar w:fldCharType="end"/>
            </w:r>
          </w:hyperlink>
        </w:p>
        <w:p w14:paraId="3332158E" w14:textId="6C1BB68C" w:rsidR="00DE2FE6" w:rsidRDefault="00C911EA">
          <w:pPr>
            <w:pStyle w:val="TOC3"/>
            <w:tabs>
              <w:tab w:val="right" w:leader="dot" w:pos="9487"/>
            </w:tabs>
            <w:rPr>
              <w:rFonts w:eastAsiaTheme="minorEastAsia"/>
              <w:noProof/>
              <w:lang w:eastAsia="bg-BG"/>
            </w:rPr>
          </w:pPr>
          <w:hyperlink w:anchor="_Toc103586715" w:history="1">
            <w:r w:rsidR="00DE2FE6" w:rsidRPr="00B01AEA">
              <w:rPr>
                <w:rStyle w:val="Hyperlink"/>
                <w:rFonts w:ascii="Times New Roman" w:hAnsi="Times New Roman" w:cs="Times New Roman"/>
                <w:noProof/>
              </w:rPr>
              <w:t>Показатели за крайни продукти</w:t>
            </w:r>
            <w:r w:rsidR="00DE2FE6">
              <w:rPr>
                <w:noProof/>
                <w:webHidden/>
              </w:rPr>
              <w:tab/>
            </w:r>
            <w:r w:rsidR="00DE2FE6">
              <w:rPr>
                <w:noProof/>
                <w:webHidden/>
              </w:rPr>
              <w:fldChar w:fldCharType="begin"/>
            </w:r>
            <w:r w:rsidR="00DE2FE6">
              <w:rPr>
                <w:noProof/>
                <w:webHidden/>
              </w:rPr>
              <w:instrText xml:space="preserve"> PAGEREF _Toc103586715 \h </w:instrText>
            </w:r>
            <w:r w:rsidR="00DE2FE6">
              <w:rPr>
                <w:noProof/>
                <w:webHidden/>
              </w:rPr>
            </w:r>
            <w:r w:rsidR="00DE2FE6">
              <w:rPr>
                <w:noProof/>
                <w:webHidden/>
              </w:rPr>
              <w:fldChar w:fldCharType="separate"/>
            </w:r>
            <w:r w:rsidR="00DE2FE6">
              <w:rPr>
                <w:noProof/>
                <w:webHidden/>
              </w:rPr>
              <w:t>215</w:t>
            </w:r>
            <w:r w:rsidR="00DE2FE6">
              <w:rPr>
                <w:noProof/>
                <w:webHidden/>
              </w:rPr>
              <w:fldChar w:fldCharType="end"/>
            </w:r>
          </w:hyperlink>
        </w:p>
        <w:p w14:paraId="2371A5E1" w14:textId="503EF996" w:rsidR="00DE2FE6" w:rsidRDefault="00C911EA">
          <w:pPr>
            <w:pStyle w:val="TOC3"/>
            <w:tabs>
              <w:tab w:val="right" w:leader="dot" w:pos="9487"/>
            </w:tabs>
            <w:rPr>
              <w:rFonts w:eastAsiaTheme="minorEastAsia"/>
              <w:noProof/>
              <w:lang w:eastAsia="bg-BG"/>
            </w:rPr>
          </w:pPr>
          <w:hyperlink w:anchor="_Toc103586716" w:history="1">
            <w:r w:rsidR="00DE2FE6" w:rsidRPr="00B01AEA">
              <w:rPr>
                <w:rStyle w:val="Hyperlink"/>
                <w:b/>
                <w:bCs/>
                <w:i/>
                <w:iCs/>
                <w:noProof/>
              </w:rPr>
              <w:t>SOI 4.1 Брой  участия на лица от УО в обучения и работни посещения</w:t>
            </w:r>
            <w:r w:rsidR="00DE2FE6">
              <w:rPr>
                <w:noProof/>
                <w:webHidden/>
              </w:rPr>
              <w:tab/>
            </w:r>
            <w:r w:rsidR="00DE2FE6">
              <w:rPr>
                <w:noProof/>
                <w:webHidden/>
              </w:rPr>
              <w:fldChar w:fldCharType="begin"/>
            </w:r>
            <w:r w:rsidR="00DE2FE6">
              <w:rPr>
                <w:noProof/>
                <w:webHidden/>
              </w:rPr>
              <w:instrText xml:space="preserve"> PAGEREF _Toc103586716 \h </w:instrText>
            </w:r>
            <w:r w:rsidR="00DE2FE6">
              <w:rPr>
                <w:noProof/>
                <w:webHidden/>
              </w:rPr>
            </w:r>
            <w:r w:rsidR="00DE2FE6">
              <w:rPr>
                <w:noProof/>
                <w:webHidden/>
              </w:rPr>
              <w:fldChar w:fldCharType="separate"/>
            </w:r>
            <w:r w:rsidR="00DE2FE6">
              <w:rPr>
                <w:noProof/>
                <w:webHidden/>
              </w:rPr>
              <w:t>215</w:t>
            </w:r>
            <w:r w:rsidR="00DE2FE6">
              <w:rPr>
                <w:noProof/>
                <w:webHidden/>
              </w:rPr>
              <w:fldChar w:fldCharType="end"/>
            </w:r>
          </w:hyperlink>
        </w:p>
        <w:p w14:paraId="59F5728B" w14:textId="3DA4432C" w:rsidR="00DE2FE6" w:rsidRDefault="00C911EA">
          <w:pPr>
            <w:pStyle w:val="TOC3"/>
            <w:tabs>
              <w:tab w:val="right" w:leader="dot" w:pos="9487"/>
            </w:tabs>
            <w:rPr>
              <w:rFonts w:eastAsiaTheme="minorEastAsia"/>
              <w:noProof/>
              <w:lang w:eastAsia="bg-BG"/>
            </w:rPr>
          </w:pPr>
          <w:hyperlink w:anchor="_Toc103586717" w:history="1">
            <w:r w:rsidR="00DE2FE6" w:rsidRPr="00B01AEA">
              <w:rPr>
                <w:rStyle w:val="Hyperlink"/>
                <w:b/>
                <w:bCs/>
                <w:i/>
                <w:iCs/>
                <w:noProof/>
              </w:rPr>
              <w:t>SOI 4.2 Извършени оценки на програмата, анализи и проучвания</w:t>
            </w:r>
            <w:r w:rsidR="00DE2FE6">
              <w:rPr>
                <w:noProof/>
                <w:webHidden/>
              </w:rPr>
              <w:tab/>
            </w:r>
            <w:r w:rsidR="00DE2FE6">
              <w:rPr>
                <w:noProof/>
                <w:webHidden/>
              </w:rPr>
              <w:fldChar w:fldCharType="begin"/>
            </w:r>
            <w:r w:rsidR="00DE2FE6">
              <w:rPr>
                <w:noProof/>
                <w:webHidden/>
              </w:rPr>
              <w:instrText xml:space="preserve"> PAGEREF _Toc103586717 \h </w:instrText>
            </w:r>
            <w:r w:rsidR="00DE2FE6">
              <w:rPr>
                <w:noProof/>
                <w:webHidden/>
              </w:rPr>
            </w:r>
            <w:r w:rsidR="00DE2FE6">
              <w:rPr>
                <w:noProof/>
                <w:webHidden/>
              </w:rPr>
              <w:fldChar w:fldCharType="separate"/>
            </w:r>
            <w:r w:rsidR="00DE2FE6">
              <w:rPr>
                <w:noProof/>
                <w:webHidden/>
              </w:rPr>
              <w:t>217</w:t>
            </w:r>
            <w:r w:rsidR="00DE2FE6">
              <w:rPr>
                <w:noProof/>
                <w:webHidden/>
              </w:rPr>
              <w:fldChar w:fldCharType="end"/>
            </w:r>
          </w:hyperlink>
        </w:p>
        <w:p w14:paraId="3838151D" w14:textId="656DA258" w:rsidR="00DE2FE6" w:rsidRDefault="00C911EA">
          <w:pPr>
            <w:pStyle w:val="TOC3"/>
            <w:tabs>
              <w:tab w:val="right" w:leader="dot" w:pos="9487"/>
            </w:tabs>
            <w:rPr>
              <w:rFonts w:eastAsiaTheme="minorEastAsia"/>
              <w:noProof/>
              <w:lang w:eastAsia="bg-BG"/>
            </w:rPr>
          </w:pPr>
          <w:hyperlink w:anchor="_Toc103586718" w:history="1">
            <w:r w:rsidR="00DE2FE6" w:rsidRPr="00B01AEA">
              <w:rPr>
                <w:rStyle w:val="Hyperlink"/>
                <w:b/>
                <w:bCs/>
                <w:i/>
                <w:iCs/>
                <w:noProof/>
              </w:rPr>
              <w:t>SOI 4.3 Обучени представители на бенефициенти/партньори/целеви групи и на потенциални бенефициенти/партньори/целеви групи</w:t>
            </w:r>
            <w:r w:rsidR="00DE2FE6">
              <w:rPr>
                <w:noProof/>
                <w:webHidden/>
              </w:rPr>
              <w:tab/>
            </w:r>
            <w:r w:rsidR="00DE2FE6">
              <w:rPr>
                <w:noProof/>
                <w:webHidden/>
              </w:rPr>
              <w:fldChar w:fldCharType="begin"/>
            </w:r>
            <w:r w:rsidR="00DE2FE6">
              <w:rPr>
                <w:noProof/>
                <w:webHidden/>
              </w:rPr>
              <w:instrText xml:space="preserve"> PAGEREF _Toc103586718 \h </w:instrText>
            </w:r>
            <w:r w:rsidR="00DE2FE6">
              <w:rPr>
                <w:noProof/>
                <w:webHidden/>
              </w:rPr>
            </w:r>
            <w:r w:rsidR="00DE2FE6">
              <w:rPr>
                <w:noProof/>
                <w:webHidden/>
              </w:rPr>
              <w:fldChar w:fldCharType="separate"/>
            </w:r>
            <w:r w:rsidR="00DE2FE6">
              <w:rPr>
                <w:noProof/>
                <w:webHidden/>
              </w:rPr>
              <w:t>219</w:t>
            </w:r>
            <w:r w:rsidR="00DE2FE6">
              <w:rPr>
                <w:noProof/>
                <w:webHidden/>
              </w:rPr>
              <w:fldChar w:fldCharType="end"/>
            </w:r>
          </w:hyperlink>
        </w:p>
        <w:p w14:paraId="5A8ED279" w14:textId="6616EA54" w:rsidR="00DE2FE6" w:rsidRDefault="00C911EA">
          <w:pPr>
            <w:pStyle w:val="TOC3"/>
            <w:tabs>
              <w:tab w:val="right" w:leader="dot" w:pos="9487"/>
            </w:tabs>
            <w:rPr>
              <w:rFonts w:eastAsiaTheme="minorEastAsia"/>
              <w:noProof/>
              <w:lang w:eastAsia="bg-BG"/>
            </w:rPr>
          </w:pPr>
          <w:hyperlink w:anchor="_Toc103586719" w:history="1">
            <w:r w:rsidR="00DE2FE6" w:rsidRPr="00B01AEA">
              <w:rPr>
                <w:rStyle w:val="Hyperlink"/>
                <w:b/>
                <w:bCs/>
                <w:i/>
                <w:iCs/>
                <w:noProof/>
              </w:rPr>
              <w:t>SOI 4.4 Участници в събития по програмата</w:t>
            </w:r>
            <w:r w:rsidR="00DE2FE6">
              <w:rPr>
                <w:noProof/>
                <w:webHidden/>
              </w:rPr>
              <w:tab/>
            </w:r>
            <w:r w:rsidR="00DE2FE6">
              <w:rPr>
                <w:noProof/>
                <w:webHidden/>
              </w:rPr>
              <w:fldChar w:fldCharType="begin"/>
            </w:r>
            <w:r w:rsidR="00DE2FE6">
              <w:rPr>
                <w:noProof/>
                <w:webHidden/>
              </w:rPr>
              <w:instrText xml:space="preserve"> PAGEREF _Toc103586719 \h </w:instrText>
            </w:r>
            <w:r w:rsidR="00DE2FE6">
              <w:rPr>
                <w:noProof/>
                <w:webHidden/>
              </w:rPr>
            </w:r>
            <w:r w:rsidR="00DE2FE6">
              <w:rPr>
                <w:noProof/>
                <w:webHidden/>
              </w:rPr>
              <w:fldChar w:fldCharType="separate"/>
            </w:r>
            <w:r w:rsidR="00DE2FE6">
              <w:rPr>
                <w:noProof/>
                <w:webHidden/>
              </w:rPr>
              <w:t>222</w:t>
            </w:r>
            <w:r w:rsidR="00DE2FE6">
              <w:rPr>
                <w:noProof/>
                <w:webHidden/>
              </w:rPr>
              <w:fldChar w:fldCharType="end"/>
            </w:r>
          </w:hyperlink>
        </w:p>
        <w:p w14:paraId="342D5D1A" w14:textId="5E64A9B3" w:rsidR="00DE2FE6" w:rsidRDefault="00C911EA">
          <w:pPr>
            <w:pStyle w:val="TOC1"/>
            <w:tabs>
              <w:tab w:val="right" w:leader="dot" w:pos="9487"/>
            </w:tabs>
            <w:rPr>
              <w:rFonts w:eastAsiaTheme="minorEastAsia"/>
              <w:noProof/>
              <w:lang w:eastAsia="bg-BG"/>
            </w:rPr>
          </w:pPr>
          <w:hyperlink w:anchor="_Toc103586720" w:history="1">
            <w:r w:rsidR="00DE2FE6" w:rsidRPr="00B01AEA">
              <w:rPr>
                <w:rStyle w:val="Hyperlink"/>
                <w:rFonts w:ascii="Times New Roman" w:hAnsi="Times New Roman" w:cs="Times New Roman"/>
                <w:b/>
                <w:noProof/>
              </w:rPr>
              <w:t>Приложения:</w:t>
            </w:r>
            <w:r w:rsidR="00DE2FE6">
              <w:rPr>
                <w:noProof/>
                <w:webHidden/>
              </w:rPr>
              <w:tab/>
            </w:r>
            <w:r w:rsidR="00DE2FE6">
              <w:rPr>
                <w:noProof/>
                <w:webHidden/>
              </w:rPr>
              <w:fldChar w:fldCharType="begin"/>
            </w:r>
            <w:r w:rsidR="00DE2FE6">
              <w:rPr>
                <w:noProof/>
                <w:webHidden/>
              </w:rPr>
              <w:instrText xml:space="preserve"> PAGEREF _Toc103586720 \h </w:instrText>
            </w:r>
            <w:r w:rsidR="00DE2FE6">
              <w:rPr>
                <w:noProof/>
                <w:webHidden/>
              </w:rPr>
            </w:r>
            <w:r w:rsidR="00DE2FE6">
              <w:rPr>
                <w:noProof/>
                <w:webHidden/>
              </w:rPr>
              <w:fldChar w:fldCharType="separate"/>
            </w:r>
            <w:r w:rsidR="00DE2FE6">
              <w:rPr>
                <w:noProof/>
                <w:webHidden/>
              </w:rPr>
              <w:t>223</w:t>
            </w:r>
            <w:r w:rsidR="00DE2FE6">
              <w:rPr>
                <w:noProof/>
                <w:webHidden/>
              </w:rPr>
              <w:fldChar w:fldCharType="end"/>
            </w:r>
          </w:hyperlink>
        </w:p>
        <w:p w14:paraId="2DC6B652" w14:textId="4B596C8F" w:rsidR="00AC1E9E" w:rsidRDefault="006F73C2" w:rsidP="00AC1E9E">
          <w:pPr>
            <w:spacing w:before="120" w:after="120" w:line="360" w:lineRule="auto"/>
            <w:rPr>
              <w:b/>
              <w:bCs/>
              <w:noProof/>
            </w:rPr>
          </w:pPr>
          <w:r w:rsidRPr="00895D58">
            <w:rPr>
              <w:rFonts w:ascii="Times New Roman" w:hAnsi="Times New Roman" w:cs="Times New Roman"/>
              <w:b/>
              <w:bCs/>
              <w:noProof/>
              <w:sz w:val="24"/>
              <w:szCs w:val="24"/>
            </w:rPr>
            <w:fldChar w:fldCharType="end"/>
          </w:r>
        </w:p>
      </w:sdtContent>
    </w:sdt>
    <w:p w14:paraId="1429057D" w14:textId="77777777" w:rsidR="00E9729E" w:rsidRDefault="00E9729E" w:rsidP="00AC1E9E">
      <w:pPr>
        <w:spacing w:before="120" w:after="120" w:line="360" w:lineRule="auto"/>
        <w:rPr>
          <w:rFonts w:ascii="Times New Roman" w:hAnsi="Times New Roman" w:cs="Times New Roman"/>
          <w:b/>
          <w:sz w:val="28"/>
          <w:szCs w:val="28"/>
        </w:rPr>
      </w:pPr>
    </w:p>
    <w:p w14:paraId="79F5E090" w14:textId="77777777" w:rsidR="00E9729E" w:rsidRDefault="00E9729E" w:rsidP="00AC1E9E">
      <w:pPr>
        <w:spacing w:before="120" w:after="120" w:line="360" w:lineRule="auto"/>
        <w:rPr>
          <w:rFonts w:ascii="Times New Roman" w:hAnsi="Times New Roman" w:cs="Times New Roman"/>
          <w:b/>
          <w:sz w:val="28"/>
          <w:szCs w:val="28"/>
        </w:rPr>
      </w:pPr>
    </w:p>
    <w:p w14:paraId="6F574741" w14:textId="02558393" w:rsidR="00AA7907" w:rsidRPr="00DE2FE6" w:rsidRDefault="00D2532E" w:rsidP="00AA7907">
      <w:pPr>
        <w:pStyle w:val="Heading1"/>
        <w:spacing w:after="240"/>
        <w:rPr>
          <w:rFonts w:ascii="Times New Roman" w:hAnsi="Times New Roman" w:cs="Times New Roman"/>
          <w:b/>
          <w:bCs/>
          <w:color w:val="auto"/>
          <w:sz w:val="28"/>
          <w:szCs w:val="28"/>
          <w:lang w:val="bg-BG"/>
        </w:rPr>
      </w:pPr>
      <w:r w:rsidRPr="000E5835">
        <w:rPr>
          <w:lang w:val="bg-BG"/>
        </w:rPr>
        <w:br w:type="page"/>
      </w:r>
      <w:bookmarkStart w:id="0" w:name="_Toc103586632"/>
      <w:r w:rsidR="00C63818" w:rsidRPr="00DE2FE6">
        <w:rPr>
          <w:rFonts w:ascii="Times New Roman" w:hAnsi="Times New Roman" w:cs="Times New Roman"/>
          <w:b/>
          <w:bCs/>
          <w:color w:val="auto"/>
          <w:sz w:val="28"/>
          <w:szCs w:val="28"/>
          <w:lang w:val="bg-BG"/>
        </w:rPr>
        <w:lastRenderedPageBreak/>
        <w:t>Логика на интервенцията по Програма „Образование“ 2021</w:t>
      </w:r>
      <w:r w:rsidR="00BB5919" w:rsidRPr="00DE2FE6">
        <w:rPr>
          <w:rFonts w:ascii="Times New Roman" w:hAnsi="Times New Roman" w:cs="Times New Roman"/>
          <w:b/>
          <w:bCs/>
          <w:color w:val="auto"/>
          <w:sz w:val="28"/>
          <w:szCs w:val="28"/>
          <w:lang w:val="bg-BG"/>
        </w:rPr>
        <w:t>–</w:t>
      </w:r>
      <w:r w:rsidR="00C63818" w:rsidRPr="00DE2FE6">
        <w:rPr>
          <w:rFonts w:ascii="Times New Roman" w:hAnsi="Times New Roman" w:cs="Times New Roman"/>
          <w:b/>
          <w:bCs/>
          <w:color w:val="auto"/>
          <w:sz w:val="28"/>
          <w:szCs w:val="28"/>
          <w:lang w:val="bg-BG"/>
        </w:rPr>
        <w:t>2027</w:t>
      </w:r>
      <w:bookmarkEnd w:id="0"/>
      <w:r w:rsidR="00C63818" w:rsidRPr="00DE2FE6">
        <w:rPr>
          <w:rFonts w:ascii="Times New Roman" w:hAnsi="Times New Roman" w:cs="Times New Roman"/>
          <w:b/>
          <w:bCs/>
          <w:color w:val="auto"/>
          <w:sz w:val="28"/>
          <w:szCs w:val="28"/>
          <w:lang w:val="bg-BG"/>
        </w:rPr>
        <w:t xml:space="preserve"> </w:t>
      </w:r>
    </w:p>
    <w:p w14:paraId="08C41A00" w14:textId="3771148B" w:rsidR="00C63818" w:rsidRPr="00D83669" w:rsidRDefault="00C63818" w:rsidP="00B0739F">
      <w:pPr>
        <w:ind w:firstLine="450"/>
        <w:jc w:val="both"/>
        <w:rPr>
          <w:rFonts w:ascii="Times New Roman" w:hAnsi="Times New Roman" w:cs="Times New Roman"/>
          <w:sz w:val="24"/>
          <w:szCs w:val="24"/>
        </w:rPr>
      </w:pPr>
      <w:r w:rsidRPr="00D83669">
        <w:rPr>
          <w:rFonts w:ascii="Times New Roman" w:hAnsi="Times New Roman" w:cs="Times New Roman"/>
          <w:sz w:val="24"/>
          <w:szCs w:val="24"/>
        </w:rPr>
        <w:t>Програма „Образование“ 2021</w:t>
      </w:r>
      <w:r w:rsidR="009F48B0" w:rsidRPr="00D83669">
        <w:rPr>
          <w:rFonts w:ascii="Times New Roman" w:hAnsi="Times New Roman" w:cs="Times New Roman"/>
          <w:sz w:val="24"/>
          <w:szCs w:val="24"/>
        </w:rPr>
        <w:t xml:space="preserve">  –  </w:t>
      </w:r>
      <w:r w:rsidRPr="00D83669">
        <w:rPr>
          <w:rFonts w:ascii="Times New Roman" w:hAnsi="Times New Roman" w:cs="Times New Roman"/>
          <w:sz w:val="24"/>
          <w:szCs w:val="24"/>
        </w:rPr>
        <w:t>2027 г. (ПО) се разработва в съответствие с национални</w:t>
      </w:r>
      <w:r w:rsidR="00C21D18" w:rsidRPr="00D83669">
        <w:rPr>
          <w:rFonts w:ascii="Times New Roman" w:hAnsi="Times New Roman" w:cs="Times New Roman"/>
          <w:sz w:val="24"/>
          <w:szCs w:val="24"/>
        </w:rPr>
        <w:t xml:space="preserve">те и </w:t>
      </w:r>
      <w:r w:rsidRPr="00D83669">
        <w:rPr>
          <w:rFonts w:ascii="Times New Roman" w:hAnsi="Times New Roman" w:cs="Times New Roman"/>
          <w:sz w:val="24"/>
          <w:szCs w:val="24"/>
        </w:rPr>
        <w:t xml:space="preserve">европейски стратегически документи в резултат на идентифицирани проблеми и заложени приоритети с хоризонт </w:t>
      </w:r>
      <w:r w:rsidR="00C21D18" w:rsidRPr="00D83669">
        <w:rPr>
          <w:rFonts w:ascii="Times New Roman" w:hAnsi="Times New Roman" w:cs="Times New Roman"/>
          <w:sz w:val="24"/>
          <w:szCs w:val="24"/>
        </w:rPr>
        <w:t xml:space="preserve">до </w:t>
      </w:r>
      <w:r w:rsidRPr="00D83669">
        <w:rPr>
          <w:rFonts w:ascii="Times New Roman" w:hAnsi="Times New Roman" w:cs="Times New Roman"/>
          <w:sz w:val="24"/>
          <w:szCs w:val="24"/>
        </w:rPr>
        <w:t xml:space="preserve">2030 г. За целта са ползвани европейски и национални нормативни актове и оперативни насоки, определящи логиката на интервенция на </w:t>
      </w:r>
      <w:r w:rsidR="00CD3FCA" w:rsidRPr="00D83669">
        <w:rPr>
          <w:rFonts w:ascii="Times New Roman" w:hAnsi="Times New Roman" w:cs="Times New Roman"/>
          <w:sz w:val="24"/>
          <w:szCs w:val="24"/>
        </w:rPr>
        <w:t>Програмата</w:t>
      </w:r>
      <w:r w:rsidRPr="00D83669">
        <w:rPr>
          <w:rFonts w:ascii="Times New Roman" w:hAnsi="Times New Roman" w:cs="Times New Roman"/>
          <w:sz w:val="24"/>
          <w:szCs w:val="24"/>
        </w:rPr>
        <w:t>. Подходът обхваща постигнатото до момента и научените уроци, както и нови</w:t>
      </w:r>
      <w:r w:rsidR="00C21D18" w:rsidRPr="00D83669">
        <w:rPr>
          <w:rFonts w:ascii="Times New Roman" w:hAnsi="Times New Roman" w:cs="Times New Roman"/>
          <w:sz w:val="24"/>
          <w:szCs w:val="24"/>
        </w:rPr>
        <w:t>те</w:t>
      </w:r>
      <w:r w:rsidRPr="00D83669">
        <w:rPr>
          <w:rFonts w:ascii="Times New Roman" w:hAnsi="Times New Roman" w:cs="Times New Roman"/>
          <w:sz w:val="24"/>
          <w:szCs w:val="24"/>
        </w:rPr>
        <w:t xml:space="preserve"> предизвикателства, определящи дневния ред в държавите-членки на ЕС.</w:t>
      </w:r>
    </w:p>
    <w:p w14:paraId="6626222D" w14:textId="77777777" w:rsidR="00C63818" w:rsidRPr="00D83669" w:rsidRDefault="00C63818" w:rsidP="00B0739F">
      <w:pPr>
        <w:ind w:firstLine="450"/>
        <w:jc w:val="both"/>
        <w:rPr>
          <w:rFonts w:ascii="Times New Roman" w:hAnsi="Times New Roman" w:cs="Times New Roman"/>
          <w:sz w:val="24"/>
          <w:szCs w:val="24"/>
        </w:rPr>
      </w:pPr>
      <w:r w:rsidRPr="00D83669">
        <w:rPr>
          <w:rFonts w:ascii="Times New Roman" w:hAnsi="Times New Roman" w:cs="Times New Roman"/>
          <w:sz w:val="24"/>
          <w:szCs w:val="24"/>
        </w:rPr>
        <w:t>Логиката на интервенция в програмния документ, представена в раздел „Програмна стратегия: основни предизвикателства пред развитието и отговори на политиката“ и Таблица 1 на ПО 2021</w:t>
      </w:r>
      <w:r w:rsidR="009F48B0" w:rsidRPr="00D83669">
        <w:rPr>
          <w:rFonts w:ascii="Times New Roman" w:hAnsi="Times New Roman" w:cs="Times New Roman"/>
          <w:sz w:val="24"/>
          <w:szCs w:val="24"/>
        </w:rPr>
        <w:t xml:space="preserve"> – </w:t>
      </w:r>
      <w:r w:rsidRPr="00D83669">
        <w:rPr>
          <w:rFonts w:ascii="Times New Roman" w:hAnsi="Times New Roman" w:cs="Times New Roman"/>
          <w:sz w:val="24"/>
          <w:szCs w:val="24"/>
        </w:rPr>
        <w:t>2027, очертава концепцията за разработване на програмните приоритети по дефинираните предизвикателства, по специфичните цели на ЕСФ+ и целите на политиките на ЕС. ПО е структурирани в четири приоритета (3 целеви приоритета по ЕСФ</w:t>
      </w:r>
      <w:r w:rsidR="00D50340" w:rsidRPr="00D83669">
        <w:rPr>
          <w:rFonts w:ascii="Times New Roman" w:hAnsi="Times New Roman" w:cs="Times New Roman"/>
          <w:sz w:val="24"/>
          <w:szCs w:val="24"/>
        </w:rPr>
        <w:t xml:space="preserve"> </w:t>
      </w:r>
      <w:r w:rsidRPr="00D83669">
        <w:rPr>
          <w:rFonts w:ascii="Times New Roman" w:hAnsi="Times New Roman" w:cs="Times New Roman"/>
          <w:sz w:val="24"/>
          <w:szCs w:val="24"/>
        </w:rPr>
        <w:t xml:space="preserve">+ и 1 </w:t>
      </w:r>
      <w:r w:rsidR="00D50340" w:rsidRPr="00D83669">
        <w:rPr>
          <w:rFonts w:ascii="Times New Roman" w:hAnsi="Times New Roman" w:cs="Times New Roman"/>
          <w:sz w:val="24"/>
          <w:szCs w:val="24"/>
        </w:rPr>
        <w:t xml:space="preserve">приоритет </w:t>
      </w:r>
      <w:r w:rsidRPr="00D83669">
        <w:rPr>
          <w:rFonts w:ascii="Times New Roman" w:hAnsi="Times New Roman" w:cs="Times New Roman"/>
          <w:sz w:val="24"/>
          <w:szCs w:val="24"/>
        </w:rPr>
        <w:t xml:space="preserve">за техническа помощ), допринасящи към </w:t>
      </w:r>
      <w:r w:rsidR="00AA657F" w:rsidRPr="00D83669">
        <w:rPr>
          <w:rFonts w:ascii="Times New Roman" w:hAnsi="Times New Roman" w:cs="Times New Roman"/>
          <w:sz w:val="24"/>
          <w:szCs w:val="24"/>
        </w:rPr>
        <w:t>Национална програма за развитие</w:t>
      </w:r>
      <w:r w:rsidRPr="00D83669">
        <w:rPr>
          <w:rFonts w:ascii="Times New Roman" w:hAnsi="Times New Roman" w:cs="Times New Roman"/>
          <w:sz w:val="24"/>
          <w:szCs w:val="24"/>
        </w:rPr>
        <w:t xml:space="preserve"> БЪЛГАРИЯ 2030, Стратегическата рамка за развитие на образованието, обучението и ученето в Република България (2021</w:t>
      </w:r>
      <w:r w:rsidR="00BB5919" w:rsidRPr="00D83669">
        <w:rPr>
          <w:rFonts w:ascii="Times New Roman" w:hAnsi="Times New Roman" w:cs="Times New Roman"/>
          <w:sz w:val="24"/>
          <w:szCs w:val="24"/>
        </w:rPr>
        <w:t xml:space="preserve"> – </w:t>
      </w:r>
      <w:r w:rsidRPr="00D83669">
        <w:rPr>
          <w:rFonts w:ascii="Times New Roman" w:hAnsi="Times New Roman" w:cs="Times New Roman"/>
          <w:sz w:val="24"/>
          <w:szCs w:val="24"/>
        </w:rPr>
        <w:t xml:space="preserve">2030),  </w:t>
      </w:r>
      <w:r w:rsidR="00B0739F" w:rsidRPr="00D83669">
        <w:rPr>
          <w:rFonts w:ascii="Times New Roman" w:hAnsi="Times New Roman" w:cs="Times New Roman"/>
          <w:sz w:val="24"/>
          <w:szCs w:val="24"/>
        </w:rPr>
        <w:t xml:space="preserve">Национална стратегия на Република България за равенство, приобщаване и участие на ромите 2021 – 2030 г., </w:t>
      </w:r>
      <w:r w:rsidRPr="00D83669">
        <w:rPr>
          <w:rFonts w:ascii="Times New Roman" w:hAnsi="Times New Roman" w:cs="Times New Roman"/>
          <w:sz w:val="24"/>
          <w:szCs w:val="24"/>
        </w:rPr>
        <w:t>Стратегия</w:t>
      </w:r>
      <w:r w:rsidR="00917220" w:rsidRPr="00D83669">
        <w:rPr>
          <w:rFonts w:ascii="Times New Roman" w:hAnsi="Times New Roman" w:cs="Times New Roman"/>
          <w:sz w:val="24"/>
          <w:szCs w:val="24"/>
        </w:rPr>
        <w:t>та</w:t>
      </w:r>
      <w:r w:rsidRPr="00D83669">
        <w:rPr>
          <w:rFonts w:ascii="Times New Roman" w:hAnsi="Times New Roman" w:cs="Times New Roman"/>
          <w:sz w:val="24"/>
          <w:szCs w:val="24"/>
        </w:rPr>
        <w:t xml:space="preserve"> за развитие на висшето образование в Република България 2021</w:t>
      </w:r>
      <w:r w:rsidR="009F48B0" w:rsidRPr="00D83669">
        <w:rPr>
          <w:rFonts w:ascii="Times New Roman" w:hAnsi="Times New Roman" w:cs="Times New Roman"/>
          <w:sz w:val="24"/>
          <w:szCs w:val="24"/>
        </w:rPr>
        <w:t xml:space="preserve"> – </w:t>
      </w:r>
      <w:r w:rsidRPr="00D83669">
        <w:rPr>
          <w:rFonts w:ascii="Times New Roman" w:hAnsi="Times New Roman" w:cs="Times New Roman"/>
          <w:sz w:val="24"/>
          <w:szCs w:val="24"/>
        </w:rPr>
        <w:t>2030 г., Национална</w:t>
      </w:r>
      <w:r w:rsidR="00917220" w:rsidRPr="00D83669">
        <w:rPr>
          <w:rFonts w:ascii="Times New Roman" w:hAnsi="Times New Roman" w:cs="Times New Roman"/>
          <w:sz w:val="24"/>
          <w:szCs w:val="24"/>
        </w:rPr>
        <w:t>та</w:t>
      </w:r>
      <w:r w:rsidRPr="00D83669">
        <w:rPr>
          <w:rFonts w:ascii="Times New Roman" w:hAnsi="Times New Roman" w:cs="Times New Roman"/>
          <w:sz w:val="24"/>
          <w:szCs w:val="24"/>
        </w:rPr>
        <w:t xml:space="preserve"> стратегия за развитие на научните изслед</w:t>
      </w:r>
      <w:r w:rsidR="00BB5919" w:rsidRPr="00D83669">
        <w:rPr>
          <w:rFonts w:ascii="Times New Roman" w:hAnsi="Times New Roman" w:cs="Times New Roman"/>
          <w:sz w:val="24"/>
          <w:szCs w:val="24"/>
        </w:rPr>
        <w:t>вания в Република България 2017</w:t>
      </w:r>
      <w:r w:rsidR="009F48B0" w:rsidRPr="00D83669">
        <w:rPr>
          <w:rFonts w:ascii="Times New Roman" w:hAnsi="Times New Roman" w:cs="Times New Roman"/>
          <w:sz w:val="24"/>
          <w:szCs w:val="24"/>
        </w:rPr>
        <w:t xml:space="preserve"> – </w:t>
      </w:r>
      <w:r w:rsidRPr="00D83669">
        <w:rPr>
          <w:rFonts w:ascii="Times New Roman" w:hAnsi="Times New Roman" w:cs="Times New Roman"/>
          <w:sz w:val="24"/>
          <w:szCs w:val="24"/>
        </w:rPr>
        <w:t>2030 г</w:t>
      </w:r>
      <w:r w:rsidR="00917220" w:rsidRPr="00D83669">
        <w:rPr>
          <w:rFonts w:ascii="Times New Roman" w:hAnsi="Times New Roman" w:cs="Times New Roman"/>
          <w:sz w:val="24"/>
          <w:szCs w:val="24"/>
        </w:rPr>
        <w:t>.</w:t>
      </w:r>
      <w:r w:rsidR="00B0739F" w:rsidRPr="00D83669">
        <w:rPr>
          <w:rFonts w:ascii="Times New Roman" w:hAnsi="Times New Roman" w:cs="Times New Roman"/>
          <w:sz w:val="24"/>
          <w:szCs w:val="24"/>
        </w:rPr>
        <w:t xml:space="preserve"> и др.</w:t>
      </w:r>
      <w:r w:rsidRPr="00D83669">
        <w:rPr>
          <w:rFonts w:ascii="Times New Roman" w:hAnsi="Times New Roman" w:cs="Times New Roman"/>
          <w:sz w:val="24"/>
          <w:szCs w:val="24"/>
        </w:rPr>
        <w:t>, както и Споразумение</w:t>
      </w:r>
      <w:r w:rsidR="00917220" w:rsidRPr="00D83669">
        <w:rPr>
          <w:rFonts w:ascii="Times New Roman" w:hAnsi="Times New Roman" w:cs="Times New Roman"/>
          <w:sz w:val="24"/>
          <w:szCs w:val="24"/>
        </w:rPr>
        <w:t>то</w:t>
      </w:r>
      <w:r w:rsidRPr="00D83669">
        <w:rPr>
          <w:rFonts w:ascii="Times New Roman" w:hAnsi="Times New Roman" w:cs="Times New Roman"/>
          <w:sz w:val="24"/>
          <w:szCs w:val="24"/>
        </w:rPr>
        <w:t xml:space="preserve"> за партньорство на Република България 2021</w:t>
      </w:r>
      <w:r w:rsidR="009F48B0" w:rsidRPr="00D83669">
        <w:rPr>
          <w:rFonts w:ascii="Times New Roman" w:hAnsi="Times New Roman" w:cs="Times New Roman"/>
          <w:sz w:val="24"/>
          <w:szCs w:val="24"/>
        </w:rPr>
        <w:t xml:space="preserve"> – </w:t>
      </w:r>
      <w:r w:rsidRPr="00D83669">
        <w:rPr>
          <w:rFonts w:ascii="Times New Roman" w:hAnsi="Times New Roman" w:cs="Times New Roman"/>
          <w:sz w:val="24"/>
          <w:szCs w:val="24"/>
        </w:rPr>
        <w:t>2027.</w:t>
      </w:r>
    </w:p>
    <w:p w14:paraId="5FFA10AE" w14:textId="77777777" w:rsidR="00C63818" w:rsidRPr="00D83669" w:rsidRDefault="00C63818" w:rsidP="00C63818">
      <w:pPr>
        <w:jc w:val="both"/>
        <w:rPr>
          <w:rFonts w:ascii="Times New Roman" w:hAnsi="Times New Roman" w:cs="Times New Roman"/>
          <w:sz w:val="24"/>
          <w:szCs w:val="24"/>
        </w:rPr>
      </w:pPr>
    </w:p>
    <w:p w14:paraId="175ED87A" w14:textId="77777777" w:rsidR="00C63818" w:rsidRPr="00D83669" w:rsidRDefault="00C63818" w:rsidP="00C63818">
      <w:pPr>
        <w:jc w:val="both"/>
        <w:rPr>
          <w:rFonts w:ascii="Times New Roman" w:hAnsi="Times New Roman" w:cs="Times New Roman"/>
          <w:sz w:val="24"/>
          <w:szCs w:val="24"/>
        </w:rPr>
      </w:pPr>
      <w:r w:rsidRPr="00D83669">
        <w:rPr>
          <w:rFonts w:ascii="Times New Roman" w:hAnsi="Times New Roman" w:cs="Times New Roman"/>
          <w:noProof/>
          <w:sz w:val="24"/>
          <w:szCs w:val="24"/>
          <w:lang w:eastAsia="bg-BG"/>
        </w:rPr>
        <w:drawing>
          <wp:inline distT="0" distB="0" distL="0" distR="0" wp14:anchorId="2D9880F4" wp14:editId="108F1E73">
            <wp:extent cx="5486400" cy="3200400"/>
            <wp:effectExtent l="0" t="0" r="0" b="0"/>
            <wp:docPr id="5"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2CA37E10" w14:textId="77777777" w:rsidR="00C63818" w:rsidRPr="00D83669" w:rsidRDefault="00C63818" w:rsidP="00C63818">
      <w:pPr>
        <w:jc w:val="center"/>
        <w:rPr>
          <w:rFonts w:ascii="Times New Roman" w:hAnsi="Times New Roman" w:cs="Times New Roman"/>
          <w:b/>
          <w:i/>
          <w:sz w:val="24"/>
          <w:szCs w:val="24"/>
        </w:rPr>
      </w:pPr>
    </w:p>
    <w:p w14:paraId="5BF415BE" w14:textId="77777777" w:rsidR="00B276EF" w:rsidRPr="00D83669" w:rsidRDefault="00B276EF">
      <w:pPr>
        <w:rPr>
          <w:rFonts w:ascii="Times New Roman" w:hAnsi="Times New Roman" w:cs="Times New Roman"/>
          <w:b/>
          <w:i/>
          <w:sz w:val="24"/>
          <w:szCs w:val="24"/>
        </w:rPr>
        <w:sectPr w:rsidR="00B276EF" w:rsidRPr="00D83669" w:rsidSect="00E9729E">
          <w:type w:val="oddPage"/>
          <w:pgSz w:w="11906" w:h="16838"/>
          <w:pgMar w:top="709" w:right="991" w:bottom="1418" w:left="1418" w:header="706" w:footer="706" w:gutter="0"/>
          <w:cols w:space="708"/>
          <w:docGrid w:linePitch="360"/>
        </w:sectPr>
      </w:pPr>
      <w:r w:rsidRPr="00D83669">
        <w:rPr>
          <w:rFonts w:ascii="Times New Roman" w:hAnsi="Times New Roman" w:cs="Times New Roman"/>
          <w:b/>
          <w:i/>
          <w:sz w:val="24"/>
          <w:szCs w:val="24"/>
        </w:rPr>
        <w:br w:type="page"/>
      </w:r>
    </w:p>
    <w:p w14:paraId="791CA6EA" w14:textId="3BC9CA30" w:rsidR="00C63818" w:rsidRPr="00D83669" w:rsidRDefault="00C63818" w:rsidP="006E57AA">
      <w:pPr>
        <w:rPr>
          <w:rFonts w:ascii="Times New Roman" w:hAnsi="Times New Roman" w:cs="Times New Roman"/>
          <w:b/>
          <w:i/>
          <w:sz w:val="28"/>
          <w:szCs w:val="28"/>
        </w:rPr>
      </w:pPr>
      <w:r w:rsidRPr="00D83669">
        <w:rPr>
          <w:rFonts w:ascii="Times New Roman" w:hAnsi="Times New Roman" w:cs="Times New Roman"/>
          <w:b/>
          <w:i/>
          <w:sz w:val="28"/>
          <w:szCs w:val="28"/>
        </w:rPr>
        <w:lastRenderedPageBreak/>
        <w:t>Структура на ПО 2021-2027</w:t>
      </w:r>
    </w:p>
    <w:p w14:paraId="5B3C5638" w14:textId="77777777" w:rsidR="00C63818" w:rsidRPr="00D83669" w:rsidRDefault="00C63818" w:rsidP="00C63818">
      <w:pPr>
        <w:jc w:val="both"/>
        <w:rPr>
          <w:rFonts w:ascii="Times New Roman" w:hAnsi="Times New Roman" w:cs="Times New Roman"/>
          <w:sz w:val="24"/>
          <w:szCs w:val="24"/>
        </w:rPr>
      </w:pPr>
    </w:p>
    <w:p w14:paraId="34C47BE2" w14:textId="77777777" w:rsidR="00C63818" w:rsidRPr="00D83669" w:rsidRDefault="00C63818" w:rsidP="003E5449">
      <w:pPr>
        <w:jc w:val="center"/>
        <w:rPr>
          <w:rFonts w:ascii="Times New Roman" w:hAnsi="Times New Roman" w:cs="Times New Roman"/>
          <w:sz w:val="24"/>
          <w:szCs w:val="24"/>
        </w:rPr>
      </w:pPr>
      <w:r w:rsidRPr="00D83669">
        <w:rPr>
          <w:rFonts w:ascii="Times New Roman" w:hAnsi="Times New Roman" w:cs="Times New Roman"/>
          <w:noProof/>
          <w:sz w:val="24"/>
          <w:szCs w:val="24"/>
          <w:lang w:eastAsia="bg-BG"/>
        </w:rPr>
        <w:drawing>
          <wp:inline distT="0" distB="0" distL="0" distR="0" wp14:anchorId="33B251E0" wp14:editId="195DAFCB">
            <wp:extent cx="2630368" cy="5105247"/>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44609" cy="5132887"/>
                    </a:xfrm>
                    <a:prstGeom prst="rect">
                      <a:avLst/>
                    </a:prstGeom>
                    <a:noFill/>
                  </pic:spPr>
                </pic:pic>
              </a:graphicData>
            </a:graphic>
          </wp:inline>
        </w:drawing>
      </w:r>
      <w:r w:rsidRPr="00D83669">
        <w:rPr>
          <w:rFonts w:ascii="Times New Roman" w:hAnsi="Times New Roman" w:cs="Times New Roman"/>
          <w:noProof/>
          <w:sz w:val="24"/>
          <w:szCs w:val="24"/>
          <w:lang w:eastAsia="bg-BG"/>
        </w:rPr>
        <w:drawing>
          <wp:inline distT="0" distB="0" distL="0" distR="0" wp14:anchorId="09F04FAD" wp14:editId="7C4A90B2">
            <wp:extent cx="2290119" cy="4968395"/>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06917" cy="5004839"/>
                    </a:xfrm>
                    <a:prstGeom prst="rect">
                      <a:avLst/>
                    </a:prstGeom>
                    <a:noFill/>
                  </pic:spPr>
                </pic:pic>
              </a:graphicData>
            </a:graphic>
          </wp:inline>
        </w:drawing>
      </w:r>
      <w:r w:rsidRPr="00D83669">
        <w:rPr>
          <w:rFonts w:ascii="Times New Roman" w:hAnsi="Times New Roman" w:cs="Times New Roman"/>
          <w:noProof/>
          <w:sz w:val="24"/>
          <w:szCs w:val="24"/>
          <w:lang w:eastAsia="bg-BG"/>
        </w:rPr>
        <w:drawing>
          <wp:inline distT="0" distB="0" distL="0" distR="0" wp14:anchorId="5ADD001A" wp14:editId="6F77C1BF">
            <wp:extent cx="2842054" cy="509424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67903" cy="5140580"/>
                    </a:xfrm>
                    <a:prstGeom prst="rect">
                      <a:avLst/>
                    </a:prstGeom>
                    <a:noFill/>
                  </pic:spPr>
                </pic:pic>
              </a:graphicData>
            </a:graphic>
          </wp:inline>
        </w:drawing>
      </w:r>
    </w:p>
    <w:p w14:paraId="13A89ADD" w14:textId="77777777" w:rsidR="00374271" w:rsidRPr="00D83669" w:rsidRDefault="00374271" w:rsidP="003E5449">
      <w:pPr>
        <w:jc w:val="center"/>
        <w:rPr>
          <w:rFonts w:ascii="Times New Roman" w:hAnsi="Times New Roman" w:cs="Times New Roman"/>
          <w:sz w:val="24"/>
          <w:szCs w:val="24"/>
        </w:rPr>
        <w:sectPr w:rsidR="00374271" w:rsidRPr="00D83669" w:rsidSect="00B276EF">
          <w:type w:val="oddPage"/>
          <w:pgSz w:w="16838" w:h="11906" w:orient="landscape"/>
          <w:pgMar w:top="1418" w:right="1418" w:bottom="1418" w:left="1418" w:header="706" w:footer="706" w:gutter="0"/>
          <w:cols w:space="708"/>
          <w:docGrid w:linePitch="360"/>
        </w:sectPr>
      </w:pPr>
    </w:p>
    <w:p w14:paraId="60941FC8" w14:textId="1B912927" w:rsidR="00C63818" w:rsidRPr="00D83669" w:rsidRDefault="00C63818" w:rsidP="006F73C2">
      <w:pPr>
        <w:pStyle w:val="Heading1"/>
        <w:numPr>
          <w:ilvl w:val="0"/>
          <w:numId w:val="19"/>
        </w:numPr>
        <w:spacing w:after="240" w:line="360" w:lineRule="auto"/>
        <w:ind w:left="0" w:firstLine="0"/>
        <w:rPr>
          <w:rFonts w:ascii="Times New Roman" w:hAnsi="Times New Roman" w:cs="Times New Roman"/>
          <w:b/>
          <w:color w:val="auto"/>
          <w:sz w:val="28"/>
          <w:szCs w:val="28"/>
        </w:rPr>
      </w:pPr>
      <w:bookmarkStart w:id="1" w:name="_Toc103586633"/>
      <w:r w:rsidRPr="00D83669">
        <w:rPr>
          <w:rFonts w:ascii="Times New Roman" w:hAnsi="Times New Roman" w:cs="Times New Roman"/>
          <w:b/>
          <w:color w:val="auto"/>
          <w:sz w:val="28"/>
          <w:szCs w:val="28"/>
        </w:rPr>
        <w:lastRenderedPageBreak/>
        <w:t xml:space="preserve">Избор на </w:t>
      </w:r>
      <w:r w:rsidR="00D14C12" w:rsidRPr="00D83669">
        <w:rPr>
          <w:rFonts w:ascii="Times New Roman" w:hAnsi="Times New Roman" w:cs="Times New Roman"/>
          <w:b/>
          <w:color w:val="auto"/>
          <w:sz w:val="28"/>
          <w:szCs w:val="28"/>
          <w:lang w:val="bg-BG"/>
        </w:rPr>
        <w:t>показатели</w:t>
      </w:r>
      <w:bookmarkEnd w:id="1"/>
    </w:p>
    <w:p w14:paraId="2D941C77" w14:textId="296635A0" w:rsidR="00C63818" w:rsidRPr="00D83669" w:rsidRDefault="00C63818" w:rsidP="00D50340">
      <w:pPr>
        <w:ind w:firstLine="450"/>
        <w:jc w:val="both"/>
        <w:rPr>
          <w:rFonts w:ascii="Times New Roman" w:hAnsi="Times New Roman" w:cs="Times New Roman"/>
          <w:sz w:val="24"/>
          <w:szCs w:val="24"/>
        </w:rPr>
      </w:pPr>
      <w:r w:rsidRPr="00D83669">
        <w:rPr>
          <w:rFonts w:ascii="Times New Roman" w:hAnsi="Times New Roman" w:cs="Times New Roman"/>
          <w:sz w:val="24"/>
          <w:szCs w:val="24"/>
        </w:rPr>
        <w:t xml:space="preserve">Изборът на </w:t>
      </w:r>
      <w:r w:rsidR="00D14C12"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се определя от целите, целевите групи, видовете операции/групи дейности</w:t>
      </w:r>
      <w:r w:rsidR="00D50340" w:rsidRPr="00D83669">
        <w:rPr>
          <w:rFonts w:ascii="Times New Roman" w:hAnsi="Times New Roman" w:cs="Times New Roman"/>
          <w:sz w:val="24"/>
          <w:szCs w:val="24"/>
        </w:rPr>
        <w:t xml:space="preserve"> и</w:t>
      </w:r>
      <w:r w:rsidRPr="00D83669">
        <w:rPr>
          <w:rFonts w:ascii="Times New Roman" w:hAnsi="Times New Roman" w:cs="Times New Roman"/>
          <w:sz w:val="24"/>
          <w:szCs w:val="24"/>
        </w:rPr>
        <w:t xml:space="preserve"> очакваните резултати за всяка специфична цел</w:t>
      </w:r>
      <w:r w:rsidR="00D50340" w:rsidRPr="00D83669">
        <w:rPr>
          <w:rFonts w:ascii="Times New Roman" w:hAnsi="Times New Roman" w:cs="Times New Roman"/>
          <w:sz w:val="24"/>
          <w:szCs w:val="24"/>
        </w:rPr>
        <w:t xml:space="preserve">/ приоритет на </w:t>
      </w:r>
      <w:r w:rsidR="00CD3FCA" w:rsidRPr="00D83669">
        <w:rPr>
          <w:rFonts w:ascii="Times New Roman" w:hAnsi="Times New Roman" w:cs="Times New Roman"/>
          <w:sz w:val="24"/>
          <w:szCs w:val="24"/>
        </w:rPr>
        <w:t>Програмата</w:t>
      </w:r>
      <w:r w:rsidRPr="00D83669">
        <w:rPr>
          <w:rFonts w:ascii="Times New Roman" w:hAnsi="Times New Roman" w:cs="Times New Roman"/>
          <w:sz w:val="24"/>
          <w:szCs w:val="24"/>
        </w:rPr>
        <w:t xml:space="preserve">. Изборът на </w:t>
      </w:r>
      <w:r w:rsidR="00D14C12"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се базира на научени уроци от ОПНОИР 2014</w:t>
      </w:r>
      <w:r w:rsidR="00BB5919" w:rsidRPr="00D83669">
        <w:rPr>
          <w:rFonts w:ascii="Times New Roman" w:hAnsi="Times New Roman" w:cs="Times New Roman"/>
          <w:sz w:val="24"/>
          <w:szCs w:val="24"/>
        </w:rPr>
        <w:t xml:space="preserve"> – </w:t>
      </w:r>
      <w:r w:rsidRPr="00D83669">
        <w:rPr>
          <w:rFonts w:ascii="Times New Roman" w:hAnsi="Times New Roman" w:cs="Times New Roman"/>
          <w:sz w:val="24"/>
          <w:szCs w:val="24"/>
        </w:rPr>
        <w:t>2020 г. и налични база данни – европейски и национални. Отчетени са регионалните и териториални</w:t>
      </w:r>
      <w:r w:rsidR="00361EC4" w:rsidRPr="00D83669">
        <w:rPr>
          <w:rFonts w:ascii="Times New Roman" w:hAnsi="Times New Roman" w:cs="Times New Roman"/>
          <w:sz w:val="24"/>
          <w:szCs w:val="24"/>
        </w:rPr>
        <w:t>те</w:t>
      </w:r>
      <w:r w:rsidRPr="00D83669">
        <w:rPr>
          <w:rFonts w:ascii="Times New Roman" w:hAnsi="Times New Roman" w:cs="Times New Roman"/>
          <w:sz w:val="24"/>
          <w:szCs w:val="24"/>
        </w:rPr>
        <w:t xml:space="preserve"> измерения на дефи</w:t>
      </w:r>
      <w:r w:rsidR="004E0557" w:rsidRPr="00D83669">
        <w:rPr>
          <w:rFonts w:ascii="Times New Roman" w:hAnsi="Times New Roman" w:cs="Times New Roman"/>
          <w:sz w:val="24"/>
          <w:szCs w:val="24"/>
        </w:rPr>
        <w:t xml:space="preserve">нираните предизвикателства и </w:t>
      </w:r>
      <w:r w:rsidRPr="00D83669">
        <w:rPr>
          <w:rFonts w:ascii="Times New Roman" w:hAnsi="Times New Roman" w:cs="Times New Roman"/>
          <w:sz w:val="24"/>
          <w:szCs w:val="24"/>
        </w:rPr>
        <w:t>добри</w:t>
      </w:r>
      <w:r w:rsidR="004E0557" w:rsidRPr="00D83669">
        <w:rPr>
          <w:rFonts w:ascii="Times New Roman" w:hAnsi="Times New Roman" w:cs="Times New Roman"/>
          <w:sz w:val="24"/>
          <w:szCs w:val="24"/>
        </w:rPr>
        <w:t>те</w:t>
      </w:r>
      <w:r w:rsidRPr="00D83669">
        <w:rPr>
          <w:rFonts w:ascii="Times New Roman" w:hAnsi="Times New Roman" w:cs="Times New Roman"/>
          <w:sz w:val="24"/>
          <w:szCs w:val="24"/>
        </w:rPr>
        <w:t xml:space="preserve"> практики за интервениране. Избраните подходи за реализиране на интервенции като операции от стратегическо значение с </w:t>
      </w:r>
      <w:r w:rsidR="00361EC4" w:rsidRPr="00D83669">
        <w:rPr>
          <w:rFonts w:ascii="Times New Roman" w:hAnsi="Times New Roman" w:cs="Times New Roman"/>
          <w:sz w:val="24"/>
          <w:szCs w:val="24"/>
        </w:rPr>
        <w:t xml:space="preserve">Конкретен </w:t>
      </w:r>
      <w:r w:rsidRPr="00D83669">
        <w:rPr>
          <w:rFonts w:ascii="Times New Roman" w:hAnsi="Times New Roman" w:cs="Times New Roman"/>
          <w:sz w:val="24"/>
          <w:szCs w:val="24"/>
        </w:rPr>
        <w:t>бенефициент М</w:t>
      </w:r>
      <w:r w:rsidR="004E0557" w:rsidRPr="00D83669">
        <w:rPr>
          <w:rFonts w:ascii="Times New Roman" w:hAnsi="Times New Roman" w:cs="Times New Roman"/>
          <w:sz w:val="24"/>
          <w:szCs w:val="24"/>
        </w:rPr>
        <w:t>инистерството на образованието и науката</w:t>
      </w:r>
      <w:r w:rsidRPr="00D83669">
        <w:rPr>
          <w:rFonts w:ascii="Times New Roman" w:hAnsi="Times New Roman" w:cs="Times New Roman"/>
          <w:sz w:val="24"/>
          <w:szCs w:val="24"/>
        </w:rPr>
        <w:t xml:space="preserve">, </w:t>
      </w:r>
      <w:r w:rsidR="00A928E0" w:rsidRPr="00D83669">
        <w:rPr>
          <w:rFonts w:ascii="Times New Roman" w:hAnsi="Times New Roman" w:cs="Times New Roman"/>
          <w:sz w:val="24"/>
          <w:szCs w:val="24"/>
        </w:rPr>
        <w:t>интегрираните териториални инвестиции (ИТИ),</w:t>
      </w:r>
      <w:r w:rsidRPr="00D83669">
        <w:rPr>
          <w:rFonts w:ascii="Times New Roman" w:hAnsi="Times New Roman" w:cs="Times New Roman"/>
          <w:sz w:val="24"/>
          <w:szCs w:val="24"/>
        </w:rPr>
        <w:t xml:space="preserve"> </w:t>
      </w:r>
      <w:r w:rsidR="00A928E0" w:rsidRPr="00D83669">
        <w:rPr>
          <w:rFonts w:ascii="Times New Roman" w:hAnsi="Times New Roman" w:cs="Times New Roman"/>
          <w:sz w:val="24"/>
          <w:szCs w:val="24"/>
        </w:rPr>
        <w:t>Водено от общностите местно развитие (</w:t>
      </w:r>
      <w:r w:rsidRPr="00D83669">
        <w:rPr>
          <w:rFonts w:ascii="Times New Roman" w:hAnsi="Times New Roman" w:cs="Times New Roman"/>
          <w:sz w:val="24"/>
          <w:szCs w:val="24"/>
        </w:rPr>
        <w:t>ВОМР</w:t>
      </w:r>
      <w:r w:rsidR="00CE01E5" w:rsidRPr="00D83669">
        <w:rPr>
          <w:rFonts w:ascii="Times New Roman" w:hAnsi="Times New Roman" w:cs="Times New Roman"/>
          <w:sz w:val="24"/>
          <w:szCs w:val="24"/>
        </w:rPr>
        <w:t>)</w:t>
      </w:r>
      <w:r w:rsidRPr="00D83669">
        <w:rPr>
          <w:rFonts w:ascii="Times New Roman" w:hAnsi="Times New Roman" w:cs="Times New Roman"/>
          <w:sz w:val="24"/>
          <w:szCs w:val="24"/>
        </w:rPr>
        <w:t>, подход чрез подбор на проекти с оглед специфично въздействие върху целевите групи</w:t>
      </w:r>
      <w:r w:rsidR="00CE01E5" w:rsidRPr="00D83669">
        <w:rPr>
          <w:rFonts w:ascii="Times New Roman" w:hAnsi="Times New Roman" w:cs="Times New Roman"/>
          <w:sz w:val="24"/>
          <w:szCs w:val="24"/>
        </w:rPr>
        <w:t>,</w:t>
      </w:r>
      <w:r w:rsidRPr="00D83669">
        <w:rPr>
          <w:rFonts w:ascii="Times New Roman" w:hAnsi="Times New Roman" w:cs="Times New Roman"/>
          <w:sz w:val="24"/>
          <w:szCs w:val="24"/>
        </w:rPr>
        <w:t xml:space="preserve"> са взети предвид при формиране на рамката на </w:t>
      </w:r>
      <w:r w:rsidR="00D14C12"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по специфичните цели/ приоритети на </w:t>
      </w:r>
      <w:r w:rsidR="00CD3FCA" w:rsidRPr="00D83669">
        <w:rPr>
          <w:rFonts w:ascii="Times New Roman" w:hAnsi="Times New Roman" w:cs="Times New Roman"/>
          <w:sz w:val="24"/>
          <w:szCs w:val="24"/>
        </w:rPr>
        <w:t>Програмата</w:t>
      </w:r>
      <w:r w:rsidRPr="00D83669">
        <w:rPr>
          <w:rFonts w:ascii="Times New Roman" w:hAnsi="Times New Roman" w:cs="Times New Roman"/>
          <w:sz w:val="24"/>
          <w:szCs w:val="24"/>
        </w:rPr>
        <w:t>. Осигурено е широко покритие на целеви</w:t>
      </w:r>
      <w:r w:rsidR="00290D2E" w:rsidRPr="00D83669">
        <w:rPr>
          <w:rFonts w:ascii="Times New Roman" w:hAnsi="Times New Roman" w:cs="Times New Roman"/>
          <w:sz w:val="24"/>
          <w:szCs w:val="24"/>
        </w:rPr>
        <w:t>те</w:t>
      </w:r>
      <w:r w:rsidRPr="00D83669">
        <w:rPr>
          <w:rFonts w:ascii="Times New Roman" w:hAnsi="Times New Roman" w:cs="Times New Roman"/>
          <w:sz w:val="24"/>
          <w:szCs w:val="24"/>
        </w:rPr>
        <w:t xml:space="preserve"> групи и търсене на ефективно въздействие по специфичните им характеристики.</w:t>
      </w:r>
      <w:r w:rsidR="00CE01E5" w:rsidRPr="00D83669">
        <w:rPr>
          <w:rFonts w:ascii="Times New Roman" w:hAnsi="Times New Roman" w:cs="Times New Roman"/>
          <w:sz w:val="24"/>
          <w:szCs w:val="24"/>
        </w:rPr>
        <w:t xml:space="preserve"> </w:t>
      </w:r>
      <w:r w:rsidRPr="00D83669">
        <w:rPr>
          <w:rFonts w:ascii="Times New Roman" w:hAnsi="Times New Roman" w:cs="Times New Roman"/>
          <w:sz w:val="24"/>
          <w:szCs w:val="24"/>
        </w:rPr>
        <w:t xml:space="preserve">Ефективността </w:t>
      </w:r>
      <w:r w:rsidR="000B33BA" w:rsidRPr="00D83669">
        <w:rPr>
          <w:rFonts w:ascii="Times New Roman" w:hAnsi="Times New Roman" w:cs="Times New Roman"/>
          <w:sz w:val="24"/>
          <w:szCs w:val="24"/>
        </w:rPr>
        <w:t xml:space="preserve">на </w:t>
      </w:r>
      <w:r w:rsidRPr="00D83669">
        <w:rPr>
          <w:rFonts w:ascii="Times New Roman" w:hAnsi="Times New Roman" w:cs="Times New Roman"/>
          <w:sz w:val="24"/>
          <w:szCs w:val="24"/>
        </w:rPr>
        <w:t xml:space="preserve">планираните бюджети по приоритетите на ПО е друг фактор при избора на </w:t>
      </w:r>
      <w:r w:rsidR="00D14C12" w:rsidRPr="00D83669">
        <w:rPr>
          <w:rFonts w:ascii="Times New Roman" w:hAnsi="Times New Roman" w:cs="Times New Roman"/>
          <w:sz w:val="24"/>
          <w:szCs w:val="24"/>
        </w:rPr>
        <w:t>показатели</w:t>
      </w:r>
      <w:r w:rsidR="00CE01E5" w:rsidRPr="00D83669">
        <w:rPr>
          <w:rFonts w:ascii="Times New Roman" w:hAnsi="Times New Roman" w:cs="Times New Roman"/>
          <w:sz w:val="24"/>
          <w:szCs w:val="24"/>
        </w:rPr>
        <w:t>.</w:t>
      </w:r>
    </w:p>
    <w:p w14:paraId="2614CEC8" w14:textId="51241257" w:rsidR="00C63818" w:rsidRPr="00D83669" w:rsidRDefault="00441D9A" w:rsidP="00CE01E5">
      <w:pPr>
        <w:ind w:firstLine="450"/>
        <w:jc w:val="both"/>
        <w:rPr>
          <w:rFonts w:ascii="Times New Roman" w:hAnsi="Times New Roman" w:cs="Times New Roman"/>
          <w:sz w:val="24"/>
          <w:szCs w:val="24"/>
        </w:rPr>
      </w:pPr>
      <w:r w:rsidRPr="00D83669">
        <w:rPr>
          <w:rFonts w:ascii="Times New Roman" w:hAnsi="Times New Roman" w:cs="Times New Roman"/>
          <w:sz w:val="24"/>
          <w:szCs w:val="24"/>
        </w:rPr>
        <w:t>Съобразявайки се с горните</w:t>
      </w:r>
      <w:r w:rsidR="00C63818" w:rsidRPr="00D83669">
        <w:rPr>
          <w:rFonts w:ascii="Times New Roman" w:hAnsi="Times New Roman" w:cs="Times New Roman"/>
          <w:sz w:val="24"/>
          <w:szCs w:val="24"/>
        </w:rPr>
        <w:t xml:space="preserve"> фактори са избрани </w:t>
      </w:r>
      <w:r w:rsidR="00D14C12" w:rsidRPr="00D83669">
        <w:rPr>
          <w:rFonts w:ascii="Times New Roman" w:hAnsi="Times New Roman" w:cs="Times New Roman"/>
          <w:sz w:val="24"/>
          <w:szCs w:val="24"/>
        </w:rPr>
        <w:t>показатели</w:t>
      </w:r>
      <w:r w:rsidR="00C63818" w:rsidRPr="00D83669">
        <w:rPr>
          <w:rFonts w:ascii="Times New Roman" w:hAnsi="Times New Roman" w:cs="Times New Roman"/>
          <w:sz w:val="24"/>
          <w:szCs w:val="24"/>
        </w:rPr>
        <w:t>, които да покриват висок дял на целевите групи</w:t>
      </w:r>
      <w:r w:rsidR="00210787" w:rsidRPr="00D83669">
        <w:rPr>
          <w:rFonts w:ascii="Times New Roman" w:hAnsi="Times New Roman" w:cs="Times New Roman"/>
          <w:sz w:val="24"/>
          <w:szCs w:val="24"/>
        </w:rPr>
        <w:t xml:space="preserve"> по</w:t>
      </w:r>
      <w:r w:rsidR="00C63818" w:rsidRPr="00D83669">
        <w:rPr>
          <w:rFonts w:ascii="Times New Roman" w:hAnsi="Times New Roman" w:cs="Times New Roman"/>
          <w:sz w:val="24"/>
          <w:szCs w:val="24"/>
        </w:rPr>
        <w:t xml:space="preserve"> операции/групи дейности с цел балансирано разпределение и въздействие спрямо специфичните характеристики на територията, разнообразието на целеви групи и предизвикателства пред образователната система, вкл. и заради пандемията от </w:t>
      </w:r>
      <w:r w:rsidR="000F5BEF" w:rsidRPr="00D83669">
        <w:rPr>
          <w:rFonts w:ascii="Times New Roman" w:hAnsi="Times New Roman" w:cs="Times New Roman"/>
          <w:sz w:val="24"/>
          <w:szCs w:val="24"/>
          <w:lang w:val="en-US"/>
        </w:rPr>
        <w:t>COVID</w:t>
      </w:r>
      <w:r w:rsidR="00C63818" w:rsidRPr="00D83669">
        <w:rPr>
          <w:rFonts w:ascii="Times New Roman" w:hAnsi="Times New Roman" w:cs="Times New Roman"/>
          <w:sz w:val="24"/>
          <w:szCs w:val="24"/>
        </w:rPr>
        <w:t>-19. Описаните фактори определят прагматичен подход при формиране на индикаторната рамка на ПО, съблюдавайки принципа на пропорционалност.</w:t>
      </w:r>
    </w:p>
    <w:p w14:paraId="074DA86D" w14:textId="77777777" w:rsidR="00C63818" w:rsidRPr="00D83669" w:rsidRDefault="00C63818" w:rsidP="0022589D">
      <w:pPr>
        <w:ind w:firstLine="450"/>
        <w:jc w:val="both"/>
        <w:rPr>
          <w:rFonts w:ascii="Times New Roman" w:hAnsi="Times New Roman" w:cs="Times New Roman"/>
          <w:sz w:val="24"/>
          <w:szCs w:val="24"/>
        </w:rPr>
      </w:pPr>
      <w:r w:rsidRPr="00D83669">
        <w:rPr>
          <w:rFonts w:ascii="Times New Roman" w:hAnsi="Times New Roman" w:cs="Times New Roman"/>
          <w:sz w:val="24"/>
          <w:szCs w:val="24"/>
        </w:rPr>
        <w:t>Прагматичният подход се състои в следните стъпки:</w:t>
      </w:r>
    </w:p>
    <w:p w14:paraId="494301F0" w14:textId="77777777" w:rsidR="00C63818" w:rsidRPr="00D83669" w:rsidRDefault="00C63818" w:rsidP="00C63818">
      <w:pPr>
        <w:pStyle w:val="ListParagraph"/>
        <w:numPr>
          <w:ilvl w:val="0"/>
          <w:numId w:val="6"/>
        </w:numPr>
        <w:tabs>
          <w:tab w:val="left" w:pos="360"/>
        </w:tabs>
        <w:ind w:left="0" w:firstLine="360"/>
        <w:jc w:val="both"/>
        <w:rPr>
          <w:rFonts w:ascii="Times New Roman" w:hAnsi="Times New Roman" w:cs="Times New Roman"/>
          <w:sz w:val="24"/>
          <w:szCs w:val="24"/>
        </w:rPr>
      </w:pPr>
      <w:r w:rsidRPr="00D83669">
        <w:rPr>
          <w:rFonts w:ascii="Times New Roman" w:hAnsi="Times New Roman" w:cs="Times New Roman"/>
          <w:sz w:val="24"/>
          <w:szCs w:val="24"/>
        </w:rPr>
        <w:t>Преглед и анализ на постигнатото по ОПНОИР – използване на набор от исторически данни, натрупани по проекти на ОПНОИР към 2018</w:t>
      </w:r>
      <w:r w:rsidR="00BB5919" w:rsidRPr="00D83669">
        <w:rPr>
          <w:rFonts w:ascii="Times New Roman" w:hAnsi="Times New Roman" w:cs="Times New Roman"/>
          <w:sz w:val="24"/>
          <w:szCs w:val="24"/>
        </w:rPr>
        <w:t xml:space="preserve"> – </w:t>
      </w:r>
      <w:r w:rsidRPr="00D83669">
        <w:rPr>
          <w:rFonts w:ascii="Times New Roman" w:hAnsi="Times New Roman" w:cs="Times New Roman"/>
          <w:sz w:val="24"/>
          <w:szCs w:val="24"/>
        </w:rPr>
        <w:t xml:space="preserve">2020 г.; избор на </w:t>
      </w:r>
      <w:r w:rsidR="00634317" w:rsidRPr="00D83669">
        <w:rPr>
          <w:rFonts w:ascii="Times New Roman" w:hAnsi="Times New Roman" w:cs="Times New Roman"/>
          <w:sz w:val="24"/>
          <w:szCs w:val="24"/>
        </w:rPr>
        <w:t xml:space="preserve"> подходящи </w:t>
      </w:r>
      <w:r w:rsidRPr="00D83669">
        <w:rPr>
          <w:rFonts w:ascii="Times New Roman" w:hAnsi="Times New Roman" w:cs="Times New Roman"/>
          <w:sz w:val="24"/>
          <w:szCs w:val="24"/>
        </w:rPr>
        <w:t>данни</w:t>
      </w:r>
      <w:r w:rsidR="00634317" w:rsidRPr="00D83669">
        <w:rPr>
          <w:rFonts w:ascii="Times New Roman" w:hAnsi="Times New Roman" w:cs="Times New Roman"/>
          <w:sz w:val="24"/>
          <w:szCs w:val="24"/>
        </w:rPr>
        <w:t xml:space="preserve"> съобразно естеството на предвидената подкрепа</w:t>
      </w:r>
      <w:r w:rsidRPr="00D83669">
        <w:rPr>
          <w:rFonts w:ascii="Times New Roman" w:hAnsi="Times New Roman" w:cs="Times New Roman"/>
          <w:sz w:val="24"/>
          <w:szCs w:val="24"/>
        </w:rPr>
        <w:t>;</w:t>
      </w:r>
    </w:p>
    <w:p w14:paraId="2AAE31B3" w14:textId="77777777" w:rsidR="00634317" w:rsidRPr="00D83669" w:rsidRDefault="00C63818" w:rsidP="00634317">
      <w:pPr>
        <w:pStyle w:val="ListParagraph"/>
        <w:numPr>
          <w:ilvl w:val="0"/>
          <w:numId w:val="6"/>
        </w:numPr>
        <w:tabs>
          <w:tab w:val="left" w:pos="360"/>
        </w:tabs>
        <w:ind w:left="0" w:firstLine="360"/>
        <w:jc w:val="both"/>
        <w:rPr>
          <w:rFonts w:ascii="Times New Roman" w:hAnsi="Times New Roman" w:cs="Times New Roman"/>
          <w:sz w:val="24"/>
          <w:szCs w:val="24"/>
        </w:rPr>
      </w:pPr>
      <w:r w:rsidRPr="00D83669">
        <w:rPr>
          <w:rFonts w:ascii="Times New Roman" w:hAnsi="Times New Roman" w:cs="Times New Roman"/>
          <w:sz w:val="24"/>
          <w:szCs w:val="24"/>
        </w:rPr>
        <w:t xml:space="preserve">Преглед на налични статистически публични данни – на НСИ, на МОН, от публикации по европейски и национални проекти и програми, сходни с планираните интервенции и подходящи за ползване; </w:t>
      </w:r>
      <w:r w:rsidR="00634317" w:rsidRPr="00D83669">
        <w:rPr>
          <w:rFonts w:ascii="Times New Roman" w:hAnsi="Times New Roman" w:cs="Times New Roman"/>
          <w:sz w:val="24"/>
          <w:szCs w:val="24"/>
        </w:rPr>
        <w:t>избор на  подходящи данни съобразно естеството на предвидената подкрепа;</w:t>
      </w:r>
    </w:p>
    <w:p w14:paraId="77B56DE0" w14:textId="77777777" w:rsidR="00C63818" w:rsidRPr="00D83669" w:rsidRDefault="00C63818" w:rsidP="00CA3719">
      <w:pPr>
        <w:pStyle w:val="ListParagraph"/>
        <w:numPr>
          <w:ilvl w:val="0"/>
          <w:numId w:val="6"/>
        </w:numPr>
        <w:ind w:left="90" w:firstLine="270"/>
        <w:jc w:val="both"/>
        <w:rPr>
          <w:rFonts w:ascii="Times New Roman" w:hAnsi="Times New Roman" w:cs="Times New Roman"/>
          <w:sz w:val="24"/>
          <w:szCs w:val="24"/>
        </w:rPr>
      </w:pPr>
      <w:r w:rsidRPr="00D83669">
        <w:rPr>
          <w:rFonts w:ascii="Times New Roman" w:hAnsi="Times New Roman" w:cs="Times New Roman"/>
          <w:sz w:val="24"/>
          <w:szCs w:val="24"/>
        </w:rPr>
        <w:t>Формулиране на микро</w:t>
      </w:r>
      <w:r w:rsidR="000D50EE" w:rsidRPr="00D83669">
        <w:rPr>
          <w:rFonts w:ascii="Times New Roman" w:hAnsi="Times New Roman" w:cs="Times New Roman"/>
          <w:sz w:val="24"/>
          <w:szCs w:val="24"/>
        </w:rPr>
        <w:t xml:space="preserve"> </w:t>
      </w:r>
      <w:r w:rsidRPr="00D83669">
        <w:rPr>
          <w:rFonts w:ascii="Times New Roman" w:hAnsi="Times New Roman" w:cs="Times New Roman"/>
          <w:sz w:val="24"/>
          <w:szCs w:val="24"/>
        </w:rPr>
        <w:t>индикатори на ниво операция/група дейности – за всяка операция;</w:t>
      </w:r>
    </w:p>
    <w:p w14:paraId="06452004" w14:textId="21217880" w:rsidR="00C63818" w:rsidRPr="00D83669" w:rsidRDefault="00C63818" w:rsidP="00C63818">
      <w:pPr>
        <w:pStyle w:val="ListParagraph"/>
        <w:numPr>
          <w:ilvl w:val="0"/>
          <w:numId w:val="6"/>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Агрегиране на формулираните микро</w:t>
      </w:r>
      <w:r w:rsidR="000D50EE" w:rsidRPr="00D83669">
        <w:rPr>
          <w:rFonts w:ascii="Times New Roman" w:hAnsi="Times New Roman" w:cs="Times New Roman"/>
          <w:sz w:val="24"/>
          <w:szCs w:val="24"/>
        </w:rPr>
        <w:t xml:space="preserve"> </w:t>
      </w:r>
      <w:r w:rsidRPr="00D83669">
        <w:rPr>
          <w:rFonts w:ascii="Times New Roman" w:hAnsi="Times New Roman" w:cs="Times New Roman"/>
          <w:sz w:val="24"/>
          <w:szCs w:val="24"/>
        </w:rPr>
        <w:t xml:space="preserve">индикатори за </w:t>
      </w:r>
      <w:r w:rsidR="006F73C2" w:rsidRPr="00D83669">
        <w:rPr>
          <w:rFonts w:ascii="Times New Roman" w:hAnsi="Times New Roman" w:cs="Times New Roman"/>
          <w:sz w:val="24"/>
          <w:szCs w:val="24"/>
        </w:rPr>
        <w:t xml:space="preserve">продукт </w:t>
      </w:r>
      <w:r w:rsidRPr="00D83669">
        <w:rPr>
          <w:rFonts w:ascii="Times New Roman" w:hAnsi="Times New Roman" w:cs="Times New Roman"/>
          <w:sz w:val="24"/>
          <w:szCs w:val="24"/>
        </w:rPr>
        <w:t>и за резултат по всяка специфична цел и определяне/формулиране на:</w:t>
      </w:r>
    </w:p>
    <w:p w14:paraId="24E9F3D3" w14:textId="6FE07DED" w:rsidR="00C63818" w:rsidRPr="00D83669" w:rsidRDefault="00C63818" w:rsidP="00C63818">
      <w:pPr>
        <w:pStyle w:val="ListParagraph"/>
        <w:numPr>
          <w:ilvl w:val="0"/>
          <w:numId w:val="7"/>
        </w:numPr>
        <w:tabs>
          <w:tab w:val="left" w:pos="1080"/>
        </w:tabs>
        <w:ind w:left="90" w:firstLine="720"/>
        <w:jc w:val="both"/>
        <w:rPr>
          <w:rFonts w:ascii="Times New Roman" w:hAnsi="Times New Roman" w:cs="Times New Roman"/>
          <w:sz w:val="24"/>
          <w:szCs w:val="24"/>
        </w:rPr>
      </w:pPr>
      <w:r w:rsidRPr="00D83669">
        <w:rPr>
          <w:rFonts w:ascii="Times New Roman" w:hAnsi="Times New Roman" w:cs="Times New Roman"/>
          <w:sz w:val="24"/>
          <w:szCs w:val="24"/>
        </w:rPr>
        <w:t xml:space="preserve">Общи </w:t>
      </w:r>
      <w:r w:rsidR="003E214E"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 xml:space="preserve">съгласно Приложение </w:t>
      </w:r>
      <w:r w:rsidRPr="00D83669">
        <w:rPr>
          <w:rFonts w:ascii="Times New Roman" w:hAnsi="Times New Roman" w:cs="Times New Roman"/>
          <w:sz w:val="24"/>
          <w:szCs w:val="24"/>
          <w:lang w:val="en-US"/>
        </w:rPr>
        <w:t>I</w:t>
      </w:r>
      <w:r w:rsidRPr="00D83669">
        <w:rPr>
          <w:rFonts w:ascii="Times New Roman" w:hAnsi="Times New Roman" w:cs="Times New Roman"/>
          <w:sz w:val="24"/>
          <w:szCs w:val="24"/>
        </w:rPr>
        <w:t xml:space="preserve"> на Регламент (ЕС) 2021/1057 на Европейския парламент и на Съвета от 24 юни 2021 година за създаване на Европейския социален фонд плюс (ЕСФ+) и за отмяна на Регламент (ЕС) № 1296/2013 и Общия инструментариум за показателите на ЕСФ+ от октомври 2021 г. (</w:t>
      </w:r>
      <w:r w:rsidRPr="00D83669">
        <w:rPr>
          <w:rFonts w:ascii="Times New Roman" w:hAnsi="Times New Roman" w:cs="Times New Roman"/>
          <w:sz w:val="24"/>
          <w:szCs w:val="24"/>
          <w:lang w:val="en-US"/>
        </w:rPr>
        <w:t>ESF</w:t>
      </w:r>
      <w:r w:rsidRPr="00D83669">
        <w:rPr>
          <w:rFonts w:ascii="Times New Roman" w:hAnsi="Times New Roman" w:cs="Times New Roman"/>
          <w:sz w:val="24"/>
          <w:szCs w:val="24"/>
        </w:rPr>
        <w:t xml:space="preserve">+ </w:t>
      </w:r>
      <w:r w:rsidRPr="00D83669">
        <w:rPr>
          <w:rFonts w:ascii="Times New Roman" w:hAnsi="Times New Roman" w:cs="Times New Roman"/>
          <w:sz w:val="24"/>
          <w:szCs w:val="24"/>
          <w:lang w:val="en-US"/>
        </w:rPr>
        <w:t>Common</w:t>
      </w:r>
      <w:r w:rsidRPr="00D83669">
        <w:rPr>
          <w:rFonts w:ascii="Times New Roman" w:hAnsi="Times New Roman" w:cs="Times New Roman"/>
          <w:sz w:val="24"/>
          <w:szCs w:val="24"/>
        </w:rPr>
        <w:t xml:space="preserve"> </w:t>
      </w:r>
      <w:r w:rsidRPr="00D83669">
        <w:rPr>
          <w:rFonts w:ascii="Times New Roman" w:hAnsi="Times New Roman" w:cs="Times New Roman"/>
          <w:sz w:val="24"/>
          <w:szCs w:val="24"/>
          <w:lang w:val="en-US"/>
        </w:rPr>
        <w:t>Indicators</w:t>
      </w:r>
      <w:r w:rsidRPr="00D83669">
        <w:rPr>
          <w:rFonts w:ascii="Times New Roman" w:hAnsi="Times New Roman" w:cs="Times New Roman"/>
          <w:sz w:val="24"/>
          <w:szCs w:val="24"/>
        </w:rPr>
        <w:t xml:space="preserve"> </w:t>
      </w:r>
      <w:r w:rsidRPr="00D83669">
        <w:rPr>
          <w:rFonts w:ascii="Times New Roman" w:hAnsi="Times New Roman" w:cs="Times New Roman"/>
          <w:sz w:val="24"/>
          <w:szCs w:val="24"/>
          <w:lang w:val="en-US"/>
        </w:rPr>
        <w:t>Toolbox</w:t>
      </w:r>
      <w:r w:rsidRPr="00D83669">
        <w:rPr>
          <w:rFonts w:ascii="Times New Roman" w:hAnsi="Times New Roman" w:cs="Times New Roman"/>
          <w:sz w:val="24"/>
          <w:szCs w:val="24"/>
        </w:rPr>
        <w:t>)</w:t>
      </w:r>
      <w:r w:rsidRPr="00D83669">
        <w:rPr>
          <w:rStyle w:val="FootnoteReference"/>
          <w:rFonts w:ascii="Times New Roman" w:hAnsi="Times New Roman" w:cs="Times New Roman"/>
          <w:sz w:val="24"/>
          <w:szCs w:val="24"/>
        </w:rPr>
        <w:footnoteReference w:id="1"/>
      </w:r>
      <w:r w:rsidRPr="00D83669">
        <w:rPr>
          <w:rFonts w:ascii="Times New Roman" w:hAnsi="Times New Roman" w:cs="Times New Roman"/>
          <w:sz w:val="24"/>
          <w:szCs w:val="24"/>
        </w:rPr>
        <w:t>;</w:t>
      </w:r>
    </w:p>
    <w:p w14:paraId="3E3BAC3C" w14:textId="0468A57B" w:rsidR="00C63818" w:rsidRPr="00D83669" w:rsidRDefault="00C63818" w:rsidP="00FA33D4">
      <w:pPr>
        <w:pStyle w:val="ListParagraph"/>
        <w:numPr>
          <w:ilvl w:val="0"/>
          <w:numId w:val="7"/>
        </w:numPr>
        <w:tabs>
          <w:tab w:val="left" w:pos="1080"/>
        </w:tabs>
        <w:ind w:left="0" w:firstLine="810"/>
        <w:jc w:val="both"/>
        <w:rPr>
          <w:rFonts w:ascii="Times New Roman" w:hAnsi="Times New Roman" w:cs="Times New Roman"/>
          <w:sz w:val="24"/>
          <w:szCs w:val="24"/>
        </w:rPr>
      </w:pPr>
      <w:r w:rsidRPr="00D83669">
        <w:rPr>
          <w:rFonts w:ascii="Times New Roman" w:hAnsi="Times New Roman" w:cs="Times New Roman"/>
          <w:sz w:val="24"/>
          <w:szCs w:val="24"/>
        </w:rPr>
        <w:t xml:space="preserve">Специфични </w:t>
      </w:r>
      <w:r w:rsidR="003E214E"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за ПО</w:t>
      </w:r>
      <w:r w:rsidR="00770B9E" w:rsidRPr="00D83669">
        <w:rPr>
          <w:rFonts w:ascii="Times New Roman" w:hAnsi="Times New Roman" w:cs="Times New Roman"/>
          <w:sz w:val="24"/>
          <w:szCs w:val="24"/>
        </w:rPr>
        <w:t xml:space="preserve">, които </w:t>
      </w:r>
      <w:r w:rsidR="002B682C" w:rsidRPr="00D83669">
        <w:rPr>
          <w:rFonts w:ascii="Times New Roman" w:hAnsi="Times New Roman" w:cs="Times New Roman"/>
          <w:sz w:val="24"/>
          <w:szCs w:val="24"/>
        </w:rPr>
        <w:t xml:space="preserve">са с по-ограничен обхват на целевите групи и </w:t>
      </w:r>
      <w:r w:rsidR="00770B9E" w:rsidRPr="00D83669">
        <w:rPr>
          <w:rFonts w:ascii="Times New Roman" w:hAnsi="Times New Roman" w:cs="Times New Roman"/>
          <w:sz w:val="24"/>
          <w:szCs w:val="24"/>
        </w:rPr>
        <w:t xml:space="preserve">измерват специфичната подкрепа извън обхвата на общите </w:t>
      </w:r>
      <w:r w:rsidR="003E214E" w:rsidRPr="00D83669">
        <w:rPr>
          <w:rFonts w:ascii="Times New Roman" w:hAnsi="Times New Roman" w:cs="Times New Roman"/>
          <w:sz w:val="24"/>
          <w:szCs w:val="24"/>
        </w:rPr>
        <w:t>показатели</w:t>
      </w:r>
      <w:r w:rsidRPr="00D83669">
        <w:rPr>
          <w:rFonts w:ascii="Times New Roman" w:hAnsi="Times New Roman" w:cs="Times New Roman"/>
          <w:sz w:val="24"/>
          <w:szCs w:val="24"/>
        </w:rPr>
        <w:t>;</w:t>
      </w:r>
    </w:p>
    <w:p w14:paraId="124B57AF" w14:textId="3DA11B2D" w:rsidR="00C63818" w:rsidRPr="00D83669" w:rsidRDefault="00C63818" w:rsidP="00C63818">
      <w:pPr>
        <w:pStyle w:val="ListParagraph"/>
        <w:numPr>
          <w:ilvl w:val="0"/>
          <w:numId w:val="7"/>
        </w:numPr>
        <w:tabs>
          <w:tab w:val="left" w:pos="1080"/>
        </w:tabs>
        <w:ind w:left="0" w:firstLine="810"/>
        <w:jc w:val="both"/>
        <w:rPr>
          <w:rFonts w:ascii="Times New Roman" w:hAnsi="Times New Roman" w:cs="Times New Roman"/>
          <w:i/>
          <w:sz w:val="24"/>
          <w:szCs w:val="24"/>
        </w:rPr>
      </w:pPr>
      <w:r w:rsidRPr="00D83669">
        <w:rPr>
          <w:rFonts w:ascii="Times New Roman" w:hAnsi="Times New Roman" w:cs="Times New Roman"/>
          <w:sz w:val="24"/>
          <w:szCs w:val="24"/>
        </w:rPr>
        <w:lastRenderedPageBreak/>
        <w:t xml:space="preserve">Релевантност на рамката на </w:t>
      </w:r>
      <w:r w:rsidR="003E214E"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към специфичните цели/приоритети – описание по цели според целевите групи, търсеното въздействие, приноса към стратегически цели на национално/европейско ниво </w:t>
      </w:r>
      <w:r w:rsidR="009701D0" w:rsidRPr="00D83669">
        <w:rPr>
          <w:rFonts w:ascii="Times New Roman" w:hAnsi="Times New Roman" w:cs="Times New Roman"/>
          <w:sz w:val="24"/>
          <w:szCs w:val="24"/>
        </w:rPr>
        <w:t>;</w:t>
      </w:r>
    </w:p>
    <w:p w14:paraId="6F6F9EE7" w14:textId="6E3015FB" w:rsidR="00C63818" w:rsidRPr="00D83669" w:rsidRDefault="00C63818" w:rsidP="004F37AD">
      <w:pPr>
        <w:pStyle w:val="ListParagraph"/>
        <w:numPr>
          <w:ilvl w:val="0"/>
          <w:numId w:val="8"/>
        </w:numPr>
        <w:jc w:val="both"/>
        <w:rPr>
          <w:rFonts w:ascii="Times New Roman" w:hAnsi="Times New Roman" w:cs="Times New Roman"/>
          <w:sz w:val="24"/>
          <w:szCs w:val="24"/>
        </w:rPr>
      </w:pPr>
      <w:r w:rsidRPr="00D83669">
        <w:rPr>
          <w:rFonts w:ascii="Times New Roman" w:hAnsi="Times New Roman" w:cs="Times New Roman"/>
          <w:sz w:val="24"/>
          <w:szCs w:val="24"/>
        </w:rPr>
        <w:t>Методическа помощ от Световна банка по Споразумение</w:t>
      </w:r>
      <w:r w:rsidRPr="00D83669">
        <w:rPr>
          <w:rStyle w:val="FootnoteReference"/>
          <w:rFonts w:ascii="Times New Roman" w:hAnsi="Times New Roman" w:cs="Times New Roman"/>
          <w:sz w:val="24"/>
          <w:szCs w:val="24"/>
        </w:rPr>
        <w:footnoteReference w:id="2"/>
      </w:r>
      <w:r w:rsidRPr="00D83669">
        <w:rPr>
          <w:rFonts w:ascii="Times New Roman" w:hAnsi="Times New Roman" w:cs="Times New Roman"/>
          <w:sz w:val="24"/>
          <w:szCs w:val="24"/>
        </w:rPr>
        <w:t xml:space="preserve"> за Преглед на публичните разходи в областта на науката, технологиите и иновациите и Подкрепа за изграждане на основан на доказателства подход за Националната стратегическа рамка в областта на образованието до 2030 г., СТЪЛБ 2: Подкрепа за изграждане на основан на доказателствата подход за националната стратегическа рамка в областта на образованието до 2030 г. с оглед</w:t>
      </w:r>
      <w:r w:rsidRPr="00D83669">
        <w:rPr>
          <w:rFonts w:ascii="Times New Roman" w:hAnsi="Times New Roman" w:cs="Times New Roman"/>
          <w:sz w:val="28"/>
          <w:szCs w:val="28"/>
        </w:rPr>
        <w:t xml:space="preserve"> </w:t>
      </w:r>
      <w:r w:rsidRPr="00D83669">
        <w:rPr>
          <w:rFonts w:ascii="Times New Roman" w:hAnsi="Times New Roman" w:cs="Times New Roman"/>
          <w:sz w:val="24"/>
          <w:szCs w:val="24"/>
        </w:rPr>
        <w:t xml:space="preserve">спецификите и новите елементи на интервенциите, за които няма опит по ОПНОИР и отговарят на критериите </w:t>
      </w:r>
      <w:r w:rsidRPr="00D83669">
        <w:rPr>
          <w:rFonts w:ascii="Times New Roman" w:hAnsi="Times New Roman" w:cs="Times New Roman"/>
          <w:sz w:val="24"/>
          <w:szCs w:val="24"/>
          <w:lang w:val="en-US"/>
        </w:rPr>
        <w:t>SMART</w:t>
      </w:r>
      <w:r w:rsidRPr="00D83669">
        <w:rPr>
          <w:rFonts w:ascii="Times New Roman" w:hAnsi="Times New Roman" w:cs="Times New Roman"/>
          <w:sz w:val="24"/>
          <w:szCs w:val="24"/>
        </w:rPr>
        <w:t xml:space="preserve"> и </w:t>
      </w:r>
      <w:r w:rsidRPr="00D83669">
        <w:rPr>
          <w:rFonts w:ascii="Times New Roman" w:hAnsi="Times New Roman" w:cs="Times New Roman"/>
          <w:sz w:val="24"/>
          <w:szCs w:val="24"/>
          <w:lang w:val="en-US"/>
        </w:rPr>
        <w:t>RACER</w:t>
      </w:r>
      <w:r w:rsidRPr="00D83669">
        <w:rPr>
          <w:rFonts w:ascii="Times New Roman" w:hAnsi="Times New Roman" w:cs="Times New Roman"/>
          <w:sz w:val="24"/>
          <w:szCs w:val="24"/>
        </w:rPr>
        <w:t xml:space="preserve"> за формулиране на </w:t>
      </w:r>
      <w:r w:rsidR="003E214E" w:rsidRPr="00D83669">
        <w:rPr>
          <w:rFonts w:ascii="Times New Roman" w:hAnsi="Times New Roman" w:cs="Times New Roman"/>
          <w:sz w:val="24"/>
          <w:szCs w:val="24"/>
        </w:rPr>
        <w:t>показателите</w:t>
      </w:r>
      <w:r w:rsidRPr="00D83669">
        <w:rPr>
          <w:rStyle w:val="FootnoteReference"/>
          <w:rFonts w:ascii="Times New Roman" w:hAnsi="Times New Roman" w:cs="Times New Roman"/>
          <w:sz w:val="24"/>
          <w:szCs w:val="24"/>
        </w:rPr>
        <w:footnoteReference w:id="3"/>
      </w:r>
      <w:r w:rsidRPr="00D83669">
        <w:rPr>
          <w:rFonts w:ascii="Times New Roman" w:hAnsi="Times New Roman" w:cs="Times New Roman"/>
          <w:sz w:val="24"/>
          <w:szCs w:val="24"/>
        </w:rPr>
        <w:t xml:space="preserve">. </w:t>
      </w:r>
      <w:r w:rsidR="00A32942" w:rsidRPr="00D83669">
        <w:rPr>
          <w:rFonts w:ascii="Times New Roman" w:hAnsi="Times New Roman" w:cs="Times New Roman"/>
          <w:sz w:val="24"/>
          <w:szCs w:val="24"/>
        </w:rPr>
        <w:t xml:space="preserve">Методическа помощ по отношение изготвянето на Програма „Образование“ 2021-2027 е предоставено от Световна Банка, представено в доклад </w:t>
      </w:r>
      <w:r w:rsidR="00A32942" w:rsidRPr="00D83669">
        <w:rPr>
          <w:rFonts w:ascii="Times New Roman" w:hAnsi="Times New Roman" w:cs="Times New Roman"/>
          <w:b/>
          <w:sz w:val="24"/>
          <w:szCs w:val="24"/>
        </w:rPr>
        <w:t>Препоръки относно втория проект на програма „Образование за периода 2021—2027</w:t>
      </w:r>
      <w:r w:rsidR="00A32942" w:rsidRPr="00D83669">
        <w:rPr>
          <w:rFonts w:ascii="Times New Roman" w:hAnsi="Times New Roman" w:cs="Times New Roman"/>
          <w:b/>
          <w:sz w:val="24"/>
          <w:szCs w:val="24"/>
          <w:lang w:val="en-GB"/>
        </w:rPr>
        <w:t> </w:t>
      </w:r>
      <w:r w:rsidR="00A32942" w:rsidRPr="00D83669">
        <w:rPr>
          <w:rFonts w:ascii="Times New Roman" w:hAnsi="Times New Roman" w:cs="Times New Roman"/>
          <w:b/>
          <w:sz w:val="24"/>
          <w:szCs w:val="24"/>
        </w:rPr>
        <w:t xml:space="preserve">г.“ (част на ЕСФ), с което допринесе за </w:t>
      </w:r>
      <w:r w:rsidR="00A32942" w:rsidRPr="00D83669">
        <w:rPr>
          <w:rFonts w:ascii="Times New Roman" w:hAnsi="Times New Roman" w:cs="Times New Roman"/>
          <w:sz w:val="24"/>
          <w:szCs w:val="24"/>
        </w:rPr>
        <w:t xml:space="preserve">разработването на ефикасни, измерими и ефективни </w:t>
      </w:r>
      <w:r w:rsidR="003E214E" w:rsidRPr="00D83669">
        <w:rPr>
          <w:rFonts w:ascii="Times New Roman" w:hAnsi="Times New Roman" w:cs="Times New Roman"/>
          <w:sz w:val="24"/>
          <w:szCs w:val="24"/>
        </w:rPr>
        <w:t>показатели</w:t>
      </w:r>
      <w:r w:rsidR="00A32942" w:rsidRPr="00D83669">
        <w:rPr>
          <w:rFonts w:ascii="Times New Roman" w:hAnsi="Times New Roman" w:cs="Times New Roman"/>
          <w:sz w:val="24"/>
          <w:szCs w:val="24"/>
        </w:rPr>
        <w:t>, които да измерват постигнатия напредък в сектора на образованието чрез новата програма. Подкрепата на Световната банка се състоеше от поредица от действия и консултации</w:t>
      </w:r>
      <w:r w:rsidR="00902357" w:rsidRPr="00D83669">
        <w:rPr>
          <w:rFonts w:ascii="Times New Roman" w:hAnsi="Times New Roman" w:cs="Times New Roman"/>
          <w:sz w:val="24"/>
          <w:szCs w:val="24"/>
        </w:rPr>
        <w:t xml:space="preserve"> в тясно сътрудничество с Изпълнителната агенция „Програма за образование“</w:t>
      </w:r>
      <w:r w:rsidR="00A32942" w:rsidRPr="00D83669">
        <w:rPr>
          <w:rFonts w:ascii="Times New Roman" w:hAnsi="Times New Roman" w:cs="Times New Roman"/>
          <w:sz w:val="24"/>
          <w:szCs w:val="24"/>
        </w:rPr>
        <w:t xml:space="preserve">, които бяха част от предварителна оценка с цел подобряване на цялостното качество на ПО 2021—2027, гарантиране на спазването на разпоредбите на регламентите на ЕС, като същевременно се гарантира, че са взети под внимание специфичните технически коментари на ЕК. По </w:t>
      </w:r>
      <w:r w:rsidR="004F37AD" w:rsidRPr="00D83669">
        <w:rPr>
          <w:rFonts w:ascii="Times New Roman" w:hAnsi="Times New Roman" w:cs="Times New Roman"/>
          <w:sz w:val="24"/>
          <w:szCs w:val="24"/>
        </w:rPr>
        <w:t>отношение</w:t>
      </w:r>
      <w:r w:rsidR="00A32942" w:rsidRPr="00D83669">
        <w:rPr>
          <w:rFonts w:ascii="Times New Roman" w:hAnsi="Times New Roman" w:cs="Times New Roman"/>
          <w:sz w:val="24"/>
          <w:szCs w:val="24"/>
        </w:rPr>
        <w:t xml:space="preserve"> методологията на </w:t>
      </w:r>
      <w:r w:rsidR="003E214E" w:rsidRPr="00D83669">
        <w:rPr>
          <w:rFonts w:ascii="Times New Roman" w:hAnsi="Times New Roman" w:cs="Times New Roman"/>
          <w:sz w:val="24"/>
          <w:szCs w:val="24"/>
        </w:rPr>
        <w:t>показателите</w:t>
      </w:r>
      <w:r w:rsidR="004F37AD" w:rsidRPr="00D83669">
        <w:rPr>
          <w:rFonts w:ascii="Times New Roman" w:hAnsi="Times New Roman" w:cs="Times New Roman"/>
          <w:sz w:val="24"/>
          <w:szCs w:val="24"/>
        </w:rPr>
        <w:t>,</w:t>
      </w:r>
      <w:r w:rsidR="00A32942" w:rsidRPr="00D83669">
        <w:rPr>
          <w:rFonts w:ascii="Times New Roman" w:hAnsi="Times New Roman" w:cs="Times New Roman"/>
          <w:sz w:val="24"/>
          <w:szCs w:val="24"/>
        </w:rPr>
        <w:t xml:space="preserve"> СБ </w:t>
      </w:r>
      <w:r w:rsidR="004F37AD" w:rsidRPr="00D83669">
        <w:rPr>
          <w:rFonts w:ascii="Times New Roman" w:hAnsi="Times New Roman" w:cs="Times New Roman"/>
          <w:sz w:val="24"/>
          <w:szCs w:val="24"/>
        </w:rPr>
        <w:t>извърши о</w:t>
      </w:r>
      <w:r w:rsidR="00A32942" w:rsidRPr="00D83669">
        <w:rPr>
          <w:rFonts w:ascii="Times New Roman" w:hAnsi="Times New Roman" w:cs="Times New Roman"/>
          <w:sz w:val="24"/>
          <w:szCs w:val="24"/>
        </w:rPr>
        <w:t xml:space="preserve">ценка на уместността и яснотата на системата от </w:t>
      </w:r>
      <w:r w:rsidR="003E214E" w:rsidRPr="00D83669">
        <w:rPr>
          <w:rFonts w:ascii="Times New Roman" w:hAnsi="Times New Roman" w:cs="Times New Roman"/>
          <w:sz w:val="24"/>
          <w:szCs w:val="24"/>
        </w:rPr>
        <w:t>показатели</w:t>
      </w:r>
      <w:r w:rsidR="00A32942" w:rsidRPr="00D83669">
        <w:rPr>
          <w:rFonts w:ascii="Times New Roman" w:hAnsi="Times New Roman" w:cs="Times New Roman"/>
          <w:sz w:val="24"/>
          <w:szCs w:val="24"/>
        </w:rPr>
        <w:t>: крайни продукти и резултати (общи и специфични за програмата</w:t>
      </w:r>
      <w:r w:rsidR="00D47606" w:rsidRPr="00D83669">
        <w:rPr>
          <w:rFonts w:ascii="Times New Roman" w:hAnsi="Times New Roman" w:cs="Times New Roman"/>
          <w:sz w:val="24"/>
          <w:szCs w:val="24"/>
        </w:rPr>
        <w:t>)</w:t>
      </w:r>
      <w:r w:rsidR="004F37AD" w:rsidRPr="00D83669">
        <w:rPr>
          <w:rFonts w:ascii="Times New Roman" w:hAnsi="Times New Roman" w:cs="Times New Roman"/>
          <w:sz w:val="24"/>
          <w:szCs w:val="24"/>
        </w:rPr>
        <w:t>, о</w:t>
      </w:r>
      <w:r w:rsidR="00A32942" w:rsidRPr="00D83669">
        <w:rPr>
          <w:rFonts w:ascii="Times New Roman" w:hAnsi="Times New Roman" w:cs="Times New Roman"/>
          <w:sz w:val="24"/>
          <w:szCs w:val="24"/>
        </w:rPr>
        <w:t xml:space="preserve">ценка на изчисленията и обосновката за базовите стойности, целевите стойности и междинните цели спрямо действията, конкретните цели и в рамките на приоритетите </w:t>
      </w:r>
      <w:r w:rsidR="004F37AD" w:rsidRPr="00D83669">
        <w:rPr>
          <w:rFonts w:ascii="Times New Roman" w:hAnsi="Times New Roman" w:cs="Times New Roman"/>
          <w:sz w:val="24"/>
          <w:szCs w:val="24"/>
        </w:rPr>
        <w:t xml:space="preserve"> и оц</w:t>
      </w:r>
      <w:r w:rsidR="00A32942" w:rsidRPr="00D83669">
        <w:rPr>
          <w:rFonts w:ascii="Times New Roman" w:hAnsi="Times New Roman" w:cs="Times New Roman"/>
          <w:sz w:val="24"/>
          <w:szCs w:val="24"/>
        </w:rPr>
        <w:t xml:space="preserve">енка на съгласуваността и взаимното допълване на системата от </w:t>
      </w:r>
      <w:r w:rsidR="00D47606" w:rsidRPr="00D83669">
        <w:rPr>
          <w:rFonts w:ascii="Times New Roman" w:hAnsi="Times New Roman" w:cs="Times New Roman"/>
          <w:sz w:val="24"/>
          <w:szCs w:val="24"/>
        </w:rPr>
        <w:t xml:space="preserve">показатели </w:t>
      </w:r>
      <w:r w:rsidR="00A32942" w:rsidRPr="00D83669">
        <w:rPr>
          <w:rFonts w:ascii="Times New Roman" w:hAnsi="Times New Roman" w:cs="Times New Roman"/>
          <w:sz w:val="24"/>
          <w:szCs w:val="24"/>
        </w:rPr>
        <w:t xml:space="preserve">на </w:t>
      </w:r>
      <w:r w:rsidR="004F37AD" w:rsidRPr="00D83669">
        <w:rPr>
          <w:rFonts w:ascii="Times New Roman" w:hAnsi="Times New Roman" w:cs="Times New Roman"/>
          <w:sz w:val="24"/>
          <w:szCs w:val="24"/>
        </w:rPr>
        <w:t>Програмата</w:t>
      </w:r>
      <w:r w:rsidR="00A32942" w:rsidRPr="00D83669">
        <w:rPr>
          <w:rFonts w:ascii="Times New Roman" w:hAnsi="Times New Roman" w:cs="Times New Roman"/>
          <w:sz w:val="24"/>
          <w:szCs w:val="24"/>
        </w:rPr>
        <w:t xml:space="preserve"> със системата от </w:t>
      </w:r>
      <w:r w:rsidR="00D47606" w:rsidRPr="00D83669">
        <w:rPr>
          <w:rFonts w:ascii="Times New Roman" w:hAnsi="Times New Roman" w:cs="Times New Roman"/>
          <w:sz w:val="24"/>
          <w:szCs w:val="24"/>
        </w:rPr>
        <w:t xml:space="preserve">показатели </w:t>
      </w:r>
      <w:r w:rsidR="004F37AD" w:rsidRPr="00D83669">
        <w:rPr>
          <w:rFonts w:ascii="Times New Roman" w:hAnsi="Times New Roman" w:cs="Times New Roman"/>
          <w:sz w:val="24"/>
          <w:szCs w:val="24"/>
        </w:rPr>
        <w:t xml:space="preserve">на </w:t>
      </w:r>
      <w:r w:rsidR="00A32942" w:rsidRPr="00D83669">
        <w:rPr>
          <w:rFonts w:ascii="Times New Roman" w:hAnsi="Times New Roman" w:cs="Times New Roman"/>
          <w:sz w:val="24"/>
          <w:szCs w:val="24"/>
        </w:rPr>
        <w:t>оперативно и стратегическо равнище</w:t>
      </w:r>
      <w:r w:rsidR="004F37AD" w:rsidRPr="00D83669">
        <w:rPr>
          <w:rFonts w:ascii="Times New Roman" w:hAnsi="Times New Roman" w:cs="Times New Roman"/>
          <w:sz w:val="24"/>
          <w:szCs w:val="24"/>
        </w:rPr>
        <w:t xml:space="preserve">. Предложените препоръки на експертите от СБ са взети предвид при изготвяне на настоящата методология и </w:t>
      </w:r>
      <w:r w:rsidR="00773325" w:rsidRPr="00D83669">
        <w:rPr>
          <w:rFonts w:ascii="Times New Roman" w:hAnsi="Times New Roman" w:cs="Times New Roman"/>
          <w:sz w:val="24"/>
          <w:szCs w:val="24"/>
        </w:rPr>
        <w:t xml:space="preserve">избора на показателите </w:t>
      </w:r>
      <w:r w:rsidR="004F37AD" w:rsidRPr="00D83669">
        <w:rPr>
          <w:rFonts w:ascii="Times New Roman" w:hAnsi="Times New Roman" w:cs="Times New Roman"/>
          <w:sz w:val="24"/>
          <w:szCs w:val="24"/>
        </w:rPr>
        <w:t xml:space="preserve">за </w:t>
      </w:r>
      <w:r w:rsidR="00773325" w:rsidRPr="00D83669">
        <w:rPr>
          <w:rFonts w:ascii="Times New Roman" w:hAnsi="Times New Roman" w:cs="Times New Roman"/>
          <w:sz w:val="24"/>
          <w:szCs w:val="24"/>
        </w:rPr>
        <w:t xml:space="preserve">краен </w:t>
      </w:r>
      <w:r w:rsidR="004F37AD" w:rsidRPr="00D83669">
        <w:rPr>
          <w:rFonts w:ascii="Times New Roman" w:hAnsi="Times New Roman" w:cs="Times New Roman"/>
          <w:sz w:val="24"/>
          <w:szCs w:val="24"/>
        </w:rPr>
        <w:t>продукт и резултат в Програма „Образование“ 2021-2027.</w:t>
      </w:r>
    </w:p>
    <w:p w14:paraId="282FE4F4" w14:textId="4361573F" w:rsidR="00C63818" w:rsidRPr="00D83669" w:rsidRDefault="00C63818" w:rsidP="00C63818">
      <w:pPr>
        <w:jc w:val="both"/>
        <w:rPr>
          <w:rFonts w:ascii="Times New Roman" w:hAnsi="Times New Roman" w:cs="Times New Roman"/>
          <w:b/>
          <w:sz w:val="28"/>
          <w:szCs w:val="28"/>
        </w:rPr>
      </w:pPr>
    </w:p>
    <w:p w14:paraId="085CD3BF" w14:textId="26ADAA7A" w:rsidR="000003F8" w:rsidRPr="00D83669" w:rsidRDefault="000003F8" w:rsidP="00C63818">
      <w:pPr>
        <w:jc w:val="both"/>
        <w:rPr>
          <w:rFonts w:ascii="Times New Roman" w:hAnsi="Times New Roman" w:cs="Times New Roman"/>
          <w:b/>
          <w:sz w:val="28"/>
          <w:szCs w:val="28"/>
        </w:rPr>
      </w:pPr>
    </w:p>
    <w:p w14:paraId="6F71CFED" w14:textId="60EE4232" w:rsidR="000003F8" w:rsidRPr="00D83669" w:rsidRDefault="000003F8" w:rsidP="00C63818">
      <w:pPr>
        <w:jc w:val="both"/>
        <w:rPr>
          <w:rFonts w:ascii="Times New Roman" w:hAnsi="Times New Roman" w:cs="Times New Roman"/>
          <w:b/>
          <w:sz w:val="28"/>
          <w:szCs w:val="28"/>
        </w:rPr>
      </w:pPr>
    </w:p>
    <w:p w14:paraId="2F6E5C32" w14:textId="77777777" w:rsidR="000003F8" w:rsidRPr="00D83669" w:rsidRDefault="000003F8" w:rsidP="00C63818">
      <w:pPr>
        <w:jc w:val="both"/>
        <w:rPr>
          <w:rFonts w:ascii="Times New Roman" w:hAnsi="Times New Roman" w:cs="Times New Roman"/>
          <w:b/>
          <w:sz w:val="28"/>
          <w:szCs w:val="28"/>
        </w:rPr>
      </w:pPr>
    </w:p>
    <w:p w14:paraId="7A7E7BB4" w14:textId="2B7ECB33" w:rsidR="0090754E" w:rsidRPr="00D83669" w:rsidRDefault="00C63818" w:rsidP="006F73C2">
      <w:pPr>
        <w:pStyle w:val="Heading1"/>
        <w:numPr>
          <w:ilvl w:val="0"/>
          <w:numId w:val="19"/>
        </w:numPr>
        <w:spacing w:after="240" w:line="360" w:lineRule="auto"/>
        <w:ind w:left="0" w:firstLine="0"/>
        <w:rPr>
          <w:rFonts w:ascii="Times New Roman" w:hAnsi="Times New Roman" w:cs="Times New Roman"/>
          <w:b/>
          <w:color w:val="auto"/>
          <w:sz w:val="28"/>
          <w:szCs w:val="28"/>
          <w:lang w:val="bg-BG"/>
        </w:rPr>
      </w:pPr>
      <w:bookmarkStart w:id="2" w:name="_Toc103586634"/>
      <w:r w:rsidRPr="00D83669">
        <w:rPr>
          <w:rFonts w:ascii="Times New Roman" w:hAnsi="Times New Roman" w:cs="Times New Roman"/>
          <w:b/>
          <w:color w:val="auto"/>
          <w:sz w:val="28"/>
          <w:szCs w:val="28"/>
          <w:lang w:val="bg-BG"/>
        </w:rPr>
        <w:lastRenderedPageBreak/>
        <w:t xml:space="preserve">Преглед на рамката на </w:t>
      </w:r>
      <w:r w:rsidR="00773325" w:rsidRPr="00D83669">
        <w:rPr>
          <w:rFonts w:ascii="Times New Roman" w:hAnsi="Times New Roman" w:cs="Times New Roman"/>
          <w:b/>
          <w:color w:val="auto"/>
          <w:sz w:val="28"/>
          <w:szCs w:val="28"/>
          <w:lang w:val="bg-BG"/>
        </w:rPr>
        <w:t>показателите</w:t>
      </w:r>
      <w:bookmarkEnd w:id="2"/>
    </w:p>
    <w:p w14:paraId="24A0CFAA" w14:textId="266BAF9B" w:rsidR="00082012" w:rsidRPr="00D83669" w:rsidRDefault="00082012" w:rsidP="00082012">
      <w:pPr>
        <w:ind w:firstLine="708"/>
        <w:jc w:val="both"/>
        <w:rPr>
          <w:rFonts w:ascii="Times New Roman" w:hAnsi="Times New Roman" w:cs="Times New Roman"/>
          <w:sz w:val="24"/>
          <w:szCs w:val="24"/>
        </w:rPr>
      </w:pPr>
      <w:r w:rsidRPr="00D83669">
        <w:rPr>
          <w:rFonts w:ascii="Times New Roman" w:hAnsi="Times New Roman" w:cs="Times New Roman"/>
          <w:sz w:val="24"/>
          <w:szCs w:val="24"/>
        </w:rPr>
        <w:t xml:space="preserve">Рамката на </w:t>
      </w:r>
      <w:r w:rsidR="00773325"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по Програмата позволява лесното проследяване на връзката между  </w:t>
      </w:r>
      <w:r w:rsidR="0006522A"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за резултат (общи и специфични) и </w:t>
      </w:r>
      <w:r w:rsidR="0006522A"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за</w:t>
      </w:r>
      <w:r w:rsidR="0006522A"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продукт (общи и специфични). Връзката между </w:t>
      </w:r>
      <w:r w:rsidR="0006522A"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се разделя условно на два вида:</w:t>
      </w:r>
    </w:p>
    <w:p w14:paraId="484B766A" w14:textId="1BFA980D" w:rsidR="00082012" w:rsidRPr="00D83669" w:rsidRDefault="00082012" w:rsidP="00082012">
      <w:pPr>
        <w:pStyle w:val="ListParagraph"/>
        <w:numPr>
          <w:ilvl w:val="0"/>
          <w:numId w:val="8"/>
        </w:numPr>
        <w:jc w:val="both"/>
        <w:rPr>
          <w:rFonts w:ascii="Times New Roman" w:hAnsi="Times New Roman" w:cs="Times New Roman"/>
          <w:i/>
          <w:sz w:val="24"/>
          <w:szCs w:val="24"/>
        </w:rPr>
      </w:pPr>
      <w:r w:rsidRPr="00D83669">
        <w:rPr>
          <w:rFonts w:ascii="Times New Roman" w:hAnsi="Times New Roman" w:cs="Times New Roman"/>
          <w:i/>
          <w:sz w:val="24"/>
          <w:szCs w:val="24"/>
        </w:rPr>
        <w:t xml:space="preserve">Пряка връзка между </w:t>
      </w:r>
      <w:r w:rsidR="0006522A" w:rsidRPr="00D83669">
        <w:rPr>
          <w:rFonts w:ascii="Times New Roman" w:hAnsi="Times New Roman" w:cs="Times New Roman"/>
          <w:i/>
          <w:sz w:val="24"/>
          <w:szCs w:val="24"/>
        </w:rPr>
        <w:t xml:space="preserve">показателите </w:t>
      </w:r>
      <w:r w:rsidRPr="00D83669">
        <w:rPr>
          <w:rFonts w:ascii="Times New Roman" w:hAnsi="Times New Roman" w:cs="Times New Roman"/>
          <w:i/>
          <w:sz w:val="24"/>
          <w:szCs w:val="24"/>
        </w:rPr>
        <w:t xml:space="preserve">за резултат и </w:t>
      </w:r>
      <w:r w:rsidR="0006522A" w:rsidRPr="00D83669">
        <w:rPr>
          <w:rFonts w:ascii="Times New Roman" w:hAnsi="Times New Roman" w:cs="Times New Roman"/>
          <w:i/>
          <w:sz w:val="24"/>
          <w:szCs w:val="24"/>
        </w:rPr>
        <w:t xml:space="preserve">показателите </w:t>
      </w:r>
      <w:r w:rsidRPr="00D83669">
        <w:rPr>
          <w:rFonts w:ascii="Times New Roman" w:hAnsi="Times New Roman" w:cs="Times New Roman"/>
          <w:i/>
          <w:sz w:val="24"/>
          <w:szCs w:val="24"/>
        </w:rPr>
        <w:t>за</w:t>
      </w:r>
      <w:r w:rsidR="0006522A" w:rsidRPr="00D83669">
        <w:rPr>
          <w:rFonts w:ascii="Times New Roman" w:hAnsi="Times New Roman" w:cs="Times New Roman"/>
          <w:i/>
          <w:sz w:val="24"/>
          <w:szCs w:val="24"/>
        </w:rPr>
        <w:t xml:space="preserve"> краен</w:t>
      </w:r>
      <w:r w:rsidRPr="00D83669">
        <w:rPr>
          <w:rFonts w:ascii="Times New Roman" w:hAnsi="Times New Roman" w:cs="Times New Roman"/>
          <w:i/>
          <w:sz w:val="24"/>
          <w:szCs w:val="24"/>
        </w:rPr>
        <w:t xml:space="preserve"> продукт</w:t>
      </w:r>
      <w:r w:rsidRPr="00D83669">
        <w:rPr>
          <w:rFonts w:ascii="Times New Roman" w:hAnsi="Times New Roman" w:cs="Times New Roman"/>
          <w:sz w:val="24"/>
          <w:szCs w:val="24"/>
        </w:rPr>
        <w:t xml:space="preserve"> – отразява връзката между целевите стойности на </w:t>
      </w:r>
      <w:r w:rsidR="0006522A"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за резултат и за</w:t>
      </w:r>
      <w:r w:rsidR="0006522A"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продукт, т.е. целевите стойности на кои </w:t>
      </w:r>
      <w:r w:rsidR="0006522A"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за</w:t>
      </w:r>
      <w:r w:rsidR="0006522A"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продукт са използвани при определяне на целевите стойности на съответните </w:t>
      </w:r>
      <w:r w:rsidR="0006522A"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за резултат;</w:t>
      </w:r>
    </w:p>
    <w:p w14:paraId="120A8931" w14:textId="494C9987" w:rsidR="002D2ED6" w:rsidRPr="00D83669" w:rsidRDefault="00082012" w:rsidP="00082012">
      <w:pPr>
        <w:pStyle w:val="ListParagraph"/>
        <w:numPr>
          <w:ilvl w:val="0"/>
          <w:numId w:val="8"/>
        </w:numPr>
        <w:jc w:val="both"/>
        <w:rPr>
          <w:rFonts w:ascii="Times New Roman" w:hAnsi="Times New Roman" w:cs="Times New Roman"/>
          <w:i/>
          <w:sz w:val="24"/>
          <w:szCs w:val="24"/>
        </w:rPr>
      </w:pPr>
      <w:r w:rsidRPr="00D83669">
        <w:rPr>
          <w:rFonts w:ascii="Times New Roman" w:hAnsi="Times New Roman" w:cs="Times New Roman"/>
          <w:i/>
          <w:sz w:val="24"/>
          <w:szCs w:val="24"/>
        </w:rPr>
        <w:t xml:space="preserve">Косвена връзка между </w:t>
      </w:r>
      <w:r w:rsidR="0006522A" w:rsidRPr="00D83669">
        <w:rPr>
          <w:rFonts w:ascii="Times New Roman" w:hAnsi="Times New Roman" w:cs="Times New Roman"/>
          <w:i/>
          <w:sz w:val="24"/>
          <w:szCs w:val="24"/>
        </w:rPr>
        <w:t xml:space="preserve">показателите </w:t>
      </w:r>
      <w:r w:rsidRPr="00D83669">
        <w:rPr>
          <w:rFonts w:ascii="Times New Roman" w:hAnsi="Times New Roman" w:cs="Times New Roman"/>
          <w:i/>
          <w:sz w:val="24"/>
          <w:szCs w:val="24"/>
        </w:rPr>
        <w:t xml:space="preserve">за резултат и </w:t>
      </w:r>
      <w:r w:rsidR="0006522A" w:rsidRPr="00D83669">
        <w:rPr>
          <w:rFonts w:ascii="Times New Roman" w:hAnsi="Times New Roman" w:cs="Times New Roman"/>
          <w:i/>
          <w:sz w:val="24"/>
          <w:szCs w:val="24"/>
        </w:rPr>
        <w:t>показателите</w:t>
      </w:r>
      <w:r w:rsidRPr="00D83669">
        <w:rPr>
          <w:rFonts w:ascii="Times New Roman" w:hAnsi="Times New Roman" w:cs="Times New Roman"/>
          <w:i/>
          <w:sz w:val="24"/>
          <w:szCs w:val="24"/>
        </w:rPr>
        <w:t xml:space="preserve"> за</w:t>
      </w:r>
      <w:r w:rsidR="0006522A" w:rsidRPr="00D83669">
        <w:rPr>
          <w:rFonts w:ascii="Times New Roman" w:hAnsi="Times New Roman" w:cs="Times New Roman"/>
          <w:i/>
          <w:sz w:val="24"/>
          <w:szCs w:val="24"/>
        </w:rPr>
        <w:t xml:space="preserve"> краен</w:t>
      </w:r>
      <w:r w:rsidRPr="00D83669">
        <w:rPr>
          <w:rFonts w:ascii="Times New Roman" w:hAnsi="Times New Roman" w:cs="Times New Roman"/>
          <w:i/>
          <w:sz w:val="24"/>
          <w:szCs w:val="24"/>
        </w:rPr>
        <w:t xml:space="preserve"> продукт – </w:t>
      </w:r>
      <w:r w:rsidRPr="00D83669">
        <w:rPr>
          <w:rFonts w:ascii="Times New Roman" w:hAnsi="Times New Roman" w:cs="Times New Roman"/>
          <w:sz w:val="24"/>
          <w:szCs w:val="24"/>
        </w:rPr>
        <w:t xml:space="preserve">показва </w:t>
      </w:r>
      <w:r w:rsidR="0006522A"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за </w:t>
      </w:r>
      <w:r w:rsidR="0006522A" w:rsidRPr="00D83669">
        <w:rPr>
          <w:rFonts w:ascii="Times New Roman" w:hAnsi="Times New Roman" w:cs="Times New Roman"/>
          <w:sz w:val="24"/>
          <w:szCs w:val="24"/>
        </w:rPr>
        <w:t xml:space="preserve">краен </w:t>
      </w:r>
      <w:r w:rsidRPr="00D83669">
        <w:rPr>
          <w:rFonts w:ascii="Times New Roman" w:hAnsi="Times New Roman" w:cs="Times New Roman"/>
          <w:sz w:val="24"/>
          <w:szCs w:val="24"/>
        </w:rPr>
        <w:t xml:space="preserve">продукт, които не са пряко свързани с целевата стойност на </w:t>
      </w:r>
      <w:r w:rsidR="007A09A4" w:rsidRPr="00D83669">
        <w:rPr>
          <w:rFonts w:ascii="Times New Roman" w:hAnsi="Times New Roman" w:cs="Times New Roman"/>
          <w:sz w:val="24"/>
          <w:szCs w:val="24"/>
        </w:rPr>
        <w:t>показателя</w:t>
      </w:r>
      <w:r w:rsidRPr="00D83669">
        <w:rPr>
          <w:rFonts w:ascii="Times New Roman" w:hAnsi="Times New Roman" w:cs="Times New Roman"/>
          <w:sz w:val="24"/>
          <w:szCs w:val="24"/>
        </w:rPr>
        <w:t xml:space="preserve"> за резултат и не са</w:t>
      </w:r>
      <w:r w:rsidRPr="00D83669">
        <w:rPr>
          <w:rFonts w:ascii="Times New Roman" w:hAnsi="Times New Roman" w:cs="Times New Roman"/>
          <w:i/>
          <w:sz w:val="24"/>
          <w:szCs w:val="24"/>
        </w:rPr>
        <w:t xml:space="preserve"> </w:t>
      </w:r>
      <w:r w:rsidRPr="00D83669">
        <w:rPr>
          <w:rFonts w:ascii="Times New Roman" w:hAnsi="Times New Roman" w:cs="Times New Roman"/>
          <w:sz w:val="24"/>
          <w:szCs w:val="24"/>
        </w:rPr>
        <w:t xml:space="preserve">използвани при нейното изчисление, но оказват индиректно влияние върху съответния </w:t>
      </w:r>
      <w:r w:rsidR="007A09A4" w:rsidRPr="00D83669">
        <w:rPr>
          <w:rFonts w:ascii="Times New Roman" w:hAnsi="Times New Roman" w:cs="Times New Roman"/>
          <w:sz w:val="24"/>
          <w:szCs w:val="24"/>
        </w:rPr>
        <w:t xml:space="preserve">показател </w:t>
      </w:r>
      <w:r w:rsidRPr="00D83669">
        <w:rPr>
          <w:rFonts w:ascii="Times New Roman" w:hAnsi="Times New Roman" w:cs="Times New Roman"/>
          <w:sz w:val="24"/>
          <w:szCs w:val="24"/>
        </w:rPr>
        <w:t xml:space="preserve">за резултат. </w:t>
      </w:r>
    </w:p>
    <w:p w14:paraId="393DD79F" w14:textId="20C56EF5" w:rsidR="00082012" w:rsidRPr="00D83669" w:rsidRDefault="00082012" w:rsidP="00082012">
      <w:pPr>
        <w:ind w:left="90" w:firstLine="270"/>
        <w:jc w:val="both"/>
        <w:rPr>
          <w:rFonts w:ascii="Times New Roman" w:hAnsi="Times New Roman" w:cs="Times New Roman"/>
          <w:sz w:val="24"/>
          <w:szCs w:val="24"/>
        </w:rPr>
      </w:pPr>
      <w:r w:rsidRPr="00D83669">
        <w:rPr>
          <w:rFonts w:ascii="Times New Roman" w:hAnsi="Times New Roman" w:cs="Times New Roman"/>
          <w:sz w:val="24"/>
          <w:szCs w:val="24"/>
        </w:rPr>
        <w:t xml:space="preserve">Пряката и косвената връзка между </w:t>
      </w:r>
      <w:r w:rsidR="007A09A4"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за резултат и </w:t>
      </w:r>
      <w:r w:rsidR="007A09A4" w:rsidRPr="00D83669">
        <w:rPr>
          <w:rFonts w:ascii="Times New Roman" w:hAnsi="Times New Roman" w:cs="Times New Roman"/>
          <w:sz w:val="24"/>
          <w:szCs w:val="24"/>
        </w:rPr>
        <w:t>показателите</w:t>
      </w:r>
      <w:r w:rsidRPr="00D83669">
        <w:rPr>
          <w:rFonts w:ascii="Times New Roman" w:hAnsi="Times New Roman" w:cs="Times New Roman"/>
          <w:sz w:val="24"/>
          <w:szCs w:val="24"/>
        </w:rPr>
        <w:t xml:space="preserve"> за</w:t>
      </w:r>
      <w:r w:rsidR="007A09A4"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продукт по специфични цели и приоритети на Програмата е показана на графиките по-долу:</w:t>
      </w:r>
    </w:p>
    <w:p w14:paraId="7F44B4F6" w14:textId="50215ED5" w:rsidR="00534C42" w:rsidRPr="00D83669" w:rsidRDefault="00082012" w:rsidP="00E85916">
      <w:pPr>
        <w:tabs>
          <w:tab w:val="left" w:pos="1188"/>
          <w:tab w:val="left" w:pos="3552"/>
        </w:tabs>
        <w:ind w:left="90"/>
        <w:jc w:val="both"/>
        <w:rPr>
          <w:rFonts w:ascii="Times New Roman" w:hAnsi="Times New Roman" w:cs="Times New Roman"/>
          <w:sz w:val="24"/>
          <w:szCs w:val="24"/>
        </w:rPr>
      </w:pPr>
      <w:r w:rsidRPr="00D83669">
        <w:rPr>
          <w:rFonts w:ascii="Times New Roman" w:hAnsi="Times New Roman" w:cs="Times New Roman"/>
          <w:sz w:val="24"/>
          <w:szCs w:val="24"/>
        </w:rPr>
        <w:tab/>
      </w:r>
      <w:r w:rsidRPr="00D83669">
        <w:rPr>
          <w:rFonts w:ascii="Times New Roman" w:hAnsi="Times New Roman" w:cs="Times New Roman"/>
          <w:sz w:val="24"/>
          <w:szCs w:val="24"/>
        </w:rPr>
        <w:tab/>
      </w:r>
    </w:p>
    <w:p w14:paraId="0BD9AAA7" w14:textId="47B97705" w:rsidR="00952E41" w:rsidRPr="00D83669" w:rsidRDefault="00952E41" w:rsidP="00890863">
      <w:pPr>
        <w:ind w:hanging="900"/>
        <w:jc w:val="both"/>
        <w:rPr>
          <w:rFonts w:ascii="Times New Roman" w:hAnsi="Times New Roman" w:cs="Times New Roman"/>
          <w:sz w:val="28"/>
          <w:szCs w:val="28"/>
        </w:rPr>
      </w:pPr>
    </w:p>
    <w:p w14:paraId="387492EC" w14:textId="042AD254" w:rsidR="0041069D" w:rsidRPr="00D83669" w:rsidRDefault="0041069D" w:rsidP="0041069D">
      <w:pPr>
        <w:ind w:left="-450"/>
        <w:jc w:val="both"/>
        <w:rPr>
          <w:rFonts w:ascii="Times New Roman" w:hAnsi="Times New Roman" w:cs="Times New Roman"/>
          <w:sz w:val="28"/>
          <w:szCs w:val="28"/>
        </w:rPr>
      </w:pPr>
    </w:p>
    <w:p w14:paraId="79D39E2E" w14:textId="7B96CAE2" w:rsidR="00FD5070" w:rsidRPr="00D83669" w:rsidRDefault="00FD5070" w:rsidP="0041069D">
      <w:pPr>
        <w:ind w:left="-450"/>
        <w:jc w:val="both"/>
        <w:rPr>
          <w:rFonts w:ascii="Times New Roman" w:hAnsi="Times New Roman" w:cs="Times New Roman"/>
          <w:sz w:val="28"/>
          <w:szCs w:val="28"/>
        </w:rPr>
      </w:pPr>
    </w:p>
    <w:p w14:paraId="5162D639" w14:textId="77777777" w:rsidR="00E85916" w:rsidRPr="00D83669" w:rsidRDefault="00E85916" w:rsidP="0041069D">
      <w:pPr>
        <w:ind w:left="-450"/>
        <w:jc w:val="both"/>
        <w:rPr>
          <w:rFonts w:ascii="Times New Roman" w:hAnsi="Times New Roman" w:cs="Times New Roman"/>
          <w:sz w:val="28"/>
          <w:szCs w:val="28"/>
        </w:rPr>
        <w:sectPr w:rsidR="00E85916" w:rsidRPr="00D83669" w:rsidSect="00FD5070">
          <w:pgSz w:w="11906" w:h="16838"/>
          <w:pgMar w:top="1411" w:right="1411" w:bottom="1411" w:left="1411" w:header="706" w:footer="706" w:gutter="0"/>
          <w:cols w:space="708"/>
          <w:docGrid w:linePitch="360"/>
        </w:sectPr>
      </w:pPr>
    </w:p>
    <w:p w14:paraId="433E6B5C" w14:textId="0172C46E" w:rsidR="00E85916" w:rsidRPr="00D83669" w:rsidRDefault="00E85916">
      <w:pPr>
        <w:rPr>
          <w:color w:val="538135" w:themeColor="accent6" w:themeShade="BF"/>
        </w:rPr>
      </w:pPr>
      <w:r w:rsidRPr="00D83669">
        <w:rPr>
          <w:rFonts w:eastAsia="Calibri"/>
          <w:noProof/>
          <w:color w:val="000000" w:themeColor="text1"/>
          <w:sz w:val="20"/>
          <w:szCs w:val="20"/>
          <w:lang w:eastAsia="bg-BG"/>
        </w:rPr>
        <w:lastRenderedPageBreak/>
        <mc:AlternateContent>
          <mc:Choice Requires="wpc">
            <w:drawing>
              <wp:anchor distT="0" distB="0" distL="114300" distR="114300" simplePos="0" relativeHeight="251672576" behindDoc="0" locked="0" layoutInCell="1" allowOverlap="1" wp14:anchorId="27436E2A" wp14:editId="1953B8C3">
                <wp:simplePos x="0" y="0"/>
                <wp:positionH relativeFrom="column">
                  <wp:posOffset>-331470</wp:posOffset>
                </wp:positionH>
                <wp:positionV relativeFrom="page">
                  <wp:posOffset>41910</wp:posOffset>
                </wp:positionV>
                <wp:extent cx="10546080" cy="7421880"/>
                <wp:effectExtent l="0" t="0" r="7620" b="0"/>
                <wp:wrapNone/>
                <wp:docPr id="208" name="Canvas 2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96" name="Rounded Rectangle 96"/>
                        <wps:cNvSpPr/>
                        <wps:spPr>
                          <a:xfrm>
                            <a:off x="60960" y="12699"/>
                            <a:ext cx="10485120" cy="568325"/>
                          </a:xfrm>
                          <a:prstGeom prst="round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7B293E6F" w14:textId="77777777" w:rsidR="00E85916" w:rsidRPr="007066F2" w:rsidRDefault="00E85916" w:rsidP="007066F2">
                              <w:pPr>
                                <w:pStyle w:val="Heading1"/>
                                <w:spacing w:before="0" w:line="240" w:lineRule="auto"/>
                                <w:jc w:val="center"/>
                                <w:rPr>
                                  <w:rFonts w:asciiTheme="minorHAnsi" w:eastAsia="Calibri" w:hAnsiTheme="minorHAnsi" w:cstheme="minorHAnsi"/>
                                  <w:b/>
                                  <w:bCs/>
                                  <w:color w:val="C00000"/>
                                  <w:sz w:val="28"/>
                                  <w:szCs w:val="28"/>
                                  <w:lang w:val="bg-BG"/>
                                </w:rPr>
                              </w:pPr>
                            </w:p>
                            <w:p w14:paraId="784D3017" w14:textId="77777777" w:rsidR="00E85916" w:rsidRPr="007066F2" w:rsidRDefault="00E85916" w:rsidP="007066F2">
                              <w:pPr>
                                <w:jc w:val="center"/>
                                <w:rPr>
                                  <w:b/>
                                  <w:bCs/>
                                  <w:color w:val="C00000"/>
                                  <w:sz w:val="28"/>
                                  <w:szCs w:val="28"/>
                                </w:rPr>
                              </w:pPr>
                              <w:r w:rsidRPr="007066F2">
                                <w:rPr>
                                  <w:b/>
                                  <w:bCs/>
                                  <w:color w:val="C00000"/>
                                  <w:sz w:val="28"/>
                                  <w:szCs w:val="28"/>
                                </w:rPr>
                                <w:t>ПРИОРИТЕТ 1 - ПРИОБЩАВАЩО ОБРАЗОВАНИЕ И ОБРАЗОВАТЕЛНА ИНТЕГРАЦИЯ</w:t>
                              </w:r>
                            </w:p>
                          </w:txbxContent>
                        </wps:txbx>
                        <wps:bodyPr rot="0" spcFirstLastPara="0" vert="horz" wrap="square" lIns="9257" tIns="5555" rIns="9257" bIns="5555" numCol="1" spcCol="0" rtlCol="0" fromWordArt="0" anchor="t" anchorCtr="0" forceAA="0" compatLnSpc="1">
                          <a:prstTxWarp prst="textNoShape">
                            <a:avLst/>
                          </a:prstTxWarp>
                          <a:noAutofit/>
                        </wps:bodyPr>
                      </wps:wsp>
                      <wps:wsp>
                        <wps:cNvPr id="99" name="Rounded Rectangle 99"/>
                        <wps:cNvSpPr/>
                        <wps:spPr>
                          <a:xfrm>
                            <a:off x="3501937" y="6336347"/>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22D5D0E7" w14:textId="77777777" w:rsidR="00E85916" w:rsidRPr="00B33A94" w:rsidRDefault="00E85916" w:rsidP="00E845B8">
                              <w:pPr>
                                <w:spacing w:after="0" w:line="240" w:lineRule="auto"/>
                                <w:jc w:val="center"/>
                                <w:rPr>
                                  <w:rFonts w:eastAsia="Times New Roman" w:cstheme="minorHAnsi"/>
                                  <w:sz w:val="18"/>
                                  <w:szCs w:val="20"/>
                                  <w:lang w:eastAsia="en-GB"/>
                                </w:rPr>
                              </w:pPr>
                              <w:r w:rsidRPr="00B33A94">
                                <w:rPr>
                                  <w:rFonts w:eastAsia="Times New Roman" w:cstheme="minorHAnsi"/>
                                  <w:sz w:val="18"/>
                                  <w:szCs w:val="20"/>
                                  <w:lang w:eastAsia="en-GB"/>
                                </w:rPr>
                                <w:t>SOI 1.5. Педагогически специалисти и непедагогически персонал, обучени за работа с деца и ученици от уязвими групи</w:t>
                              </w:r>
                            </w:p>
                            <w:p w14:paraId="7FBC0295" w14:textId="77777777" w:rsidR="00E85916" w:rsidRPr="00B33A94" w:rsidRDefault="00E85916" w:rsidP="00E845B8">
                              <w:pPr>
                                <w:spacing w:line="256" w:lineRule="auto"/>
                                <w:jc w:val="center"/>
                                <w:rPr>
                                  <w:rFonts w:cstheme="minorHAnsi"/>
                                  <w:sz w:val="18"/>
                                  <w:szCs w:val="20"/>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0" name="Rounded Rectangle 100"/>
                        <wps:cNvSpPr/>
                        <wps:spPr>
                          <a:xfrm>
                            <a:off x="1331240" y="2528432"/>
                            <a:ext cx="1838679"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4CF453D0" w14:textId="77777777" w:rsidR="00E85916" w:rsidRPr="005433D9" w:rsidRDefault="00E85916" w:rsidP="00E845B8">
                              <w:pPr>
                                <w:spacing w:line="256" w:lineRule="auto"/>
                                <w:jc w:val="center"/>
                                <w:rPr>
                                  <w:rFonts w:cstheme="minorHAnsi"/>
                                  <w:sz w:val="20"/>
                                  <w:szCs w:val="20"/>
                                </w:rPr>
                              </w:pPr>
                              <w:r w:rsidRPr="005433D9">
                                <w:rPr>
                                  <w:rFonts w:eastAsia="Calibri" w:cstheme="minorHAnsi"/>
                                  <w:sz w:val="20"/>
                                  <w:szCs w:val="20"/>
                                </w:rPr>
                                <w:t>EECO15 малцинства (включително маргинализирани общности като ромите)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1" name="Rectangle 101"/>
                        <wps:cNvSpPr/>
                        <wps:spPr>
                          <a:xfrm>
                            <a:off x="3131241" y="734638"/>
                            <a:ext cx="4358640" cy="332162"/>
                          </a:xfrm>
                          <a:prstGeom prst="rect">
                            <a:avLst/>
                          </a:prstGeom>
                          <a:solidFill>
                            <a:srgbClr val="FFFFCC"/>
                          </a:solidFill>
                        </wps:spPr>
                        <wps:style>
                          <a:lnRef idx="1">
                            <a:schemeClr val="accent2"/>
                          </a:lnRef>
                          <a:fillRef idx="2">
                            <a:schemeClr val="accent2"/>
                          </a:fillRef>
                          <a:effectRef idx="1">
                            <a:schemeClr val="accent2"/>
                          </a:effectRef>
                          <a:fontRef idx="minor">
                            <a:schemeClr val="dk1"/>
                          </a:fontRef>
                        </wps:style>
                        <wps:txbx>
                          <w:txbxContent>
                            <w:p w14:paraId="3E220F83" w14:textId="77777777" w:rsidR="00E85916" w:rsidRPr="00E845B8" w:rsidRDefault="00E85916" w:rsidP="00E845B8">
                              <w:pPr>
                                <w:spacing w:after="0" w:line="240" w:lineRule="auto"/>
                                <w:jc w:val="center"/>
                                <w:rPr>
                                  <w:sz w:val="32"/>
                                  <w:szCs w:val="24"/>
                                </w:rPr>
                              </w:pPr>
                              <w:r w:rsidRPr="00E845B8">
                                <w:rPr>
                                  <w:sz w:val="32"/>
                                  <w:szCs w:val="24"/>
                                </w:rPr>
                                <w:t xml:space="preserve">Специфична цел по чл. 4, пар. 1, </w:t>
                              </w:r>
                              <w:r w:rsidRPr="00591763">
                                <w:rPr>
                                  <w:b/>
                                  <w:sz w:val="32"/>
                                  <w:szCs w:val="24"/>
                                </w:rPr>
                                <w:t>буква 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ounded Rectangle 105"/>
                        <wps:cNvSpPr/>
                        <wps:spPr>
                          <a:xfrm>
                            <a:off x="6088940" y="4810663"/>
                            <a:ext cx="2278482" cy="89723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655076E6" w14:textId="77777777" w:rsidR="00E85916" w:rsidRPr="005433D9" w:rsidRDefault="00E85916" w:rsidP="005433D9">
                              <w:pPr>
                                <w:spacing w:line="256" w:lineRule="auto"/>
                                <w:jc w:val="center"/>
                                <w:rPr>
                                  <w:rFonts w:eastAsia="Calibri" w:cstheme="minorHAnsi"/>
                                  <w:sz w:val="20"/>
                                  <w:szCs w:val="20"/>
                                </w:rPr>
                              </w:pPr>
                              <w:r w:rsidRPr="005433D9">
                                <w:rPr>
                                  <w:rFonts w:eastAsia="Calibri" w:cstheme="minorHAnsi"/>
                                  <w:sz w:val="20"/>
                                  <w:szCs w:val="20"/>
                                </w:rPr>
                                <w:t>SOI 1.4. Брой деца и ученици от предучилищното и училищното образование от уязвими групи, получили подкрепа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0" name="Straight Arrow Connector 110"/>
                        <wps:cNvCnPr>
                          <a:stCxn id="99" idx="3"/>
                          <a:endCxn id="130" idx="1"/>
                        </wps:cNvCnPr>
                        <wps:spPr>
                          <a:xfrm>
                            <a:off x="5301937" y="6786347"/>
                            <a:ext cx="1071310" cy="0"/>
                          </a:xfrm>
                          <a:prstGeom prst="straightConnector1">
                            <a:avLst/>
                          </a:prstGeom>
                          <a:ln w="12700">
                            <a:solidFill>
                              <a:srgbClr val="002060"/>
                            </a:solidFill>
                            <a:tailEnd type="triangle"/>
                          </a:ln>
                        </wps:spPr>
                        <wps:style>
                          <a:lnRef idx="1">
                            <a:schemeClr val="accent2"/>
                          </a:lnRef>
                          <a:fillRef idx="0">
                            <a:schemeClr val="accent2"/>
                          </a:fillRef>
                          <a:effectRef idx="0">
                            <a:schemeClr val="accent2"/>
                          </a:effectRef>
                          <a:fontRef idx="minor">
                            <a:schemeClr val="tx1"/>
                          </a:fontRef>
                        </wps:style>
                        <wps:bodyPr/>
                      </wps:wsp>
                      <wps:wsp>
                        <wps:cNvPr id="114" name="Rounded Rectangle 114"/>
                        <wps:cNvSpPr/>
                        <wps:spPr>
                          <a:xfrm>
                            <a:off x="7694320" y="1199670"/>
                            <a:ext cx="1800000" cy="968031"/>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0454258A" w14:textId="77777777" w:rsidR="00E85916" w:rsidRPr="005433D9" w:rsidRDefault="00E85916" w:rsidP="00E845B8">
                              <w:pPr>
                                <w:spacing w:line="256" w:lineRule="auto"/>
                                <w:jc w:val="center"/>
                                <w:rPr>
                                  <w:rFonts w:cstheme="minorHAnsi"/>
                                  <w:sz w:val="20"/>
                                  <w:szCs w:val="20"/>
                                </w:rPr>
                              </w:pPr>
                              <w:r w:rsidRPr="005433D9">
                                <w:rPr>
                                  <w:rFonts w:eastAsia="Calibri" w:cstheme="minorHAnsi"/>
                                  <w:sz w:val="20"/>
                                  <w:szCs w:val="20"/>
                                </w:rPr>
                                <w:t>SOI 1.1.Брой деца и ученици обхванати от механизма за съвместна работа на институциите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5" name="Rounded Rectangle 115"/>
                        <wps:cNvSpPr/>
                        <wps:spPr>
                          <a:xfrm>
                            <a:off x="3489296" y="4817770"/>
                            <a:ext cx="2414548"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0CD587C9" w14:textId="77777777" w:rsidR="00E85916" w:rsidRPr="00CD08D7" w:rsidRDefault="00E85916" w:rsidP="00E845B8">
                              <w:pPr>
                                <w:spacing w:line="256" w:lineRule="auto"/>
                                <w:jc w:val="center"/>
                                <w:rPr>
                                  <w:rFonts w:eastAsia="Calibri" w:cstheme="minorHAnsi"/>
                                  <w:sz w:val="20"/>
                                  <w:szCs w:val="20"/>
                                </w:rPr>
                              </w:pPr>
                              <w:r w:rsidRPr="00CD08D7">
                                <w:rPr>
                                  <w:rFonts w:eastAsia="Calibri" w:cstheme="minorHAnsi"/>
                                  <w:sz w:val="20"/>
                                  <w:szCs w:val="20"/>
                                </w:rPr>
                                <w:t>SOI 1.2.Брой деца и ученици  със специални образователни потребности (СОП), в риск, с хронични заболявания и с изявени дарби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0" name="Rounded Rectangle 120"/>
                        <wps:cNvSpPr/>
                        <wps:spPr>
                          <a:xfrm>
                            <a:off x="7694320" y="2506057"/>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45A508E3" w14:textId="77777777" w:rsidR="00E85916" w:rsidRPr="005433D9" w:rsidRDefault="00E85916" w:rsidP="00E845B8">
                              <w:pPr>
                                <w:spacing w:line="256" w:lineRule="auto"/>
                                <w:jc w:val="center"/>
                                <w:rPr>
                                  <w:rFonts w:eastAsia="Calibri" w:cstheme="minorHAnsi"/>
                                  <w:sz w:val="20"/>
                                  <w:szCs w:val="20"/>
                                </w:rPr>
                              </w:pPr>
                              <w:r w:rsidRPr="005433D9">
                                <w:rPr>
                                  <w:rFonts w:eastAsia="Calibri" w:cstheme="minorHAnsi"/>
                                  <w:sz w:val="20"/>
                                  <w:szCs w:val="20"/>
                                </w:rPr>
                                <w:t>SOI 1.3. Брой родители, подкрепени в процеса на приобщаващото образование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1" name="Rounded Rectangle 121"/>
                        <wps:cNvSpPr/>
                        <wps:spPr>
                          <a:xfrm>
                            <a:off x="1331241" y="1267702"/>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6DC7ED6B" w14:textId="77777777" w:rsidR="00E85916" w:rsidRPr="005433D9" w:rsidRDefault="00E85916" w:rsidP="00E845B8">
                              <w:pPr>
                                <w:spacing w:line="256" w:lineRule="auto"/>
                                <w:jc w:val="center"/>
                                <w:rPr>
                                  <w:rFonts w:cstheme="minorHAnsi"/>
                                  <w:sz w:val="20"/>
                                  <w:szCs w:val="20"/>
                                </w:rPr>
                              </w:pPr>
                              <w:r w:rsidRPr="005433D9">
                                <w:rPr>
                                  <w:rFonts w:eastAsia="Calibri" w:cstheme="minorHAnsi"/>
                                  <w:sz w:val="20"/>
                                  <w:szCs w:val="20"/>
                                </w:rPr>
                                <w:t>EECO06 брой на децата на възраст под 18 години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2" name="Rounded Rectangle 122"/>
                        <wps:cNvSpPr/>
                        <wps:spPr>
                          <a:xfrm>
                            <a:off x="4332614" y="3040380"/>
                            <a:ext cx="1938646" cy="1136382"/>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61F84F41" w14:textId="77777777" w:rsidR="00E85916" w:rsidRPr="005433D9" w:rsidRDefault="00E85916" w:rsidP="00E845B8">
                              <w:pPr>
                                <w:spacing w:line="256" w:lineRule="auto"/>
                                <w:jc w:val="center"/>
                                <w:rPr>
                                  <w:rFonts w:cstheme="minorHAnsi"/>
                                  <w:sz w:val="20"/>
                                  <w:szCs w:val="20"/>
                                </w:rPr>
                              </w:pPr>
                              <w:r w:rsidRPr="005433D9">
                                <w:rPr>
                                  <w:rFonts w:eastAsia="Times New Roman" w:cstheme="minorHAnsi"/>
                                  <w:sz w:val="20"/>
                                  <w:szCs w:val="20"/>
                                  <w:lang w:eastAsia="en-GB"/>
                                </w:rPr>
                                <w:t>SRI 1.2.Брой деца и ученици  от уязвими групи с подобрени образователни резултати след 1 година  участие в операцията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3" name="Rounded Rectangle 123"/>
                        <wps:cNvSpPr/>
                        <wps:spPr>
                          <a:xfrm>
                            <a:off x="4332614" y="1554481"/>
                            <a:ext cx="1938646" cy="113538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7BE6773B" w14:textId="77777777" w:rsidR="00E85916" w:rsidRPr="005433D9" w:rsidRDefault="00E85916" w:rsidP="00E845B8">
                              <w:pPr>
                                <w:spacing w:line="256" w:lineRule="auto"/>
                                <w:jc w:val="center"/>
                                <w:rPr>
                                  <w:rFonts w:cstheme="minorHAnsi"/>
                                  <w:sz w:val="20"/>
                                  <w:szCs w:val="20"/>
                                </w:rPr>
                              </w:pPr>
                              <w:r w:rsidRPr="005433D9">
                                <w:rPr>
                                  <w:rFonts w:eastAsia="Calibri" w:cstheme="minorHAnsi"/>
                                  <w:sz w:val="20"/>
                                  <w:szCs w:val="20"/>
                                </w:rPr>
                                <w:t>SRI 1.1.Брой деца и ученици записани в предучилищно и училищно образование чрез механизма за съвместна работа на институциите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0" name="Rounded Rectangle 130"/>
                        <wps:cNvSpPr/>
                        <wps:spPr>
                          <a:xfrm>
                            <a:off x="6373247" y="6336347"/>
                            <a:ext cx="1800000" cy="90000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67C6DDC8" w14:textId="77777777" w:rsidR="00E85916" w:rsidRPr="00FD552D" w:rsidRDefault="00E85916" w:rsidP="005433D9">
                              <w:pPr>
                                <w:spacing w:after="0" w:line="240" w:lineRule="auto"/>
                                <w:jc w:val="center"/>
                                <w:rPr>
                                  <w:rFonts w:eastAsia="Times New Roman" w:cstheme="minorHAnsi"/>
                                  <w:sz w:val="20"/>
                                  <w:szCs w:val="20"/>
                                  <w:lang w:eastAsia="en-GB"/>
                                </w:rPr>
                              </w:pPr>
                              <w:r w:rsidRPr="00FD552D">
                                <w:rPr>
                                  <w:rFonts w:eastAsia="Times New Roman" w:cstheme="minorHAnsi"/>
                                  <w:sz w:val="20"/>
                                  <w:szCs w:val="20"/>
                                  <w:lang w:eastAsia="en-GB"/>
                                </w:rPr>
                                <w:t>EECR03 участници, които при напускане на операцията получават квалификация</w:t>
                              </w:r>
                            </w:p>
                            <w:p w14:paraId="53374215" w14:textId="77777777" w:rsidR="00E85916" w:rsidRPr="005433D9" w:rsidRDefault="00E85916" w:rsidP="00E845B8">
                              <w:pPr>
                                <w:spacing w:line="256" w:lineRule="auto"/>
                                <w:jc w:val="center"/>
                                <w:rPr>
                                  <w:rFonts w:cstheme="minorHAnsi"/>
                                  <w:sz w:val="20"/>
                                  <w:szCs w:val="20"/>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Straight Arrow Connector 145"/>
                        <wps:cNvCnPr>
                          <a:stCxn id="114" idx="1"/>
                          <a:endCxn id="123" idx="3"/>
                        </wps:cNvCnPr>
                        <wps:spPr>
                          <a:xfrm flipH="1">
                            <a:off x="6271260" y="1683686"/>
                            <a:ext cx="1423060" cy="438485"/>
                          </a:xfrm>
                          <a:prstGeom prst="straightConnector1">
                            <a:avLst/>
                          </a:prstGeom>
                          <a:ln w="12700">
                            <a:solidFill>
                              <a:schemeClr val="accent6">
                                <a:lumMod val="50000"/>
                              </a:schemeClr>
                            </a:solidFill>
                            <a:prstDash val="solid"/>
                            <a:tailEnd type="triangle"/>
                          </a:ln>
                        </wps:spPr>
                        <wps:style>
                          <a:lnRef idx="1">
                            <a:schemeClr val="accent2"/>
                          </a:lnRef>
                          <a:fillRef idx="0">
                            <a:schemeClr val="accent2"/>
                          </a:fillRef>
                          <a:effectRef idx="0">
                            <a:schemeClr val="accent2"/>
                          </a:effectRef>
                          <a:fontRef idx="minor">
                            <a:schemeClr val="tx1"/>
                          </a:fontRef>
                        </wps:style>
                        <wps:bodyPr/>
                      </wps:wsp>
                      <wps:wsp>
                        <wps:cNvPr id="203" name="Straight Arrow Connector 203"/>
                        <wps:cNvCnPr>
                          <a:stCxn id="115" idx="0"/>
                          <a:endCxn id="122" idx="2"/>
                        </wps:cNvCnPr>
                        <wps:spPr>
                          <a:xfrm flipV="1">
                            <a:off x="4696570" y="4176762"/>
                            <a:ext cx="605367" cy="641008"/>
                          </a:xfrm>
                          <a:prstGeom prst="straightConnector1">
                            <a:avLst/>
                          </a:prstGeom>
                          <a:ln w="12700">
                            <a:solidFill>
                              <a:schemeClr val="accent6">
                                <a:lumMod val="50000"/>
                              </a:schemeClr>
                            </a:solidFill>
                            <a:prstDash val="solid"/>
                            <a:tailEnd type="triangle"/>
                          </a:ln>
                        </wps:spPr>
                        <wps:style>
                          <a:lnRef idx="1">
                            <a:schemeClr val="accent2"/>
                          </a:lnRef>
                          <a:fillRef idx="0">
                            <a:schemeClr val="accent2"/>
                          </a:fillRef>
                          <a:effectRef idx="0">
                            <a:schemeClr val="accent2"/>
                          </a:effectRef>
                          <a:fontRef idx="minor">
                            <a:schemeClr val="tx1"/>
                          </a:fontRef>
                        </wps:style>
                        <wps:bodyPr/>
                      </wps:wsp>
                      <wps:wsp>
                        <wps:cNvPr id="204" name="Straight Arrow Connector 204"/>
                        <wps:cNvCnPr>
                          <a:stCxn id="120" idx="1"/>
                          <a:endCxn id="123" idx="3"/>
                        </wps:cNvCnPr>
                        <wps:spPr>
                          <a:xfrm flipH="1" flipV="1">
                            <a:off x="6271260" y="2122171"/>
                            <a:ext cx="1423060" cy="833886"/>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05" name="Straight Arrow Connector 205"/>
                        <wps:cNvCnPr>
                          <a:stCxn id="121" idx="3"/>
                          <a:endCxn id="123" idx="1"/>
                        </wps:cNvCnPr>
                        <wps:spPr>
                          <a:xfrm>
                            <a:off x="3131241" y="1717702"/>
                            <a:ext cx="1201373" cy="404469"/>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206" name="Straight Arrow Connector 206"/>
                        <wps:cNvCnPr>
                          <a:stCxn id="121" idx="2"/>
                          <a:endCxn id="100" idx="0"/>
                        </wps:cNvCnPr>
                        <wps:spPr>
                          <a:xfrm>
                            <a:off x="2231241" y="2167702"/>
                            <a:ext cx="19339" cy="360730"/>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9" name="Straight Arrow Connector 159"/>
                        <wps:cNvCnPr>
                          <a:stCxn id="122" idx="1"/>
                          <a:endCxn id="100" idx="3"/>
                        </wps:cNvCnPr>
                        <wps:spPr>
                          <a:xfrm flipH="1" flipV="1">
                            <a:off x="3169919" y="2978432"/>
                            <a:ext cx="1162695" cy="630139"/>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0" name="Rectangle 160"/>
                        <wps:cNvSpPr/>
                        <wps:spPr>
                          <a:xfrm rot="1463037">
                            <a:off x="3545158" y="3021816"/>
                            <a:ext cx="678815" cy="30382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03B8286" w14:textId="77777777" w:rsidR="00E85916" w:rsidRDefault="00E85916" w:rsidP="00E60168">
                              <w:pPr>
                                <w:pStyle w:val="NormalWeb"/>
                                <w:spacing w:before="0" w:beforeAutospacing="0" w:after="0" w:afterAutospacing="0" w:line="254" w:lineRule="auto"/>
                                <w:jc w:val="center"/>
                              </w:pPr>
                              <w:r>
                                <w:rPr>
                                  <w:rFonts w:eastAsia="Calibri"/>
                                  <w:b/>
                                  <w:bCs/>
                                  <w:sz w:val="22"/>
                                  <w:szCs w:val="22"/>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1" name="Straight Arrow Connector 161"/>
                        <wps:cNvCnPr>
                          <a:stCxn id="120" idx="1"/>
                          <a:endCxn id="100" idx="3"/>
                        </wps:cNvCnPr>
                        <wps:spPr>
                          <a:xfrm flipH="1">
                            <a:off x="3169919" y="2956057"/>
                            <a:ext cx="4524401" cy="22375"/>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9" name="Rectangle 199"/>
                        <wps:cNvSpPr/>
                        <wps:spPr>
                          <a:xfrm>
                            <a:off x="4995841" y="2694601"/>
                            <a:ext cx="678815" cy="30353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5CDA01A" w14:textId="77777777" w:rsidR="00E85916" w:rsidRDefault="00E85916" w:rsidP="009300A3">
                              <w:pPr>
                                <w:pStyle w:val="NormalWeb"/>
                                <w:spacing w:before="0" w:beforeAutospacing="0" w:after="0" w:afterAutospacing="0" w:line="252" w:lineRule="auto"/>
                                <w:jc w:val="center"/>
                              </w:pPr>
                              <w:r>
                                <w:rPr>
                                  <w:rFonts w:eastAsia="Calibri"/>
                                  <w:b/>
                                  <w:bCs/>
                                  <w:sz w:val="22"/>
                                  <w:szCs w:val="22"/>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2" name="Elbow Connector 82"/>
                        <wps:cNvCnPr>
                          <a:stCxn id="121" idx="1"/>
                          <a:endCxn id="115" idx="2"/>
                        </wps:cNvCnPr>
                        <wps:spPr>
                          <a:xfrm rot="10800000" flipH="1" flipV="1">
                            <a:off x="1331240" y="1717702"/>
                            <a:ext cx="3365329" cy="4000068"/>
                          </a:xfrm>
                          <a:prstGeom prst="bentConnector4">
                            <a:avLst>
                              <a:gd name="adj1" fmla="val -6793"/>
                              <a:gd name="adj2" fmla="val 105715"/>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9" name="Elbow Connector 89"/>
                        <wps:cNvCnPr>
                          <a:stCxn id="121" idx="1"/>
                          <a:endCxn id="105" idx="2"/>
                        </wps:cNvCnPr>
                        <wps:spPr>
                          <a:xfrm rot="10800000" flipH="1" flipV="1">
                            <a:off x="1331241" y="1717701"/>
                            <a:ext cx="5896940" cy="3990191"/>
                          </a:xfrm>
                          <a:prstGeom prst="bentConnector4">
                            <a:avLst>
                              <a:gd name="adj1" fmla="val -3877"/>
                              <a:gd name="adj2" fmla="val 105729"/>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g:wgp>
                        <wpg:cNvPr id="234" name="Group 234"/>
                        <wpg:cNvGrpSpPr/>
                        <wpg:grpSpPr>
                          <a:xfrm>
                            <a:off x="8513619" y="4564642"/>
                            <a:ext cx="1886989" cy="1863436"/>
                            <a:chOff x="8513619" y="4564642"/>
                            <a:chExt cx="1886989" cy="1863436"/>
                          </a:xfrm>
                        </wpg:grpSpPr>
                        <wps:wsp>
                          <wps:cNvPr id="193" name="Rectangle 193"/>
                          <wps:cNvSpPr/>
                          <wps:spPr>
                            <a:xfrm>
                              <a:off x="8513619" y="4564642"/>
                              <a:ext cx="1886989" cy="1863436"/>
                            </a:xfrm>
                            <a:prstGeom prst="rect">
                              <a:avLst/>
                            </a:prstGeom>
                            <a:noFill/>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29531D6A" w14:textId="77777777" w:rsidR="00E85916" w:rsidRDefault="00E85916" w:rsidP="009C3FCB">
                                <w:pPr>
                                  <w:pStyle w:val="NormalWeb"/>
                                  <w:spacing w:before="0" w:beforeAutospacing="0" w:after="120" w:afterAutospacing="0"/>
                                </w:pPr>
                                <w:r>
                                  <w:rPr>
                                    <w:rFonts w:asciiTheme="majorHAnsi" w:hAnsi="Calibri Light" w:cstheme="minorBidi"/>
                                    <w:b/>
                                    <w:bCs/>
                                    <w:color w:val="000000" w:themeColor="dark1"/>
                                    <w:kern w:val="24"/>
                                    <w:sz w:val="20"/>
                                    <w:szCs w:val="20"/>
                                    <w:u w:val="single"/>
                                  </w:rPr>
                                  <w:t>Легенда:</w:t>
                                </w:r>
                              </w:p>
                              <w:p w14:paraId="749C4665" w14:textId="1737EFEF" w:rsidR="00E85916" w:rsidRDefault="00AF71A6" w:rsidP="009C3FCB">
                                <w:pPr>
                                  <w:pStyle w:val="NormalWeb"/>
                                  <w:spacing w:before="0" w:beforeAutospacing="0" w:after="120" w:afterAutospacing="0"/>
                                  <w:ind w:left="851"/>
                                </w:pPr>
                                <w:r>
                                  <w:rPr>
                                    <w:rFonts w:asciiTheme="majorHAnsi" w:hAnsi="Calibri Light" w:cstheme="minorBidi"/>
                                    <w:color w:val="000000" w:themeColor="dark1"/>
                                    <w:kern w:val="24"/>
                                    <w:sz w:val="20"/>
                                    <w:szCs w:val="20"/>
                                  </w:rPr>
                                  <w:t xml:space="preserve">Показател </w:t>
                                </w:r>
                                <w:r w:rsidR="00E85916">
                                  <w:rPr>
                                    <w:rFonts w:asciiTheme="majorHAnsi" w:hAnsi="Calibri Light" w:cstheme="minorBidi"/>
                                    <w:color w:val="000000" w:themeColor="dark1"/>
                                    <w:kern w:val="24"/>
                                    <w:sz w:val="20"/>
                                    <w:szCs w:val="20"/>
                                  </w:rPr>
                                  <w:t xml:space="preserve">за </w:t>
                                </w:r>
                                <w:r>
                                  <w:rPr>
                                    <w:rFonts w:asciiTheme="majorHAnsi" w:hAnsi="Calibri Light" w:cstheme="minorBidi"/>
                                    <w:color w:val="000000" w:themeColor="dark1"/>
                                    <w:kern w:val="24"/>
                                    <w:sz w:val="20"/>
                                    <w:szCs w:val="20"/>
                                  </w:rPr>
                                  <w:t>краен продукт</w:t>
                                </w:r>
                              </w:p>
                              <w:p w14:paraId="2A457732" w14:textId="08576382" w:rsidR="00E85916" w:rsidRDefault="00AF71A6" w:rsidP="009C3FCB">
                                <w:pPr>
                                  <w:pStyle w:val="NormalWeb"/>
                                  <w:spacing w:before="0" w:beforeAutospacing="0" w:after="120" w:afterAutospacing="0"/>
                                  <w:ind w:left="851"/>
                                </w:pPr>
                                <w:r>
                                  <w:rPr>
                                    <w:rFonts w:asciiTheme="majorHAnsi" w:hAnsi="Calibri Light" w:cstheme="minorBidi"/>
                                    <w:color w:val="000000" w:themeColor="dark1"/>
                                    <w:kern w:val="24"/>
                                    <w:sz w:val="20"/>
                                    <w:szCs w:val="20"/>
                                  </w:rPr>
                                  <w:t xml:space="preserve">Показател </w:t>
                                </w:r>
                                <w:r w:rsidR="00E85916">
                                  <w:rPr>
                                    <w:rFonts w:asciiTheme="majorHAnsi" w:hAnsi="Calibri Light" w:cstheme="minorBidi"/>
                                    <w:color w:val="000000" w:themeColor="dark1"/>
                                    <w:kern w:val="24"/>
                                    <w:sz w:val="20"/>
                                    <w:szCs w:val="20"/>
                                  </w:rPr>
                                  <w:t>за резултат</w:t>
                                </w:r>
                              </w:p>
                              <w:p w14:paraId="45FA7F39" w14:textId="093C1608" w:rsidR="00E85916" w:rsidRDefault="009C3FCB" w:rsidP="009C3FCB">
                                <w:pPr>
                                  <w:pStyle w:val="NormalWeb"/>
                                  <w:spacing w:before="0" w:beforeAutospacing="0" w:after="120" w:afterAutospacing="0"/>
                                  <w:ind w:left="851"/>
                                  <w:rPr>
                                    <w:rFonts w:asciiTheme="majorHAnsi" w:hAnsi="Calibri Light" w:cstheme="minorBidi"/>
                                    <w:color w:val="000000" w:themeColor="dark1"/>
                                    <w:kern w:val="24"/>
                                    <w:sz w:val="20"/>
                                    <w:szCs w:val="20"/>
                                  </w:rPr>
                                </w:pPr>
                                <w:r>
                                  <w:rPr>
                                    <w:rFonts w:asciiTheme="majorHAnsi" w:hAnsi="Calibri Light" w:cstheme="minorBidi"/>
                                    <w:color w:val="000000" w:themeColor="dark1"/>
                                    <w:kern w:val="24"/>
                                    <w:sz w:val="20"/>
                                    <w:szCs w:val="20"/>
                                  </w:rPr>
                                  <w:t>Пряка връзка</w:t>
                                </w:r>
                                <w:r>
                                  <w:rPr>
                                    <w:rFonts w:asciiTheme="majorHAnsi" w:hAnsi="Calibri Light" w:cstheme="minorBidi"/>
                                    <w:color w:val="000000" w:themeColor="dark1"/>
                                    <w:kern w:val="24"/>
                                    <w:sz w:val="20"/>
                                    <w:szCs w:val="20"/>
                                  </w:rPr>
                                  <w:br/>
                                </w:r>
                                <w:r w:rsidR="00E85916">
                                  <w:rPr>
                                    <w:rFonts w:asciiTheme="majorHAnsi" w:hAnsi="Calibri Light" w:cstheme="minorBidi"/>
                                    <w:color w:val="000000" w:themeColor="dark1"/>
                                    <w:kern w:val="24"/>
                                    <w:sz w:val="20"/>
                                    <w:szCs w:val="20"/>
                                  </w:rPr>
                                  <w:t>между индикаторите</w:t>
                                </w:r>
                              </w:p>
                              <w:p w14:paraId="6125DACA" w14:textId="755A8878" w:rsidR="009C3FCB" w:rsidRDefault="009C3FCB" w:rsidP="009C3FCB">
                                <w:pPr>
                                  <w:pStyle w:val="NormalWeb"/>
                                  <w:spacing w:before="0" w:beforeAutospacing="0" w:after="120" w:afterAutospacing="0"/>
                                  <w:ind w:left="851"/>
                                </w:pPr>
                                <w:r>
                                  <w:rPr>
                                    <w:rFonts w:asciiTheme="majorHAnsi" w:hAnsi="Calibri Light" w:cstheme="minorBidi"/>
                                    <w:color w:val="000000" w:themeColor="dark1"/>
                                    <w:kern w:val="24"/>
                                    <w:sz w:val="20"/>
                                    <w:szCs w:val="20"/>
                                  </w:rPr>
                                  <w:t>Косвена връзка между индикаторите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4" name="Rounded Rectangle 194"/>
                          <wps:cNvSpPr/>
                          <wps:spPr>
                            <a:xfrm>
                              <a:off x="8661649" y="4894771"/>
                              <a:ext cx="350732" cy="217556"/>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5" name="Rounded Rectangle 195"/>
                          <wps:cNvSpPr/>
                          <wps:spPr>
                            <a:xfrm>
                              <a:off x="8661649" y="5290192"/>
                              <a:ext cx="347423" cy="210062"/>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196" name="Group 196"/>
                          <wpg:cNvGrpSpPr/>
                          <wpg:grpSpPr>
                            <a:xfrm>
                              <a:off x="8649066" y="5731524"/>
                              <a:ext cx="366932" cy="115093"/>
                              <a:chOff x="21644" y="1296086"/>
                              <a:chExt cx="249554" cy="85725"/>
                            </a:xfrm>
                          </wpg:grpSpPr>
                          <wps:wsp>
                            <wps:cNvPr id="197" name="Straight Arrow Connector 197"/>
                            <wps:cNvCnPr/>
                            <wps:spPr>
                              <a:xfrm flipV="1">
                                <a:off x="45012" y="1296086"/>
                                <a:ext cx="226186" cy="1905"/>
                              </a:xfrm>
                              <a:prstGeom prst="straightConnector1">
                                <a:avLst/>
                              </a:prstGeom>
                              <a:ln w="12700">
                                <a:solidFill>
                                  <a:srgbClr val="002060"/>
                                </a:solidFill>
                                <a:tailEnd type="triangle"/>
                              </a:ln>
                            </wps:spPr>
                            <wps:style>
                              <a:lnRef idx="1">
                                <a:schemeClr val="accent2"/>
                              </a:lnRef>
                              <a:fillRef idx="0">
                                <a:schemeClr val="accent2"/>
                              </a:fillRef>
                              <a:effectRef idx="0">
                                <a:schemeClr val="accent2"/>
                              </a:effectRef>
                              <a:fontRef idx="minor">
                                <a:schemeClr val="tx1"/>
                              </a:fontRef>
                            </wps:style>
                            <wps:bodyPr/>
                          </wps:wsp>
                          <wps:wsp>
                            <wps:cNvPr id="198" name="Straight Arrow Connector 198"/>
                            <wps:cNvCnPr/>
                            <wps:spPr>
                              <a:xfrm flipH="1">
                                <a:off x="21644" y="1376731"/>
                                <a:ext cx="233679" cy="5080"/>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g:grpSp>
                        <wpg:grpSp>
                          <wpg:cNvPr id="177" name="Group 177"/>
                          <wpg:cNvGrpSpPr/>
                          <wpg:grpSpPr>
                            <a:xfrm>
                              <a:off x="8625724" y="6112524"/>
                              <a:ext cx="366932" cy="115093"/>
                              <a:chOff x="21644" y="1296086"/>
                              <a:chExt cx="249554" cy="85725"/>
                            </a:xfrm>
                          </wpg:grpSpPr>
                          <wps:wsp>
                            <wps:cNvPr id="178" name="Straight Arrow Connector 178"/>
                            <wps:cNvCnPr/>
                            <wps:spPr>
                              <a:xfrm flipV="1">
                                <a:off x="45012" y="1296086"/>
                                <a:ext cx="226186" cy="1905"/>
                              </a:xfrm>
                              <a:prstGeom prst="straightConnector1">
                                <a:avLst/>
                              </a:prstGeom>
                              <a:ln w="12700">
                                <a:solidFill>
                                  <a:srgbClr val="002060"/>
                                </a:solidFill>
                                <a:prstDash val="sysDash"/>
                                <a:tailEnd type="triangle"/>
                              </a:ln>
                            </wps:spPr>
                            <wps:style>
                              <a:lnRef idx="1">
                                <a:schemeClr val="accent2"/>
                              </a:lnRef>
                              <a:fillRef idx="0">
                                <a:schemeClr val="accent2"/>
                              </a:fillRef>
                              <a:effectRef idx="0">
                                <a:schemeClr val="accent2"/>
                              </a:effectRef>
                              <a:fontRef idx="minor">
                                <a:schemeClr val="tx1"/>
                              </a:fontRef>
                            </wps:style>
                            <wps:bodyPr/>
                          </wps:wsp>
                          <wps:wsp>
                            <wps:cNvPr id="179" name="Straight Arrow Connector 179"/>
                            <wps:cNvCnPr/>
                            <wps:spPr>
                              <a:xfrm flipH="1">
                                <a:off x="21644" y="1376731"/>
                                <a:ext cx="233679" cy="5080"/>
                              </a:xfrm>
                              <a:prstGeom prst="straightConnector1">
                                <a:avLst/>
                              </a:prstGeom>
                              <a:ln w="12700">
                                <a:solidFill>
                                  <a:schemeClr val="accent6">
                                    <a:lumMod val="50000"/>
                                  </a:schemeClr>
                                </a:solidFill>
                                <a:prstDash val="sysDash"/>
                                <a:tailEnd type="triangle"/>
                              </a:ln>
                            </wps:spPr>
                            <wps:style>
                              <a:lnRef idx="1">
                                <a:schemeClr val="accent2"/>
                              </a:lnRef>
                              <a:fillRef idx="0">
                                <a:schemeClr val="accent2"/>
                              </a:fillRef>
                              <a:effectRef idx="0">
                                <a:schemeClr val="accent2"/>
                              </a:effectRef>
                              <a:fontRef idx="minor">
                                <a:schemeClr val="tx1"/>
                              </a:fontRef>
                            </wps:style>
                            <wps:bodyPr/>
                          </wps:wsp>
                        </wpg:grpSp>
                      </wpg:wgp>
                      <wps:wsp>
                        <wps:cNvPr id="181" name="Straight Arrow Connector 181"/>
                        <wps:cNvCnPr>
                          <a:stCxn id="105" idx="0"/>
                          <a:endCxn id="122" idx="2"/>
                        </wps:cNvCnPr>
                        <wps:spPr>
                          <a:xfrm flipH="1" flipV="1">
                            <a:off x="5301937" y="4176762"/>
                            <a:ext cx="1926244" cy="633901"/>
                          </a:xfrm>
                          <a:prstGeom prst="straightConnector1">
                            <a:avLst/>
                          </a:prstGeom>
                          <a:ln w="12700">
                            <a:solidFill>
                              <a:schemeClr val="accent6">
                                <a:lumMod val="50000"/>
                              </a:schemeClr>
                            </a:solidFill>
                            <a:prstDash val="solid"/>
                            <a:tailEnd type="triangle"/>
                          </a:ln>
                        </wps:spPr>
                        <wps:style>
                          <a:lnRef idx="1">
                            <a:schemeClr val="accent2"/>
                          </a:lnRef>
                          <a:fillRef idx="0">
                            <a:schemeClr val="accent2"/>
                          </a:fillRef>
                          <a:effectRef idx="0">
                            <a:schemeClr val="accent2"/>
                          </a:effectRef>
                          <a:fontRef idx="minor">
                            <a:schemeClr val="tx1"/>
                          </a:fontRef>
                        </wps:style>
                        <wps:bodyPr/>
                      </wps:wsp>
                      <wps:wsp>
                        <wps:cNvPr id="182" name="Straight Arrow Connector 182"/>
                        <wps:cNvCnPr>
                          <a:stCxn id="115" idx="0"/>
                          <a:endCxn id="123" idx="1"/>
                        </wps:cNvCnPr>
                        <wps:spPr>
                          <a:xfrm rot="16200000" flipV="1">
                            <a:off x="3166793" y="3287993"/>
                            <a:ext cx="2695599" cy="363956"/>
                          </a:xfrm>
                          <a:prstGeom prst="bentConnector4">
                            <a:avLst>
                              <a:gd name="adj1" fmla="val 39470"/>
                              <a:gd name="adj2" fmla="val 394519"/>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183" name="Straight Arrow Connector 183"/>
                        <wps:cNvCnPr>
                          <a:stCxn id="99" idx="1"/>
                          <a:endCxn id="122" idx="1"/>
                        </wps:cNvCnPr>
                        <wps:spPr>
                          <a:xfrm rot="10800000" flipH="1">
                            <a:off x="3501936" y="3608571"/>
                            <a:ext cx="830677" cy="3177776"/>
                          </a:xfrm>
                          <a:prstGeom prst="bentConnector3">
                            <a:avLst>
                              <a:gd name="adj1" fmla="val -27520"/>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184" name="Straight Arrow Connector 183"/>
                        <wps:cNvCnPr>
                          <a:stCxn id="99" idx="1"/>
                          <a:endCxn id="123" idx="0"/>
                        </wps:cNvCnPr>
                        <wps:spPr>
                          <a:xfrm rot="10800000" flipH="1">
                            <a:off x="3501937" y="1554481"/>
                            <a:ext cx="1800000" cy="5231866"/>
                          </a:xfrm>
                          <a:prstGeom prst="bentConnector4">
                            <a:avLst>
                              <a:gd name="adj1" fmla="val -12700"/>
                              <a:gd name="adj2" fmla="val 104369"/>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190" name="Straight Arrow Connector 183"/>
                        <wps:cNvCnPr>
                          <a:stCxn id="130" idx="0"/>
                          <a:endCxn id="121" idx="1"/>
                        </wps:cNvCnPr>
                        <wps:spPr>
                          <a:xfrm rot="16200000" flipV="1">
                            <a:off x="1992922" y="1056022"/>
                            <a:ext cx="4618645" cy="5942006"/>
                          </a:xfrm>
                          <a:prstGeom prst="bentConnector4">
                            <a:avLst>
                              <a:gd name="adj1" fmla="val 2982"/>
                              <a:gd name="adj2" fmla="val 108044"/>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191" name="Straight Arrow Connector 183"/>
                        <wps:cNvCnPr>
                          <a:stCxn id="130" idx="0"/>
                          <a:endCxn id="100" idx="1"/>
                        </wps:cNvCnPr>
                        <wps:spPr>
                          <a:xfrm rot="16200000" flipV="1">
                            <a:off x="2623287" y="1686386"/>
                            <a:ext cx="3357915" cy="5942007"/>
                          </a:xfrm>
                          <a:prstGeom prst="bentConnector4">
                            <a:avLst>
                              <a:gd name="adj1" fmla="val 4103"/>
                              <a:gd name="adj2" fmla="val 108044"/>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09" name="Straight Arrow Connector 209"/>
                        <wps:cNvCnPr>
                          <a:stCxn id="120" idx="1"/>
                          <a:endCxn id="122" idx="3"/>
                        </wps:cNvCnPr>
                        <wps:spPr>
                          <a:xfrm flipH="1">
                            <a:off x="6271260" y="2956057"/>
                            <a:ext cx="1423060" cy="652514"/>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10" name="Straight Arrow Connector 210"/>
                        <wps:cNvCnPr>
                          <a:stCxn id="114" idx="1"/>
                          <a:endCxn id="122" idx="3"/>
                        </wps:cNvCnPr>
                        <wps:spPr>
                          <a:xfrm rot="10800000" flipV="1">
                            <a:off x="6271260" y="1683685"/>
                            <a:ext cx="1423060" cy="1924885"/>
                          </a:xfrm>
                          <a:prstGeom prst="bentConnector3">
                            <a:avLst>
                              <a:gd name="adj1" fmla="val 50000"/>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70" name="Straight Arrow Connector 270"/>
                        <wps:cNvCnPr/>
                        <wps:spPr>
                          <a:xfrm flipH="1" flipV="1">
                            <a:off x="6271260" y="2122171"/>
                            <a:ext cx="529539" cy="2652838"/>
                          </a:xfrm>
                          <a:prstGeom prst="straightConnector1">
                            <a:avLst/>
                          </a:prstGeom>
                          <a:ln>
                            <a:solidFill>
                              <a:schemeClr val="accent6">
                                <a:lumMod val="75000"/>
                              </a:schemeClr>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14:sizeRelH relativeFrom="margin">
                  <wp14:pctWidth>0</wp14:pctWidth>
                </wp14:sizeRelH>
                <wp14:sizeRelV relativeFrom="margin">
                  <wp14:pctHeight>0</wp14:pctHeight>
                </wp14:sizeRelV>
              </wp:anchor>
            </w:drawing>
          </mc:Choice>
          <mc:Fallback>
            <w:pict>
              <v:group w14:anchorId="27436E2A" id="Canvas 208" o:spid="_x0000_s1030" editas="canvas" style="position:absolute;margin-left:-26.1pt;margin-top:3.3pt;width:830.4pt;height:584.4pt;z-index:251672576;mso-position-vertical-relative:page;mso-width-relative:margin;mso-height-relative:margin" coordsize="105460,74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">
                <v:shape id="_x0000_s1031" type="#_x0000_t75" style="position:absolute;width:105460;height:74218;visibility:visible;mso-wrap-style:square">
                  <v:fill o:detectmouseclick="t"/>
                  <v:path o:connecttype="none"/>
                </v:shape>
                <v:roundrect id="Rounded Rectangle 96" o:spid="_x0000_s1032" style="position:absolute;left:609;top:126;width:104851;height:568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" filled="f" stroked="f">
                  <v:textbox inset=".25714mm,.15431mm,.25714mm,.15431mm">
                    <w:txbxContent>
                      <w:p w14:paraId="7B293E6F" w14:textId="77777777" w:rsidR="00E85916" w:rsidRPr="007066F2" w:rsidRDefault="00E85916" w:rsidP="007066F2">
                        <w:pPr>
                          <w:pStyle w:val="Heading1"/>
                          <w:spacing w:before="0" w:line="240" w:lineRule="auto"/>
                          <w:jc w:val="center"/>
                          <w:rPr>
                            <w:rFonts w:asciiTheme="minorHAnsi" w:eastAsia="Calibri" w:hAnsiTheme="minorHAnsi" w:cstheme="minorHAnsi"/>
                            <w:b/>
                            <w:bCs/>
                            <w:color w:val="C00000"/>
                            <w:sz w:val="28"/>
                            <w:szCs w:val="28"/>
                            <w:lang w:val="bg-BG"/>
                          </w:rPr>
                        </w:pPr>
                      </w:p>
                      <w:p w14:paraId="784D3017" w14:textId="77777777" w:rsidR="00E85916" w:rsidRPr="007066F2" w:rsidRDefault="00E85916" w:rsidP="007066F2">
                        <w:pPr>
                          <w:jc w:val="center"/>
                          <w:rPr>
                            <w:b/>
                            <w:bCs/>
                            <w:color w:val="C00000"/>
                            <w:sz w:val="28"/>
                            <w:szCs w:val="28"/>
                          </w:rPr>
                        </w:pPr>
                        <w:r w:rsidRPr="007066F2">
                          <w:rPr>
                            <w:b/>
                            <w:bCs/>
                            <w:color w:val="C00000"/>
                            <w:sz w:val="28"/>
                            <w:szCs w:val="28"/>
                          </w:rPr>
                          <w:t>ПРИОРИТЕТ 1 - ПРИОБЩАВАЩО ОБРАЗОВАНИЕ И ОБРАЗОВАТЕЛНА ИНТЕГРАЦИЯ</w:t>
                        </w:r>
                      </w:p>
                    </w:txbxContent>
                  </v:textbox>
                </v:roundrect>
                <v:roundrect id="Rounded Rectangle 99" o:spid="_x0000_s1033" style="position:absolute;left:35019;top:63363;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" fillcolor="#cff" strokecolor="#002060" strokeweight="1pt">
                  <v:stroke joinstyle="miter"/>
                  <v:textbox>
                    <w:txbxContent>
                      <w:p w14:paraId="22D5D0E7" w14:textId="77777777" w:rsidR="00E85916" w:rsidRPr="00B33A94" w:rsidRDefault="00E85916" w:rsidP="00E845B8">
                        <w:pPr>
                          <w:spacing w:after="0" w:line="240" w:lineRule="auto"/>
                          <w:jc w:val="center"/>
                          <w:rPr>
                            <w:rFonts w:eastAsia="Times New Roman" w:cstheme="minorHAnsi"/>
                            <w:sz w:val="18"/>
                            <w:szCs w:val="20"/>
                            <w:lang w:eastAsia="en-GB"/>
                          </w:rPr>
                        </w:pPr>
                        <w:r w:rsidRPr="00B33A94">
                          <w:rPr>
                            <w:rFonts w:eastAsia="Times New Roman" w:cstheme="minorHAnsi"/>
                            <w:sz w:val="18"/>
                            <w:szCs w:val="20"/>
                            <w:lang w:eastAsia="en-GB"/>
                          </w:rPr>
                          <w:t>SOI 1.5. Педагогически специалисти и непедагогически персонал, обучени за работа с деца и ученици от уязвими групи</w:t>
                        </w:r>
                      </w:p>
                      <w:p w14:paraId="7FBC0295" w14:textId="77777777" w:rsidR="00E85916" w:rsidRPr="00B33A94" w:rsidRDefault="00E85916" w:rsidP="00E845B8">
                        <w:pPr>
                          <w:spacing w:line="256" w:lineRule="auto"/>
                          <w:jc w:val="center"/>
                          <w:rPr>
                            <w:rFonts w:cstheme="minorHAnsi"/>
                            <w:sz w:val="18"/>
                            <w:szCs w:val="20"/>
                          </w:rPr>
                        </w:pPr>
                      </w:p>
                    </w:txbxContent>
                  </v:textbox>
                </v:roundrect>
                <v:roundrect id="Rounded Rectangle 100" o:spid="_x0000_s1034" style="position:absolute;left:13312;top:25284;width:18387;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" fillcolor="#cff" strokecolor="#002060" strokeweight="1pt">
                  <v:stroke joinstyle="miter"/>
                  <v:textbox>
                    <w:txbxContent>
                      <w:p w14:paraId="4CF453D0" w14:textId="77777777" w:rsidR="00E85916" w:rsidRPr="005433D9" w:rsidRDefault="00E85916" w:rsidP="00E845B8">
                        <w:pPr>
                          <w:spacing w:line="256" w:lineRule="auto"/>
                          <w:jc w:val="center"/>
                          <w:rPr>
                            <w:rFonts w:cstheme="minorHAnsi"/>
                            <w:sz w:val="20"/>
                            <w:szCs w:val="20"/>
                          </w:rPr>
                        </w:pPr>
                        <w:r w:rsidRPr="005433D9">
                          <w:rPr>
                            <w:rFonts w:eastAsia="Calibri" w:cstheme="minorHAnsi"/>
                            <w:sz w:val="20"/>
                            <w:szCs w:val="20"/>
                          </w:rPr>
                          <w:t>EECO15 малцинства (включително маргинализирани общности като ромите)</w:t>
                        </w:r>
                      </w:p>
                    </w:txbxContent>
                  </v:textbox>
                </v:roundrect>
                <v:rect id="Rectangle 101" o:spid="_x0000_s1035" style="position:absolute;left:31312;top:7346;width:43586;height:33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" fillcolor="#ffc" strokecolor="#ed7d31 [3205]" strokeweight=".5pt">
                  <v:textbox>
                    <w:txbxContent>
                      <w:p w14:paraId="3E220F83" w14:textId="77777777" w:rsidR="00E85916" w:rsidRPr="00E845B8" w:rsidRDefault="00E85916" w:rsidP="00E845B8">
                        <w:pPr>
                          <w:spacing w:after="0" w:line="240" w:lineRule="auto"/>
                          <w:jc w:val="center"/>
                          <w:rPr>
                            <w:sz w:val="32"/>
                            <w:szCs w:val="24"/>
                          </w:rPr>
                        </w:pPr>
                        <w:r w:rsidRPr="00E845B8">
                          <w:rPr>
                            <w:sz w:val="32"/>
                            <w:szCs w:val="24"/>
                          </w:rPr>
                          <w:t xml:space="preserve">Специфична цел по чл. 4, пар. 1, </w:t>
                        </w:r>
                        <w:r w:rsidRPr="00591763">
                          <w:rPr>
                            <w:b/>
                            <w:sz w:val="32"/>
                            <w:szCs w:val="24"/>
                          </w:rPr>
                          <w:t>буква е)</w:t>
                        </w:r>
                      </w:p>
                    </w:txbxContent>
                  </v:textbox>
                </v:rect>
                <v:roundrect id="Rounded Rectangle 105" o:spid="_x0000_s1036" style="position:absolute;left:60889;top:48106;width:22785;height:89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" fillcolor="#cff" strokecolor="#002060" strokeweight="1pt">
                  <v:stroke joinstyle="miter"/>
                  <v:textbox>
                    <w:txbxContent>
                      <w:p w14:paraId="655076E6" w14:textId="77777777" w:rsidR="00E85916" w:rsidRPr="005433D9" w:rsidRDefault="00E85916" w:rsidP="005433D9">
                        <w:pPr>
                          <w:spacing w:line="256" w:lineRule="auto"/>
                          <w:jc w:val="center"/>
                          <w:rPr>
                            <w:rFonts w:eastAsia="Calibri" w:cstheme="minorHAnsi"/>
                            <w:sz w:val="20"/>
                            <w:szCs w:val="20"/>
                          </w:rPr>
                        </w:pPr>
                        <w:r w:rsidRPr="005433D9">
                          <w:rPr>
                            <w:rFonts w:eastAsia="Calibri" w:cstheme="minorHAnsi"/>
                            <w:sz w:val="20"/>
                            <w:szCs w:val="20"/>
                          </w:rPr>
                          <w:t>SOI 1.4. Брой деца и ученици от предучилищното и училищното образование от уязвими групи, получили подкрепа</w:t>
                        </w:r>
                      </w:p>
                    </w:txbxContent>
                  </v:textbox>
                </v:roundrect>
                <v:shapetype id="_x0000_t32" coordsize="21600,21600" o:spt="32" o:oned="t" path="m,l21600,21600e" filled="f">
                  <v:path arrowok="t" fillok="f" o:connecttype="none"/>
                  <o:lock v:ext="edit" shapetype="t"/>
                </v:shapetype>
                <v:shape id="Straight Arrow Connector 110" o:spid="_x0000_s1037" type="#_x0000_t32" style="position:absolute;left:53019;top:67863;width:1071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" strokecolor="#002060" strokeweight="1pt">
                  <v:stroke endarrow="block" joinstyle="miter"/>
                </v:shape>
                <v:roundrect id="Rounded Rectangle 114" o:spid="_x0000_s1038" style="position:absolute;left:76943;top:11996;width:18000;height:96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" fillcolor="#cff" strokecolor="#002060" strokeweight="1pt">
                  <v:stroke joinstyle="miter"/>
                  <v:textbox>
                    <w:txbxContent>
                      <w:p w14:paraId="0454258A" w14:textId="77777777" w:rsidR="00E85916" w:rsidRPr="005433D9" w:rsidRDefault="00E85916" w:rsidP="00E845B8">
                        <w:pPr>
                          <w:spacing w:line="256" w:lineRule="auto"/>
                          <w:jc w:val="center"/>
                          <w:rPr>
                            <w:rFonts w:cstheme="minorHAnsi"/>
                            <w:sz w:val="20"/>
                            <w:szCs w:val="20"/>
                          </w:rPr>
                        </w:pPr>
                        <w:r w:rsidRPr="005433D9">
                          <w:rPr>
                            <w:rFonts w:eastAsia="Calibri" w:cstheme="minorHAnsi"/>
                            <w:sz w:val="20"/>
                            <w:szCs w:val="20"/>
                          </w:rPr>
                          <w:t>SOI 1.1.Брой деца и ученици обхванати от механизма за съвместна работа на институциите</w:t>
                        </w:r>
                      </w:p>
                    </w:txbxContent>
                  </v:textbox>
                </v:roundrect>
                <v:roundrect id="Rounded Rectangle 115" o:spid="_x0000_s1039" style="position:absolute;left:34892;top:48177;width:24146;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" fillcolor="#cff" strokecolor="#002060" strokeweight="1pt">
                  <v:stroke joinstyle="miter"/>
                  <v:textbox>
                    <w:txbxContent>
                      <w:p w14:paraId="0CD587C9" w14:textId="77777777" w:rsidR="00E85916" w:rsidRPr="00CD08D7" w:rsidRDefault="00E85916" w:rsidP="00E845B8">
                        <w:pPr>
                          <w:spacing w:line="256" w:lineRule="auto"/>
                          <w:jc w:val="center"/>
                          <w:rPr>
                            <w:rFonts w:eastAsia="Calibri" w:cstheme="minorHAnsi"/>
                            <w:sz w:val="20"/>
                            <w:szCs w:val="20"/>
                          </w:rPr>
                        </w:pPr>
                        <w:r w:rsidRPr="00CD08D7">
                          <w:rPr>
                            <w:rFonts w:eastAsia="Calibri" w:cstheme="minorHAnsi"/>
                            <w:sz w:val="20"/>
                            <w:szCs w:val="20"/>
                          </w:rPr>
                          <w:t>SOI 1.2.Брой деца и ученици  със специални образователни потребности (СОП), в риск, с хронични заболявания и с изявени дарби</w:t>
                        </w:r>
                      </w:p>
                    </w:txbxContent>
                  </v:textbox>
                </v:roundrect>
                <v:roundrect id="Rounded Rectangle 120" o:spid="_x0000_s1040" style="position:absolute;left:76943;top:25060;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" fillcolor="#cff" strokecolor="#002060" strokeweight="1pt">
                  <v:stroke joinstyle="miter"/>
                  <v:textbox>
                    <w:txbxContent>
                      <w:p w14:paraId="45A508E3" w14:textId="77777777" w:rsidR="00E85916" w:rsidRPr="005433D9" w:rsidRDefault="00E85916" w:rsidP="00E845B8">
                        <w:pPr>
                          <w:spacing w:line="256" w:lineRule="auto"/>
                          <w:jc w:val="center"/>
                          <w:rPr>
                            <w:rFonts w:eastAsia="Calibri" w:cstheme="minorHAnsi"/>
                            <w:sz w:val="20"/>
                            <w:szCs w:val="20"/>
                          </w:rPr>
                        </w:pPr>
                        <w:r w:rsidRPr="005433D9">
                          <w:rPr>
                            <w:rFonts w:eastAsia="Calibri" w:cstheme="minorHAnsi"/>
                            <w:sz w:val="20"/>
                            <w:szCs w:val="20"/>
                          </w:rPr>
                          <w:t>SOI 1.3. Брой родители, подкрепени в процеса на приобщаващото образование</w:t>
                        </w:r>
                      </w:p>
                    </w:txbxContent>
                  </v:textbox>
                </v:roundrect>
                <v:roundrect id="Rounded Rectangle 121" o:spid="_x0000_s1041" style="position:absolute;left:13312;top:12677;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" fillcolor="#cff" strokecolor="#002060" strokeweight="1pt">
                  <v:stroke joinstyle="miter"/>
                  <v:textbox>
                    <w:txbxContent>
                      <w:p w14:paraId="6DC7ED6B" w14:textId="77777777" w:rsidR="00E85916" w:rsidRPr="005433D9" w:rsidRDefault="00E85916" w:rsidP="00E845B8">
                        <w:pPr>
                          <w:spacing w:line="256" w:lineRule="auto"/>
                          <w:jc w:val="center"/>
                          <w:rPr>
                            <w:rFonts w:cstheme="minorHAnsi"/>
                            <w:sz w:val="20"/>
                            <w:szCs w:val="20"/>
                          </w:rPr>
                        </w:pPr>
                        <w:r w:rsidRPr="005433D9">
                          <w:rPr>
                            <w:rFonts w:eastAsia="Calibri" w:cstheme="minorHAnsi"/>
                            <w:sz w:val="20"/>
                            <w:szCs w:val="20"/>
                          </w:rPr>
                          <w:t>EECO06 брой на децата на възраст под 18 години</w:t>
                        </w:r>
                      </w:p>
                    </w:txbxContent>
                  </v:textbox>
                </v:roundrect>
                <v:roundrect id="Rounded Rectangle 122" o:spid="_x0000_s1042" style="position:absolute;left:43326;top:30403;width:19386;height:113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" fillcolor="#cf9" strokecolor="#375623 [1609]" strokeweight="1pt">
                  <v:stroke joinstyle="miter"/>
                  <v:textbox>
                    <w:txbxContent>
                      <w:p w14:paraId="61F84F41" w14:textId="77777777" w:rsidR="00E85916" w:rsidRPr="005433D9" w:rsidRDefault="00E85916" w:rsidP="00E845B8">
                        <w:pPr>
                          <w:spacing w:line="256" w:lineRule="auto"/>
                          <w:jc w:val="center"/>
                          <w:rPr>
                            <w:rFonts w:cstheme="minorHAnsi"/>
                            <w:sz w:val="20"/>
                            <w:szCs w:val="20"/>
                          </w:rPr>
                        </w:pPr>
                        <w:r w:rsidRPr="005433D9">
                          <w:rPr>
                            <w:rFonts w:eastAsia="Times New Roman" w:cstheme="minorHAnsi"/>
                            <w:sz w:val="20"/>
                            <w:szCs w:val="20"/>
                            <w:lang w:eastAsia="en-GB"/>
                          </w:rPr>
                          <w:t>SRI 1.2.Брой деца и ученици  от уязвими групи с подобрени образователни резултати след 1 година  участие в операцията</w:t>
                        </w:r>
                      </w:p>
                    </w:txbxContent>
                  </v:textbox>
                </v:roundrect>
                <v:roundrect id="Rounded Rectangle 123" o:spid="_x0000_s1043" style="position:absolute;left:43326;top:15544;width:19386;height:113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" fillcolor="#cf9" strokecolor="#375623 [1609]" strokeweight="1pt">
                  <v:stroke joinstyle="miter"/>
                  <v:textbox>
                    <w:txbxContent>
                      <w:p w14:paraId="7BE6773B" w14:textId="77777777" w:rsidR="00E85916" w:rsidRPr="005433D9" w:rsidRDefault="00E85916" w:rsidP="00E845B8">
                        <w:pPr>
                          <w:spacing w:line="256" w:lineRule="auto"/>
                          <w:jc w:val="center"/>
                          <w:rPr>
                            <w:rFonts w:cstheme="minorHAnsi"/>
                            <w:sz w:val="20"/>
                            <w:szCs w:val="20"/>
                          </w:rPr>
                        </w:pPr>
                        <w:r w:rsidRPr="005433D9">
                          <w:rPr>
                            <w:rFonts w:eastAsia="Calibri" w:cstheme="minorHAnsi"/>
                            <w:sz w:val="20"/>
                            <w:szCs w:val="20"/>
                          </w:rPr>
                          <w:t>SRI 1.1.Брой деца и ученици записани в предучилищно и училищно образование чрез механизма за съвместна работа на институциите</w:t>
                        </w:r>
                      </w:p>
                    </w:txbxContent>
                  </v:textbox>
                </v:roundrect>
                <v:roundrect id="Rounded Rectangle 130" o:spid="_x0000_s1044" style="position:absolute;left:63732;top:63363;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" fillcolor="#cf9" strokecolor="#375623 [1609]" strokeweight="1pt">
                  <v:stroke joinstyle="miter"/>
                  <v:textbox>
                    <w:txbxContent>
                      <w:p w14:paraId="67C6DDC8" w14:textId="77777777" w:rsidR="00E85916" w:rsidRPr="00FD552D" w:rsidRDefault="00E85916" w:rsidP="005433D9">
                        <w:pPr>
                          <w:spacing w:after="0" w:line="240" w:lineRule="auto"/>
                          <w:jc w:val="center"/>
                          <w:rPr>
                            <w:rFonts w:eastAsia="Times New Roman" w:cstheme="minorHAnsi"/>
                            <w:sz w:val="20"/>
                            <w:szCs w:val="20"/>
                            <w:lang w:eastAsia="en-GB"/>
                          </w:rPr>
                        </w:pPr>
                        <w:r w:rsidRPr="00FD552D">
                          <w:rPr>
                            <w:rFonts w:eastAsia="Times New Roman" w:cstheme="minorHAnsi"/>
                            <w:sz w:val="20"/>
                            <w:szCs w:val="20"/>
                            <w:lang w:eastAsia="en-GB"/>
                          </w:rPr>
                          <w:t>EECR03 участници, които при напускане на операцията получават квалификация</w:t>
                        </w:r>
                      </w:p>
                      <w:p w14:paraId="53374215" w14:textId="77777777" w:rsidR="00E85916" w:rsidRPr="005433D9" w:rsidRDefault="00E85916" w:rsidP="00E845B8">
                        <w:pPr>
                          <w:spacing w:line="256" w:lineRule="auto"/>
                          <w:jc w:val="center"/>
                          <w:rPr>
                            <w:rFonts w:cstheme="minorHAnsi"/>
                            <w:sz w:val="20"/>
                            <w:szCs w:val="20"/>
                          </w:rPr>
                        </w:pPr>
                      </w:p>
                    </w:txbxContent>
                  </v:textbox>
                </v:roundrect>
                <v:shape id="Straight Arrow Connector 145" o:spid="_x0000_s1045" type="#_x0000_t32" style="position:absolute;left:62712;top:16836;width:14231;height:43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" strokecolor="#375623 [1609]" strokeweight="1pt">
                  <v:stroke endarrow="block" joinstyle="miter"/>
                </v:shape>
                <v:shape id="Straight Arrow Connector 203" o:spid="_x0000_s1046" type="#_x0000_t32" style="position:absolute;left:46965;top:41767;width:6054;height:64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" strokecolor="#375623 [1609]" strokeweight="1pt">
                  <v:stroke endarrow="block" joinstyle="miter"/>
                </v:shape>
                <v:shape id="Straight Arrow Connector 204" o:spid="_x0000_s1047" type="#_x0000_t32" style="position:absolute;left:62712;top:21221;width:14231;height:833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" strokecolor="#375623 [1609]" strokeweight="1pt">
                  <v:stroke dashstyle="dash" endarrow="block" joinstyle="miter"/>
                </v:shape>
                <v:shape id="Straight Arrow Connector 205" o:spid="_x0000_s1048" type="#_x0000_t32" style="position:absolute;left:31312;top:17177;width:12014;height:40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" strokecolor="#375623 [1609]" strokeweight="1pt">
                  <v:stroke endarrow="block" joinstyle="miter"/>
                </v:shape>
                <v:shape id="Straight Arrow Connector 206" o:spid="_x0000_s1049" type="#_x0000_t32" style="position:absolute;left:22312;top:21677;width:193;height:36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" strokecolor="#5b9bd5 [3204]" strokeweight=".5pt">
                  <v:stroke dashstyle="dash" startarrow="block" endarrow="block" joinstyle="miter"/>
                </v:shape>
                <v:shape id="Straight Arrow Connector 159" o:spid="_x0000_s1050" type="#_x0000_t32" style="position:absolute;left:31699;top:29784;width:11627;height:63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" strokecolor="#5b9bd5 [3204]" strokeweight=".5pt">
                  <v:stroke dashstyle="dash" startarrow="block" endarrow="block" joinstyle="miter"/>
                </v:shape>
                <v:rect id="Rectangle 160" o:spid="_x0000_s1051" style="position:absolute;left:35451;top:30218;width:6788;height:3038;rotation:159802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" filled="f" stroked="f" strokeweight="1pt">
                  <v:textbox>
                    <w:txbxContent>
                      <w:p w14:paraId="403B8286" w14:textId="77777777" w:rsidR="00E85916" w:rsidRDefault="00E85916" w:rsidP="00E60168">
                        <w:pPr>
                          <w:pStyle w:val="NormalWeb"/>
                          <w:spacing w:before="0" w:beforeAutospacing="0" w:after="0" w:afterAutospacing="0" w:line="254" w:lineRule="auto"/>
                          <w:jc w:val="center"/>
                        </w:pPr>
                        <w:r>
                          <w:rPr>
                            <w:rFonts w:eastAsia="Calibri"/>
                            <w:b/>
                            <w:bCs/>
                            <w:sz w:val="22"/>
                            <w:szCs w:val="22"/>
                          </w:rPr>
                          <w:t>от тях</w:t>
                        </w:r>
                      </w:p>
                    </w:txbxContent>
                  </v:textbox>
                </v:rect>
                <v:shape id="Straight Arrow Connector 161" o:spid="_x0000_s1052" type="#_x0000_t32" style="position:absolute;left:31699;top:29560;width:45244;height:22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" strokecolor="#5b9bd5 [3204]" strokeweight=".5pt">
                  <v:stroke dashstyle="dash" startarrow="block" endarrow="block" joinstyle="miter"/>
                </v:shape>
                <v:rect id="Rectangle 199" o:spid="_x0000_s1053" style="position:absolute;left:49958;top:26946;width:6788;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" filled="f" stroked="f" strokeweight="1pt">
                  <v:textbox>
                    <w:txbxContent>
                      <w:p w14:paraId="35CDA01A" w14:textId="77777777" w:rsidR="00E85916" w:rsidRDefault="00E85916" w:rsidP="009300A3">
                        <w:pPr>
                          <w:pStyle w:val="NormalWeb"/>
                          <w:spacing w:before="0" w:beforeAutospacing="0" w:after="0" w:afterAutospacing="0" w:line="252" w:lineRule="auto"/>
                          <w:jc w:val="center"/>
                        </w:pPr>
                        <w:r>
                          <w:rPr>
                            <w:rFonts w:eastAsia="Calibri"/>
                            <w:b/>
                            <w:bCs/>
                            <w:sz w:val="22"/>
                            <w:szCs w:val="22"/>
                          </w:rPr>
                          <w:t>от тях</w:t>
                        </w:r>
                      </w:p>
                    </w:txbxContent>
                  </v:textbox>
                </v:rect>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82" o:spid="_x0000_s1054" type="#_x0000_t35" style="position:absolute;left:13312;top:17177;width:33653;height:40000;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" adj="-1467,22834" strokecolor="#5b9bd5 [3204]" strokeweight=".5pt">
                  <v:stroke dashstyle="dash" startarrow="block" endarrow="block"/>
                </v:shape>
                <v:shape id="Elbow Connector 89" o:spid="_x0000_s1055" type="#_x0000_t35" style="position:absolute;left:13312;top:17177;width:58969;height:39901;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" adj="-837,22837" strokecolor="#5b9bd5 [3204]" strokeweight=".5pt">
                  <v:stroke dashstyle="dash" endarrow="block"/>
                </v:shape>
                <v:group id="Group 234" o:spid="_x0000_s1056" style="position:absolute;left:85136;top:45646;width:18870;height:18634" coordorigin="85136,45646" coordsize="18869,18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rect id="Rectangle 193" o:spid="_x0000_s1057" style="position:absolute;left:85136;top:45646;width:18870;height:186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" filled="f" strokecolor="black [3200]">
                    <v:stroke joinstyle="round"/>
                    <v:textbox>
                      <w:txbxContent>
                        <w:p w14:paraId="29531D6A" w14:textId="77777777" w:rsidR="00E85916" w:rsidRDefault="00E85916" w:rsidP="009C3FCB">
                          <w:pPr>
                            <w:pStyle w:val="NormalWeb"/>
                            <w:spacing w:before="0" w:beforeAutospacing="0" w:after="120" w:afterAutospacing="0"/>
                          </w:pPr>
                          <w:r>
                            <w:rPr>
                              <w:rFonts w:asciiTheme="majorHAnsi" w:hAnsi="Calibri Light" w:cstheme="minorBidi"/>
                              <w:b/>
                              <w:bCs/>
                              <w:color w:val="000000" w:themeColor="dark1"/>
                              <w:kern w:val="24"/>
                              <w:sz w:val="20"/>
                              <w:szCs w:val="20"/>
                              <w:u w:val="single"/>
                            </w:rPr>
                            <w:t>Легенда:</w:t>
                          </w:r>
                        </w:p>
                        <w:p w14:paraId="749C4665" w14:textId="1737EFEF" w:rsidR="00E85916" w:rsidRDefault="00AF71A6" w:rsidP="009C3FCB">
                          <w:pPr>
                            <w:pStyle w:val="NormalWeb"/>
                            <w:spacing w:before="0" w:beforeAutospacing="0" w:after="120" w:afterAutospacing="0"/>
                            <w:ind w:left="851"/>
                          </w:pPr>
                          <w:r>
                            <w:rPr>
                              <w:rFonts w:asciiTheme="majorHAnsi" w:hAnsi="Calibri Light" w:cstheme="minorBidi"/>
                              <w:color w:val="000000" w:themeColor="dark1"/>
                              <w:kern w:val="24"/>
                              <w:sz w:val="20"/>
                              <w:szCs w:val="20"/>
                            </w:rPr>
                            <w:t xml:space="preserve">Показател </w:t>
                          </w:r>
                          <w:r w:rsidR="00E85916">
                            <w:rPr>
                              <w:rFonts w:asciiTheme="majorHAnsi" w:hAnsi="Calibri Light" w:cstheme="minorBidi"/>
                              <w:color w:val="000000" w:themeColor="dark1"/>
                              <w:kern w:val="24"/>
                              <w:sz w:val="20"/>
                              <w:szCs w:val="20"/>
                            </w:rPr>
                            <w:t xml:space="preserve">за </w:t>
                          </w:r>
                          <w:r>
                            <w:rPr>
                              <w:rFonts w:asciiTheme="majorHAnsi" w:hAnsi="Calibri Light" w:cstheme="minorBidi"/>
                              <w:color w:val="000000" w:themeColor="dark1"/>
                              <w:kern w:val="24"/>
                              <w:sz w:val="20"/>
                              <w:szCs w:val="20"/>
                            </w:rPr>
                            <w:t>краен продукт</w:t>
                          </w:r>
                        </w:p>
                        <w:p w14:paraId="2A457732" w14:textId="08576382" w:rsidR="00E85916" w:rsidRDefault="00AF71A6" w:rsidP="009C3FCB">
                          <w:pPr>
                            <w:pStyle w:val="NormalWeb"/>
                            <w:spacing w:before="0" w:beforeAutospacing="0" w:after="120" w:afterAutospacing="0"/>
                            <w:ind w:left="851"/>
                          </w:pPr>
                          <w:r>
                            <w:rPr>
                              <w:rFonts w:asciiTheme="majorHAnsi" w:hAnsi="Calibri Light" w:cstheme="minorBidi"/>
                              <w:color w:val="000000" w:themeColor="dark1"/>
                              <w:kern w:val="24"/>
                              <w:sz w:val="20"/>
                              <w:szCs w:val="20"/>
                            </w:rPr>
                            <w:t xml:space="preserve">Показател </w:t>
                          </w:r>
                          <w:r w:rsidR="00E85916">
                            <w:rPr>
                              <w:rFonts w:asciiTheme="majorHAnsi" w:hAnsi="Calibri Light" w:cstheme="minorBidi"/>
                              <w:color w:val="000000" w:themeColor="dark1"/>
                              <w:kern w:val="24"/>
                              <w:sz w:val="20"/>
                              <w:szCs w:val="20"/>
                            </w:rPr>
                            <w:t>за резултат</w:t>
                          </w:r>
                        </w:p>
                        <w:p w14:paraId="45FA7F39" w14:textId="093C1608" w:rsidR="00E85916" w:rsidRDefault="009C3FCB" w:rsidP="009C3FCB">
                          <w:pPr>
                            <w:pStyle w:val="NormalWeb"/>
                            <w:spacing w:before="0" w:beforeAutospacing="0" w:after="120" w:afterAutospacing="0"/>
                            <w:ind w:left="851"/>
                            <w:rPr>
                              <w:rFonts w:asciiTheme="majorHAnsi" w:hAnsi="Calibri Light" w:cstheme="minorBidi"/>
                              <w:color w:val="000000" w:themeColor="dark1"/>
                              <w:kern w:val="24"/>
                              <w:sz w:val="20"/>
                              <w:szCs w:val="20"/>
                            </w:rPr>
                          </w:pPr>
                          <w:r>
                            <w:rPr>
                              <w:rFonts w:asciiTheme="majorHAnsi" w:hAnsi="Calibri Light" w:cstheme="minorBidi"/>
                              <w:color w:val="000000" w:themeColor="dark1"/>
                              <w:kern w:val="24"/>
                              <w:sz w:val="20"/>
                              <w:szCs w:val="20"/>
                            </w:rPr>
                            <w:t>Пряка връзка</w:t>
                          </w:r>
                          <w:r>
                            <w:rPr>
                              <w:rFonts w:asciiTheme="majorHAnsi" w:hAnsi="Calibri Light" w:cstheme="minorBidi"/>
                              <w:color w:val="000000" w:themeColor="dark1"/>
                              <w:kern w:val="24"/>
                              <w:sz w:val="20"/>
                              <w:szCs w:val="20"/>
                            </w:rPr>
                            <w:br/>
                          </w:r>
                          <w:r w:rsidR="00E85916">
                            <w:rPr>
                              <w:rFonts w:asciiTheme="majorHAnsi" w:hAnsi="Calibri Light" w:cstheme="minorBidi"/>
                              <w:color w:val="000000" w:themeColor="dark1"/>
                              <w:kern w:val="24"/>
                              <w:sz w:val="20"/>
                              <w:szCs w:val="20"/>
                            </w:rPr>
                            <w:t>между индикаторите</w:t>
                          </w:r>
                        </w:p>
                        <w:p w14:paraId="6125DACA" w14:textId="755A8878" w:rsidR="009C3FCB" w:rsidRDefault="009C3FCB" w:rsidP="009C3FCB">
                          <w:pPr>
                            <w:pStyle w:val="NormalWeb"/>
                            <w:spacing w:before="0" w:beforeAutospacing="0" w:after="120" w:afterAutospacing="0"/>
                            <w:ind w:left="851"/>
                          </w:pPr>
                          <w:r>
                            <w:rPr>
                              <w:rFonts w:asciiTheme="majorHAnsi" w:hAnsi="Calibri Light" w:cstheme="minorBidi"/>
                              <w:color w:val="000000" w:themeColor="dark1"/>
                              <w:kern w:val="24"/>
                              <w:sz w:val="20"/>
                              <w:szCs w:val="20"/>
                            </w:rPr>
                            <w:t>Косвена връзка между индикаторите</w:t>
                          </w:r>
                        </w:p>
                      </w:txbxContent>
                    </v:textbox>
                  </v:rect>
                  <v:roundrect id="Rounded Rectangle 194" o:spid="_x0000_s1058" style="position:absolute;left:86616;top:48947;width:3507;height:21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" fillcolor="#cff" strokecolor="#002060" strokeweight="1pt">
                    <v:stroke joinstyle="miter"/>
                  </v:roundrect>
                  <v:roundrect id="Rounded Rectangle 195" o:spid="_x0000_s1059" style="position:absolute;left:86616;top:52901;width:3474;height:21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" fillcolor="#cf9" strokecolor="#375623 [1609]" strokeweight="1pt">
                    <v:stroke joinstyle="miter"/>
                  </v:roundrect>
                  <v:group id="Group 196" o:spid="_x0000_s1060" style="position:absolute;left:86490;top:57315;width:3669;height:1151" coordorigin="216,12960" coordsize="2495,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Straight Arrow Connector 197" o:spid="_x0000_s1061" type="#_x0000_t32" style="position:absolute;left:450;top:12960;width:2261;height: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" strokecolor="#002060" strokeweight="1pt">
                      <v:stroke endarrow="block" joinstyle="miter"/>
                    </v:shape>
                    <v:shape id="Straight Arrow Connector 198" o:spid="_x0000_s1062" type="#_x0000_t32" style="position:absolute;left:216;top:13767;width:2337;height: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" strokecolor="#375623 [1609]" strokeweight="1pt">
                      <v:stroke endarrow="block" joinstyle="miter"/>
                    </v:shape>
                  </v:group>
                  <v:group id="Group 177" o:spid="_x0000_s1063" style="position:absolute;left:86257;top:61125;width:3669;height:1151" coordorigin="216,12960" coordsize="2495,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Straight Arrow Connector 178" o:spid="_x0000_s1064" type="#_x0000_t32" style="position:absolute;left:450;top:12960;width:2261;height: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" strokecolor="#002060" strokeweight="1pt">
                      <v:stroke dashstyle="3 1" endarrow="block" joinstyle="miter"/>
                    </v:shape>
                    <v:shape id="Straight Arrow Connector 179" o:spid="_x0000_s1065" type="#_x0000_t32" style="position:absolute;left:216;top:13767;width:2337;height: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" strokecolor="#375623 [1609]" strokeweight="1pt">
                      <v:stroke dashstyle="3 1" endarrow="block" joinstyle="miter"/>
                    </v:shape>
                  </v:group>
                </v:group>
                <v:shape id="Straight Arrow Connector 181" o:spid="_x0000_s1066" type="#_x0000_t32" style="position:absolute;left:53019;top:41767;width:19262;height:633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" strokecolor="#375623 [1609]" strokeweight="1pt">
                  <v:stroke endarrow="block" joinstyle="miter"/>
                </v:shape>
                <v:shape id="Straight Arrow Connector 182" o:spid="_x0000_s1067" type="#_x0000_t35" style="position:absolute;left:31668;top:32879;width:26956;height:363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" adj="8526,85216" strokecolor="#375623 [1609]" strokeweight="1pt">
                  <v:stroke dashstyle="dash"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Straight Arrow Connector 183" o:spid="_x0000_s1068" type="#_x0000_t34" style="position:absolute;left:35019;top:36085;width:8307;height:31778;rotation:18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" adj="-5944" strokecolor="#375623 [1609]" strokeweight="1pt">
                  <v:stroke dashstyle="dash" endarrow="block"/>
                </v:shape>
                <v:shape id="Straight Arrow Connector 183" o:spid="_x0000_s1069" type="#_x0000_t35" style="position:absolute;left:35019;top:15544;width:18000;height:52319;rotation:18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" adj="-2743,22544" strokecolor="#375623 [1609]" strokeweight="1pt">
                  <v:stroke dashstyle="dash" endarrow="block"/>
                </v:shape>
                <v:shape id="Straight Arrow Connector 183" o:spid="_x0000_s1070" type="#_x0000_t35" style="position:absolute;left:19929;top:10560;width:46186;height:59420;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" adj="644,23338" strokecolor="#375623 [1609]" strokeweight="1pt">
                  <v:stroke dashstyle="dash" endarrow="block"/>
                </v:shape>
                <v:shape id="Straight Arrow Connector 183" o:spid="_x0000_s1071" type="#_x0000_t35" style="position:absolute;left:26232;top:16864;width:33579;height:59420;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" adj="886,23338" strokecolor="#375623 [1609]" strokeweight="1pt">
                  <v:stroke dashstyle="dash" endarrow="block"/>
                </v:shape>
                <v:shape id="Straight Arrow Connector 209" o:spid="_x0000_s1072" type="#_x0000_t32" style="position:absolute;left:62712;top:29560;width:14231;height:65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" strokecolor="#375623 [1609]" strokeweight="1pt">
                  <v:stroke dashstyle="dash" endarrow="block" joinstyle="miter"/>
                </v:shape>
                <v:shape id="Straight Arrow Connector 210" o:spid="_x0000_s1073" type="#_x0000_t34" style="position:absolute;left:62712;top:16836;width:14231;height:19249;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" strokecolor="#375623 [1609]" strokeweight="1pt">
                  <v:stroke dashstyle="dash" endarrow="block"/>
                </v:shape>
                <v:shape id="Straight Arrow Connector 270" o:spid="_x0000_s1074" type="#_x0000_t32" style="position:absolute;left:62712;top:21221;width:5295;height:265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" strokecolor="#538135 [2409]" strokeweight=".5pt">
                  <v:stroke dashstyle="dash" endarrow="block" joinstyle="miter"/>
                </v:shape>
                <w10:wrap anchory="page"/>
              </v:group>
            </w:pict>
          </mc:Fallback>
        </mc:AlternateContent>
      </w:r>
      <w:r w:rsidRPr="00D83669">
        <w:br w:type="page"/>
      </w:r>
      <w:r w:rsidR="006F3C72" w:rsidRPr="00D83669">
        <w:rPr>
          <w:rFonts w:eastAsia="Calibri"/>
          <w:noProof/>
          <w:color w:val="000000" w:themeColor="text1"/>
          <w:sz w:val="20"/>
          <w:szCs w:val="20"/>
          <w:lang w:eastAsia="bg-BG"/>
        </w:rPr>
        <w:lastRenderedPageBreak/>
        <mc:AlternateContent>
          <mc:Choice Requires="wpc">
            <w:drawing>
              <wp:anchor distT="0" distB="0" distL="114300" distR="114300" simplePos="0" relativeHeight="251671552" behindDoc="0" locked="0" layoutInCell="1" allowOverlap="1" wp14:anchorId="73C4C11E" wp14:editId="552A5502">
                <wp:simplePos x="0" y="0"/>
                <wp:positionH relativeFrom="column">
                  <wp:posOffset>-304800</wp:posOffset>
                </wp:positionH>
                <wp:positionV relativeFrom="page">
                  <wp:posOffset>48895</wp:posOffset>
                </wp:positionV>
                <wp:extent cx="10546080" cy="7421880"/>
                <wp:effectExtent l="0" t="0" r="7620" b="0"/>
                <wp:wrapNone/>
                <wp:docPr id="95" name="Canvas 9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5" name="Rounded Rectangle 75"/>
                        <wps:cNvSpPr/>
                        <wps:spPr>
                          <a:xfrm>
                            <a:off x="60960" y="12700"/>
                            <a:ext cx="10485120" cy="501650"/>
                          </a:xfrm>
                          <a:prstGeom prst="round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56DB0A91" w14:textId="77777777" w:rsidR="00E85916" w:rsidRDefault="00E85916" w:rsidP="0020540A">
                              <w:pPr>
                                <w:pStyle w:val="Heading1"/>
                                <w:spacing w:before="0" w:line="240" w:lineRule="auto"/>
                                <w:jc w:val="center"/>
                                <w:rPr>
                                  <w:rFonts w:asciiTheme="minorHAnsi" w:eastAsia="Calibri" w:hAnsiTheme="minorHAnsi" w:cstheme="minorHAnsi"/>
                                  <w:b/>
                                  <w:color w:val="C00000"/>
                                  <w:sz w:val="28"/>
                                  <w:szCs w:val="14"/>
                                  <w:lang w:val="bg-BG"/>
                                </w:rPr>
                              </w:pPr>
                            </w:p>
                            <w:p w14:paraId="2C3137CA" w14:textId="77777777" w:rsidR="00E85916" w:rsidRPr="00737B15" w:rsidRDefault="00E85916" w:rsidP="00737B15">
                              <w:pPr>
                                <w:jc w:val="center"/>
                                <w:rPr>
                                  <w:b/>
                                  <w:bCs/>
                                  <w:color w:val="C00000"/>
                                  <w:sz w:val="28"/>
                                  <w:szCs w:val="28"/>
                                </w:rPr>
                              </w:pPr>
                              <w:r w:rsidRPr="00737B15">
                                <w:rPr>
                                  <w:b/>
                                  <w:bCs/>
                                  <w:color w:val="C00000"/>
                                  <w:sz w:val="28"/>
                                  <w:szCs w:val="28"/>
                                </w:rPr>
                                <w:t>ПРИОРИТЕТ 1 - ПРИОБЩАВАЩО ОБРАЗОВАНИЕ И ОБРАЗОВАТЕЛНА ИНТЕГРАЦИЯ</w:t>
                              </w:r>
                            </w:p>
                          </w:txbxContent>
                        </wps:txbx>
                        <wps:bodyPr rot="0" spcFirstLastPara="0" vert="horz" wrap="square" lIns="9257" tIns="5555" rIns="9257" bIns="5555" numCol="1" spcCol="0" rtlCol="0" fromWordArt="0" anchor="t" anchorCtr="0" forceAA="0" compatLnSpc="1">
                          <a:prstTxWarp prst="textNoShape">
                            <a:avLst/>
                          </a:prstTxWarp>
                          <a:noAutofit/>
                        </wps:bodyPr>
                      </wps:wsp>
                      <wps:wsp>
                        <wps:cNvPr id="76" name="Rounded Rectangle 76"/>
                        <wps:cNvSpPr/>
                        <wps:spPr>
                          <a:xfrm>
                            <a:off x="5724518" y="4166606"/>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70E0D6A7" w14:textId="77777777" w:rsidR="00E85916" w:rsidRPr="00B33A94" w:rsidRDefault="00E85916" w:rsidP="0020540A">
                              <w:pPr>
                                <w:spacing w:after="0" w:line="240" w:lineRule="auto"/>
                                <w:jc w:val="center"/>
                                <w:rPr>
                                  <w:rFonts w:cstheme="minorHAnsi"/>
                                  <w:sz w:val="18"/>
                                  <w:szCs w:val="20"/>
                                </w:rPr>
                              </w:pPr>
                              <w:r w:rsidRPr="0020540A">
                                <w:rPr>
                                  <w:rFonts w:eastAsia="Times New Roman" w:cstheme="minorHAnsi"/>
                                  <w:sz w:val="20"/>
                                  <w:szCs w:val="20"/>
                                  <w:lang w:eastAsia="en-GB"/>
                                </w:rPr>
                                <w:t>EECO04 Неактивни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7" name="Rounded Rectangle 77"/>
                        <wps:cNvSpPr/>
                        <wps:spPr>
                          <a:xfrm>
                            <a:off x="2910223" y="3331109"/>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64A4F98D" w14:textId="77777777" w:rsidR="00E85916" w:rsidRPr="005433D9" w:rsidRDefault="00E85916" w:rsidP="0020540A">
                              <w:pPr>
                                <w:pStyle w:val="NormalWeb"/>
                                <w:spacing w:before="0" w:beforeAutospacing="0" w:after="160" w:afterAutospacing="0" w:line="256" w:lineRule="auto"/>
                                <w:jc w:val="center"/>
                                <w:rPr>
                                  <w:rFonts w:asciiTheme="minorHAnsi" w:hAnsiTheme="minorHAnsi" w:cstheme="minorHAnsi"/>
                                  <w:sz w:val="20"/>
                                  <w:szCs w:val="20"/>
                                </w:rPr>
                              </w:pPr>
                              <w:r w:rsidRPr="005433D9">
                                <w:rPr>
                                  <w:rFonts w:asciiTheme="minorHAnsi" w:eastAsia="Calibri" w:hAnsiTheme="minorHAnsi" w:cstheme="minorHAnsi"/>
                                  <w:sz w:val="20"/>
                                  <w:szCs w:val="20"/>
                                </w:rPr>
                                <w:t>EECO15 малцинства (включително маргинализирани общности като ромите)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8" name="Rectangle 78"/>
                        <wps:cNvSpPr/>
                        <wps:spPr>
                          <a:xfrm>
                            <a:off x="3023003" y="904815"/>
                            <a:ext cx="4358640" cy="294856"/>
                          </a:xfrm>
                          <a:prstGeom prst="rect">
                            <a:avLst/>
                          </a:prstGeom>
                          <a:solidFill>
                            <a:srgbClr val="FFFFCC"/>
                          </a:solidFill>
                        </wps:spPr>
                        <wps:style>
                          <a:lnRef idx="1">
                            <a:schemeClr val="accent2"/>
                          </a:lnRef>
                          <a:fillRef idx="2">
                            <a:schemeClr val="accent2"/>
                          </a:fillRef>
                          <a:effectRef idx="1">
                            <a:schemeClr val="accent2"/>
                          </a:effectRef>
                          <a:fontRef idx="minor">
                            <a:schemeClr val="dk1"/>
                          </a:fontRef>
                        </wps:style>
                        <wps:txbx>
                          <w:txbxContent>
                            <w:p w14:paraId="1CC347EE" w14:textId="77777777" w:rsidR="00E85916" w:rsidRPr="00E845B8" w:rsidRDefault="00E85916" w:rsidP="0020540A">
                              <w:pPr>
                                <w:spacing w:after="0" w:line="240" w:lineRule="auto"/>
                                <w:jc w:val="center"/>
                                <w:rPr>
                                  <w:sz w:val="32"/>
                                  <w:szCs w:val="24"/>
                                </w:rPr>
                              </w:pPr>
                              <w:r w:rsidRPr="00E845B8">
                                <w:rPr>
                                  <w:sz w:val="32"/>
                                  <w:szCs w:val="24"/>
                                </w:rPr>
                                <w:t xml:space="preserve">Специфична цел по чл. 4, пар. 1, </w:t>
                              </w:r>
                              <w:r w:rsidRPr="00591763">
                                <w:rPr>
                                  <w:b/>
                                  <w:sz w:val="32"/>
                                  <w:szCs w:val="24"/>
                                </w:rPr>
                                <w:t>буква ж)</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Rounded Rectangle 81"/>
                        <wps:cNvSpPr/>
                        <wps:spPr>
                          <a:xfrm>
                            <a:off x="7694320" y="1199671"/>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67C65D63" w14:textId="77777777" w:rsidR="00E85916" w:rsidRPr="00E455C5" w:rsidRDefault="00E85916" w:rsidP="0020540A">
                              <w:pPr>
                                <w:pStyle w:val="NormalWeb"/>
                                <w:spacing w:before="0" w:beforeAutospacing="0" w:after="160" w:afterAutospacing="0" w:line="256" w:lineRule="auto"/>
                                <w:jc w:val="center"/>
                                <w:rPr>
                                  <w:rFonts w:asciiTheme="minorHAnsi" w:hAnsiTheme="minorHAnsi" w:cstheme="minorHAnsi"/>
                                  <w:b/>
                                  <w:sz w:val="22"/>
                                  <w:szCs w:val="22"/>
                                </w:rPr>
                              </w:pPr>
                              <w:r w:rsidRPr="00E455C5">
                                <w:rPr>
                                  <w:rFonts w:asciiTheme="minorHAnsi" w:eastAsia="Calibri" w:hAnsiTheme="minorHAnsi" w:cstheme="minorHAnsi"/>
                                  <w:sz w:val="20"/>
                                  <w:szCs w:val="22"/>
                                </w:rPr>
                                <w:t>EECO02 безработни, включително трайно безработни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3" name="Rounded Rectangle 83"/>
                        <wps:cNvSpPr/>
                        <wps:spPr>
                          <a:xfrm>
                            <a:off x="7652756" y="2942866"/>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4DEE8E0A" w14:textId="77777777" w:rsidR="00D16F67" w:rsidRDefault="00D16F67" w:rsidP="0020540A">
                              <w:pPr>
                                <w:spacing w:after="0" w:line="240" w:lineRule="auto"/>
                                <w:jc w:val="center"/>
                                <w:rPr>
                                  <w:rFonts w:eastAsia="Times New Roman" w:cstheme="minorHAnsi"/>
                                  <w:sz w:val="20"/>
                                  <w:szCs w:val="20"/>
                                  <w:lang w:eastAsia="en-GB"/>
                                </w:rPr>
                              </w:pPr>
                            </w:p>
                            <w:p w14:paraId="61F538FD" w14:textId="19FE5AD0" w:rsidR="00E85916" w:rsidRPr="00FD552D" w:rsidRDefault="00E85916" w:rsidP="0020540A">
                              <w:pPr>
                                <w:spacing w:after="0" w:line="240" w:lineRule="auto"/>
                                <w:jc w:val="center"/>
                                <w:rPr>
                                  <w:rFonts w:eastAsia="Times New Roman" w:cstheme="minorHAnsi"/>
                                  <w:sz w:val="20"/>
                                  <w:szCs w:val="20"/>
                                  <w:lang w:eastAsia="en-GB"/>
                                </w:rPr>
                              </w:pPr>
                              <w:r w:rsidRPr="00FD552D">
                                <w:rPr>
                                  <w:rFonts w:eastAsia="Times New Roman" w:cstheme="minorHAnsi"/>
                                  <w:sz w:val="20"/>
                                  <w:szCs w:val="20"/>
                                  <w:lang w:eastAsia="en-GB"/>
                                </w:rPr>
                                <w:t>EECO05 Заети, вкл. самостоятелно заети</w:t>
                              </w:r>
                            </w:p>
                            <w:p w14:paraId="17981F80" w14:textId="77777777" w:rsidR="00E85916" w:rsidRPr="005433D9" w:rsidRDefault="00E85916" w:rsidP="00E455C5">
                              <w:pPr>
                                <w:pStyle w:val="NormalWeb"/>
                                <w:spacing w:before="0" w:beforeAutospacing="0" w:after="160" w:afterAutospacing="0" w:line="256" w:lineRule="auto"/>
                                <w:rPr>
                                  <w:rFonts w:asciiTheme="minorHAnsi" w:eastAsia="Calibri" w:hAnsiTheme="minorHAnsi" w:cstheme="minorHAnsi"/>
                                  <w:sz w:val="20"/>
                                  <w:szCs w:val="20"/>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4" name="Rounded Rectangle 84"/>
                        <wps:cNvSpPr/>
                        <wps:spPr>
                          <a:xfrm>
                            <a:off x="2910222" y="2092754"/>
                            <a:ext cx="2268065"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26BFC529" w14:textId="77777777" w:rsidR="00E85916" w:rsidRPr="00F4679F" w:rsidRDefault="00E85916" w:rsidP="0020540A">
                              <w:pPr>
                                <w:pStyle w:val="NormalWeb"/>
                                <w:spacing w:before="0" w:beforeAutospacing="0" w:after="160" w:afterAutospacing="0" w:line="256" w:lineRule="auto"/>
                                <w:jc w:val="center"/>
                                <w:rPr>
                                  <w:rFonts w:asciiTheme="minorHAnsi" w:eastAsia="Calibri" w:hAnsiTheme="minorHAnsi" w:cstheme="minorHAnsi"/>
                                  <w:sz w:val="20"/>
                                  <w:szCs w:val="22"/>
                                </w:rPr>
                              </w:pPr>
                              <w:r w:rsidRPr="00F4679F">
                                <w:rPr>
                                  <w:rFonts w:asciiTheme="minorHAnsi" w:eastAsia="Calibri" w:hAnsiTheme="minorHAnsi" w:cstheme="minorHAnsi"/>
                                  <w:sz w:val="20"/>
                                  <w:szCs w:val="22"/>
                                </w:rPr>
                                <w:t>EEOC09 участници с прогимназиален етап на основното образование или по-ниска степен на образование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6" name="Rounded Rectangle 86"/>
                        <wps:cNvSpPr/>
                        <wps:spPr>
                          <a:xfrm>
                            <a:off x="349432" y="2099671"/>
                            <a:ext cx="1800000" cy="90000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3A1746E6" w14:textId="77777777" w:rsidR="00E85916" w:rsidRPr="005433D9" w:rsidRDefault="00E85916" w:rsidP="0020540A">
                              <w:pPr>
                                <w:pStyle w:val="NormalWeb"/>
                                <w:spacing w:before="0" w:beforeAutospacing="0" w:after="160" w:afterAutospacing="0" w:line="256" w:lineRule="auto"/>
                                <w:jc w:val="center"/>
                                <w:rPr>
                                  <w:rFonts w:asciiTheme="minorHAnsi" w:hAnsiTheme="minorHAnsi" w:cstheme="minorHAnsi"/>
                                  <w:sz w:val="20"/>
                                  <w:szCs w:val="20"/>
                                </w:rPr>
                              </w:pPr>
                              <w:r w:rsidRPr="0020540A">
                                <w:rPr>
                                  <w:rFonts w:asciiTheme="minorHAnsi" w:eastAsia="Times New Roman" w:hAnsiTheme="minorHAnsi" w:cstheme="minorHAnsi"/>
                                  <w:sz w:val="20"/>
                                  <w:szCs w:val="20"/>
                                  <w:lang w:eastAsia="en-GB"/>
                                </w:rPr>
                                <w:t>EECR03 участници, които при напускане на операцията получават квалификация</w:t>
                              </w:r>
                            </w:p>
                            <w:p w14:paraId="2A07B714" w14:textId="77777777" w:rsidR="00E85916" w:rsidRPr="005433D9" w:rsidRDefault="00E85916" w:rsidP="0020540A">
                              <w:pPr>
                                <w:pStyle w:val="NormalWeb"/>
                                <w:spacing w:before="0" w:beforeAutospacing="0" w:after="160" w:afterAutospacing="0" w:line="256" w:lineRule="auto"/>
                                <w:jc w:val="center"/>
                                <w:rPr>
                                  <w:rFonts w:asciiTheme="minorHAnsi" w:hAnsiTheme="minorHAnsi" w:cstheme="minorHAnsi"/>
                                  <w:sz w:val="20"/>
                                  <w:szCs w:val="20"/>
                                </w:rPr>
                              </w:pPr>
                              <w:r w:rsidRPr="005433D9">
                                <w:rPr>
                                  <w:rFonts w:asciiTheme="minorHAnsi" w:eastAsia="Calibri" w:hAnsiTheme="minorHAnsi" w:cstheme="minorHAnsi"/>
                                  <w:sz w:val="20"/>
                                  <w:szCs w:val="20"/>
                                </w:rPr>
                                <w:t>механизма за съвместна работа на институциите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7" name="Straight Arrow Connector 87"/>
                        <wps:cNvCnPr>
                          <a:stCxn id="76" idx="2"/>
                          <a:endCxn id="88" idx="0"/>
                        </wps:cNvCnPr>
                        <wps:spPr>
                          <a:xfrm>
                            <a:off x="6624518" y="5066606"/>
                            <a:ext cx="0" cy="651709"/>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88" name="Rounded Rectangle 88"/>
                        <wps:cNvSpPr/>
                        <wps:spPr>
                          <a:xfrm>
                            <a:off x="5724518" y="5718315"/>
                            <a:ext cx="1800000" cy="895846"/>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030A7A51" w14:textId="77777777" w:rsidR="00E85916" w:rsidRPr="005433D9" w:rsidRDefault="00E85916" w:rsidP="0020540A">
                              <w:pPr>
                                <w:pStyle w:val="NormalWeb"/>
                                <w:spacing w:before="0" w:beforeAutospacing="0" w:after="160" w:afterAutospacing="0" w:line="256" w:lineRule="auto"/>
                                <w:jc w:val="center"/>
                                <w:rPr>
                                  <w:rFonts w:asciiTheme="minorHAnsi" w:hAnsiTheme="minorHAnsi" w:cstheme="minorHAnsi"/>
                                  <w:sz w:val="20"/>
                                  <w:szCs w:val="20"/>
                                </w:rPr>
                              </w:pPr>
                              <w:r w:rsidRPr="0020540A">
                                <w:rPr>
                                  <w:rFonts w:asciiTheme="minorHAnsi" w:eastAsia="Calibri" w:hAnsiTheme="minorHAnsi" w:cstheme="minorHAnsi"/>
                                  <w:sz w:val="20"/>
                                  <w:szCs w:val="20"/>
                                </w:rPr>
                                <w:t xml:space="preserve">EECR01 участници, които при напускане на операцията са започнали да търсят работа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2" name="Straight Arrow Connector 92"/>
                        <wps:cNvCnPr>
                          <a:stCxn id="84" idx="1"/>
                          <a:endCxn id="86" idx="3"/>
                        </wps:cNvCnPr>
                        <wps:spPr>
                          <a:xfrm flipH="1">
                            <a:off x="2149432" y="2542754"/>
                            <a:ext cx="760790" cy="6917"/>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93" name="Straight Arrow Connector 93"/>
                        <wps:cNvCnPr>
                          <a:stCxn id="81" idx="1"/>
                          <a:endCxn id="84" idx="3"/>
                        </wps:cNvCnPr>
                        <wps:spPr>
                          <a:xfrm flipH="1">
                            <a:off x="5178287" y="1649671"/>
                            <a:ext cx="2516033" cy="893083"/>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94" name="Rectangle 94"/>
                        <wps:cNvSpPr/>
                        <wps:spPr>
                          <a:xfrm>
                            <a:off x="3901663" y="3007305"/>
                            <a:ext cx="678982" cy="29148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60BD133" w14:textId="77777777" w:rsidR="00E85916" w:rsidRDefault="00E85916" w:rsidP="0020540A">
                              <w:pPr>
                                <w:pStyle w:val="NormalWeb"/>
                                <w:spacing w:before="0" w:beforeAutospacing="0" w:after="0" w:afterAutospacing="0" w:line="256" w:lineRule="auto"/>
                                <w:jc w:val="center"/>
                              </w:pPr>
                              <w:r>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0" name="Rectangle 200"/>
                        <wps:cNvSpPr/>
                        <wps:spPr>
                          <a:xfrm rot="20608480">
                            <a:off x="5663558" y="1877489"/>
                            <a:ext cx="678815" cy="2914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302F043" w14:textId="77777777" w:rsidR="00E85916" w:rsidRDefault="00E85916" w:rsidP="00591763">
                              <w:pPr>
                                <w:pStyle w:val="NormalWeb"/>
                                <w:spacing w:before="0" w:beforeAutospacing="0" w:after="0" w:afterAutospacing="0" w:line="254" w:lineRule="auto"/>
                                <w:jc w:val="center"/>
                              </w:pPr>
                              <w:r>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1" name="Rectangle 201"/>
                        <wps:cNvSpPr/>
                        <wps:spPr>
                          <a:xfrm rot="1048920">
                            <a:off x="5723849" y="2606060"/>
                            <a:ext cx="678815" cy="2914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FC0E5A3" w14:textId="77777777" w:rsidR="00E85916" w:rsidRDefault="00E85916" w:rsidP="00591763">
                              <w:pPr>
                                <w:pStyle w:val="NormalWeb"/>
                                <w:spacing w:before="0" w:beforeAutospacing="0" w:after="0" w:afterAutospacing="0" w:line="254" w:lineRule="auto"/>
                                <w:jc w:val="center"/>
                              </w:pPr>
                              <w:r>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2" name="Rectangle 202"/>
                        <wps:cNvSpPr/>
                        <wps:spPr>
                          <a:xfrm rot="2418042">
                            <a:off x="5573035" y="3235447"/>
                            <a:ext cx="678815" cy="2914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ED44EDC" w14:textId="77777777" w:rsidR="00E85916" w:rsidRDefault="00E85916" w:rsidP="00591763">
                              <w:pPr>
                                <w:pStyle w:val="NormalWeb"/>
                                <w:spacing w:before="0" w:beforeAutospacing="0" w:after="0" w:afterAutospacing="0" w:line="254" w:lineRule="auto"/>
                                <w:jc w:val="center"/>
                              </w:pPr>
                              <w:r>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1" name="Straight Arrow Connector 231"/>
                        <wps:cNvCnPr>
                          <a:stCxn id="83" idx="1"/>
                          <a:endCxn id="84" idx="3"/>
                        </wps:cNvCnPr>
                        <wps:spPr>
                          <a:xfrm flipH="1" flipV="1">
                            <a:off x="5178287" y="2542754"/>
                            <a:ext cx="2474469" cy="850112"/>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32" name="Straight Arrow Connector 232"/>
                        <wps:cNvCnPr>
                          <a:stCxn id="84" idx="3"/>
                          <a:endCxn id="76" idx="0"/>
                        </wps:cNvCnPr>
                        <wps:spPr>
                          <a:xfrm>
                            <a:off x="5178287" y="2542754"/>
                            <a:ext cx="1446231" cy="1623852"/>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76" name="Straight Arrow Connector 276"/>
                        <wps:cNvCnPr>
                          <a:stCxn id="84" idx="2"/>
                          <a:endCxn id="77" idx="0"/>
                        </wps:cNvCnPr>
                        <wps:spPr>
                          <a:xfrm flipH="1">
                            <a:off x="3810223" y="2992754"/>
                            <a:ext cx="234032" cy="338355"/>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85" name="Straight Arrow Connector 183"/>
                        <wps:cNvCnPr>
                          <a:stCxn id="88" idx="1"/>
                          <a:endCxn id="84" idx="0"/>
                        </wps:cNvCnPr>
                        <wps:spPr>
                          <a:xfrm rot="10800000">
                            <a:off x="4044256" y="2092754"/>
                            <a:ext cx="1680263" cy="4073484"/>
                          </a:xfrm>
                          <a:prstGeom prst="bentConnector4">
                            <a:avLst>
                              <a:gd name="adj1" fmla="val 16254"/>
                              <a:gd name="adj2" fmla="val 105612"/>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71" name="Straight Arrow Connector 271"/>
                        <wps:cNvCnPr>
                          <a:endCxn id="77" idx="1"/>
                        </wps:cNvCnPr>
                        <wps:spPr>
                          <a:xfrm>
                            <a:off x="1332689" y="3050506"/>
                            <a:ext cx="1577534" cy="730603"/>
                          </a:xfrm>
                          <a:prstGeom prst="straightConnector1">
                            <a:avLst/>
                          </a:prstGeom>
                          <a:ln>
                            <a:solidFill>
                              <a:schemeClr val="accent6">
                                <a:lumMod val="75000"/>
                              </a:schemeClr>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14:sizeRelH relativeFrom="margin">
                  <wp14:pctWidth>0</wp14:pctWidth>
                </wp14:sizeRelH>
                <wp14:sizeRelV relativeFrom="margin">
                  <wp14:pctHeight>0</wp14:pctHeight>
                </wp14:sizeRelV>
              </wp:anchor>
            </w:drawing>
          </mc:Choice>
          <mc:Fallback>
            <w:pict>
              <v:group w14:anchorId="73C4C11E" id="Canvas 95" o:spid="_x0000_s1075" editas="canvas" style="position:absolute;margin-left:-24pt;margin-top:3.85pt;width:830.4pt;height:584.4pt;z-index:251671552;mso-position-vertical-relative:page;mso-width-relative:margin;mso-height-relative:margin" coordsize="105460,74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">
                <v:shape id="_x0000_s1076" type="#_x0000_t75" style="position:absolute;width:105460;height:74218;visibility:visible;mso-wrap-style:square">
                  <v:fill o:detectmouseclick="t"/>
                  <v:path o:connecttype="none"/>
                </v:shape>
                <v:roundrect id="Rounded Rectangle 75" o:spid="_x0000_s1077" style="position:absolute;left:609;top:127;width:104851;height:501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" filled="f" stroked="f">
                  <v:textbox inset=".25714mm,.15431mm,.25714mm,.15431mm">
                    <w:txbxContent>
                      <w:p w14:paraId="56DB0A91" w14:textId="77777777" w:rsidR="00E85916" w:rsidRDefault="00E85916" w:rsidP="0020540A">
                        <w:pPr>
                          <w:pStyle w:val="Heading1"/>
                          <w:spacing w:before="0" w:line="240" w:lineRule="auto"/>
                          <w:jc w:val="center"/>
                          <w:rPr>
                            <w:rFonts w:asciiTheme="minorHAnsi" w:eastAsia="Calibri" w:hAnsiTheme="minorHAnsi" w:cstheme="minorHAnsi"/>
                            <w:b/>
                            <w:color w:val="C00000"/>
                            <w:sz w:val="28"/>
                            <w:szCs w:val="14"/>
                            <w:lang w:val="bg-BG"/>
                          </w:rPr>
                        </w:pPr>
                      </w:p>
                      <w:p w14:paraId="2C3137CA" w14:textId="77777777" w:rsidR="00E85916" w:rsidRPr="00737B15" w:rsidRDefault="00E85916" w:rsidP="00737B15">
                        <w:pPr>
                          <w:jc w:val="center"/>
                          <w:rPr>
                            <w:b/>
                            <w:bCs/>
                            <w:color w:val="C00000"/>
                            <w:sz w:val="28"/>
                            <w:szCs w:val="28"/>
                          </w:rPr>
                        </w:pPr>
                        <w:r w:rsidRPr="00737B15">
                          <w:rPr>
                            <w:b/>
                            <w:bCs/>
                            <w:color w:val="C00000"/>
                            <w:sz w:val="28"/>
                            <w:szCs w:val="28"/>
                          </w:rPr>
                          <w:t>ПРИОРИТЕТ 1 - ПРИОБЩАВАЩО ОБРАЗОВАНИЕ И ОБРАЗОВАТЕЛНА ИНТЕГРАЦИЯ</w:t>
                        </w:r>
                      </w:p>
                    </w:txbxContent>
                  </v:textbox>
                </v:roundrect>
                <v:roundrect id="Rounded Rectangle 76" o:spid="_x0000_s1078" style="position:absolute;left:57245;top:41666;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" fillcolor="#cff" strokecolor="#002060" strokeweight="1pt">
                  <v:stroke joinstyle="miter"/>
                  <v:textbox>
                    <w:txbxContent>
                      <w:p w14:paraId="70E0D6A7" w14:textId="77777777" w:rsidR="00E85916" w:rsidRPr="00B33A94" w:rsidRDefault="00E85916" w:rsidP="0020540A">
                        <w:pPr>
                          <w:spacing w:after="0" w:line="240" w:lineRule="auto"/>
                          <w:jc w:val="center"/>
                          <w:rPr>
                            <w:rFonts w:cstheme="minorHAnsi"/>
                            <w:sz w:val="18"/>
                            <w:szCs w:val="20"/>
                          </w:rPr>
                        </w:pPr>
                        <w:r w:rsidRPr="0020540A">
                          <w:rPr>
                            <w:rFonts w:eastAsia="Times New Roman" w:cstheme="minorHAnsi"/>
                            <w:sz w:val="20"/>
                            <w:szCs w:val="20"/>
                            <w:lang w:eastAsia="en-GB"/>
                          </w:rPr>
                          <w:t>EECO04 Неактивни</w:t>
                        </w:r>
                      </w:p>
                    </w:txbxContent>
                  </v:textbox>
                </v:roundrect>
                <v:roundrect id="Rounded Rectangle 77" o:spid="_x0000_s1079" style="position:absolute;left:29102;top:3331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" fillcolor="#cff" strokecolor="#002060" strokeweight="1pt">
                  <v:stroke joinstyle="miter"/>
                  <v:textbox>
                    <w:txbxContent>
                      <w:p w14:paraId="64A4F98D" w14:textId="77777777" w:rsidR="00E85916" w:rsidRPr="005433D9" w:rsidRDefault="00E85916" w:rsidP="0020540A">
                        <w:pPr>
                          <w:pStyle w:val="NormalWeb"/>
                          <w:spacing w:before="0" w:beforeAutospacing="0" w:after="160" w:afterAutospacing="0" w:line="256" w:lineRule="auto"/>
                          <w:jc w:val="center"/>
                          <w:rPr>
                            <w:rFonts w:asciiTheme="minorHAnsi" w:hAnsiTheme="minorHAnsi" w:cstheme="minorHAnsi"/>
                            <w:sz w:val="20"/>
                            <w:szCs w:val="20"/>
                          </w:rPr>
                        </w:pPr>
                        <w:r w:rsidRPr="005433D9">
                          <w:rPr>
                            <w:rFonts w:asciiTheme="minorHAnsi" w:eastAsia="Calibri" w:hAnsiTheme="minorHAnsi" w:cstheme="minorHAnsi"/>
                            <w:sz w:val="20"/>
                            <w:szCs w:val="20"/>
                          </w:rPr>
                          <w:t>EECO15 малцинства (включително маргинализирани общности като ромите)</w:t>
                        </w:r>
                      </w:p>
                    </w:txbxContent>
                  </v:textbox>
                </v:roundrect>
                <v:rect id="Rectangle 78" o:spid="_x0000_s1080" style="position:absolute;left:30230;top:9048;width:43586;height:2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" fillcolor="#ffc" strokecolor="#ed7d31 [3205]" strokeweight=".5pt">
                  <v:textbox>
                    <w:txbxContent>
                      <w:p w14:paraId="1CC347EE" w14:textId="77777777" w:rsidR="00E85916" w:rsidRPr="00E845B8" w:rsidRDefault="00E85916" w:rsidP="0020540A">
                        <w:pPr>
                          <w:spacing w:after="0" w:line="240" w:lineRule="auto"/>
                          <w:jc w:val="center"/>
                          <w:rPr>
                            <w:sz w:val="32"/>
                            <w:szCs w:val="24"/>
                          </w:rPr>
                        </w:pPr>
                        <w:r w:rsidRPr="00E845B8">
                          <w:rPr>
                            <w:sz w:val="32"/>
                            <w:szCs w:val="24"/>
                          </w:rPr>
                          <w:t xml:space="preserve">Специфична цел по чл. 4, пар. 1, </w:t>
                        </w:r>
                        <w:r w:rsidRPr="00591763">
                          <w:rPr>
                            <w:b/>
                            <w:sz w:val="32"/>
                            <w:szCs w:val="24"/>
                          </w:rPr>
                          <w:t>буква ж)</w:t>
                        </w:r>
                      </w:p>
                    </w:txbxContent>
                  </v:textbox>
                </v:rect>
                <v:roundrect id="Rounded Rectangle 81" o:spid="_x0000_s1081" style="position:absolute;left:76943;top:11996;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" fillcolor="#cff" strokecolor="#002060" strokeweight="1pt">
                  <v:stroke joinstyle="miter"/>
                  <v:textbox>
                    <w:txbxContent>
                      <w:p w14:paraId="67C65D63" w14:textId="77777777" w:rsidR="00E85916" w:rsidRPr="00E455C5" w:rsidRDefault="00E85916" w:rsidP="0020540A">
                        <w:pPr>
                          <w:pStyle w:val="NormalWeb"/>
                          <w:spacing w:before="0" w:beforeAutospacing="0" w:after="160" w:afterAutospacing="0" w:line="256" w:lineRule="auto"/>
                          <w:jc w:val="center"/>
                          <w:rPr>
                            <w:rFonts w:asciiTheme="minorHAnsi" w:hAnsiTheme="minorHAnsi" w:cstheme="minorHAnsi"/>
                            <w:b/>
                            <w:sz w:val="22"/>
                            <w:szCs w:val="22"/>
                          </w:rPr>
                        </w:pPr>
                        <w:r w:rsidRPr="00E455C5">
                          <w:rPr>
                            <w:rFonts w:asciiTheme="minorHAnsi" w:eastAsia="Calibri" w:hAnsiTheme="minorHAnsi" w:cstheme="minorHAnsi"/>
                            <w:sz w:val="20"/>
                            <w:szCs w:val="22"/>
                          </w:rPr>
                          <w:t>EECO02 безработни, включително трайно безработни</w:t>
                        </w:r>
                      </w:p>
                    </w:txbxContent>
                  </v:textbox>
                </v:roundrect>
                <v:roundrect id="Rounded Rectangle 83" o:spid="_x0000_s1082" style="position:absolute;left:76527;top:29428;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" fillcolor="#cff" strokecolor="#002060" strokeweight="1pt">
                  <v:stroke joinstyle="miter"/>
                  <v:textbox>
                    <w:txbxContent>
                      <w:p w14:paraId="4DEE8E0A" w14:textId="77777777" w:rsidR="00D16F67" w:rsidRDefault="00D16F67" w:rsidP="0020540A">
                        <w:pPr>
                          <w:spacing w:after="0" w:line="240" w:lineRule="auto"/>
                          <w:jc w:val="center"/>
                          <w:rPr>
                            <w:rFonts w:eastAsia="Times New Roman" w:cstheme="minorHAnsi"/>
                            <w:sz w:val="20"/>
                            <w:szCs w:val="20"/>
                            <w:lang w:eastAsia="en-GB"/>
                          </w:rPr>
                        </w:pPr>
                      </w:p>
                      <w:p w14:paraId="61F538FD" w14:textId="19FE5AD0" w:rsidR="00E85916" w:rsidRPr="00FD552D" w:rsidRDefault="00E85916" w:rsidP="0020540A">
                        <w:pPr>
                          <w:spacing w:after="0" w:line="240" w:lineRule="auto"/>
                          <w:jc w:val="center"/>
                          <w:rPr>
                            <w:rFonts w:eastAsia="Times New Roman" w:cstheme="minorHAnsi"/>
                            <w:sz w:val="20"/>
                            <w:szCs w:val="20"/>
                            <w:lang w:eastAsia="en-GB"/>
                          </w:rPr>
                        </w:pPr>
                        <w:r w:rsidRPr="00FD552D">
                          <w:rPr>
                            <w:rFonts w:eastAsia="Times New Roman" w:cstheme="minorHAnsi"/>
                            <w:sz w:val="20"/>
                            <w:szCs w:val="20"/>
                            <w:lang w:eastAsia="en-GB"/>
                          </w:rPr>
                          <w:t>EECO05 Заети, вкл. самостоятелно заети</w:t>
                        </w:r>
                      </w:p>
                      <w:p w14:paraId="17981F80" w14:textId="77777777" w:rsidR="00E85916" w:rsidRPr="005433D9" w:rsidRDefault="00E85916" w:rsidP="00E455C5">
                        <w:pPr>
                          <w:pStyle w:val="NormalWeb"/>
                          <w:spacing w:before="0" w:beforeAutospacing="0" w:after="160" w:afterAutospacing="0" w:line="256" w:lineRule="auto"/>
                          <w:rPr>
                            <w:rFonts w:asciiTheme="minorHAnsi" w:eastAsia="Calibri" w:hAnsiTheme="minorHAnsi" w:cstheme="minorHAnsi"/>
                            <w:sz w:val="20"/>
                            <w:szCs w:val="20"/>
                          </w:rPr>
                        </w:pPr>
                      </w:p>
                    </w:txbxContent>
                  </v:textbox>
                </v:roundrect>
                <v:roundrect id="Rounded Rectangle 84" o:spid="_x0000_s1083" style="position:absolute;left:29102;top:20927;width:2268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" fillcolor="#cff" strokecolor="#002060" strokeweight="1pt">
                  <v:stroke joinstyle="miter"/>
                  <v:textbox>
                    <w:txbxContent>
                      <w:p w14:paraId="26BFC529" w14:textId="77777777" w:rsidR="00E85916" w:rsidRPr="00F4679F" w:rsidRDefault="00E85916" w:rsidP="0020540A">
                        <w:pPr>
                          <w:pStyle w:val="NormalWeb"/>
                          <w:spacing w:before="0" w:beforeAutospacing="0" w:after="160" w:afterAutospacing="0" w:line="256" w:lineRule="auto"/>
                          <w:jc w:val="center"/>
                          <w:rPr>
                            <w:rFonts w:asciiTheme="minorHAnsi" w:eastAsia="Calibri" w:hAnsiTheme="minorHAnsi" w:cstheme="minorHAnsi"/>
                            <w:sz w:val="20"/>
                            <w:szCs w:val="22"/>
                          </w:rPr>
                        </w:pPr>
                        <w:r w:rsidRPr="00F4679F">
                          <w:rPr>
                            <w:rFonts w:asciiTheme="minorHAnsi" w:eastAsia="Calibri" w:hAnsiTheme="minorHAnsi" w:cstheme="minorHAnsi"/>
                            <w:sz w:val="20"/>
                            <w:szCs w:val="22"/>
                          </w:rPr>
                          <w:t>EEOC09 участници с прогимназиален етап на основното образование или по-ниска степен на образование</w:t>
                        </w:r>
                      </w:p>
                    </w:txbxContent>
                  </v:textbox>
                </v:roundrect>
                <v:roundrect id="Rounded Rectangle 86" o:spid="_x0000_s1084" style="position:absolute;left:3494;top:20996;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" fillcolor="#cf9" strokecolor="#375623 [1609]" strokeweight="1pt">
                  <v:stroke joinstyle="miter"/>
                  <v:textbox>
                    <w:txbxContent>
                      <w:p w14:paraId="3A1746E6" w14:textId="77777777" w:rsidR="00E85916" w:rsidRPr="005433D9" w:rsidRDefault="00E85916" w:rsidP="0020540A">
                        <w:pPr>
                          <w:pStyle w:val="NormalWeb"/>
                          <w:spacing w:before="0" w:beforeAutospacing="0" w:after="160" w:afterAutospacing="0" w:line="256" w:lineRule="auto"/>
                          <w:jc w:val="center"/>
                          <w:rPr>
                            <w:rFonts w:asciiTheme="minorHAnsi" w:hAnsiTheme="minorHAnsi" w:cstheme="minorHAnsi"/>
                            <w:sz w:val="20"/>
                            <w:szCs w:val="20"/>
                          </w:rPr>
                        </w:pPr>
                        <w:r w:rsidRPr="0020540A">
                          <w:rPr>
                            <w:rFonts w:asciiTheme="minorHAnsi" w:eastAsia="Times New Roman" w:hAnsiTheme="minorHAnsi" w:cstheme="minorHAnsi"/>
                            <w:sz w:val="20"/>
                            <w:szCs w:val="20"/>
                            <w:lang w:eastAsia="en-GB"/>
                          </w:rPr>
                          <w:t>EECR03 участници, които при напускане на операцията получават квалификация</w:t>
                        </w:r>
                      </w:p>
                      <w:p w14:paraId="2A07B714" w14:textId="77777777" w:rsidR="00E85916" w:rsidRPr="005433D9" w:rsidRDefault="00E85916" w:rsidP="0020540A">
                        <w:pPr>
                          <w:pStyle w:val="NormalWeb"/>
                          <w:spacing w:before="0" w:beforeAutospacing="0" w:after="160" w:afterAutospacing="0" w:line="256" w:lineRule="auto"/>
                          <w:jc w:val="center"/>
                          <w:rPr>
                            <w:rFonts w:asciiTheme="minorHAnsi" w:hAnsiTheme="minorHAnsi" w:cstheme="minorHAnsi"/>
                            <w:sz w:val="20"/>
                            <w:szCs w:val="20"/>
                          </w:rPr>
                        </w:pPr>
                        <w:r w:rsidRPr="005433D9">
                          <w:rPr>
                            <w:rFonts w:asciiTheme="minorHAnsi" w:eastAsia="Calibri" w:hAnsiTheme="minorHAnsi" w:cstheme="minorHAnsi"/>
                            <w:sz w:val="20"/>
                            <w:szCs w:val="20"/>
                          </w:rPr>
                          <w:t>механизма за съвместна работа на институциите</w:t>
                        </w:r>
                      </w:p>
                    </w:txbxContent>
                  </v:textbox>
                </v:roundrect>
                <v:shape id="Straight Arrow Connector 87" o:spid="_x0000_s1085" type="#_x0000_t32" style="position:absolute;left:66245;top:50666;width:0;height:65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" strokecolor="#375623 [1609]" strokeweight="1pt">
                  <v:stroke endarrow="block" joinstyle="miter"/>
                </v:shape>
                <v:roundrect id="Rounded Rectangle 88" o:spid="_x0000_s1086" style="position:absolute;left:57245;top:57183;width:18000;height:89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" fillcolor="#cf9" strokecolor="#375623 [1609]" strokeweight="1pt">
                  <v:stroke joinstyle="miter"/>
                  <v:textbox>
                    <w:txbxContent>
                      <w:p w14:paraId="030A7A51" w14:textId="77777777" w:rsidR="00E85916" w:rsidRPr="005433D9" w:rsidRDefault="00E85916" w:rsidP="0020540A">
                        <w:pPr>
                          <w:pStyle w:val="NormalWeb"/>
                          <w:spacing w:before="0" w:beforeAutospacing="0" w:after="160" w:afterAutospacing="0" w:line="256" w:lineRule="auto"/>
                          <w:jc w:val="center"/>
                          <w:rPr>
                            <w:rFonts w:asciiTheme="minorHAnsi" w:hAnsiTheme="minorHAnsi" w:cstheme="minorHAnsi"/>
                            <w:sz w:val="20"/>
                            <w:szCs w:val="20"/>
                          </w:rPr>
                        </w:pPr>
                        <w:r w:rsidRPr="0020540A">
                          <w:rPr>
                            <w:rFonts w:asciiTheme="minorHAnsi" w:eastAsia="Calibri" w:hAnsiTheme="minorHAnsi" w:cstheme="minorHAnsi"/>
                            <w:sz w:val="20"/>
                            <w:szCs w:val="20"/>
                          </w:rPr>
                          <w:t xml:space="preserve">EECR01 участници, които при напускане на операцията са започнали да търсят работа </w:t>
                        </w:r>
                      </w:p>
                    </w:txbxContent>
                  </v:textbox>
                </v:roundrect>
                <v:shape id="Straight Arrow Connector 92" o:spid="_x0000_s1087" type="#_x0000_t32" style="position:absolute;left:21494;top:25427;width:7608;height: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" strokecolor="#375623 [1609]" strokeweight="1pt">
                  <v:stroke endarrow="block" joinstyle="miter"/>
                </v:shape>
                <v:shape id="Straight Arrow Connector 93" o:spid="_x0000_s1088" type="#_x0000_t32" style="position:absolute;left:51782;top:16496;width:25161;height:89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" strokecolor="#5b9bd5 [3204]" strokeweight=".5pt">
                  <v:stroke dashstyle="dash" startarrow="block" endarrow="block" joinstyle="miter"/>
                </v:shape>
                <v:rect id="Rectangle 94" o:spid="_x0000_s1089" style="position:absolute;left:39016;top:30073;width:6790;height:2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" filled="f" stroked="f" strokeweight="1pt">
                  <v:textbox>
                    <w:txbxContent>
                      <w:p w14:paraId="460BD133" w14:textId="77777777" w:rsidR="00E85916" w:rsidRDefault="00E85916" w:rsidP="0020540A">
                        <w:pPr>
                          <w:pStyle w:val="NormalWeb"/>
                          <w:spacing w:before="0" w:beforeAutospacing="0" w:after="0" w:afterAutospacing="0" w:line="256" w:lineRule="auto"/>
                          <w:jc w:val="center"/>
                        </w:pPr>
                        <w:r>
                          <w:rPr>
                            <w:rFonts w:eastAsia="Calibri"/>
                            <w:b/>
                            <w:bCs/>
                          </w:rPr>
                          <w:t>от тях</w:t>
                        </w:r>
                      </w:p>
                    </w:txbxContent>
                  </v:textbox>
                </v:rect>
                <v:rect id="Rectangle 200" o:spid="_x0000_s1090" style="position:absolute;left:56635;top:18774;width:6788;height:2915;rotation:-10830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" filled="f" stroked="f" strokeweight="1pt">
                  <v:textbox>
                    <w:txbxContent>
                      <w:p w14:paraId="2302F043" w14:textId="77777777" w:rsidR="00E85916" w:rsidRDefault="00E85916" w:rsidP="00591763">
                        <w:pPr>
                          <w:pStyle w:val="NormalWeb"/>
                          <w:spacing w:before="0" w:beforeAutospacing="0" w:after="0" w:afterAutospacing="0" w:line="254" w:lineRule="auto"/>
                          <w:jc w:val="center"/>
                        </w:pPr>
                        <w:r>
                          <w:rPr>
                            <w:rFonts w:eastAsia="Calibri"/>
                            <w:b/>
                            <w:bCs/>
                          </w:rPr>
                          <w:t>от тях</w:t>
                        </w:r>
                      </w:p>
                    </w:txbxContent>
                  </v:textbox>
                </v:rect>
                <v:rect id="Rectangle 201" o:spid="_x0000_s1091" style="position:absolute;left:57238;top:26060;width:6788;height:2915;rotation:114570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" filled="f" stroked="f" strokeweight="1pt">
                  <v:textbox>
                    <w:txbxContent>
                      <w:p w14:paraId="0FC0E5A3" w14:textId="77777777" w:rsidR="00E85916" w:rsidRDefault="00E85916" w:rsidP="00591763">
                        <w:pPr>
                          <w:pStyle w:val="NormalWeb"/>
                          <w:spacing w:before="0" w:beforeAutospacing="0" w:after="0" w:afterAutospacing="0" w:line="254" w:lineRule="auto"/>
                          <w:jc w:val="center"/>
                        </w:pPr>
                        <w:r>
                          <w:rPr>
                            <w:rFonts w:eastAsia="Calibri"/>
                            <w:b/>
                            <w:bCs/>
                          </w:rPr>
                          <w:t>от тях</w:t>
                        </w:r>
                      </w:p>
                    </w:txbxContent>
                  </v:textbox>
                </v:rect>
                <v:rect id="Rectangle 202" o:spid="_x0000_s1092" style="position:absolute;left:55730;top:32354;width:6788;height:2915;rotation:264114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" filled="f" stroked="f" strokeweight="1pt">
                  <v:textbox>
                    <w:txbxContent>
                      <w:p w14:paraId="1ED44EDC" w14:textId="77777777" w:rsidR="00E85916" w:rsidRDefault="00E85916" w:rsidP="00591763">
                        <w:pPr>
                          <w:pStyle w:val="NormalWeb"/>
                          <w:spacing w:before="0" w:beforeAutospacing="0" w:after="0" w:afterAutospacing="0" w:line="254" w:lineRule="auto"/>
                          <w:jc w:val="center"/>
                        </w:pPr>
                        <w:r>
                          <w:rPr>
                            <w:rFonts w:eastAsia="Calibri"/>
                            <w:b/>
                            <w:bCs/>
                          </w:rPr>
                          <w:t>от тях</w:t>
                        </w:r>
                      </w:p>
                    </w:txbxContent>
                  </v:textbox>
                </v:rect>
                <v:shape id="Straight Arrow Connector 231" o:spid="_x0000_s1093" type="#_x0000_t32" style="position:absolute;left:51782;top:25427;width:24745;height:85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" strokecolor="#5b9bd5 [3204]" strokeweight=".5pt">
                  <v:stroke dashstyle="dash" startarrow="block" endarrow="block" joinstyle="miter"/>
                </v:shape>
                <v:shape id="Straight Arrow Connector 232" o:spid="_x0000_s1094" type="#_x0000_t32" style="position:absolute;left:51782;top:25427;width:14463;height:162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" strokecolor="#5b9bd5 [3204]" strokeweight=".5pt">
                  <v:stroke dashstyle="dash" startarrow="block" endarrow="block" joinstyle="miter"/>
                </v:shape>
                <v:shape id="Straight Arrow Connector 276" o:spid="_x0000_s1095" type="#_x0000_t32" style="position:absolute;left:38102;top:29927;width:2340;height:33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" strokecolor="#5b9bd5 [3204]" strokeweight=".5pt">
                  <v:stroke dashstyle="dash" startarrow="block" endarrow="block" joinstyle="miter"/>
                </v:shape>
                <v:shape id="Straight Arrow Connector 183" o:spid="_x0000_s1096" type="#_x0000_t35" style="position:absolute;left:40442;top:20927;width:16803;height:40735;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" adj="3511,22812" strokecolor="#375623 [1609]" strokeweight="1pt">
                  <v:stroke dashstyle="dash" endarrow="block"/>
                </v:shape>
                <v:shape id="Straight Arrow Connector 271" o:spid="_x0000_s1097" type="#_x0000_t32" style="position:absolute;left:13326;top:30505;width:15776;height:73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" strokecolor="#538135 [2409]" strokeweight=".5pt">
                  <v:stroke dashstyle="dash" endarrow="block" joinstyle="miter"/>
                </v:shape>
                <w10:wrap anchory="page"/>
              </v:group>
            </w:pict>
          </mc:Fallback>
        </mc:AlternateContent>
      </w:r>
      <w:r w:rsidRPr="00D83669">
        <w:br w:type="page"/>
      </w:r>
    </w:p>
    <w:p w14:paraId="4CA9735A" w14:textId="6E7C5896" w:rsidR="00E85916" w:rsidRPr="00D83669" w:rsidRDefault="006F3C72">
      <w:r w:rsidRPr="00D83669">
        <w:rPr>
          <w:rFonts w:eastAsia="Calibri"/>
          <w:noProof/>
          <w:color w:val="000000" w:themeColor="text1"/>
          <w:sz w:val="20"/>
          <w:szCs w:val="20"/>
          <w:lang w:eastAsia="bg-BG"/>
        </w:rPr>
        <w:lastRenderedPageBreak/>
        <mc:AlternateContent>
          <mc:Choice Requires="wpc">
            <w:drawing>
              <wp:anchor distT="0" distB="0" distL="114300" distR="114300" simplePos="0" relativeHeight="251673600" behindDoc="0" locked="0" layoutInCell="1" allowOverlap="1" wp14:anchorId="2E8976DA" wp14:editId="50C123B1">
                <wp:simplePos x="0" y="0"/>
                <wp:positionH relativeFrom="column">
                  <wp:posOffset>-249613</wp:posOffset>
                </wp:positionH>
                <wp:positionV relativeFrom="page">
                  <wp:posOffset>176530</wp:posOffset>
                </wp:positionV>
                <wp:extent cx="10546080" cy="7421880"/>
                <wp:effectExtent l="0" t="0" r="7620" b="0"/>
                <wp:wrapNone/>
                <wp:docPr id="229" name="Canvas 2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 name="Rounded Rectangle 1"/>
                        <wps:cNvSpPr/>
                        <wps:spPr>
                          <a:xfrm>
                            <a:off x="60960" y="12700"/>
                            <a:ext cx="10485120" cy="559594"/>
                          </a:xfrm>
                          <a:prstGeom prst="round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69EE8E99" w14:textId="77777777" w:rsidR="00E85916" w:rsidRDefault="00E85916" w:rsidP="00591763">
                              <w:pPr>
                                <w:pStyle w:val="Heading1"/>
                                <w:spacing w:before="0" w:line="240" w:lineRule="auto"/>
                                <w:jc w:val="center"/>
                                <w:rPr>
                                  <w:rFonts w:asciiTheme="minorHAnsi" w:eastAsia="Calibri" w:hAnsiTheme="minorHAnsi" w:cstheme="minorHAnsi"/>
                                  <w:b/>
                                  <w:color w:val="C00000"/>
                                  <w:sz w:val="28"/>
                                  <w:szCs w:val="14"/>
                                  <w:lang w:val="bg-BG"/>
                                </w:rPr>
                              </w:pPr>
                            </w:p>
                            <w:p w14:paraId="7FE17D30" w14:textId="77777777" w:rsidR="00E85916" w:rsidRPr="00737B15" w:rsidRDefault="00E85916" w:rsidP="00737B15">
                              <w:pPr>
                                <w:jc w:val="center"/>
                                <w:rPr>
                                  <w:b/>
                                  <w:bCs/>
                                  <w:color w:val="C00000"/>
                                  <w:sz w:val="28"/>
                                  <w:szCs w:val="28"/>
                                </w:rPr>
                              </w:pPr>
                              <w:r w:rsidRPr="00737B15">
                                <w:rPr>
                                  <w:b/>
                                  <w:bCs/>
                                  <w:color w:val="C00000"/>
                                  <w:sz w:val="28"/>
                                  <w:szCs w:val="28"/>
                                </w:rPr>
                                <w:t>ПРИОРИТЕТ 1 - ПРИОБЩАВАЩО ОБРАЗОВАНИЕ И ОБРАЗОВАТЕЛНА ИНТЕГРАЦИЯ</w:t>
                              </w:r>
                            </w:p>
                          </w:txbxContent>
                        </wps:txbx>
                        <wps:bodyPr rot="0" spcFirstLastPara="0" vert="horz" wrap="square" lIns="9257" tIns="5555" rIns="9257" bIns="5555" numCol="1" spcCol="0" rtlCol="0" fromWordArt="0" anchor="t" anchorCtr="0" forceAA="0" compatLnSpc="1">
                          <a:prstTxWarp prst="textNoShape">
                            <a:avLst/>
                          </a:prstTxWarp>
                          <a:noAutofit/>
                        </wps:bodyPr>
                      </wps:wsp>
                      <wps:wsp>
                        <wps:cNvPr id="6" name="Rounded Rectangle 6"/>
                        <wps:cNvSpPr/>
                        <wps:spPr>
                          <a:xfrm>
                            <a:off x="3854043" y="5250496"/>
                            <a:ext cx="2099498" cy="952183"/>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13F30477" w14:textId="77777777" w:rsidR="00E85916" w:rsidRPr="00E7770F" w:rsidRDefault="00E85916" w:rsidP="009B688F">
                              <w:pPr>
                                <w:jc w:val="center"/>
                                <w:rPr>
                                  <w:sz w:val="20"/>
                                  <w:szCs w:val="20"/>
                                </w:rPr>
                              </w:pPr>
                              <w:r w:rsidRPr="00E7770F">
                                <w:rPr>
                                  <w:sz w:val="20"/>
                                  <w:szCs w:val="20"/>
                                </w:rPr>
                                <w:t>SOI 1.5. Педагогически специалисти и непедагогически персонал, обучени за работа с деца и ученици от уязвими групи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 name="Rounded Rectangle 7"/>
                        <wps:cNvSpPr/>
                        <wps:spPr>
                          <a:xfrm>
                            <a:off x="3803931" y="3406057"/>
                            <a:ext cx="2089974"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0E59901C" w14:textId="77777777" w:rsidR="00E85916" w:rsidRPr="00E7770F" w:rsidRDefault="00E85916" w:rsidP="009B688F">
                              <w:pPr>
                                <w:jc w:val="center"/>
                                <w:rPr>
                                  <w:sz w:val="20"/>
                                  <w:szCs w:val="20"/>
                                </w:rPr>
                              </w:pPr>
                              <w:r w:rsidRPr="00E7770F">
                                <w:rPr>
                                  <w:sz w:val="20"/>
                                  <w:szCs w:val="20"/>
                                </w:rPr>
                                <w:t>SOI 1.4. Брой деца и ученици от предучилищното и училищното образование от уязвими групи, получили подкрепа</w:t>
                              </w:r>
                            </w:p>
                            <w:p w14:paraId="1CFA32CE" w14:textId="77777777" w:rsidR="00E85916" w:rsidRDefault="00E85916" w:rsidP="00D900E5"/>
                            <w:p w14:paraId="457BB7E4" w14:textId="77777777" w:rsidR="00E85916" w:rsidRPr="005433D9" w:rsidRDefault="00E85916" w:rsidP="00A73E26">
                              <w:pPr>
                                <w:pStyle w:val="Style1"/>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 name="Rectangle 12"/>
                        <wps:cNvSpPr/>
                        <wps:spPr>
                          <a:xfrm>
                            <a:off x="3089678" y="867150"/>
                            <a:ext cx="4358640" cy="294856"/>
                          </a:xfrm>
                          <a:prstGeom prst="rect">
                            <a:avLst/>
                          </a:prstGeom>
                          <a:solidFill>
                            <a:srgbClr val="FFFFCC"/>
                          </a:solidFill>
                        </wps:spPr>
                        <wps:style>
                          <a:lnRef idx="1">
                            <a:schemeClr val="accent2"/>
                          </a:lnRef>
                          <a:fillRef idx="2">
                            <a:schemeClr val="accent2"/>
                          </a:fillRef>
                          <a:effectRef idx="1">
                            <a:schemeClr val="accent2"/>
                          </a:effectRef>
                          <a:fontRef idx="minor">
                            <a:schemeClr val="dk1"/>
                          </a:fontRef>
                        </wps:style>
                        <wps:txbx>
                          <w:txbxContent>
                            <w:p w14:paraId="63781023" w14:textId="77777777" w:rsidR="00E85916" w:rsidRPr="00E845B8" w:rsidRDefault="00E85916" w:rsidP="00591763">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й</w:t>
                              </w:r>
                              <w:r w:rsidRPr="00591763">
                                <w:rPr>
                                  <w:b/>
                                  <w:sz w:val="32"/>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Straight Arrow Connector 13"/>
                        <wps:cNvCnPr>
                          <a:stCxn id="14" idx="3"/>
                          <a:endCxn id="15" idx="1"/>
                        </wps:cNvCnPr>
                        <wps:spPr>
                          <a:xfrm flipV="1">
                            <a:off x="2286146" y="2628944"/>
                            <a:ext cx="1567895" cy="1512522"/>
                          </a:xfrm>
                          <a:prstGeom prst="straightConnector1">
                            <a:avLst/>
                          </a:prstGeom>
                          <a:ln w="12700">
                            <a:solidFill>
                              <a:srgbClr val="002060"/>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14" name="Rounded Rectangle 14"/>
                        <wps:cNvSpPr/>
                        <wps:spPr>
                          <a:xfrm>
                            <a:off x="486146" y="3691466"/>
                            <a:ext cx="1800000" cy="900000"/>
                          </a:xfrm>
                          <a:prstGeom prst="roundRect">
                            <a:avLst/>
                          </a:prstGeom>
                          <a:solidFill>
                            <a:srgbClr val="66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4E0B993D" w14:textId="77777777" w:rsidR="00E85916" w:rsidRPr="00E7770F" w:rsidRDefault="00E85916" w:rsidP="009B688F">
                              <w:pPr>
                                <w:jc w:val="center"/>
                                <w:rPr>
                                  <w:sz w:val="20"/>
                                  <w:szCs w:val="20"/>
                                </w:rPr>
                              </w:pPr>
                              <w:r w:rsidRPr="00E7770F">
                                <w:rPr>
                                  <w:sz w:val="20"/>
                                  <w:szCs w:val="20"/>
                                </w:rPr>
                                <w:t>SOI1.6.Брой училища обхванати в дейности за десегрегация по програмата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 name="Rounded Rectangle 15"/>
                        <wps:cNvSpPr/>
                        <wps:spPr>
                          <a:xfrm>
                            <a:off x="3854041" y="2178944"/>
                            <a:ext cx="2039864"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35B122F2" w14:textId="77777777" w:rsidR="00E85916" w:rsidRPr="00A80FA5" w:rsidRDefault="00E85916" w:rsidP="009B688F">
                              <w:pPr>
                                <w:jc w:val="center"/>
                                <w:rPr>
                                  <w:sz w:val="20"/>
                                  <w:szCs w:val="20"/>
                                </w:rPr>
                              </w:pPr>
                              <w:r w:rsidRPr="00A80FA5">
                                <w:rPr>
                                  <w:sz w:val="20"/>
                                  <w:szCs w:val="20"/>
                                </w:rPr>
                                <w:t>EECO15 малцинства (включително маргинализирани общности като ромите)</w:t>
                              </w:r>
                            </w:p>
                            <w:p w14:paraId="67967581" w14:textId="77777777" w:rsidR="00E85916" w:rsidRDefault="00E85916"/>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 name="Rounded Rectangle 16"/>
                        <wps:cNvSpPr/>
                        <wps:spPr>
                          <a:xfrm>
                            <a:off x="7208964" y="2125857"/>
                            <a:ext cx="1800000" cy="1032698"/>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7320A7B0" w14:textId="77777777" w:rsidR="00E85916" w:rsidRPr="00E7770F" w:rsidRDefault="00E85916" w:rsidP="009B688F">
                              <w:pPr>
                                <w:jc w:val="center"/>
                                <w:rPr>
                                  <w:sz w:val="20"/>
                                  <w:szCs w:val="20"/>
                                </w:rPr>
                              </w:pPr>
                              <w:r w:rsidRPr="00E7770F">
                                <w:rPr>
                                  <w:sz w:val="20"/>
                                  <w:szCs w:val="20"/>
                                </w:rPr>
                                <w:t>SRI 1.2. Брой деца и ученици от уязвими групи с подобрени образователни резултати 1 година след участие в операцията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 name="Rounded Rectangle 17"/>
                        <wps:cNvSpPr/>
                        <wps:spPr>
                          <a:xfrm>
                            <a:off x="7278122" y="5261117"/>
                            <a:ext cx="1800000" cy="90000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66217D58" w14:textId="77777777" w:rsidR="00E85916" w:rsidRPr="00E7770F" w:rsidRDefault="00E85916" w:rsidP="009B688F">
                              <w:pPr>
                                <w:jc w:val="center"/>
                                <w:rPr>
                                  <w:sz w:val="20"/>
                                  <w:szCs w:val="20"/>
                                </w:rPr>
                              </w:pPr>
                              <w:r w:rsidRPr="00E7770F">
                                <w:rPr>
                                  <w:sz w:val="20"/>
                                  <w:szCs w:val="20"/>
                                </w:rPr>
                                <w:t>EECR03 участници, които при напускане на операцията получават квалификация</w:t>
                              </w:r>
                            </w:p>
                            <w:p w14:paraId="2DD2773B" w14:textId="77777777" w:rsidR="00E85916" w:rsidRPr="009B688F" w:rsidRDefault="00E85916" w:rsidP="009B688F">
                              <w:pPr>
                                <w:jc w:val="center"/>
                                <w:rPr>
                                  <w:sz w:val="18"/>
                                  <w:szCs w:val="18"/>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 name="Straight Arrow Connector 18"/>
                        <wps:cNvCnPr>
                          <a:stCxn id="7" idx="3"/>
                          <a:endCxn id="16" idx="1"/>
                        </wps:cNvCnPr>
                        <wps:spPr>
                          <a:xfrm flipV="1">
                            <a:off x="5893905" y="2642206"/>
                            <a:ext cx="1315059" cy="1213851"/>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19" name="Straight Arrow Connector 19"/>
                        <wps:cNvCnPr/>
                        <wps:spPr>
                          <a:xfrm flipH="1">
                            <a:off x="4717006" y="3067702"/>
                            <a:ext cx="1" cy="327113"/>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 name="Rectangle 20"/>
                        <wps:cNvSpPr/>
                        <wps:spPr>
                          <a:xfrm>
                            <a:off x="4841091" y="3067702"/>
                            <a:ext cx="678982" cy="29148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C7EEBF3" w14:textId="77777777" w:rsidR="00E85916" w:rsidRPr="00A80FA5" w:rsidRDefault="00E85916" w:rsidP="00A80FA5">
                              <w:pPr>
                                <w:pStyle w:val="NormalWeb"/>
                                <w:spacing w:before="0" w:beforeAutospacing="0" w:after="0" w:afterAutospacing="0" w:line="254" w:lineRule="auto"/>
                                <w:jc w:val="center"/>
                                <w:rPr>
                                  <w:rFonts w:eastAsia="Calibri"/>
                                  <w:b/>
                                  <w:bCs/>
                                </w:rPr>
                              </w:pPr>
                              <w:r w:rsidRPr="00A80FA5">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 name="Straight Arrow Connector 21"/>
                        <wps:cNvCnPr>
                          <a:stCxn id="6" idx="3"/>
                          <a:endCxn id="17" idx="1"/>
                        </wps:cNvCnPr>
                        <wps:spPr>
                          <a:xfrm flipV="1">
                            <a:off x="5953541" y="5711117"/>
                            <a:ext cx="1324581" cy="15471"/>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22" name="Straight Arrow Connector 22"/>
                        <wps:cNvCnPr>
                          <a:stCxn id="14" idx="3"/>
                          <a:endCxn id="6" idx="1"/>
                        </wps:cNvCnPr>
                        <wps:spPr>
                          <a:xfrm>
                            <a:off x="2286146" y="4141466"/>
                            <a:ext cx="1567897" cy="1585122"/>
                          </a:xfrm>
                          <a:prstGeom prst="straightConnector1">
                            <a:avLst/>
                          </a:prstGeom>
                          <a:ln w="12700">
                            <a:solidFill>
                              <a:srgbClr val="002060"/>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187" name="Straight Arrow Connector 187"/>
                        <wps:cNvCnPr>
                          <a:stCxn id="14" idx="2"/>
                          <a:endCxn id="17" idx="2"/>
                        </wps:cNvCnPr>
                        <wps:spPr>
                          <a:xfrm rot="16200000" flipH="1">
                            <a:off x="3997309" y="1980303"/>
                            <a:ext cx="1569651" cy="6791976"/>
                          </a:xfrm>
                          <a:prstGeom prst="bentConnector3">
                            <a:avLst>
                              <a:gd name="adj1" fmla="val 114564"/>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188" name="Straight Arrow Connector 188"/>
                        <wps:cNvCnPr>
                          <a:stCxn id="15" idx="3"/>
                          <a:endCxn id="16" idx="1"/>
                        </wps:cNvCnPr>
                        <wps:spPr>
                          <a:xfrm>
                            <a:off x="5893905" y="2628944"/>
                            <a:ext cx="1315059" cy="13262"/>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13" name="Straight Arrow Connector 187"/>
                        <wps:cNvCnPr>
                          <a:stCxn id="14" idx="0"/>
                          <a:endCxn id="16" idx="0"/>
                        </wps:cNvCnPr>
                        <wps:spPr>
                          <a:xfrm rot="5400000" flipH="1" flipV="1">
                            <a:off x="3964751" y="-452747"/>
                            <a:ext cx="1565609" cy="6722818"/>
                          </a:xfrm>
                          <a:prstGeom prst="bentConnector3">
                            <a:avLst>
                              <a:gd name="adj1" fmla="val 11460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65" name="Straight Arrow Connector 65"/>
                        <wps:cNvCnPr>
                          <a:endCxn id="17" idx="1"/>
                        </wps:cNvCnPr>
                        <wps:spPr>
                          <a:xfrm>
                            <a:off x="5893905" y="3011557"/>
                            <a:ext cx="1384217" cy="2699560"/>
                          </a:xfrm>
                          <a:prstGeom prst="straightConnector1">
                            <a:avLst/>
                          </a:prstGeom>
                          <a:ln>
                            <a:solidFill>
                              <a:schemeClr val="accent6">
                                <a:lumMod val="75000"/>
                              </a:schemeClr>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14:sizeRelH relativeFrom="margin">
                  <wp14:pctWidth>0</wp14:pctWidth>
                </wp14:sizeRelH>
                <wp14:sizeRelV relativeFrom="margin">
                  <wp14:pctHeight>0</wp14:pctHeight>
                </wp14:sizeRelV>
              </wp:anchor>
            </w:drawing>
          </mc:Choice>
          <mc:Fallback>
            <w:pict>
              <v:group w14:anchorId="2E8976DA" id="Canvas 229" o:spid="_x0000_s1098" editas="canvas" style="position:absolute;margin-left:-19.65pt;margin-top:13.9pt;width:830.4pt;height:584.4pt;z-index:251673600;mso-position-vertical-relative:page;mso-width-relative:margin;mso-height-relative:margin" coordsize="105460,74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">
                <v:shape id="_x0000_s1099" type="#_x0000_t75" style="position:absolute;width:105460;height:74218;visibility:visible;mso-wrap-style:square">
                  <v:fill o:detectmouseclick="t"/>
                  <v:path o:connecttype="none"/>
                </v:shape>
                <v:roundrect id="Rounded Rectangle 1" o:spid="_x0000_s1100" style="position:absolute;left:609;top:127;width:104851;height:559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" filled="f" stroked="f">
                  <v:textbox inset=".25714mm,.15431mm,.25714mm,.15431mm">
                    <w:txbxContent>
                      <w:p w14:paraId="69EE8E99" w14:textId="77777777" w:rsidR="00E85916" w:rsidRDefault="00E85916" w:rsidP="00591763">
                        <w:pPr>
                          <w:pStyle w:val="Heading1"/>
                          <w:spacing w:before="0" w:line="240" w:lineRule="auto"/>
                          <w:jc w:val="center"/>
                          <w:rPr>
                            <w:rFonts w:asciiTheme="minorHAnsi" w:eastAsia="Calibri" w:hAnsiTheme="minorHAnsi" w:cstheme="minorHAnsi"/>
                            <w:b/>
                            <w:color w:val="C00000"/>
                            <w:sz w:val="28"/>
                            <w:szCs w:val="14"/>
                            <w:lang w:val="bg-BG"/>
                          </w:rPr>
                        </w:pPr>
                      </w:p>
                      <w:p w14:paraId="7FE17D30" w14:textId="77777777" w:rsidR="00E85916" w:rsidRPr="00737B15" w:rsidRDefault="00E85916" w:rsidP="00737B15">
                        <w:pPr>
                          <w:jc w:val="center"/>
                          <w:rPr>
                            <w:b/>
                            <w:bCs/>
                            <w:color w:val="C00000"/>
                            <w:sz w:val="28"/>
                            <w:szCs w:val="28"/>
                          </w:rPr>
                        </w:pPr>
                        <w:r w:rsidRPr="00737B15">
                          <w:rPr>
                            <w:b/>
                            <w:bCs/>
                            <w:color w:val="C00000"/>
                            <w:sz w:val="28"/>
                            <w:szCs w:val="28"/>
                          </w:rPr>
                          <w:t>ПРИОРИТЕТ 1 - ПРИОБЩАВАЩО ОБРАЗОВАНИЕ И ОБРАЗОВАТЕЛНА ИНТЕГРАЦИЯ</w:t>
                        </w:r>
                      </w:p>
                    </w:txbxContent>
                  </v:textbox>
                </v:roundrect>
                <v:roundrect id="Rounded Rectangle 6" o:spid="_x0000_s1101" style="position:absolute;left:38540;top:52504;width:20995;height:952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" fillcolor="#cff" strokecolor="#002060" strokeweight="1pt">
                  <v:stroke joinstyle="miter"/>
                  <v:textbox>
                    <w:txbxContent>
                      <w:p w14:paraId="13F30477" w14:textId="77777777" w:rsidR="00E85916" w:rsidRPr="00E7770F" w:rsidRDefault="00E85916" w:rsidP="009B688F">
                        <w:pPr>
                          <w:jc w:val="center"/>
                          <w:rPr>
                            <w:sz w:val="20"/>
                            <w:szCs w:val="20"/>
                          </w:rPr>
                        </w:pPr>
                        <w:r w:rsidRPr="00E7770F">
                          <w:rPr>
                            <w:sz w:val="20"/>
                            <w:szCs w:val="20"/>
                          </w:rPr>
                          <w:t>SOI 1.5. Педагогически специалисти и непедагогически персонал, обучени за работа с деца и ученици от уязвими групи</w:t>
                        </w:r>
                      </w:p>
                    </w:txbxContent>
                  </v:textbox>
                </v:roundrect>
                <v:roundrect id="Rounded Rectangle 7" o:spid="_x0000_s1102" style="position:absolute;left:38039;top:34060;width:209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" fillcolor="#cff" strokecolor="#002060" strokeweight="1pt">
                  <v:stroke joinstyle="miter"/>
                  <v:textbox>
                    <w:txbxContent>
                      <w:p w14:paraId="0E59901C" w14:textId="77777777" w:rsidR="00E85916" w:rsidRPr="00E7770F" w:rsidRDefault="00E85916" w:rsidP="009B688F">
                        <w:pPr>
                          <w:jc w:val="center"/>
                          <w:rPr>
                            <w:sz w:val="20"/>
                            <w:szCs w:val="20"/>
                          </w:rPr>
                        </w:pPr>
                        <w:r w:rsidRPr="00E7770F">
                          <w:rPr>
                            <w:sz w:val="20"/>
                            <w:szCs w:val="20"/>
                          </w:rPr>
                          <w:t>SOI 1.4. Брой деца и ученици от предучилищното и училищното образование от уязвими групи, получили подкрепа</w:t>
                        </w:r>
                      </w:p>
                      <w:p w14:paraId="1CFA32CE" w14:textId="77777777" w:rsidR="00E85916" w:rsidRDefault="00E85916" w:rsidP="00D900E5"/>
                      <w:p w14:paraId="457BB7E4" w14:textId="77777777" w:rsidR="00E85916" w:rsidRPr="005433D9" w:rsidRDefault="00E85916" w:rsidP="00A73E26">
                        <w:pPr>
                          <w:pStyle w:val="Style1"/>
                        </w:pPr>
                      </w:p>
                    </w:txbxContent>
                  </v:textbox>
                </v:roundrect>
                <v:rect id="Rectangle 12" o:spid="_x0000_s1103" style="position:absolute;left:30896;top:8671;width:43587;height:29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" fillcolor="#ffc" strokecolor="#ed7d31 [3205]" strokeweight=".5pt">
                  <v:textbox>
                    <w:txbxContent>
                      <w:p w14:paraId="63781023" w14:textId="77777777" w:rsidR="00E85916" w:rsidRPr="00E845B8" w:rsidRDefault="00E85916" w:rsidP="00591763">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й</w:t>
                        </w:r>
                        <w:r w:rsidRPr="00591763">
                          <w:rPr>
                            <w:b/>
                            <w:sz w:val="32"/>
                            <w:szCs w:val="24"/>
                          </w:rPr>
                          <w:t>)</w:t>
                        </w:r>
                      </w:p>
                    </w:txbxContent>
                  </v:textbox>
                </v:rect>
                <v:shape id="Straight Arrow Connector 13" o:spid="_x0000_s1104" type="#_x0000_t32" style="position:absolute;left:22861;top:26289;width:15679;height:151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" strokecolor="#002060" strokeweight="1pt">
                  <v:stroke dashstyle="dash" endarrow="block" joinstyle="miter"/>
                </v:shape>
                <v:roundrect id="Rounded Rectangle 14" o:spid="_x0000_s1105" style="position:absolute;left:4861;top:36914;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" fillcolor="#6ff" strokecolor="#002060" strokeweight="1pt">
                  <v:stroke joinstyle="miter"/>
                  <v:textbox>
                    <w:txbxContent>
                      <w:p w14:paraId="4E0B993D" w14:textId="77777777" w:rsidR="00E85916" w:rsidRPr="00E7770F" w:rsidRDefault="00E85916" w:rsidP="009B688F">
                        <w:pPr>
                          <w:jc w:val="center"/>
                          <w:rPr>
                            <w:sz w:val="20"/>
                            <w:szCs w:val="20"/>
                          </w:rPr>
                        </w:pPr>
                        <w:r w:rsidRPr="00E7770F">
                          <w:rPr>
                            <w:sz w:val="20"/>
                            <w:szCs w:val="20"/>
                          </w:rPr>
                          <w:t>SOI1.6.Брой училища обхванати в дейности за десегрегация по програмата</w:t>
                        </w:r>
                      </w:p>
                    </w:txbxContent>
                  </v:textbox>
                </v:roundrect>
                <v:roundrect id="Rounded Rectangle 15" o:spid="_x0000_s1106" style="position:absolute;left:38540;top:21789;width:20399;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" fillcolor="#cff" strokecolor="#002060" strokeweight="1pt">
                  <v:stroke joinstyle="miter"/>
                  <v:textbox>
                    <w:txbxContent>
                      <w:p w14:paraId="35B122F2" w14:textId="77777777" w:rsidR="00E85916" w:rsidRPr="00A80FA5" w:rsidRDefault="00E85916" w:rsidP="009B688F">
                        <w:pPr>
                          <w:jc w:val="center"/>
                          <w:rPr>
                            <w:sz w:val="20"/>
                            <w:szCs w:val="20"/>
                          </w:rPr>
                        </w:pPr>
                        <w:r w:rsidRPr="00A80FA5">
                          <w:rPr>
                            <w:sz w:val="20"/>
                            <w:szCs w:val="20"/>
                          </w:rPr>
                          <w:t>EECO15 малцинства (включително маргинализирани общности като ромите)</w:t>
                        </w:r>
                      </w:p>
                      <w:p w14:paraId="67967581" w14:textId="77777777" w:rsidR="00E85916" w:rsidRDefault="00E85916"/>
                    </w:txbxContent>
                  </v:textbox>
                </v:roundrect>
                <v:roundrect id="Rounded Rectangle 16" o:spid="_x0000_s1107" style="position:absolute;left:72089;top:21258;width:18000;height:103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" fillcolor="#cf9" strokecolor="#375623 [1609]" strokeweight="1pt">
                  <v:stroke joinstyle="miter"/>
                  <v:textbox>
                    <w:txbxContent>
                      <w:p w14:paraId="7320A7B0" w14:textId="77777777" w:rsidR="00E85916" w:rsidRPr="00E7770F" w:rsidRDefault="00E85916" w:rsidP="009B688F">
                        <w:pPr>
                          <w:jc w:val="center"/>
                          <w:rPr>
                            <w:sz w:val="20"/>
                            <w:szCs w:val="20"/>
                          </w:rPr>
                        </w:pPr>
                        <w:r w:rsidRPr="00E7770F">
                          <w:rPr>
                            <w:sz w:val="20"/>
                            <w:szCs w:val="20"/>
                          </w:rPr>
                          <w:t>SRI 1.2. Брой деца и ученици от уязвими групи с подобрени образователни резултати 1 година след участие в операцията</w:t>
                        </w:r>
                      </w:p>
                    </w:txbxContent>
                  </v:textbox>
                </v:roundrect>
                <v:roundrect id="Rounded Rectangle 17" o:spid="_x0000_s1108" style="position:absolute;left:72781;top:5261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" fillcolor="#cf9" strokecolor="#375623 [1609]" strokeweight="1pt">
                  <v:stroke joinstyle="miter"/>
                  <v:textbox>
                    <w:txbxContent>
                      <w:p w14:paraId="66217D58" w14:textId="77777777" w:rsidR="00E85916" w:rsidRPr="00E7770F" w:rsidRDefault="00E85916" w:rsidP="009B688F">
                        <w:pPr>
                          <w:jc w:val="center"/>
                          <w:rPr>
                            <w:sz w:val="20"/>
                            <w:szCs w:val="20"/>
                          </w:rPr>
                        </w:pPr>
                        <w:r w:rsidRPr="00E7770F">
                          <w:rPr>
                            <w:sz w:val="20"/>
                            <w:szCs w:val="20"/>
                          </w:rPr>
                          <w:t>EECR03 участници, които при напускане на операцията получават квалификация</w:t>
                        </w:r>
                      </w:p>
                      <w:p w14:paraId="2DD2773B" w14:textId="77777777" w:rsidR="00E85916" w:rsidRPr="009B688F" w:rsidRDefault="00E85916" w:rsidP="009B688F">
                        <w:pPr>
                          <w:jc w:val="center"/>
                          <w:rPr>
                            <w:sz w:val="18"/>
                            <w:szCs w:val="18"/>
                          </w:rPr>
                        </w:pPr>
                      </w:p>
                    </w:txbxContent>
                  </v:textbox>
                </v:roundrect>
                <v:shape id="Straight Arrow Connector 18" o:spid="_x0000_s1109" type="#_x0000_t32" style="position:absolute;left:58939;top:26422;width:13150;height:1213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" strokecolor="#375623 [1609]" strokeweight="1pt">
                  <v:stroke endarrow="block" joinstyle="miter"/>
                </v:shape>
                <v:shape id="Straight Arrow Connector 19" o:spid="_x0000_s1110" type="#_x0000_t32" style="position:absolute;left:47170;top:30677;width:0;height:32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" strokecolor="#5b9bd5 [3204]" strokeweight=".5pt">
                  <v:stroke dashstyle="dash" startarrow="block" endarrow="block" joinstyle="miter"/>
                </v:shape>
                <v:rect id="Rectangle 20" o:spid="_x0000_s1111" style="position:absolute;left:48410;top:30677;width:6790;height:29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" filled="f" stroked="f" strokeweight="1pt">
                  <v:textbox>
                    <w:txbxContent>
                      <w:p w14:paraId="4C7EEBF3" w14:textId="77777777" w:rsidR="00E85916" w:rsidRPr="00A80FA5" w:rsidRDefault="00E85916" w:rsidP="00A80FA5">
                        <w:pPr>
                          <w:pStyle w:val="NormalWeb"/>
                          <w:spacing w:before="0" w:beforeAutospacing="0" w:after="0" w:afterAutospacing="0" w:line="254" w:lineRule="auto"/>
                          <w:jc w:val="center"/>
                          <w:rPr>
                            <w:rFonts w:eastAsia="Calibri"/>
                            <w:b/>
                            <w:bCs/>
                          </w:rPr>
                        </w:pPr>
                        <w:r w:rsidRPr="00A80FA5">
                          <w:rPr>
                            <w:rFonts w:eastAsia="Calibri"/>
                            <w:b/>
                            <w:bCs/>
                          </w:rPr>
                          <w:t>от тях</w:t>
                        </w:r>
                      </w:p>
                    </w:txbxContent>
                  </v:textbox>
                </v:rect>
                <v:shape id="Straight Arrow Connector 21" o:spid="_x0000_s1112" type="#_x0000_t32" style="position:absolute;left:59535;top:57111;width:13246;height:1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" strokecolor="#375623 [1609]" strokeweight="1pt">
                  <v:stroke endarrow="block" joinstyle="miter"/>
                </v:shape>
                <v:shape id="Straight Arrow Connector 22" o:spid="_x0000_s1113" type="#_x0000_t32" style="position:absolute;left:22861;top:41414;width:15679;height:158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" strokecolor="#002060" strokeweight="1pt">
                  <v:stroke dashstyle="dash" endarrow="block" joinstyle="miter"/>
                </v:shape>
                <v:shape id="Straight Arrow Connector 187" o:spid="_x0000_s1114" type="#_x0000_t34" style="position:absolute;left:39972;top:19803;width:15697;height:6792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" adj="24746" strokecolor="#375623 [1609]" strokeweight="1pt">
                  <v:stroke dashstyle="dash" endarrow="block"/>
                </v:shape>
                <v:shape id="Straight Arrow Connector 188" o:spid="_x0000_s1115" type="#_x0000_t32" style="position:absolute;left:58939;top:26289;width:13150;height:1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" strokecolor="#375623 [1609]" strokeweight="1pt">
                  <v:stroke dashstyle="dash" endarrow="block" joinstyle="miter"/>
                </v:shape>
                <v:shape id="Straight Arrow Connector 187" o:spid="_x0000_s1116" type="#_x0000_t34" style="position:absolute;left:39647;top:-4528;width:15656;height:67228;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" adj="24754" strokecolor="#375623 [1609]" strokeweight="1pt">
                  <v:stroke dashstyle="dash" endarrow="block"/>
                </v:shape>
                <v:shape id="Straight Arrow Connector 65" o:spid="_x0000_s1117" type="#_x0000_t32" style="position:absolute;left:58939;top:30115;width:13842;height:269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" strokecolor="#538135 [2409]" strokeweight=".5pt">
                  <v:stroke dashstyle="dash" endarrow="block" joinstyle="miter"/>
                </v:shape>
                <w10:wrap anchory="page"/>
              </v:group>
            </w:pict>
          </mc:Fallback>
        </mc:AlternateContent>
      </w:r>
    </w:p>
    <w:p w14:paraId="1BBB0FC0" w14:textId="77777777" w:rsidR="00E85916" w:rsidRPr="00D83669" w:rsidRDefault="00E85916"/>
    <w:p w14:paraId="7257FA3C" w14:textId="65C26A7E" w:rsidR="00E85916" w:rsidRPr="00D83669" w:rsidRDefault="00E85916"/>
    <w:p w14:paraId="3427C68F" w14:textId="77777777" w:rsidR="00E85916" w:rsidRPr="00D83669" w:rsidRDefault="00E85916">
      <w:r w:rsidRPr="00D83669">
        <w:br w:type="page"/>
      </w:r>
    </w:p>
    <w:p w14:paraId="74F9320A" w14:textId="2D619673" w:rsidR="00E85916" w:rsidRPr="00D83669" w:rsidRDefault="006F3C72">
      <w:r w:rsidRPr="00D83669">
        <w:rPr>
          <w:rFonts w:eastAsia="Calibri"/>
          <w:noProof/>
          <w:color w:val="000000" w:themeColor="text1"/>
          <w:sz w:val="20"/>
          <w:szCs w:val="20"/>
          <w:lang w:eastAsia="bg-BG"/>
        </w:rPr>
        <w:lastRenderedPageBreak/>
        <mc:AlternateContent>
          <mc:Choice Requires="wpc">
            <w:drawing>
              <wp:anchor distT="0" distB="0" distL="114300" distR="114300" simplePos="0" relativeHeight="251678720" behindDoc="0" locked="0" layoutInCell="1" allowOverlap="1" wp14:anchorId="497E632E" wp14:editId="240F1F5A">
                <wp:simplePos x="0" y="0"/>
                <wp:positionH relativeFrom="column">
                  <wp:posOffset>-339090</wp:posOffset>
                </wp:positionH>
                <wp:positionV relativeFrom="page">
                  <wp:posOffset>118110</wp:posOffset>
                </wp:positionV>
                <wp:extent cx="10546080" cy="7421880"/>
                <wp:effectExtent l="0" t="0" r="7620" b="0"/>
                <wp:wrapNone/>
                <wp:docPr id="249" name="Canvas 24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35" name="Rounded Rectangle 235"/>
                        <wps:cNvSpPr/>
                        <wps:spPr>
                          <a:xfrm>
                            <a:off x="60960" y="12699"/>
                            <a:ext cx="10485120" cy="511175"/>
                          </a:xfrm>
                          <a:prstGeom prst="round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65C6F576" w14:textId="77777777" w:rsidR="00E85916" w:rsidRDefault="00E85916" w:rsidP="000215B2">
                              <w:pPr>
                                <w:pStyle w:val="Heading1"/>
                                <w:spacing w:before="0" w:line="240" w:lineRule="auto"/>
                                <w:jc w:val="center"/>
                                <w:rPr>
                                  <w:rFonts w:asciiTheme="minorHAnsi" w:eastAsia="Calibri" w:hAnsiTheme="minorHAnsi" w:cstheme="minorHAnsi"/>
                                  <w:b/>
                                  <w:color w:val="C00000"/>
                                  <w:sz w:val="28"/>
                                  <w:szCs w:val="14"/>
                                  <w:lang w:val="bg-BG"/>
                                </w:rPr>
                              </w:pPr>
                            </w:p>
                            <w:p w14:paraId="1CC3AE20" w14:textId="77777777" w:rsidR="00E85916" w:rsidRPr="00737B15" w:rsidRDefault="00E85916" w:rsidP="00737B15">
                              <w:pPr>
                                <w:jc w:val="center"/>
                                <w:rPr>
                                  <w:b/>
                                  <w:bCs/>
                                  <w:color w:val="C00000"/>
                                  <w:sz w:val="28"/>
                                  <w:szCs w:val="28"/>
                                </w:rPr>
                              </w:pPr>
                              <w:r w:rsidRPr="00737B15">
                                <w:rPr>
                                  <w:b/>
                                  <w:bCs/>
                                  <w:color w:val="C00000"/>
                                  <w:sz w:val="28"/>
                                  <w:szCs w:val="28"/>
                                </w:rPr>
                                <w:t>ПРИОРИТЕТ 2 – МОДЕРНИЗАЦИЯ И КАЧЕСТВО НА ОБРАЗОВАНИЕТОИНТЕГРАЦИЯ</w:t>
                              </w:r>
                            </w:p>
                          </w:txbxContent>
                        </wps:txbx>
                        <wps:bodyPr rot="0" spcFirstLastPara="0" vert="horz" wrap="square" lIns="9257" tIns="5555" rIns="9257" bIns="5555" numCol="1" spcCol="0" rtlCol="0" fromWordArt="0" anchor="t" anchorCtr="0" forceAA="0" compatLnSpc="1">
                          <a:prstTxWarp prst="textNoShape">
                            <a:avLst/>
                          </a:prstTxWarp>
                          <a:noAutofit/>
                        </wps:bodyPr>
                      </wps:wsp>
                      <wps:wsp>
                        <wps:cNvPr id="236" name="Rounded Rectangle 236"/>
                        <wps:cNvSpPr/>
                        <wps:spPr>
                          <a:xfrm>
                            <a:off x="1080506" y="5543240"/>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68BE53D9" w14:textId="77777777" w:rsidR="00E85916" w:rsidRPr="00A06C18" w:rsidRDefault="00E85916" w:rsidP="00A06C18">
                              <w:pPr>
                                <w:jc w:val="center"/>
                                <w:rPr>
                                  <w:sz w:val="18"/>
                                  <w:szCs w:val="18"/>
                                </w:rPr>
                              </w:pPr>
                              <w:r w:rsidRPr="00A06C18">
                                <w:rPr>
                                  <w:sz w:val="18"/>
                                  <w:szCs w:val="18"/>
                                </w:rPr>
                                <w:t>SOI 2.1  Брой подкрепени родители и образователни медиатори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7" name="Rounded Rectangle 237"/>
                        <wps:cNvSpPr/>
                        <wps:spPr>
                          <a:xfrm>
                            <a:off x="4779291" y="4141466"/>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66D86BCC" w14:textId="77777777" w:rsidR="00E85916" w:rsidRPr="00A06C18" w:rsidRDefault="00E85916" w:rsidP="00A06C18">
                              <w:pPr>
                                <w:jc w:val="center"/>
                                <w:rPr>
                                  <w:sz w:val="18"/>
                                  <w:szCs w:val="18"/>
                                </w:rPr>
                              </w:pPr>
                              <w:r w:rsidRPr="00A06C18">
                                <w:rPr>
                                  <w:sz w:val="18"/>
                                  <w:szCs w:val="18"/>
                                </w:rPr>
                                <w:t>EECO15 малцинства (включително маргинализирани общности като ромите)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8" name="Rectangle 238"/>
                        <wps:cNvSpPr/>
                        <wps:spPr>
                          <a:xfrm>
                            <a:off x="3153869" y="744162"/>
                            <a:ext cx="4358640" cy="371127"/>
                          </a:xfrm>
                          <a:prstGeom prst="rect">
                            <a:avLst/>
                          </a:prstGeom>
                          <a:solidFill>
                            <a:srgbClr val="FFFFCC"/>
                          </a:solidFill>
                        </wps:spPr>
                        <wps:style>
                          <a:lnRef idx="1">
                            <a:schemeClr val="accent2"/>
                          </a:lnRef>
                          <a:fillRef idx="2">
                            <a:schemeClr val="accent2"/>
                          </a:fillRef>
                          <a:effectRef idx="1">
                            <a:schemeClr val="accent2"/>
                          </a:effectRef>
                          <a:fontRef idx="minor">
                            <a:schemeClr val="dk1"/>
                          </a:fontRef>
                        </wps:style>
                        <wps:txbx>
                          <w:txbxContent>
                            <w:p w14:paraId="4B3C55FD" w14:textId="77777777" w:rsidR="00E85916" w:rsidRPr="00E845B8" w:rsidRDefault="00E85916" w:rsidP="000215B2">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д</w:t>
                              </w:r>
                              <w:r w:rsidRPr="00591763">
                                <w:rPr>
                                  <w:b/>
                                  <w:sz w:val="32"/>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0" name="Rounded Rectangle 240"/>
                        <wps:cNvSpPr/>
                        <wps:spPr>
                          <a:xfrm>
                            <a:off x="8696696" y="891116"/>
                            <a:ext cx="1800000" cy="900000"/>
                          </a:xfrm>
                          <a:prstGeom prst="roundRect">
                            <a:avLst/>
                          </a:prstGeom>
                          <a:solidFill>
                            <a:srgbClr val="66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0C7E5901" w14:textId="77777777" w:rsidR="00E85916" w:rsidRPr="00FE68F6" w:rsidRDefault="00E85916" w:rsidP="00FE68F6">
                              <w:pPr>
                                <w:jc w:val="center"/>
                                <w:rPr>
                                  <w:sz w:val="18"/>
                                  <w:szCs w:val="18"/>
                                </w:rPr>
                              </w:pPr>
                              <w:r w:rsidRPr="00FE68F6">
                                <w:rPr>
                                  <w:sz w:val="18"/>
                                  <w:szCs w:val="18"/>
                                </w:rPr>
                                <w:t>SOI 2.2 Брой училища, въвели методически планове за действие за развитие на ключови компетентности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1" name="Rounded Rectangle 241"/>
                        <wps:cNvSpPr/>
                        <wps:spPr>
                          <a:xfrm>
                            <a:off x="4779291" y="2903111"/>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56808E0F" w14:textId="77777777" w:rsidR="00E85916" w:rsidRPr="003E0A92" w:rsidRDefault="00E85916" w:rsidP="000215B2">
                              <w:pPr>
                                <w:jc w:val="center"/>
                                <w:rPr>
                                  <w:sz w:val="18"/>
                                  <w:szCs w:val="18"/>
                                </w:rPr>
                              </w:pPr>
                              <w:r w:rsidRPr="003E0A92">
                                <w:rPr>
                                  <w:sz w:val="18"/>
                                  <w:szCs w:val="18"/>
                                </w:rPr>
                                <w:t>SOI 2.7 Брой подкрепени деца и ученици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2" name="Rounded Rectangle 242"/>
                        <wps:cNvSpPr/>
                        <wps:spPr>
                          <a:xfrm>
                            <a:off x="8541369" y="3434527"/>
                            <a:ext cx="1800000" cy="946336"/>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749F0993" w14:textId="77777777" w:rsidR="00E85916" w:rsidRPr="00A06C18" w:rsidRDefault="00E85916" w:rsidP="00A06C18">
                              <w:pPr>
                                <w:jc w:val="center"/>
                                <w:rPr>
                                  <w:sz w:val="20"/>
                                  <w:szCs w:val="20"/>
                                </w:rPr>
                              </w:pPr>
                              <w:r w:rsidRPr="00A06C18">
                                <w:rPr>
                                  <w:sz w:val="20"/>
                                  <w:szCs w:val="20"/>
                                </w:rPr>
                                <w:t>SRI 2.1. Подобрени образователни резултати на подкрепените деца и ученици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3" name="Rounded Rectangle 243"/>
                        <wps:cNvSpPr/>
                        <wps:spPr>
                          <a:xfrm>
                            <a:off x="2191772" y="1650047"/>
                            <a:ext cx="1800000" cy="90000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5BBE043B" w14:textId="77777777" w:rsidR="00E85916" w:rsidRPr="00FE68F6" w:rsidRDefault="00E85916" w:rsidP="00FE68F6">
                              <w:pPr>
                                <w:jc w:val="center"/>
                                <w:rPr>
                                  <w:sz w:val="20"/>
                                  <w:szCs w:val="20"/>
                                </w:rPr>
                              </w:pPr>
                              <w:r w:rsidRPr="00FE68F6">
                                <w:rPr>
                                  <w:sz w:val="20"/>
                                  <w:szCs w:val="20"/>
                                </w:rPr>
                                <w:t>EECR03 участници, които при напускане на операцията получават квалификация</w:t>
                              </w:r>
                            </w:p>
                            <w:p w14:paraId="23B52068" w14:textId="77777777" w:rsidR="00E85916" w:rsidRPr="005433D9" w:rsidRDefault="00E85916" w:rsidP="00A73E26">
                              <w:pPr>
                                <w:pStyle w:val="Style1"/>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4" name="Straight Arrow Connector 244"/>
                        <wps:cNvCnPr>
                          <a:stCxn id="251" idx="1"/>
                          <a:endCxn id="243" idx="3"/>
                        </wps:cNvCnPr>
                        <wps:spPr>
                          <a:xfrm flipH="1">
                            <a:off x="3991772" y="2100047"/>
                            <a:ext cx="787519" cy="0"/>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245" name="Straight Arrow Connector 245"/>
                        <wps:cNvCnPr>
                          <a:stCxn id="241" idx="2"/>
                          <a:endCxn id="237" idx="0"/>
                        </wps:cNvCnPr>
                        <wps:spPr>
                          <a:xfrm>
                            <a:off x="5679291" y="3803111"/>
                            <a:ext cx="0" cy="338355"/>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46" name="Rectangle 246"/>
                        <wps:cNvSpPr/>
                        <wps:spPr>
                          <a:xfrm>
                            <a:off x="5679292" y="3843828"/>
                            <a:ext cx="678982" cy="29148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8EC9BF1"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7" name="Straight Arrow Connector 247"/>
                        <wps:cNvCnPr>
                          <a:stCxn id="250" idx="0"/>
                          <a:endCxn id="257" idx="3"/>
                        </wps:cNvCnPr>
                        <wps:spPr>
                          <a:xfrm flipH="1" flipV="1">
                            <a:off x="8460330" y="5570983"/>
                            <a:ext cx="957150" cy="363743"/>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50" name="Rounded Rectangle 250"/>
                        <wps:cNvSpPr/>
                        <wps:spPr>
                          <a:xfrm>
                            <a:off x="8517480" y="5934726"/>
                            <a:ext cx="1800000" cy="900000"/>
                          </a:xfrm>
                          <a:prstGeom prst="roundRect">
                            <a:avLst/>
                          </a:prstGeom>
                          <a:solidFill>
                            <a:srgbClr val="66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562037DC" w14:textId="77777777" w:rsidR="00E85916" w:rsidRPr="00A06C18" w:rsidRDefault="00E85916" w:rsidP="00A06C18">
                              <w:pPr>
                                <w:jc w:val="center"/>
                                <w:rPr>
                                  <w:sz w:val="18"/>
                                  <w:szCs w:val="18"/>
                                </w:rPr>
                              </w:pPr>
                              <w:r w:rsidRPr="00A06C18">
                                <w:rPr>
                                  <w:sz w:val="18"/>
                                  <w:szCs w:val="18"/>
                                </w:rPr>
                                <w:t>SOI 2.3 Брой образователни институции, разработили иновативни обучителни пакети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1" name="Rounded Rectangle 251"/>
                        <wps:cNvSpPr/>
                        <wps:spPr>
                          <a:xfrm>
                            <a:off x="4779291" y="1650047"/>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3BE5C20B" w14:textId="77777777" w:rsidR="00E85916" w:rsidRPr="00FE68F6" w:rsidRDefault="00E85916" w:rsidP="00FE68F6">
                              <w:pPr>
                                <w:jc w:val="center"/>
                                <w:rPr>
                                  <w:sz w:val="20"/>
                                  <w:szCs w:val="20"/>
                                </w:rPr>
                              </w:pPr>
                              <w:r w:rsidRPr="00FE68F6">
                                <w:rPr>
                                  <w:sz w:val="20"/>
                                  <w:szCs w:val="20"/>
                                </w:rPr>
                                <w:t>SOI 2.4  Участници, придобили умения  за преподаване в STEM среда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2" name="Rounded Rectangle 252"/>
                        <wps:cNvSpPr/>
                        <wps:spPr>
                          <a:xfrm>
                            <a:off x="3238500" y="5543240"/>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7A29EC96" w14:textId="77777777" w:rsidR="00E85916" w:rsidRPr="00A06C18" w:rsidRDefault="00E85916" w:rsidP="00A06C18">
                              <w:pPr>
                                <w:jc w:val="center"/>
                                <w:rPr>
                                  <w:sz w:val="18"/>
                                  <w:szCs w:val="18"/>
                                </w:rPr>
                              </w:pPr>
                              <w:r w:rsidRPr="00A06C18">
                                <w:rPr>
                                  <w:sz w:val="18"/>
                                  <w:szCs w:val="18"/>
                                </w:rPr>
                                <w:t>SOI 2.5 Участници, които са завършили обучение  за подобряване на уменията за работа в образователната система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3" name="Rounded Rectangle 253"/>
                        <wps:cNvSpPr/>
                        <wps:spPr>
                          <a:xfrm>
                            <a:off x="114300" y="3711168"/>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2BDD2CF7" w14:textId="77777777" w:rsidR="00E85916" w:rsidRPr="00A06C18" w:rsidRDefault="00E85916" w:rsidP="00A06C18">
                              <w:pPr>
                                <w:jc w:val="center"/>
                                <w:rPr>
                                  <w:sz w:val="18"/>
                                  <w:szCs w:val="18"/>
                                </w:rPr>
                              </w:pPr>
                              <w:r w:rsidRPr="00A06C18">
                                <w:rPr>
                                  <w:sz w:val="18"/>
                                  <w:szCs w:val="18"/>
                                </w:rPr>
                                <w:t>SOI 2.6 Брой високо квалифицирани специалисти, които са привлечени към учителската професия чрез алтернативни мерки за достъп</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4" name="Rounded Rectangle 254"/>
                        <wps:cNvSpPr/>
                        <wps:spPr>
                          <a:xfrm>
                            <a:off x="2286146" y="3711167"/>
                            <a:ext cx="1800000" cy="90000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70BBAD03" w14:textId="77777777" w:rsidR="00E85916" w:rsidRPr="00A06C18" w:rsidRDefault="00E85916" w:rsidP="00A06C18">
                              <w:pPr>
                                <w:jc w:val="center"/>
                                <w:rPr>
                                  <w:sz w:val="18"/>
                                  <w:szCs w:val="18"/>
                                </w:rPr>
                              </w:pPr>
                              <w:r w:rsidRPr="00A06C18">
                                <w:rPr>
                                  <w:sz w:val="18"/>
                                  <w:szCs w:val="18"/>
                                </w:rPr>
                                <w:t>SRI 2.1. Подобрени образователни резултати на подкрепените деца и ученици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5" name="Rounded Rectangle 255"/>
                        <wps:cNvSpPr/>
                        <wps:spPr>
                          <a:xfrm>
                            <a:off x="7335497" y="1959874"/>
                            <a:ext cx="1800000" cy="1142243"/>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0FA2B324" w14:textId="77777777" w:rsidR="00E85916" w:rsidRPr="00FE68F6" w:rsidRDefault="00E85916" w:rsidP="00FE68F6">
                              <w:pPr>
                                <w:jc w:val="center"/>
                                <w:rPr>
                                  <w:sz w:val="18"/>
                                  <w:szCs w:val="18"/>
                                </w:rPr>
                              </w:pPr>
                              <w:r w:rsidRPr="00FE68F6">
                                <w:rPr>
                                  <w:sz w:val="18"/>
                                  <w:szCs w:val="18"/>
                                </w:rPr>
                                <w:t>SRI 2.2  Дял на училищата, които изпълняват методически планове за действие с разширена  група ключови компетентности 2 години след въвеждането им</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7" name="Rounded Rectangle 257"/>
                        <wps:cNvSpPr/>
                        <wps:spPr>
                          <a:xfrm>
                            <a:off x="6660330" y="5097815"/>
                            <a:ext cx="1800000" cy="946336"/>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1474C1E1" w14:textId="77777777" w:rsidR="00E85916" w:rsidRPr="00A06C18" w:rsidRDefault="00E85916" w:rsidP="00A06C18">
                              <w:pPr>
                                <w:jc w:val="center"/>
                                <w:rPr>
                                  <w:sz w:val="18"/>
                                  <w:szCs w:val="18"/>
                                </w:rPr>
                              </w:pPr>
                              <w:r w:rsidRPr="00A06C18">
                                <w:rPr>
                                  <w:sz w:val="18"/>
                                  <w:szCs w:val="18"/>
                                </w:rPr>
                                <w:t>SRI 2.3 Брой потребители на разработените иновативни обучителни пакети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8" name="Straight Arrow Connector 258"/>
                        <wps:cNvCnPr>
                          <a:stCxn id="241" idx="1"/>
                          <a:endCxn id="243" idx="3"/>
                        </wps:cNvCnPr>
                        <wps:spPr>
                          <a:xfrm flipH="1" flipV="1">
                            <a:off x="3991772" y="2100047"/>
                            <a:ext cx="787519" cy="1253064"/>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260" name="Straight Arrow Connector 260"/>
                        <wps:cNvCnPr>
                          <a:stCxn id="236" idx="0"/>
                          <a:endCxn id="254" idx="2"/>
                        </wps:cNvCnPr>
                        <wps:spPr>
                          <a:xfrm flipV="1">
                            <a:off x="1980506" y="4611167"/>
                            <a:ext cx="1205640" cy="932073"/>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61" name="Straight Arrow Connector 261"/>
                        <wps:cNvCnPr>
                          <a:stCxn id="252" idx="0"/>
                          <a:endCxn id="254" idx="2"/>
                        </wps:cNvCnPr>
                        <wps:spPr>
                          <a:xfrm flipH="1" flipV="1">
                            <a:off x="3186146" y="4611167"/>
                            <a:ext cx="952354" cy="932073"/>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62" name="Straight Arrow Connector 262"/>
                        <wps:cNvCnPr>
                          <a:stCxn id="253" idx="3"/>
                          <a:endCxn id="254" idx="1"/>
                        </wps:cNvCnPr>
                        <wps:spPr>
                          <a:xfrm flipV="1">
                            <a:off x="1914300" y="4161167"/>
                            <a:ext cx="371846" cy="1"/>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63" name="Straight Arrow Connector 263"/>
                        <wps:cNvCnPr>
                          <a:stCxn id="241" idx="3"/>
                          <a:endCxn id="257" idx="0"/>
                        </wps:cNvCnPr>
                        <wps:spPr>
                          <a:xfrm>
                            <a:off x="6579291" y="3353111"/>
                            <a:ext cx="981039" cy="1744704"/>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264" name="Straight Arrow Connector 264"/>
                        <wps:cNvCnPr>
                          <a:stCxn id="250" idx="0"/>
                          <a:endCxn id="242" idx="2"/>
                        </wps:cNvCnPr>
                        <wps:spPr>
                          <a:xfrm flipV="1">
                            <a:off x="9417480" y="4380863"/>
                            <a:ext cx="23889" cy="1553863"/>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67" name="Straight Arrow Connector 267"/>
                        <wps:cNvCnPr>
                          <a:stCxn id="251" idx="2"/>
                          <a:endCxn id="254" idx="0"/>
                        </wps:cNvCnPr>
                        <wps:spPr>
                          <a:xfrm rot="5400000">
                            <a:off x="3852159" y="1884035"/>
                            <a:ext cx="1161120" cy="2493145"/>
                          </a:xfrm>
                          <a:prstGeom prst="bentConnector3">
                            <a:avLst>
                              <a:gd name="adj1" fmla="val 17187"/>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69" name="Straight Arrow Connector 269"/>
                        <wps:cNvCnPr>
                          <a:stCxn id="241" idx="1"/>
                          <a:endCxn id="254" idx="3"/>
                        </wps:cNvCnPr>
                        <wps:spPr>
                          <a:xfrm flipH="1">
                            <a:off x="4086146" y="3353111"/>
                            <a:ext cx="693145" cy="808056"/>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272" name="Straight Arrow Connector 272"/>
                        <wps:cNvCnPr>
                          <a:stCxn id="241" idx="3"/>
                          <a:endCxn id="242" idx="1"/>
                        </wps:cNvCnPr>
                        <wps:spPr>
                          <a:xfrm>
                            <a:off x="6579291" y="3353111"/>
                            <a:ext cx="1962078" cy="554584"/>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273" name="Straight Arrow Connector 273"/>
                        <wps:cNvCnPr>
                          <a:stCxn id="241" idx="3"/>
                          <a:endCxn id="255" idx="1"/>
                        </wps:cNvCnPr>
                        <wps:spPr>
                          <a:xfrm flipV="1">
                            <a:off x="6579291" y="2530996"/>
                            <a:ext cx="756206" cy="822115"/>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74" name="Straight Arrow Connector 274"/>
                        <wps:cNvCnPr>
                          <a:stCxn id="251" idx="3"/>
                          <a:endCxn id="255" idx="1"/>
                        </wps:cNvCnPr>
                        <wps:spPr>
                          <a:xfrm>
                            <a:off x="6579291" y="2100047"/>
                            <a:ext cx="756206" cy="430949"/>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275" name="Straight Arrow Connector 275"/>
                        <wps:cNvCnPr>
                          <a:stCxn id="240" idx="2"/>
                          <a:endCxn id="255" idx="3"/>
                        </wps:cNvCnPr>
                        <wps:spPr>
                          <a:xfrm rot="5400000">
                            <a:off x="8996157" y="1930457"/>
                            <a:ext cx="739880" cy="461199"/>
                          </a:xfrm>
                          <a:prstGeom prst="bentConnector2">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157" name="Straight Arrow Connector 157"/>
                        <wps:cNvCnPr>
                          <a:stCxn id="252" idx="3"/>
                          <a:endCxn id="237" idx="2"/>
                        </wps:cNvCnPr>
                        <wps:spPr>
                          <a:xfrm flipV="1">
                            <a:off x="5038500" y="5041466"/>
                            <a:ext cx="640791" cy="951774"/>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8" name="Rectangle 158"/>
                        <wps:cNvSpPr/>
                        <wps:spPr>
                          <a:xfrm>
                            <a:off x="5239680" y="5384460"/>
                            <a:ext cx="678815" cy="2914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06F727B"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497E632E" id="Canvas 249" o:spid="_x0000_s1118" editas="canvas" style="position:absolute;margin-left:-26.7pt;margin-top:9.3pt;width:830.4pt;height:584.4pt;z-index:251678720;mso-position-vertical-relative:page;mso-width-relative:margin;mso-height-relative:margin" coordsize="105460,74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">
                <v:shape id="_x0000_s1119" type="#_x0000_t75" style="position:absolute;width:105460;height:74218;visibility:visible;mso-wrap-style:square">
                  <v:fill o:detectmouseclick="t"/>
                  <v:path o:connecttype="none"/>
                </v:shape>
                <v:roundrect id="Rounded Rectangle 235" o:spid="_x0000_s1120" style="position:absolute;left:609;top:126;width:104851;height:51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" filled="f" stroked="f">
                  <v:textbox inset=".25714mm,.15431mm,.25714mm,.15431mm">
                    <w:txbxContent>
                      <w:p w14:paraId="65C6F576" w14:textId="77777777" w:rsidR="00E85916" w:rsidRDefault="00E85916" w:rsidP="000215B2">
                        <w:pPr>
                          <w:pStyle w:val="Heading1"/>
                          <w:spacing w:before="0" w:line="240" w:lineRule="auto"/>
                          <w:jc w:val="center"/>
                          <w:rPr>
                            <w:rFonts w:asciiTheme="minorHAnsi" w:eastAsia="Calibri" w:hAnsiTheme="minorHAnsi" w:cstheme="minorHAnsi"/>
                            <w:b/>
                            <w:color w:val="C00000"/>
                            <w:sz w:val="28"/>
                            <w:szCs w:val="14"/>
                            <w:lang w:val="bg-BG"/>
                          </w:rPr>
                        </w:pPr>
                      </w:p>
                      <w:p w14:paraId="1CC3AE20" w14:textId="77777777" w:rsidR="00E85916" w:rsidRPr="00737B15" w:rsidRDefault="00E85916" w:rsidP="00737B15">
                        <w:pPr>
                          <w:jc w:val="center"/>
                          <w:rPr>
                            <w:b/>
                            <w:bCs/>
                            <w:color w:val="C00000"/>
                            <w:sz w:val="28"/>
                            <w:szCs w:val="28"/>
                          </w:rPr>
                        </w:pPr>
                        <w:r w:rsidRPr="00737B15">
                          <w:rPr>
                            <w:b/>
                            <w:bCs/>
                            <w:color w:val="C00000"/>
                            <w:sz w:val="28"/>
                            <w:szCs w:val="28"/>
                          </w:rPr>
                          <w:t>ПРИОРИТЕТ 2 – МОДЕРНИЗАЦИЯ И КАЧЕСТВО НА ОБРАЗОВАНИЕТОИНТЕГРАЦИЯ</w:t>
                        </w:r>
                      </w:p>
                    </w:txbxContent>
                  </v:textbox>
                </v:roundrect>
                <v:roundrect id="Rounded Rectangle 236" o:spid="_x0000_s1121" style="position:absolute;left:10805;top:55432;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" fillcolor="#cff" strokecolor="#002060" strokeweight="1pt">
                  <v:stroke joinstyle="miter"/>
                  <v:textbox>
                    <w:txbxContent>
                      <w:p w14:paraId="68BE53D9" w14:textId="77777777" w:rsidR="00E85916" w:rsidRPr="00A06C18" w:rsidRDefault="00E85916" w:rsidP="00A06C18">
                        <w:pPr>
                          <w:jc w:val="center"/>
                          <w:rPr>
                            <w:sz w:val="18"/>
                            <w:szCs w:val="18"/>
                          </w:rPr>
                        </w:pPr>
                        <w:r w:rsidRPr="00A06C18">
                          <w:rPr>
                            <w:sz w:val="18"/>
                            <w:szCs w:val="18"/>
                          </w:rPr>
                          <w:t>SOI 2.1  Брой подкрепени родители и образователни медиатори</w:t>
                        </w:r>
                      </w:p>
                    </w:txbxContent>
                  </v:textbox>
                </v:roundrect>
                <v:roundrect id="Rounded Rectangle 237" o:spid="_x0000_s1122" style="position:absolute;left:47792;top:41414;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" fillcolor="#cff" strokecolor="#002060" strokeweight="1pt">
                  <v:stroke joinstyle="miter"/>
                  <v:textbox>
                    <w:txbxContent>
                      <w:p w14:paraId="66D86BCC" w14:textId="77777777" w:rsidR="00E85916" w:rsidRPr="00A06C18" w:rsidRDefault="00E85916" w:rsidP="00A06C18">
                        <w:pPr>
                          <w:jc w:val="center"/>
                          <w:rPr>
                            <w:sz w:val="18"/>
                            <w:szCs w:val="18"/>
                          </w:rPr>
                        </w:pPr>
                        <w:r w:rsidRPr="00A06C18">
                          <w:rPr>
                            <w:sz w:val="18"/>
                            <w:szCs w:val="18"/>
                          </w:rPr>
                          <w:t>EECO15 малцинства (включително маргинализирани общности като ромите)</w:t>
                        </w:r>
                      </w:p>
                    </w:txbxContent>
                  </v:textbox>
                </v:roundrect>
                <v:rect id="Rectangle 238" o:spid="_x0000_s1123" style="position:absolute;left:31538;top:7441;width:43587;height:3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" fillcolor="#ffc" strokecolor="#ed7d31 [3205]" strokeweight=".5pt">
                  <v:textbox>
                    <w:txbxContent>
                      <w:p w14:paraId="4B3C55FD" w14:textId="77777777" w:rsidR="00E85916" w:rsidRPr="00E845B8" w:rsidRDefault="00E85916" w:rsidP="000215B2">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д</w:t>
                        </w:r>
                        <w:r w:rsidRPr="00591763">
                          <w:rPr>
                            <w:b/>
                            <w:sz w:val="32"/>
                            <w:szCs w:val="24"/>
                          </w:rPr>
                          <w:t>)</w:t>
                        </w:r>
                      </w:p>
                    </w:txbxContent>
                  </v:textbox>
                </v:rect>
                <v:roundrect id="Rounded Rectangle 240" o:spid="_x0000_s1124" style="position:absolute;left:86966;top:891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" fillcolor="#6ff" strokecolor="#002060" strokeweight="1pt">
                  <v:stroke joinstyle="miter"/>
                  <v:textbox>
                    <w:txbxContent>
                      <w:p w14:paraId="0C7E5901" w14:textId="77777777" w:rsidR="00E85916" w:rsidRPr="00FE68F6" w:rsidRDefault="00E85916" w:rsidP="00FE68F6">
                        <w:pPr>
                          <w:jc w:val="center"/>
                          <w:rPr>
                            <w:sz w:val="18"/>
                            <w:szCs w:val="18"/>
                          </w:rPr>
                        </w:pPr>
                        <w:r w:rsidRPr="00FE68F6">
                          <w:rPr>
                            <w:sz w:val="18"/>
                            <w:szCs w:val="18"/>
                          </w:rPr>
                          <w:t>SOI 2.2 Брой училища, въвели методически планове за действие за развитие на ключови компетентности</w:t>
                        </w:r>
                      </w:p>
                    </w:txbxContent>
                  </v:textbox>
                </v:roundrect>
                <v:roundrect id="Rounded Rectangle 241" o:spid="_x0000_s1125" style="position:absolute;left:47792;top:2903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" fillcolor="#cff" strokecolor="#002060" strokeweight="1pt">
                  <v:stroke joinstyle="miter"/>
                  <v:textbox>
                    <w:txbxContent>
                      <w:p w14:paraId="56808E0F" w14:textId="77777777" w:rsidR="00E85916" w:rsidRPr="003E0A92" w:rsidRDefault="00E85916" w:rsidP="000215B2">
                        <w:pPr>
                          <w:jc w:val="center"/>
                          <w:rPr>
                            <w:sz w:val="18"/>
                            <w:szCs w:val="18"/>
                          </w:rPr>
                        </w:pPr>
                        <w:r w:rsidRPr="003E0A92">
                          <w:rPr>
                            <w:sz w:val="18"/>
                            <w:szCs w:val="18"/>
                          </w:rPr>
                          <w:t>SOI 2.7 Брой подкрепени деца и ученици</w:t>
                        </w:r>
                      </w:p>
                    </w:txbxContent>
                  </v:textbox>
                </v:roundrect>
                <v:roundrect id="Rounded Rectangle 242" o:spid="_x0000_s1126" style="position:absolute;left:85413;top:34345;width:18000;height:94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" fillcolor="#cf9" strokecolor="#375623 [1609]" strokeweight="1pt">
                  <v:stroke joinstyle="miter"/>
                  <v:textbox>
                    <w:txbxContent>
                      <w:p w14:paraId="749F0993" w14:textId="77777777" w:rsidR="00E85916" w:rsidRPr="00A06C18" w:rsidRDefault="00E85916" w:rsidP="00A06C18">
                        <w:pPr>
                          <w:jc w:val="center"/>
                          <w:rPr>
                            <w:sz w:val="20"/>
                            <w:szCs w:val="20"/>
                          </w:rPr>
                        </w:pPr>
                        <w:r w:rsidRPr="00A06C18">
                          <w:rPr>
                            <w:sz w:val="20"/>
                            <w:szCs w:val="20"/>
                          </w:rPr>
                          <w:t>SRI 2.1. Подобрени образователни резултати на подкрепените деца и ученици</w:t>
                        </w:r>
                      </w:p>
                    </w:txbxContent>
                  </v:textbox>
                </v:roundrect>
                <v:roundrect id="Rounded Rectangle 243" o:spid="_x0000_s1127" style="position:absolute;left:21917;top:16500;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" fillcolor="#cf9" strokecolor="#375623 [1609]" strokeweight="1pt">
                  <v:stroke joinstyle="miter"/>
                  <v:textbox>
                    <w:txbxContent>
                      <w:p w14:paraId="5BBE043B" w14:textId="77777777" w:rsidR="00E85916" w:rsidRPr="00FE68F6" w:rsidRDefault="00E85916" w:rsidP="00FE68F6">
                        <w:pPr>
                          <w:jc w:val="center"/>
                          <w:rPr>
                            <w:sz w:val="20"/>
                            <w:szCs w:val="20"/>
                          </w:rPr>
                        </w:pPr>
                        <w:r w:rsidRPr="00FE68F6">
                          <w:rPr>
                            <w:sz w:val="20"/>
                            <w:szCs w:val="20"/>
                          </w:rPr>
                          <w:t>EECR03 участници, които при напускане на операцията получават квалификация</w:t>
                        </w:r>
                      </w:p>
                      <w:p w14:paraId="23B52068" w14:textId="77777777" w:rsidR="00E85916" w:rsidRPr="005433D9" w:rsidRDefault="00E85916" w:rsidP="00A73E26">
                        <w:pPr>
                          <w:pStyle w:val="Style1"/>
                        </w:pPr>
                      </w:p>
                    </w:txbxContent>
                  </v:textbox>
                </v:roundrect>
                <v:shape id="Straight Arrow Connector 244" o:spid="_x0000_s1128" type="#_x0000_t32" style="position:absolute;left:39917;top:21000;width:787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" strokecolor="#375623 [1609]" strokeweight="1pt">
                  <v:stroke endarrow="block" joinstyle="miter"/>
                </v:shape>
                <v:shape id="Straight Arrow Connector 245" o:spid="_x0000_s1129" type="#_x0000_t32" style="position:absolute;left:56792;top:38031;width:0;height:33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" strokecolor="#5b9bd5 [3204]" strokeweight=".5pt">
                  <v:stroke dashstyle="dash" startarrow="block" endarrow="block" joinstyle="miter"/>
                </v:shape>
                <v:rect id="Rectangle 246" o:spid="_x0000_s1130" style="position:absolute;left:56792;top:38438;width:6790;height:2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" filled="f" stroked="f" strokeweight="1pt">
                  <v:textbox>
                    <w:txbxContent>
                      <w:p w14:paraId="48EC9BF1"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v:textbox>
                </v:rect>
                <v:shape id="Straight Arrow Connector 247" o:spid="_x0000_s1131" type="#_x0000_t32" style="position:absolute;left:84603;top:55709;width:9571;height:363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" strokecolor="#375623 [1609]" strokeweight="1pt">
                  <v:stroke dashstyle="dash" endarrow="block" joinstyle="miter"/>
                </v:shape>
                <v:roundrect id="Rounded Rectangle 250" o:spid="_x0000_s1132" style="position:absolute;left:85174;top:59347;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" fillcolor="#6ff" strokecolor="#002060" strokeweight="1pt">
                  <v:stroke joinstyle="miter"/>
                  <v:textbox>
                    <w:txbxContent>
                      <w:p w14:paraId="562037DC" w14:textId="77777777" w:rsidR="00E85916" w:rsidRPr="00A06C18" w:rsidRDefault="00E85916" w:rsidP="00A06C18">
                        <w:pPr>
                          <w:jc w:val="center"/>
                          <w:rPr>
                            <w:sz w:val="18"/>
                            <w:szCs w:val="18"/>
                          </w:rPr>
                        </w:pPr>
                        <w:r w:rsidRPr="00A06C18">
                          <w:rPr>
                            <w:sz w:val="18"/>
                            <w:szCs w:val="18"/>
                          </w:rPr>
                          <w:t>SOI 2.3 Брой образователни институции, разработили иновативни обучителни пакети</w:t>
                        </w:r>
                      </w:p>
                    </w:txbxContent>
                  </v:textbox>
                </v:roundrect>
                <v:roundrect id="Rounded Rectangle 251" o:spid="_x0000_s1133" style="position:absolute;left:47792;top:16500;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" fillcolor="#cff" strokecolor="#002060" strokeweight="1pt">
                  <v:stroke joinstyle="miter"/>
                  <v:textbox>
                    <w:txbxContent>
                      <w:p w14:paraId="3BE5C20B" w14:textId="77777777" w:rsidR="00E85916" w:rsidRPr="00FE68F6" w:rsidRDefault="00E85916" w:rsidP="00FE68F6">
                        <w:pPr>
                          <w:jc w:val="center"/>
                          <w:rPr>
                            <w:sz w:val="20"/>
                            <w:szCs w:val="20"/>
                          </w:rPr>
                        </w:pPr>
                        <w:r w:rsidRPr="00FE68F6">
                          <w:rPr>
                            <w:sz w:val="20"/>
                            <w:szCs w:val="20"/>
                          </w:rPr>
                          <w:t>SOI 2.4  Участници, придобили умения  за преподаване в STEM среда</w:t>
                        </w:r>
                      </w:p>
                    </w:txbxContent>
                  </v:textbox>
                </v:roundrect>
                <v:roundrect id="Rounded Rectangle 252" o:spid="_x0000_s1134" style="position:absolute;left:32385;top:55432;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" fillcolor="#cff" strokecolor="#002060" strokeweight="1pt">
                  <v:stroke joinstyle="miter"/>
                  <v:textbox>
                    <w:txbxContent>
                      <w:p w14:paraId="7A29EC96" w14:textId="77777777" w:rsidR="00E85916" w:rsidRPr="00A06C18" w:rsidRDefault="00E85916" w:rsidP="00A06C18">
                        <w:pPr>
                          <w:jc w:val="center"/>
                          <w:rPr>
                            <w:sz w:val="18"/>
                            <w:szCs w:val="18"/>
                          </w:rPr>
                        </w:pPr>
                        <w:r w:rsidRPr="00A06C18">
                          <w:rPr>
                            <w:sz w:val="18"/>
                            <w:szCs w:val="18"/>
                          </w:rPr>
                          <w:t>SOI 2.5 Участници, които са завършили обучение  за подобряване на уменията за работа в образователната система</w:t>
                        </w:r>
                      </w:p>
                    </w:txbxContent>
                  </v:textbox>
                </v:roundrect>
                <v:roundrect id="Rounded Rectangle 253" o:spid="_x0000_s1135" style="position:absolute;left:1143;top:3711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" fillcolor="#cff" strokecolor="#002060" strokeweight="1pt">
                  <v:stroke joinstyle="miter"/>
                  <v:textbox>
                    <w:txbxContent>
                      <w:p w14:paraId="2BDD2CF7" w14:textId="77777777" w:rsidR="00E85916" w:rsidRPr="00A06C18" w:rsidRDefault="00E85916" w:rsidP="00A06C18">
                        <w:pPr>
                          <w:jc w:val="center"/>
                          <w:rPr>
                            <w:sz w:val="18"/>
                            <w:szCs w:val="18"/>
                          </w:rPr>
                        </w:pPr>
                        <w:r w:rsidRPr="00A06C18">
                          <w:rPr>
                            <w:sz w:val="18"/>
                            <w:szCs w:val="18"/>
                          </w:rPr>
                          <w:t>SOI 2.6 Брой високо квалифицирани специалисти, които са привлечени към учителската професия чрез алтернативни мерки за достъп</w:t>
                        </w:r>
                      </w:p>
                    </w:txbxContent>
                  </v:textbox>
                </v:roundrect>
                <v:roundrect id="Rounded Rectangle 254" o:spid="_x0000_s1136" style="position:absolute;left:22861;top:3711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" fillcolor="#cf9" strokecolor="#375623 [1609]" strokeweight="1pt">
                  <v:stroke joinstyle="miter"/>
                  <v:textbox>
                    <w:txbxContent>
                      <w:p w14:paraId="70BBAD03" w14:textId="77777777" w:rsidR="00E85916" w:rsidRPr="00A06C18" w:rsidRDefault="00E85916" w:rsidP="00A06C18">
                        <w:pPr>
                          <w:jc w:val="center"/>
                          <w:rPr>
                            <w:sz w:val="18"/>
                            <w:szCs w:val="18"/>
                          </w:rPr>
                        </w:pPr>
                        <w:r w:rsidRPr="00A06C18">
                          <w:rPr>
                            <w:sz w:val="18"/>
                            <w:szCs w:val="18"/>
                          </w:rPr>
                          <w:t>SRI 2.1. Подобрени образователни резултати на подкрепените деца и ученици</w:t>
                        </w:r>
                      </w:p>
                    </w:txbxContent>
                  </v:textbox>
                </v:roundrect>
                <v:roundrect id="Rounded Rectangle 255" o:spid="_x0000_s1137" style="position:absolute;left:73354;top:19598;width:18000;height:114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" fillcolor="#cf9" strokecolor="#375623 [1609]" strokeweight="1pt">
                  <v:stroke joinstyle="miter"/>
                  <v:textbox>
                    <w:txbxContent>
                      <w:p w14:paraId="0FA2B324" w14:textId="77777777" w:rsidR="00E85916" w:rsidRPr="00FE68F6" w:rsidRDefault="00E85916" w:rsidP="00FE68F6">
                        <w:pPr>
                          <w:jc w:val="center"/>
                          <w:rPr>
                            <w:sz w:val="18"/>
                            <w:szCs w:val="18"/>
                          </w:rPr>
                        </w:pPr>
                        <w:r w:rsidRPr="00FE68F6">
                          <w:rPr>
                            <w:sz w:val="18"/>
                            <w:szCs w:val="18"/>
                          </w:rPr>
                          <w:t>SRI 2.2  Дял на училищата, които изпълняват методически планове за действие с разширена  група ключови компетентности 2 години след въвеждането им</w:t>
                        </w:r>
                      </w:p>
                    </w:txbxContent>
                  </v:textbox>
                </v:roundrect>
                <v:roundrect id="Rounded Rectangle 257" o:spid="_x0000_s1138" style="position:absolute;left:66603;top:50978;width:18000;height:94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" fillcolor="#cf9" strokecolor="#375623 [1609]" strokeweight="1pt">
                  <v:stroke joinstyle="miter"/>
                  <v:textbox>
                    <w:txbxContent>
                      <w:p w14:paraId="1474C1E1" w14:textId="77777777" w:rsidR="00E85916" w:rsidRPr="00A06C18" w:rsidRDefault="00E85916" w:rsidP="00A06C18">
                        <w:pPr>
                          <w:jc w:val="center"/>
                          <w:rPr>
                            <w:sz w:val="18"/>
                            <w:szCs w:val="18"/>
                          </w:rPr>
                        </w:pPr>
                        <w:r w:rsidRPr="00A06C18">
                          <w:rPr>
                            <w:sz w:val="18"/>
                            <w:szCs w:val="18"/>
                          </w:rPr>
                          <w:t>SRI 2.3 Брой потребители на разработените иновативни обучителни пакети</w:t>
                        </w:r>
                      </w:p>
                    </w:txbxContent>
                  </v:textbox>
                </v:roundrect>
                <v:shape id="Straight Arrow Connector 258" o:spid="_x0000_s1139" type="#_x0000_t32" style="position:absolute;left:39917;top:21000;width:7875;height:1253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" strokecolor="#375623 [1609]" strokeweight="1pt">
                  <v:stroke endarrow="block" joinstyle="miter"/>
                </v:shape>
                <v:shape id="Straight Arrow Connector 260" o:spid="_x0000_s1140" type="#_x0000_t32" style="position:absolute;left:19805;top:46111;width:12056;height:93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" strokecolor="#375623 [1609]" strokeweight="1pt">
                  <v:stroke dashstyle="dash" endarrow="block" joinstyle="miter"/>
                </v:shape>
                <v:shape id="Straight Arrow Connector 261" o:spid="_x0000_s1141" type="#_x0000_t32" style="position:absolute;left:31861;top:46111;width:9524;height:932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" strokecolor="#375623 [1609]" strokeweight="1pt">
                  <v:stroke dashstyle="dash" endarrow="block" joinstyle="miter"/>
                </v:shape>
                <v:shape id="Straight Arrow Connector 262" o:spid="_x0000_s1142" type="#_x0000_t32" style="position:absolute;left:19143;top:41611;width:371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" strokecolor="#375623 [1609]" strokeweight="1pt">
                  <v:stroke dashstyle="dash" endarrow="block" joinstyle="miter"/>
                </v:shape>
                <v:shape id="Straight Arrow Connector 263" o:spid="_x0000_s1143" type="#_x0000_t32" style="position:absolute;left:65792;top:33531;width:9811;height:174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" strokecolor="#375623 [1609]" strokeweight="1pt">
                  <v:stroke endarrow="block" joinstyle="miter"/>
                </v:shape>
                <v:shape id="Straight Arrow Connector 264" o:spid="_x0000_s1144" type="#_x0000_t32" style="position:absolute;left:94174;top:43808;width:239;height:15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" strokecolor="#375623 [1609]" strokeweight="1pt">
                  <v:stroke dashstyle="dash" endarrow="block" joinstyle="miter"/>
                </v:shape>
                <v:shape id="Straight Arrow Connector 267" o:spid="_x0000_s1145" type="#_x0000_t34" style="position:absolute;left:38521;top:18840;width:11611;height:2493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" adj="3712" strokecolor="#375623 [1609]" strokeweight="1pt">
                  <v:stroke dashstyle="dash" endarrow="block"/>
                </v:shape>
                <v:shape id="Straight Arrow Connector 269" o:spid="_x0000_s1146" type="#_x0000_t32" style="position:absolute;left:40861;top:33531;width:6931;height:80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" strokecolor="#375623 [1609]" strokeweight="1pt">
                  <v:stroke endarrow="block" joinstyle="miter"/>
                </v:shape>
                <v:shape id="Straight Arrow Connector 272" o:spid="_x0000_s1147" type="#_x0000_t32" style="position:absolute;left:65792;top:33531;width:19621;height:55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" strokecolor="#375623 [1609]" strokeweight="1pt">
                  <v:stroke endarrow="block" joinstyle="miter"/>
                </v:shape>
                <v:shape id="Straight Arrow Connector 273" o:spid="_x0000_s1148" type="#_x0000_t32" style="position:absolute;left:65792;top:25309;width:7562;height:82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" strokecolor="#375623 [1609]" strokeweight="1pt">
                  <v:stroke dashstyle="dash" endarrow="block" joinstyle="miter"/>
                </v:shape>
                <v:shape id="Straight Arrow Connector 274" o:spid="_x0000_s1149" type="#_x0000_t32" style="position:absolute;left:65792;top:21000;width:7562;height:43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" strokecolor="#375623 [1609]" strokeweight="1pt">
                  <v:stroke dashstyle="dash" endarrow="block" joinstyle="miter"/>
                </v:shape>
                <v:shapetype id="_x0000_t33" coordsize="21600,21600" o:spt="33" o:oned="t" path="m,l21600,r,21600e" filled="f">
                  <v:stroke joinstyle="miter"/>
                  <v:path arrowok="t" fillok="f" o:connecttype="none"/>
                  <o:lock v:ext="edit" shapetype="t"/>
                </v:shapetype>
                <v:shape id="Straight Arrow Connector 275" o:spid="_x0000_s1150" type="#_x0000_t33" style="position:absolute;left:89961;top:19304;width:7398;height:461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" strokecolor="#375623 [1609]" strokeweight="1pt">
                  <v:stroke endarrow="block"/>
                </v:shape>
                <v:shape id="Straight Arrow Connector 157" o:spid="_x0000_s1151" type="#_x0000_t32" style="position:absolute;left:50385;top:50414;width:6407;height:95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" strokecolor="#5b9bd5 [3204]" strokeweight=".5pt">
                  <v:stroke dashstyle="dash" startarrow="block" endarrow="block" joinstyle="miter"/>
                </v:shape>
                <v:rect id="Rectangle 158" o:spid="_x0000_s1152" style="position:absolute;left:52396;top:53844;width:6788;height:2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NxAAAANwAAAAPAAAAZHJzL2Rvd25yZXYueG1sRI9PSwMx&#10;EMXvgt8hjODNZhWU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MUVcY3EAAAA3AAAAA8A&#10;AAAAAAAAAAAAAAAABwIAAGRycy9kb3ducmV2LnhtbFBLBQYAAAAAAwADALcAAAD4AgAAAAA=&#10;" filled="f" stroked="f" strokeweight="1pt">
                  <v:textbox>
                    <w:txbxContent>
                      <w:p w14:paraId="206F727B"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v:textbox>
                </v:rect>
                <w10:wrap anchory="page"/>
              </v:group>
            </w:pict>
          </mc:Fallback>
        </mc:AlternateContent>
      </w:r>
      <w:r w:rsidR="00E85916" w:rsidRPr="00D83669">
        <w:br w:type="page"/>
      </w:r>
    </w:p>
    <w:p w14:paraId="17019E86" w14:textId="77777777" w:rsidR="00E85916" w:rsidRPr="00D83669" w:rsidRDefault="00E85916">
      <w:r w:rsidRPr="00D83669">
        <w:rPr>
          <w:rFonts w:eastAsia="Calibri"/>
          <w:noProof/>
          <w:color w:val="000000" w:themeColor="text1"/>
          <w:sz w:val="20"/>
          <w:szCs w:val="20"/>
          <w:lang w:eastAsia="bg-BG"/>
        </w:rPr>
        <w:lastRenderedPageBreak/>
        <mc:AlternateContent>
          <mc:Choice Requires="wpc">
            <w:drawing>
              <wp:anchor distT="0" distB="0" distL="114300" distR="114300" simplePos="0" relativeHeight="251679744" behindDoc="0" locked="0" layoutInCell="1" allowOverlap="1" wp14:anchorId="3D81AEAA" wp14:editId="4D6A1EB3">
                <wp:simplePos x="0" y="0"/>
                <wp:positionH relativeFrom="column">
                  <wp:posOffset>-295275</wp:posOffset>
                </wp:positionH>
                <wp:positionV relativeFrom="page">
                  <wp:posOffset>220980</wp:posOffset>
                </wp:positionV>
                <wp:extent cx="10546080" cy="7212330"/>
                <wp:effectExtent l="0" t="0" r="7620" b="0"/>
                <wp:wrapNone/>
                <wp:docPr id="322" name="Canvas 32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91" name="Rounded Rectangle 291"/>
                        <wps:cNvSpPr/>
                        <wps:spPr>
                          <a:xfrm>
                            <a:off x="60960" y="0"/>
                            <a:ext cx="10485120" cy="721591"/>
                          </a:xfrm>
                          <a:prstGeom prst="round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651264C8" w14:textId="77777777" w:rsidR="00E85916" w:rsidRDefault="00E85916" w:rsidP="00737B15">
                              <w:pPr>
                                <w:jc w:val="center"/>
                                <w:rPr>
                                  <w:rFonts w:eastAsia="Calibri" w:cstheme="minorHAnsi"/>
                                  <w:b/>
                                  <w:color w:val="C00000"/>
                                  <w:sz w:val="28"/>
                                  <w:szCs w:val="14"/>
                                </w:rPr>
                              </w:pPr>
                              <w:r w:rsidRPr="00737B15">
                                <w:rPr>
                                  <w:b/>
                                  <w:bCs/>
                                  <w:color w:val="C00000"/>
                                  <w:sz w:val="28"/>
                                  <w:szCs w:val="28"/>
                                </w:rPr>
                                <w:t>ПРИОРИТЕТ 3 – ВРЪЗКА НА ОБРАЗОВАНИЕТО С ПАЗАРА НА ТРУДА –</w:t>
                              </w:r>
                            </w:p>
                            <w:p w14:paraId="0DB14B5D" w14:textId="77777777" w:rsidR="00E85916" w:rsidRPr="00737B15" w:rsidRDefault="00E85916" w:rsidP="00737B15">
                              <w:pPr>
                                <w:jc w:val="center"/>
                                <w:rPr>
                                  <w:b/>
                                  <w:bCs/>
                                  <w:color w:val="1F4E79" w:themeColor="accent1" w:themeShade="80"/>
                                  <w:sz w:val="28"/>
                                  <w:szCs w:val="28"/>
                                </w:rPr>
                              </w:pPr>
                              <w:r w:rsidRPr="00737B15">
                                <w:rPr>
                                  <w:b/>
                                  <w:bCs/>
                                  <w:color w:val="1F4E79" w:themeColor="accent1" w:themeShade="80"/>
                                  <w:sz w:val="28"/>
                                  <w:szCs w:val="28"/>
                                </w:rPr>
                                <w:t>ПРОФЕСИОНАЛНО ОБРАЗОВАНИЕ И ОБУЧЕНИЕ</w:t>
                              </w:r>
                            </w:p>
                          </w:txbxContent>
                        </wps:txbx>
                        <wps:bodyPr rot="0" spcFirstLastPara="0" vert="horz" wrap="square" lIns="9257" tIns="5555" rIns="9257" bIns="5555" numCol="1" spcCol="0" rtlCol="0" fromWordArt="0" anchor="t" anchorCtr="0" forceAA="0" compatLnSpc="1">
                          <a:prstTxWarp prst="textNoShape">
                            <a:avLst/>
                          </a:prstTxWarp>
                          <a:noAutofit/>
                        </wps:bodyPr>
                      </wps:wsp>
                      <wps:wsp>
                        <wps:cNvPr id="292" name="Rounded Rectangle 292"/>
                        <wps:cNvSpPr/>
                        <wps:spPr>
                          <a:xfrm>
                            <a:off x="118110" y="2270268"/>
                            <a:ext cx="1800000" cy="1013952"/>
                          </a:xfrm>
                          <a:prstGeom prst="roundRect">
                            <a:avLst/>
                          </a:prstGeom>
                          <a:solidFill>
                            <a:srgbClr val="66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026C0BCD"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SOI 3.1. Брой професионални училища, въвели модернизирани учебни програми по професионална подготовка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3" name="Rounded Rectangle 293"/>
                        <wps:cNvSpPr/>
                        <wps:spPr>
                          <a:xfrm>
                            <a:off x="3991772" y="3716539"/>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48EFBEEE"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EECO15 малцинства (включително маргинализирани общности като ромите)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4" name="Rectangle 294"/>
                        <wps:cNvSpPr/>
                        <wps:spPr>
                          <a:xfrm>
                            <a:off x="2915744" y="1092718"/>
                            <a:ext cx="4358640" cy="371127"/>
                          </a:xfrm>
                          <a:prstGeom prst="rect">
                            <a:avLst/>
                          </a:prstGeom>
                          <a:solidFill>
                            <a:srgbClr val="FFFFCC"/>
                          </a:solidFill>
                        </wps:spPr>
                        <wps:style>
                          <a:lnRef idx="1">
                            <a:schemeClr val="accent2"/>
                          </a:lnRef>
                          <a:fillRef idx="2">
                            <a:schemeClr val="accent2"/>
                          </a:fillRef>
                          <a:effectRef idx="1">
                            <a:schemeClr val="accent2"/>
                          </a:effectRef>
                          <a:fontRef idx="minor">
                            <a:schemeClr val="dk1"/>
                          </a:fontRef>
                        </wps:style>
                        <wps:txbx>
                          <w:txbxContent>
                            <w:p w14:paraId="34B562ED" w14:textId="77777777" w:rsidR="00E85916" w:rsidRPr="007E42F6" w:rsidRDefault="00E85916" w:rsidP="007E42F6">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д</w:t>
                              </w:r>
                              <w:r w:rsidRPr="00591763">
                                <w:rPr>
                                  <w:b/>
                                  <w:sz w:val="32"/>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6" name="Rounded Rectangle 296"/>
                        <wps:cNvSpPr/>
                        <wps:spPr>
                          <a:xfrm>
                            <a:off x="3991772" y="2478184"/>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13600358" w14:textId="77777777" w:rsidR="00E85916" w:rsidRPr="000215B2" w:rsidRDefault="00E85916" w:rsidP="007E42F6">
                              <w:pPr>
                                <w:jc w:val="center"/>
                                <w:rPr>
                                  <w:rFonts w:eastAsia="Calibri" w:cstheme="minorHAnsi"/>
                                  <w:sz w:val="18"/>
                                  <w:szCs w:val="20"/>
                                </w:rPr>
                              </w:pPr>
                              <w:r w:rsidRPr="007E42F6">
                                <w:rPr>
                                  <w:rFonts w:eastAsia="Calibri" w:cstheme="minorHAnsi"/>
                                  <w:sz w:val="18"/>
                                  <w:szCs w:val="20"/>
                                </w:rPr>
                                <w:t>ЕЕСO09 Участници с прогимназиален етап на основното образование или по-ниска степен (ISCED 0-2)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7" name="Rounded Rectangle 297"/>
                        <wps:cNvSpPr/>
                        <wps:spPr>
                          <a:xfrm>
                            <a:off x="7796697" y="4166539"/>
                            <a:ext cx="1800000" cy="946336"/>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2406D41A" w14:textId="649B4222" w:rsidR="00E85916" w:rsidRPr="00434AB0" w:rsidRDefault="00E85916" w:rsidP="00434AB0">
                              <w:pPr>
                                <w:spacing w:after="0" w:line="240" w:lineRule="auto"/>
                                <w:jc w:val="center"/>
                                <w:rPr>
                                  <w:rFonts w:eastAsia="Times New Roman" w:cstheme="minorHAnsi"/>
                                  <w:sz w:val="18"/>
                                  <w:szCs w:val="18"/>
                                  <w:lang w:eastAsia="en-GB"/>
                                </w:rPr>
                              </w:pPr>
                              <w:r w:rsidRPr="00434AB0">
                                <w:rPr>
                                  <w:rFonts w:eastAsia="Times New Roman" w:cstheme="minorHAnsi"/>
                                  <w:sz w:val="18"/>
                                  <w:szCs w:val="18"/>
                                  <w:lang w:eastAsia="en-GB"/>
                                </w:rPr>
                                <w:t>EECR04 Участници, които при напускане на операцията имат работа, включително като самостоятелно наети лица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8" name="Rounded Rectangle 298"/>
                        <wps:cNvSpPr/>
                        <wps:spPr>
                          <a:xfrm>
                            <a:off x="7803513" y="5392639"/>
                            <a:ext cx="1800000" cy="90000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682EC9D1" w14:textId="77777777" w:rsidR="00E85916" w:rsidRPr="00434AB0" w:rsidRDefault="00E85916" w:rsidP="007E42F6">
                              <w:pPr>
                                <w:spacing w:after="0" w:line="240" w:lineRule="auto"/>
                                <w:jc w:val="center"/>
                                <w:rPr>
                                  <w:rFonts w:eastAsia="Times New Roman" w:cstheme="minorHAnsi"/>
                                  <w:sz w:val="18"/>
                                  <w:szCs w:val="18"/>
                                  <w:lang w:eastAsia="en-GB"/>
                                </w:rPr>
                              </w:pPr>
                              <w:r w:rsidRPr="00434AB0">
                                <w:rPr>
                                  <w:rFonts w:eastAsia="Times New Roman" w:cstheme="minorHAnsi"/>
                                  <w:sz w:val="18"/>
                                  <w:szCs w:val="18"/>
                                  <w:lang w:eastAsia="en-GB"/>
                                </w:rPr>
                                <w:t>EECR03 участници, които при напускане на операцията получават квалификация</w:t>
                              </w:r>
                            </w:p>
                            <w:p w14:paraId="66013F4D" w14:textId="77777777" w:rsidR="00E85916" w:rsidRPr="005433D9" w:rsidRDefault="00E85916" w:rsidP="00A73E26">
                              <w:pPr>
                                <w:pStyle w:val="Style1"/>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0" name="Straight Arrow Connector 300"/>
                        <wps:cNvCnPr>
                          <a:stCxn id="296" idx="2"/>
                          <a:endCxn id="293" idx="0"/>
                        </wps:cNvCnPr>
                        <wps:spPr>
                          <a:xfrm>
                            <a:off x="4891772" y="3378184"/>
                            <a:ext cx="0" cy="338355"/>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01" name="Rectangle 301"/>
                        <wps:cNvSpPr/>
                        <wps:spPr>
                          <a:xfrm>
                            <a:off x="4891772" y="3378184"/>
                            <a:ext cx="678982" cy="29148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55CC98E"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4" name="Rounded Rectangle 304"/>
                        <wps:cNvSpPr/>
                        <wps:spPr>
                          <a:xfrm>
                            <a:off x="118110" y="4974797"/>
                            <a:ext cx="1800000" cy="900000"/>
                          </a:xfrm>
                          <a:prstGeom prst="roundRect">
                            <a:avLst/>
                          </a:prstGeom>
                          <a:solidFill>
                            <a:srgbClr val="66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424F304C"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SOI 3.3. Брой училища въвели дуална система на обучение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5" name="Rounded Rectangle 305"/>
                        <wps:cNvSpPr/>
                        <wps:spPr>
                          <a:xfrm>
                            <a:off x="118110" y="3670726"/>
                            <a:ext cx="1800000" cy="900000"/>
                          </a:xfrm>
                          <a:prstGeom prst="roundRect">
                            <a:avLst/>
                          </a:prstGeom>
                          <a:solidFill>
                            <a:srgbClr val="66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651DA959"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SOI 3.2.Брой подкрепени Центрове за високи постижения</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6" name="Rounded Rectangle 306"/>
                        <wps:cNvSpPr/>
                        <wps:spPr>
                          <a:xfrm>
                            <a:off x="3991772" y="5392639"/>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3C7CD457"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EEC005 Заети, включително самостоятелно заети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7" name="Rounded Rectangle 307"/>
                        <wps:cNvSpPr/>
                        <wps:spPr>
                          <a:xfrm>
                            <a:off x="7803513" y="1694118"/>
                            <a:ext cx="1800000" cy="90000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1D001AA0"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ЕЕСR02 - Участници, които при напускане на операцията са ангажирани с образование или обучение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9" name="Rounded Rectangle 309"/>
                        <wps:cNvSpPr/>
                        <wps:spPr>
                          <a:xfrm>
                            <a:off x="7803513" y="2928184"/>
                            <a:ext cx="1800000" cy="946336"/>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27DE2372"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SRI 3.1. Лица започнали да търсят работа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0" name="Straight Arrow Connector 310"/>
                        <wps:cNvCnPr>
                          <a:stCxn id="292" idx="3"/>
                          <a:endCxn id="306" idx="1"/>
                        </wps:cNvCnPr>
                        <wps:spPr>
                          <a:xfrm>
                            <a:off x="1918110" y="2777244"/>
                            <a:ext cx="2073662" cy="3065395"/>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311" name="Straight Arrow Connector 311"/>
                        <wps:cNvCnPr>
                          <a:stCxn id="292" idx="3"/>
                          <a:endCxn id="296" idx="1"/>
                        </wps:cNvCnPr>
                        <wps:spPr>
                          <a:xfrm>
                            <a:off x="1918110" y="2777244"/>
                            <a:ext cx="2073662" cy="150940"/>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312" name="Straight Arrow Connector 312"/>
                        <wps:cNvCnPr>
                          <a:stCxn id="305" idx="3"/>
                          <a:endCxn id="296" idx="1"/>
                        </wps:cNvCnPr>
                        <wps:spPr>
                          <a:xfrm flipV="1">
                            <a:off x="1918110" y="2928184"/>
                            <a:ext cx="2073662" cy="1192542"/>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313" name="Straight Arrow Connector 313"/>
                        <wps:cNvCnPr>
                          <a:stCxn id="304" idx="3"/>
                          <a:endCxn id="296" idx="1"/>
                        </wps:cNvCnPr>
                        <wps:spPr>
                          <a:xfrm flipV="1">
                            <a:off x="1918110" y="2928184"/>
                            <a:ext cx="2073662" cy="2496613"/>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317" name="Straight Arrow Connector 317"/>
                        <wps:cNvCnPr>
                          <a:stCxn id="305" idx="3"/>
                          <a:endCxn id="306" idx="1"/>
                        </wps:cNvCnPr>
                        <wps:spPr>
                          <a:xfrm>
                            <a:off x="1918110" y="4120726"/>
                            <a:ext cx="2073662" cy="1721913"/>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s:wsp>
                        <wps:cNvPr id="318" name="Straight Arrow Connector 318"/>
                        <wps:cNvCnPr>
                          <a:stCxn id="296" idx="3"/>
                          <a:endCxn id="297" idx="1"/>
                        </wps:cNvCnPr>
                        <wps:spPr>
                          <a:xfrm>
                            <a:off x="5791772" y="2928184"/>
                            <a:ext cx="2004925" cy="1711523"/>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319" name="Straight Arrow Connector 319"/>
                        <wps:cNvCnPr>
                          <a:stCxn id="296" idx="3"/>
                          <a:endCxn id="309" idx="1"/>
                        </wps:cNvCnPr>
                        <wps:spPr>
                          <a:xfrm>
                            <a:off x="5791772" y="2928184"/>
                            <a:ext cx="2011741" cy="473168"/>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320" name="Straight Arrow Connector 320"/>
                        <wps:cNvCnPr>
                          <a:stCxn id="296" idx="3"/>
                          <a:endCxn id="307" idx="1"/>
                        </wps:cNvCnPr>
                        <wps:spPr>
                          <a:xfrm flipV="1">
                            <a:off x="5791772" y="2144118"/>
                            <a:ext cx="2011741" cy="784066"/>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323" name="Straight Arrow Connector 323"/>
                        <wps:cNvCnPr>
                          <a:stCxn id="306" idx="3"/>
                          <a:endCxn id="298" idx="1"/>
                        </wps:cNvCnPr>
                        <wps:spPr>
                          <a:xfrm>
                            <a:off x="5791772" y="5842639"/>
                            <a:ext cx="2011741" cy="0"/>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124" name="Straight Arrow Connector 124"/>
                        <wps:cNvCnPr>
                          <a:stCxn id="304" idx="3"/>
                          <a:endCxn id="306" idx="1"/>
                        </wps:cNvCnPr>
                        <wps:spPr>
                          <a:xfrm>
                            <a:off x="1918110" y="5424797"/>
                            <a:ext cx="2073662" cy="417842"/>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c:wpc>
                  </a:graphicData>
                </a:graphic>
                <wp14:sizeRelH relativeFrom="margin">
                  <wp14:pctWidth>0</wp14:pctWidth>
                </wp14:sizeRelH>
                <wp14:sizeRelV relativeFrom="margin">
                  <wp14:pctHeight>0</wp14:pctHeight>
                </wp14:sizeRelV>
              </wp:anchor>
            </w:drawing>
          </mc:Choice>
          <mc:Fallback>
            <w:pict>
              <v:group w14:anchorId="3D81AEAA" id="Canvas 322" o:spid="_x0000_s1153" editas="canvas" style="position:absolute;margin-left:-23.25pt;margin-top:17.4pt;width:830.4pt;height:567.9pt;z-index:251679744;mso-position-vertical-relative:page;mso-width-relative:margin;mso-height-relative:margin" coordsize="105460,72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">
                <v:shape id="_x0000_s1154" type="#_x0000_t75" style="position:absolute;width:105460;height:72123;visibility:visible;mso-wrap-style:square">
                  <v:fill o:detectmouseclick="t"/>
                  <v:path o:connecttype="none"/>
                </v:shape>
                <v:roundrect id="Rounded Rectangle 291" o:spid="_x0000_s1155" style="position:absolute;left:609;width:104851;height:72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" filled="f" stroked="f">
                  <v:textbox inset=".25714mm,.15431mm,.25714mm,.15431mm">
                    <w:txbxContent>
                      <w:p w14:paraId="651264C8" w14:textId="77777777" w:rsidR="00E85916" w:rsidRDefault="00E85916" w:rsidP="00737B15">
                        <w:pPr>
                          <w:jc w:val="center"/>
                          <w:rPr>
                            <w:rFonts w:eastAsia="Calibri" w:cstheme="minorHAnsi"/>
                            <w:b/>
                            <w:color w:val="C00000"/>
                            <w:sz w:val="28"/>
                            <w:szCs w:val="14"/>
                          </w:rPr>
                        </w:pPr>
                        <w:r w:rsidRPr="00737B15">
                          <w:rPr>
                            <w:b/>
                            <w:bCs/>
                            <w:color w:val="C00000"/>
                            <w:sz w:val="28"/>
                            <w:szCs w:val="28"/>
                          </w:rPr>
                          <w:t>ПРИОРИТЕТ 3 – ВРЪЗКА НА ОБРАЗОВАНИЕТО С ПАЗАРА НА ТРУДА –</w:t>
                        </w:r>
                      </w:p>
                      <w:p w14:paraId="0DB14B5D" w14:textId="77777777" w:rsidR="00E85916" w:rsidRPr="00737B15" w:rsidRDefault="00E85916" w:rsidP="00737B15">
                        <w:pPr>
                          <w:jc w:val="center"/>
                          <w:rPr>
                            <w:b/>
                            <w:bCs/>
                            <w:color w:val="1F4E79" w:themeColor="accent1" w:themeShade="80"/>
                            <w:sz w:val="28"/>
                            <w:szCs w:val="28"/>
                          </w:rPr>
                        </w:pPr>
                        <w:r w:rsidRPr="00737B15">
                          <w:rPr>
                            <w:b/>
                            <w:bCs/>
                            <w:color w:val="1F4E79" w:themeColor="accent1" w:themeShade="80"/>
                            <w:sz w:val="28"/>
                            <w:szCs w:val="28"/>
                          </w:rPr>
                          <w:t>ПРОФЕСИОНАЛНО ОБРАЗОВАНИЕ И ОБУЧЕНИЕ</w:t>
                        </w:r>
                      </w:p>
                    </w:txbxContent>
                  </v:textbox>
                </v:roundrect>
                <v:roundrect id="Rounded Rectangle 292" o:spid="_x0000_s1156" style="position:absolute;left:1181;top:22702;width:18000;height:101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" fillcolor="#6ff" strokecolor="#002060" strokeweight="1pt">
                  <v:stroke joinstyle="miter"/>
                  <v:textbox>
                    <w:txbxContent>
                      <w:p w14:paraId="026C0BCD"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SOI 3.1. Брой професионални училища, въвели модернизирани учебни програми по професионална подготовка</w:t>
                        </w:r>
                      </w:p>
                    </w:txbxContent>
                  </v:textbox>
                </v:roundrect>
                <v:roundrect id="Rounded Rectangle 293" o:spid="_x0000_s1157" style="position:absolute;left:39917;top:37165;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" fillcolor="#cff" strokecolor="#002060" strokeweight="1pt">
                  <v:stroke joinstyle="miter"/>
                  <v:textbox>
                    <w:txbxContent>
                      <w:p w14:paraId="48EFBEEE"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EECO15 малцинства (включително маргинализирани общности като ромите)</w:t>
                        </w:r>
                      </w:p>
                    </w:txbxContent>
                  </v:textbox>
                </v:roundrect>
                <v:rect id="Rectangle 294" o:spid="_x0000_s1158" style="position:absolute;left:29157;top:10927;width:43586;height:3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" fillcolor="#ffc" strokecolor="#ed7d31 [3205]" strokeweight=".5pt">
                  <v:textbox>
                    <w:txbxContent>
                      <w:p w14:paraId="34B562ED" w14:textId="77777777" w:rsidR="00E85916" w:rsidRPr="007E42F6" w:rsidRDefault="00E85916" w:rsidP="007E42F6">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д</w:t>
                        </w:r>
                        <w:r w:rsidRPr="00591763">
                          <w:rPr>
                            <w:b/>
                            <w:sz w:val="32"/>
                            <w:szCs w:val="24"/>
                          </w:rPr>
                          <w:t>)</w:t>
                        </w:r>
                      </w:p>
                    </w:txbxContent>
                  </v:textbox>
                </v:rect>
                <v:roundrect id="Rounded Rectangle 296" o:spid="_x0000_s1159" style="position:absolute;left:39917;top:2478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" fillcolor="#cff" strokecolor="#002060" strokeweight="1pt">
                  <v:stroke joinstyle="miter"/>
                  <v:textbox>
                    <w:txbxContent>
                      <w:p w14:paraId="13600358" w14:textId="77777777" w:rsidR="00E85916" w:rsidRPr="000215B2" w:rsidRDefault="00E85916" w:rsidP="007E42F6">
                        <w:pPr>
                          <w:jc w:val="center"/>
                          <w:rPr>
                            <w:rFonts w:eastAsia="Calibri" w:cstheme="minorHAnsi"/>
                            <w:sz w:val="18"/>
                            <w:szCs w:val="20"/>
                          </w:rPr>
                        </w:pPr>
                        <w:r w:rsidRPr="007E42F6">
                          <w:rPr>
                            <w:rFonts w:eastAsia="Calibri" w:cstheme="minorHAnsi"/>
                            <w:sz w:val="18"/>
                            <w:szCs w:val="20"/>
                          </w:rPr>
                          <w:t>ЕЕСO09 Участници с прогимназиален етап на основното образование или по-ниска степен (ISCED 0-2)</w:t>
                        </w:r>
                      </w:p>
                    </w:txbxContent>
                  </v:textbox>
                </v:roundrect>
                <v:roundrect id="Rounded Rectangle 297" o:spid="_x0000_s1160" style="position:absolute;left:77966;top:41665;width:18000;height:94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" fillcolor="#cf9" strokecolor="#375623 [1609]" strokeweight="1pt">
                  <v:stroke joinstyle="miter"/>
                  <v:textbox>
                    <w:txbxContent>
                      <w:p w14:paraId="2406D41A" w14:textId="649B4222" w:rsidR="00E85916" w:rsidRPr="00434AB0" w:rsidRDefault="00E85916" w:rsidP="00434AB0">
                        <w:pPr>
                          <w:spacing w:after="0" w:line="240" w:lineRule="auto"/>
                          <w:jc w:val="center"/>
                          <w:rPr>
                            <w:rFonts w:eastAsia="Times New Roman" w:cstheme="minorHAnsi"/>
                            <w:sz w:val="18"/>
                            <w:szCs w:val="18"/>
                            <w:lang w:eastAsia="en-GB"/>
                          </w:rPr>
                        </w:pPr>
                        <w:r w:rsidRPr="00434AB0">
                          <w:rPr>
                            <w:rFonts w:eastAsia="Times New Roman" w:cstheme="minorHAnsi"/>
                            <w:sz w:val="18"/>
                            <w:szCs w:val="18"/>
                            <w:lang w:eastAsia="en-GB"/>
                          </w:rPr>
                          <w:t>EECR04 Участници, които при напускане на операцията имат работа, включително като самостоятелно наети лица</w:t>
                        </w:r>
                      </w:p>
                    </w:txbxContent>
                  </v:textbox>
                </v:roundrect>
                <v:roundrect id="Rounded Rectangle 298" o:spid="_x0000_s1161" style="position:absolute;left:78035;top:53926;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" fillcolor="#cf9" strokecolor="#375623 [1609]" strokeweight="1pt">
                  <v:stroke joinstyle="miter"/>
                  <v:textbox>
                    <w:txbxContent>
                      <w:p w14:paraId="682EC9D1" w14:textId="77777777" w:rsidR="00E85916" w:rsidRPr="00434AB0" w:rsidRDefault="00E85916" w:rsidP="007E42F6">
                        <w:pPr>
                          <w:spacing w:after="0" w:line="240" w:lineRule="auto"/>
                          <w:jc w:val="center"/>
                          <w:rPr>
                            <w:rFonts w:eastAsia="Times New Roman" w:cstheme="minorHAnsi"/>
                            <w:sz w:val="18"/>
                            <w:szCs w:val="18"/>
                            <w:lang w:eastAsia="en-GB"/>
                          </w:rPr>
                        </w:pPr>
                        <w:r w:rsidRPr="00434AB0">
                          <w:rPr>
                            <w:rFonts w:eastAsia="Times New Roman" w:cstheme="minorHAnsi"/>
                            <w:sz w:val="18"/>
                            <w:szCs w:val="18"/>
                            <w:lang w:eastAsia="en-GB"/>
                          </w:rPr>
                          <w:t>EECR03 участници, които при напускане на операцията получават квалификация</w:t>
                        </w:r>
                      </w:p>
                      <w:p w14:paraId="66013F4D" w14:textId="77777777" w:rsidR="00E85916" w:rsidRPr="005433D9" w:rsidRDefault="00E85916" w:rsidP="00A73E26">
                        <w:pPr>
                          <w:pStyle w:val="Style1"/>
                        </w:pPr>
                      </w:p>
                    </w:txbxContent>
                  </v:textbox>
                </v:roundrect>
                <v:shape id="Straight Arrow Connector 300" o:spid="_x0000_s1162" type="#_x0000_t32" style="position:absolute;left:48917;top:33781;width:0;height:33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" strokecolor="#5b9bd5 [3204]" strokeweight=".5pt">
                  <v:stroke dashstyle="dash" startarrow="block" endarrow="block" joinstyle="miter"/>
                </v:shape>
                <v:rect id="Rectangle 301" o:spid="_x0000_s1163" style="position:absolute;left:48917;top:33781;width:6790;height:2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" filled="f" stroked="f" strokeweight="1pt">
                  <v:textbox>
                    <w:txbxContent>
                      <w:p w14:paraId="155CC98E"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v:textbox>
                </v:rect>
                <v:roundrect id="Rounded Rectangle 304" o:spid="_x0000_s1164" style="position:absolute;left:1181;top:49747;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" fillcolor="#6ff" strokecolor="#002060" strokeweight="1pt">
                  <v:stroke joinstyle="miter"/>
                  <v:textbox>
                    <w:txbxContent>
                      <w:p w14:paraId="424F304C"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SOI 3.3. Брой училища въвели дуална система на обучение</w:t>
                        </w:r>
                      </w:p>
                    </w:txbxContent>
                  </v:textbox>
                </v:roundrect>
                <v:roundrect id="Rounded Rectangle 305" o:spid="_x0000_s1165" style="position:absolute;left:1181;top:36707;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" fillcolor="#6ff" strokecolor="#002060" strokeweight="1pt">
                  <v:stroke joinstyle="miter"/>
                  <v:textbox>
                    <w:txbxContent>
                      <w:p w14:paraId="651DA959"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SOI 3.2.Брой подкрепени Центрове за високи постижения</w:t>
                        </w:r>
                      </w:p>
                    </w:txbxContent>
                  </v:textbox>
                </v:roundrect>
                <v:roundrect id="Rounded Rectangle 306" o:spid="_x0000_s1166" style="position:absolute;left:39917;top:53926;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" fillcolor="#cff" strokecolor="#002060" strokeweight="1pt">
                  <v:stroke joinstyle="miter"/>
                  <v:textbox>
                    <w:txbxContent>
                      <w:p w14:paraId="3C7CD457"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EEC005 Заети, включително самостоятелно заети</w:t>
                        </w:r>
                      </w:p>
                    </w:txbxContent>
                  </v:textbox>
                </v:roundrect>
                <v:roundrect id="Rounded Rectangle 307" o:spid="_x0000_s1167" style="position:absolute;left:78035;top:1694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" fillcolor="#cf9" strokecolor="#375623 [1609]" strokeweight="1pt">
                  <v:stroke joinstyle="miter"/>
                  <v:textbox>
                    <w:txbxContent>
                      <w:p w14:paraId="1D001AA0"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ЕЕСR02 - Участници, които при напускане на операцията са ангажирани с образование или обучение</w:t>
                        </w:r>
                      </w:p>
                    </w:txbxContent>
                  </v:textbox>
                </v:roundrect>
                <v:roundrect id="Rounded Rectangle 309" o:spid="_x0000_s1168" style="position:absolute;left:78035;top:29281;width:18000;height:94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" fillcolor="#cf9" strokecolor="#375623 [1609]" strokeweight="1pt">
                  <v:stroke joinstyle="miter"/>
                  <v:textbox>
                    <w:txbxContent>
                      <w:p w14:paraId="27DE2372" w14:textId="77777777" w:rsidR="00E85916" w:rsidRPr="009917B6" w:rsidRDefault="00E85916" w:rsidP="009917B6">
                        <w:pPr>
                          <w:jc w:val="center"/>
                          <w:rPr>
                            <w:rFonts w:eastAsia="Calibri" w:cstheme="minorHAnsi"/>
                            <w:sz w:val="18"/>
                            <w:szCs w:val="20"/>
                          </w:rPr>
                        </w:pPr>
                        <w:r w:rsidRPr="009917B6">
                          <w:rPr>
                            <w:rFonts w:eastAsia="Calibri" w:cstheme="minorHAnsi"/>
                            <w:sz w:val="18"/>
                            <w:szCs w:val="20"/>
                          </w:rPr>
                          <w:t>SRI 3.1. Лица започнали да търсят работа</w:t>
                        </w:r>
                      </w:p>
                    </w:txbxContent>
                  </v:textbox>
                </v:roundrect>
                <v:shape id="Straight Arrow Connector 310" o:spid="_x0000_s1169" type="#_x0000_t32" style="position:absolute;left:19181;top:27772;width:20736;height:306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" strokecolor="#375623 [1609]" strokeweight="1pt">
                  <v:stroke dashstyle="dash" endarrow="block" joinstyle="miter"/>
                </v:shape>
                <v:shape id="Straight Arrow Connector 311" o:spid="_x0000_s1170" type="#_x0000_t32" style="position:absolute;left:19181;top:27772;width:20736;height:15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" strokecolor="#375623 [1609]" strokeweight="1pt">
                  <v:stroke dashstyle="dash" endarrow="block" joinstyle="miter"/>
                </v:shape>
                <v:shape id="Straight Arrow Connector 312" o:spid="_x0000_s1171" type="#_x0000_t32" style="position:absolute;left:19181;top:29281;width:20736;height:119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" strokecolor="#375623 [1609]" strokeweight="1pt">
                  <v:stroke dashstyle="dash" endarrow="block" joinstyle="miter"/>
                </v:shape>
                <v:shape id="Straight Arrow Connector 313" o:spid="_x0000_s1172" type="#_x0000_t32" style="position:absolute;left:19181;top:29281;width:20736;height:249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" strokecolor="#375623 [1609]" strokeweight="1pt">
                  <v:stroke dashstyle="dash" endarrow="block" joinstyle="miter"/>
                </v:shape>
                <v:shape id="Straight Arrow Connector 317" o:spid="_x0000_s1173" type="#_x0000_t32" style="position:absolute;left:19181;top:41207;width:20736;height:172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" strokecolor="#375623 [1609]" strokeweight="1pt">
                  <v:stroke dashstyle="dash" endarrow="block" joinstyle="miter"/>
                </v:shape>
                <v:shape id="Straight Arrow Connector 318" o:spid="_x0000_s1174" type="#_x0000_t32" style="position:absolute;left:57917;top:29281;width:20049;height:17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" strokecolor="#375623 [1609]" strokeweight="1pt">
                  <v:stroke endarrow="block" joinstyle="miter"/>
                </v:shape>
                <v:shape id="Straight Arrow Connector 319" o:spid="_x0000_s1175" type="#_x0000_t32" style="position:absolute;left:57917;top:29281;width:20118;height:47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" strokecolor="#375623 [1609]" strokeweight="1pt">
                  <v:stroke endarrow="block" joinstyle="miter"/>
                </v:shape>
                <v:shape id="Straight Arrow Connector 320" o:spid="_x0000_s1176" type="#_x0000_t32" style="position:absolute;left:57917;top:21441;width:20118;height:78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" strokecolor="#375623 [1609]" strokeweight="1pt">
                  <v:stroke endarrow="block" joinstyle="miter"/>
                </v:shape>
                <v:shape id="Straight Arrow Connector 323" o:spid="_x0000_s1177" type="#_x0000_t32" style="position:absolute;left:57917;top:58426;width:20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" strokecolor="#375623 [1609]" strokeweight="1pt">
                  <v:stroke endarrow="block" joinstyle="miter"/>
                </v:shape>
                <v:shape id="Straight Arrow Connector 124" o:spid="_x0000_s1178" type="#_x0000_t32" style="position:absolute;left:19181;top:54247;width:20736;height:41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" strokecolor="#375623 [1609]" strokeweight="1pt">
                  <v:stroke dashstyle="dash" endarrow="block" joinstyle="miter"/>
                </v:shape>
                <w10:wrap anchory="page"/>
              </v:group>
            </w:pict>
          </mc:Fallback>
        </mc:AlternateContent>
      </w:r>
      <w:r w:rsidRPr="00D83669">
        <w:br w:type="page"/>
      </w:r>
    </w:p>
    <w:p w14:paraId="342B3BF1" w14:textId="3D481B03" w:rsidR="00E85916" w:rsidRPr="00D83669" w:rsidRDefault="006F3C72">
      <w:r w:rsidRPr="00D83669">
        <w:rPr>
          <w:rFonts w:eastAsia="Calibri"/>
          <w:noProof/>
          <w:color w:val="000000" w:themeColor="text1"/>
          <w:sz w:val="20"/>
          <w:szCs w:val="20"/>
          <w:lang w:eastAsia="bg-BG"/>
        </w:rPr>
        <w:lastRenderedPageBreak/>
        <mc:AlternateContent>
          <mc:Choice Requires="wpc">
            <w:drawing>
              <wp:anchor distT="0" distB="0" distL="114300" distR="114300" simplePos="0" relativeHeight="251677696" behindDoc="0" locked="0" layoutInCell="1" allowOverlap="1" wp14:anchorId="03F41563" wp14:editId="4ABDE250">
                <wp:simplePos x="0" y="0"/>
                <wp:positionH relativeFrom="column">
                  <wp:posOffset>-321945</wp:posOffset>
                </wp:positionH>
                <wp:positionV relativeFrom="page">
                  <wp:posOffset>60960</wp:posOffset>
                </wp:positionV>
                <wp:extent cx="10751820" cy="7421880"/>
                <wp:effectExtent l="0" t="0" r="0" b="0"/>
                <wp:wrapNone/>
                <wp:docPr id="287" name="Canvas 28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7" name="Rounded Rectangle 27"/>
                        <wps:cNvSpPr/>
                        <wps:spPr>
                          <a:xfrm>
                            <a:off x="266700" y="12699"/>
                            <a:ext cx="10485120" cy="721591"/>
                          </a:xfrm>
                          <a:prstGeom prst="roundRect">
                            <a:avLst/>
                          </a:prstGeom>
                          <a:noFill/>
                          <a:ln>
                            <a:noFill/>
                          </a:ln>
                          <a:effectLst/>
                        </wps:spPr>
                        <wps:txbx>
                          <w:txbxContent>
                            <w:p w14:paraId="4EEAB1B8" w14:textId="77777777" w:rsidR="00E85916" w:rsidRPr="009866CC" w:rsidRDefault="00E85916" w:rsidP="009866CC">
                              <w:pPr>
                                <w:jc w:val="center"/>
                                <w:rPr>
                                  <w:b/>
                                  <w:bCs/>
                                  <w:color w:val="C00000"/>
                                  <w:sz w:val="28"/>
                                  <w:szCs w:val="28"/>
                                </w:rPr>
                              </w:pPr>
                              <w:r w:rsidRPr="009866CC">
                                <w:rPr>
                                  <w:b/>
                                  <w:bCs/>
                                  <w:color w:val="C00000"/>
                                  <w:sz w:val="28"/>
                                  <w:szCs w:val="28"/>
                                </w:rPr>
                                <w:t>ПРИОРИТЕТ 3 – ВРЪЗКА НА ОБРАЗОВАНИЕТО С ПАЗАРА НА ТРУДА –</w:t>
                              </w:r>
                            </w:p>
                            <w:p w14:paraId="1CB0B830" w14:textId="77777777" w:rsidR="00E85916" w:rsidRPr="009866CC" w:rsidRDefault="00E85916" w:rsidP="009866CC">
                              <w:pPr>
                                <w:jc w:val="center"/>
                                <w:rPr>
                                  <w:b/>
                                  <w:bCs/>
                                  <w:color w:val="1F4E79" w:themeColor="accent1" w:themeShade="80"/>
                                  <w:sz w:val="28"/>
                                  <w:szCs w:val="28"/>
                                </w:rPr>
                              </w:pPr>
                              <w:r w:rsidRPr="009866CC">
                                <w:rPr>
                                  <w:b/>
                                  <w:bCs/>
                                  <w:color w:val="1F4E79" w:themeColor="accent1" w:themeShade="80"/>
                                  <w:sz w:val="28"/>
                                  <w:szCs w:val="28"/>
                                </w:rPr>
                                <w:t xml:space="preserve">ВИСШЕ ОБРАЗОВАНИЕ </w:t>
                              </w:r>
                            </w:p>
                          </w:txbxContent>
                        </wps:txbx>
                        <wps:bodyPr rot="0" spcFirstLastPara="0" vert="horz" wrap="square" lIns="9257" tIns="5555" rIns="9257" bIns="5555" numCol="1" spcCol="0" rtlCol="0" fromWordArt="0" anchor="t" anchorCtr="0" forceAA="0" compatLnSpc="1">
                          <a:prstTxWarp prst="textNoShape">
                            <a:avLst/>
                          </a:prstTxWarp>
                          <a:noAutofit/>
                        </wps:bodyPr>
                      </wps:wsp>
                      <wps:wsp>
                        <wps:cNvPr id="28" name="Rounded Rectangle 28"/>
                        <wps:cNvSpPr/>
                        <wps:spPr>
                          <a:xfrm>
                            <a:off x="266700" y="3007292"/>
                            <a:ext cx="1800000" cy="900000"/>
                          </a:xfrm>
                          <a:prstGeom prst="roundRect">
                            <a:avLst/>
                          </a:prstGeom>
                          <a:solidFill>
                            <a:srgbClr val="CCFFFF"/>
                          </a:solidFill>
                          <a:ln w="12700" cap="flat" cmpd="sng" algn="ctr">
                            <a:solidFill>
                              <a:srgbClr val="002060"/>
                            </a:solidFill>
                            <a:prstDash val="solid"/>
                            <a:miter lim="800000"/>
                          </a:ln>
                          <a:effectLst/>
                        </wps:spPr>
                        <wps:txbx>
                          <w:txbxContent>
                            <w:p w14:paraId="2CBD4477" w14:textId="77777777" w:rsidR="00E85916" w:rsidRPr="008221D3" w:rsidRDefault="00E85916" w:rsidP="008221D3">
                              <w:pPr>
                                <w:jc w:val="center"/>
                                <w:rPr>
                                  <w:rFonts w:eastAsia="Calibri" w:cstheme="minorHAnsi"/>
                                  <w:sz w:val="18"/>
                                  <w:szCs w:val="20"/>
                                </w:rPr>
                              </w:pPr>
                              <w:r w:rsidRPr="008221D3">
                                <w:rPr>
                                  <w:rFonts w:eastAsia="Calibri" w:cstheme="minorHAnsi"/>
                                  <w:sz w:val="18"/>
                                  <w:szCs w:val="20"/>
                                </w:rPr>
                                <w:t>EECO15 малцинства (включително маргинализирани общности като ромите)</w:t>
                              </w:r>
                            </w:p>
                            <w:p w14:paraId="73F84FF6" w14:textId="77777777" w:rsidR="00E85916" w:rsidRPr="00ED6445" w:rsidRDefault="00E85916" w:rsidP="00A73E26">
                              <w:pPr>
                                <w:pStyle w:val="Style1"/>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 name="Rounded Rectangle 29"/>
                        <wps:cNvSpPr/>
                        <wps:spPr>
                          <a:xfrm>
                            <a:off x="4197512" y="3729238"/>
                            <a:ext cx="1800000" cy="900000"/>
                          </a:xfrm>
                          <a:prstGeom prst="roundRect">
                            <a:avLst/>
                          </a:prstGeom>
                          <a:solidFill>
                            <a:srgbClr val="CCFFFF"/>
                          </a:solidFill>
                          <a:ln w="12700" cap="flat" cmpd="sng" algn="ctr">
                            <a:solidFill>
                              <a:srgbClr val="002060"/>
                            </a:solidFill>
                            <a:prstDash val="solid"/>
                            <a:miter lim="800000"/>
                          </a:ln>
                          <a:effectLst/>
                        </wps:spPr>
                        <wps:txbx>
                          <w:txbxContent>
                            <w:p w14:paraId="314925F7" w14:textId="77777777" w:rsidR="00E85916" w:rsidRPr="0003299F" w:rsidRDefault="00E85916" w:rsidP="0003299F">
                              <w:pPr>
                                <w:jc w:val="center"/>
                                <w:rPr>
                                  <w:rFonts w:eastAsia="Calibri" w:cstheme="minorHAnsi"/>
                                  <w:sz w:val="18"/>
                                  <w:szCs w:val="20"/>
                                </w:rPr>
                              </w:pPr>
                              <w:r w:rsidRPr="0003299F">
                                <w:rPr>
                                  <w:rFonts w:eastAsia="Calibri" w:cstheme="minorHAnsi"/>
                                  <w:sz w:val="18"/>
                                  <w:szCs w:val="20"/>
                                </w:rPr>
                                <w:t>EEC010 Участници със средно образование  (ISCED 3) или образование след средното образование (ISCED 4)</w:t>
                              </w:r>
                            </w:p>
                            <w:p w14:paraId="5E42371E" w14:textId="77777777" w:rsidR="00E85916" w:rsidRDefault="00E85916" w:rsidP="009B3CF6"/>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 name="Rectangle 30"/>
                        <wps:cNvSpPr/>
                        <wps:spPr>
                          <a:xfrm>
                            <a:off x="3359609" y="887656"/>
                            <a:ext cx="4358640" cy="371127"/>
                          </a:xfrm>
                          <a:prstGeom prst="rect">
                            <a:avLst/>
                          </a:prstGeom>
                          <a:solidFill>
                            <a:srgbClr val="FFFFCC"/>
                          </a:solidFill>
                          <a:ln w="6350" cap="flat" cmpd="sng" algn="ctr">
                            <a:solidFill>
                              <a:srgbClr val="ED7D31"/>
                            </a:solidFill>
                            <a:prstDash val="solid"/>
                            <a:miter lim="800000"/>
                          </a:ln>
                          <a:effectLst/>
                        </wps:spPr>
                        <wps:txbx>
                          <w:txbxContent>
                            <w:p w14:paraId="70BC8FBA" w14:textId="77777777" w:rsidR="00E85916" w:rsidRPr="007E42F6" w:rsidRDefault="00E85916" w:rsidP="009B3CF6">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д</w:t>
                              </w:r>
                              <w:r w:rsidRPr="00591763">
                                <w:rPr>
                                  <w:b/>
                                  <w:sz w:val="32"/>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ounded Rectangle 31"/>
                        <wps:cNvSpPr/>
                        <wps:spPr>
                          <a:xfrm>
                            <a:off x="4197512" y="2490883"/>
                            <a:ext cx="1800000" cy="900000"/>
                          </a:xfrm>
                          <a:prstGeom prst="roundRect">
                            <a:avLst/>
                          </a:prstGeom>
                          <a:solidFill>
                            <a:srgbClr val="CCFFFF"/>
                          </a:solidFill>
                          <a:ln w="12700" cap="flat" cmpd="sng" algn="ctr">
                            <a:solidFill>
                              <a:srgbClr val="002060"/>
                            </a:solidFill>
                            <a:prstDash val="solid"/>
                            <a:miter lim="800000"/>
                          </a:ln>
                          <a:effectLst/>
                        </wps:spPr>
                        <wps:txbx>
                          <w:txbxContent>
                            <w:p w14:paraId="72ABDF78" w14:textId="77777777" w:rsidR="00E85916" w:rsidRPr="000215B2" w:rsidRDefault="00E85916" w:rsidP="009B3CF6">
                              <w:pPr>
                                <w:jc w:val="center"/>
                                <w:rPr>
                                  <w:rFonts w:eastAsia="Calibri" w:cstheme="minorHAnsi"/>
                                  <w:sz w:val="18"/>
                                  <w:szCs w:val="20"/>
                                </w:rPr>
                              </w:pPr>
                              <w:r w:rsidRPr="007E42F6">
                                <w:rPr>
                                  <w:rFonts w:eastAsia="Calibri" w:cstheme="minorHAnsi"/>
                                  <w:sz w:val="18"/>
                                  <w:szCs w:val="20"/>
                                </w:rPr>
                                <w:t>ЕЕСO09 Участници с прогимназиален етап на основното образование или по-ниска степен (ISCED 0-2)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4" name="Rounded Rectangle 224"/>
                        <wps:cNvSpPr/>
                        <wps:spPr>
                          <a:xfrm>
                            <a:off x="8059587" y="1509413"/>
                            <a:ext cx="1800000" cy="946336"/>
                          </a:xfrm>
                          <a:prstGeom prst="roundRect">
                            <a:avLst/>
                          </a:prstGeom>
                          <a:solidFill>
                            <a:srgbClr val="CCFF99"/>
                          </a:solidFill>
                          <a:ln w="12700" cap="flat" cmpd="sng" algn="ctr">
                            <a:solidFill>
                              <a:srgbClr val="70AD47">
                                <a:lumMod val="50000"/>
                              </a:srgbClr>
                            </a:solidFill>
                            <a:prstDash val="solid"/>
                            <a:miter lim="800000"/>
                          </a:ln>
                          <a:effectLst/>
                        </wps:spPr>
                        <wps:txbx>
                          <w:txbxContent>
                            <w:p w14:paraId="5BE4CE33" w14:textId="77777777" w:rsidR="00E85916" w:rsidRPr="008221D3" w:rsidRDefault="00E85916" w:rsidP="008221D3">
                              <w:pPr>
                                <w:jc w:val="center"/>
                                <w:rPr>
                                  <w:rFonts w:eastAsia="Calibri" w:cstheme="minorHAnsi"/>
                                  <w:sz w:val="18"/>
                                  <w:szCs w:val="20"/>
                                </w:rPr>
                              </w:pPr>
                              <w:r w:rsidRPr="008221D3">
                                <w:rPr>
                                  <w:rFonts w:eastAsia="Calibri" w:cstheme="minorHAnsi"/>
                                  <w:sz w:val="18"/>
                                  <w:szCs w:val="20"/>
                                </w:rPr>
                                <w:t>SRI 3.3. Участници, които остават в образование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5" name="Rounded Rectangle 225"/>
                        <wps:cNvSpPr/>
                        <wps:spPr>
                          <a:xfrm>
                            <a:off x="8059587" y="3729238"/>
                            <a:ext cx="1800000" cy="900000"/>
                          </a:xfrm>
                          <a:prstGeom prst="roundRect">
                            <a:avLst/>
                          </a:prstGeom>
                          <a:solidFill>
                            <a:srgbClr val="CCFF99"/>
                          </a:solidFill>
                          <a:ln w="12700" cap="flat" cmpd="sng" algn="ctr">
                            <a:solidFill>
                              <a:srgbClr val="70AD47">
                                <a:lumMod val="50000"/>
                              </a:srgbClr>
                            </a:solidFill>
                            <a:prstDash val="solid"/>
                            <a:miter lim="800000"/>
                          </a:ln>
                          <a:effectLst/>
                        </wps:spPr>
                        <wps:txbx>
                          <w:txbxContent>
                            <w:p w14:paraId="40715FAC" w14:textId="77777777" w:rsidR="0034404D" w:rsidRPr="0034404D" w:rsidRDefault="0034404D" w:rsidP="008221D3">
                              <w:pPr>
                                <w:jc w:val="center"/>
                                <w:rPr>
                                  <w:rFonts w:eastAsia="Calibri" w:cstheme="minorHAnsi"/>
                                  <w:sz w:val="2"/>
                                  <w:szCs w:val="2"/>
                                </w:rPr>
                              </w:pPr>
                            </w:p>
                            <w:p w14:paraId="406412AD" w14:textId="3B9AE5DF" w:rsidR="00E85916" w:rsidRPr="008221D3" w:rsidRDefault="00E85916" w:rsidP="008221D3">
                              <w:pPr>
                                <w:jc w:val="center"/>
                                <w:rPr>
                                  <w:rFonts w:eastAsia="Calibri" w:cstheme="minorHAnsi"/>
                                  <w:sz w:val="18"/>
                                  <w:szCs w:val="20"/>
                                </w:rPr>
                              </w:pPr>
                              <w:r w:rsidRPr="008221D3">
                                <w:rPr>
                                  <w:rFonts w:eastAsia="Calibri" w:cstheme="minorHAnsi"/>
                                  <w:sz w:val="18"/>
                                  <w:szCs w:val="20"/>
                                </w:rPr>
                                <w:t>EECR03 участници, които при напускане на операцията получават квалификация</w:t>
                              </w:r>
                            </w:p>
                            <w:p w14:paraId="5A2D448C" w14:textId="77777777" w:rsidR="00E85916" w:rsidRPr="008028A6" w:rsidRDefault="00E85916" w:rsidP="00A73E26">
                              <w:pPr>
                                <w:pStyle w:val="Style1"/>
                                <w:rPr>
                                  <w:lang w:val="bg-BG"/>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0" name="Straight Arrow Connector 230"/>
                        <wps:cNvCnPr>
                          <a:stCxn id="31" idx="1"/>
                          <a:endCxn id="28" idx="3"/>
                        </wps:cNvCnPr>
                        <wps:spPr>
                          <a:xfrm flipH="1">
                            <a:off x="2066700" y="2940883"/>
                            <a:ext cx="2130812" cy="516409"/>
                          </a:xfrm>
                          <a:prstGeom prst="straightConnector1">
                            <a:avLst/>
                          </a:prstGeom>
                          <a:noFill/>
                          <a:ln w="6350" cap="flat" cmpd="sng" algn="ctr">
                            <a:solidFill>
                              <a:srgbClr val="5B9BD5"/>
                            </a:solidFill>
                            <a:prstDash val="dash"/>
                            <a:miter lim="800000"/>
                            <a:headEnd type="triangle"/>
                            <a:tailEnd type="triangle"/>
                          </a:ln>
                          <a:effectLst/>
                        </wps:spPr>
                        <wps:bodyPr/>
                      </wps:wsp>
                      <wps:wsp>
                        <wps:cNvPr id="239" name="Rectangle 239"/>
                        <wps:cNvSpPr/>
                        <wps:spPr>
                          <a:xfrm rot="20772020">
                            <a:off x="2592437" y="3044967"/>
                            <a:ext cx="678982" cy="291480"/>
                          </a:xfrm>
                          <a:prstGeom prst="rect">
                            <a:avLst/>
                          </a:prstGeom>
                          <a:noFill/>
                          <a:ln w="12700" cap="flat" cmpd="sng" algn="ctr">
                            <a:noFill/>
                            <a:prstDash val="solid"/>
                            <a:miter lim="800000"/>
                          </a:ln>
                          <a:effectLst/>
                        </wps:spPr>
                        <wps:txbx>
                          <w:txbxContent>
                            <w:p w14:paraId="72BBD4C5"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8" name="Rounded Rectangle 248"/>
                        <wps:cNvSpPr/>
                        <wps:spPr>
                          <a:xfrm>
                            <a:off x="323850" y="4987496"/>
                            <a:ext cx="1800000" cy="900000"/>
                          </a:xfrm>
                          <a:prstGeom prst="roundRect">
                            <a:avLst/>
                          </a:prstGeom>
                          <a:solidFill>
                            <a:srgbClr val="66FFFF"/>
                          </a:solidFill>
                          <a:ln w="12700" cap="flat" cmpd="sng" algn="ctr">
                            <a:solidFill>
                              <a:srgbClr val="002060"/>
                            </a:solidFill>
                            <a:prstDash val="solid"/>
                            <a:miter lim="800000"/>
                          </a:ln>
                          <a:effectLst/>
                        </wps:spPr>
                        <wps:txbx>
                          <w:txbxContent>
                            <w:p w14:paraId="3701B4C2" w14:textId="77777777" w:rsidR="00E85916" w:rsidRPr="008221D3" w:rsidRDefault="00E85916" w:rsidP="008221D3">
                              <w:pPr>
                                <w:jc w:val="center"/>
                                <w:rPr>
                                  <w:rFonts w:eastAsia="Calibri" w:cstheme="minorHAnsi"/>
                                  <w:sz w:val="18"/>
                                  <w:szCs w:val="20"/>
                                </w:rPr>
                              </w:pPr>
                              <w:r w:rsidRPr="008221D3">
                                <w:rPr>
                                  <w:rFonts w:eastAsia="Calibri" w:cstheme="minorHAnsi"/>
                                  <w:sz w:val="18"/>
                                  <w:szCs w:val="20"/>
                                </w:rPr>
                                <w:t>SOI 3.4 Брой висши училища, въвели дуална форма на преподаване</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6" name="Rounded Rectangle 256"/>
                        <wps:cNvSpPr/>
                        <wps:spPr>
                          <a:xfrm>
                            <a:off x="4197512" y="4955338"/>
                            <a:ext cx="1800000" cy="900000"/>
                          </a:xfrm>
                          <a:prstGeom prst="roundRect">
                            <a:avLst/>
                          </a:prstGeom>
                          <a:solidFill>
                            <a:srgbClr val="CCFFFF"/>
                          </a:solidFill>
                          <a:ln w="12700" cap="flat" cmpd="sng" algn="ctr">
                            <a:solidFill>
                              <a:srgbClr val="002060"/>
                            </a:solidFill>
                            <a:prstDash val="solid"/>
                            <a:miter lim="800000"/>
                          </a:ln>
                          <a:effectLst/>
                        </wps:spPr>
                        <wps:txbx>
                          <w:txbxContent>
                            <w:p w14:paraId="70AA2431" w14:textId="77777777" w:rsidR="00E85916" w:rsidRPr="0003299F" w:rsidRDefault="00E85916" w:rsidP="0003299F">
                              <w:pPr>
                                <w:jc w:val="center"/>
                                <w:rPr>
                                  <w:rFonts w:eastAsia="Calibri" w:cstheme="minorHAnsi"/>
                                  <w:sz w:val="18"/>
                                  <w:szCs w:val="20"/>
                                </w:rPr>
                              </w:pPr>
                              <w:r w:rsidRPr="0003299F">
                                <w:rPr>
                                  <w:rFonts w:eastAsia="Calibri" w:cstheme="minorHAnsi"/>
                                  <w:sz w:val="18"/>
                                  <w:szCs w:val="20"/>
                                </w:rPr>
                                <w:t>EEC011 Участници с висше образование  (ISCED 5 до 8)</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9" name="Rounded Rectangle 259"/>
                        <wps:cNvSpPr/>
                        <wps:spPr>
                          <a:xfrm>
                            <a:off x="8116737" y="6048163"/>
                            <a:ext cx="1800000" cy="900000"/>
                          </a:xfrm>
                          <a:prstGeom prst="roundRect">
                            <a:avLst/>
                          </a:prstGeom>
                          <a:solidFill>
                            <a:srgbClr val="CCFF99"/>
                          </a:solidFill>
                          <a:ln w="12700" cap="flat" cmpd="sng" algn="ctr">
                            <a:solidFill>
                              <a:srgbClr val="70AD47">
                                <a:lumMod val="50000"/>
                              </a:srgbClr>
                            </a:solidFill>
                            <a:prstDash val="solid"/>
                            <a:miter lim="800000"/>
                          </a:ln>
                          <a:effectLst/>
                        </wps:spPr>
                        <wps:txbx>
                          <w:txbxContent>
                            <w:p w14:paraId="6047469A" w14:textId="77777777" w:rsidR="00E85916" w:rsidRPr="0003299F" w:rsidRDefault="00E85916" w:rsidP="0003299F">
                              <w:pPr>
                                <w:jc w:val="center"/>
                                <w:rPr>
                                  <w:rFonts w:eastAsia="Calibri" w:cstheme="minorHAnsi"/>
                                  <w:sz w:val="18"/>
                                  <w:szCs w:val="20"/>
                                </w:rPr>
                              </w:pPr>
                              <w:r w:rsidRPr="0003299F">
                                <w:rPr>
                                  <w:rFonts w:eastAsia="Calibri" w:cstheme="minorHAnsi"/>
                                  <w:sz w:val="18"/>
                                  <w:szCs w:val="20"/>
                                </w:rPr>
                                <w:t>SRI 3.2. Брой студенти, които се обучават в дуална форма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5" name="Rounded Rectangle 265"/>
                        <wps:cNvSpPr/>
                        <wps:spPr>
                          <a:xfrm>
                            <a:off x="8066403" y="2585316"/>
                            <a:ext cx="1793184" cy="946336"/>
                          </a:xfrm>
                          <a:prstGeom prst="roundRect">
                            <a:avLst/>
                          </a:prstGeom>
                          <a:solidFill>
                            <a:srgbClr val="CCFF99"/>
                          </a:solidFill>
                          <a:ln w="12700" cap="flat" cmpd="sng" algn="ctr">
                            <a:solidFill>
                              <a:srgbClr val="70AD47">
                                <a:lumMod val="50000"/>
                              </a:srgbClr>
                            </a:solidFill>
                            <a:prstDash val="solid"/>
                            <a:miter lim="800000"/>
                          </a:ln>
                          <a:effectLst/>
                        </wps:spPr>
                        <wps:txbx>
                          <w:txbxContent>
                            <w:p w14:paraId="3CFBA057" w14:textId="77777777" w:rsidR="00E85916" w:rsidRPr="008221D3" w:rsidRDefault="00E85916" w:rsidP="008221D3">
                              <w:pPr>
                                <w:jc w:val="center"/>
                                <w:rPr>
                                  <w:rFonts w:eastAsia="Calibri" w:cstheme="minorHAnsi"/>
                                  <w:sz w:val="18"/>
                                  <w:szCs w:val="20"/>
                                </w:rPr>
                              </w:pPr>
                              <w:r w:rsidRPr="008221D3">
                                <w:rPr>
                                  <w:rFonts w:eastAsia="Calibri" w:cstheme="minorHAnsi"/>
                                  <w:sz w:val="18"/>
                                  <w:szCs w:val="20"/>
                                </w:rPr>
                                <w:t>SRI 3.1. Лица започнали да търсят работа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6" name="Straight Arrow Connector 266"/>
                        <wps:cNvCnPr>
                          <a:stCxn id="248" idx="3"/>
                          <a:endCxn id="31" idx="1"/>
                        </wps:cNvCnPr>
                        <wps:spPr>
                          <a:xfrm flipV="1">
                            <a:off x="2123850" y="2940883"/>
                            <a:ext cx="2073662" cy="2496613"/>
                          </a:xfrm>
                          <a:prstGeom prst="straightConnector1">
                            <a:avLst/>
                          </a:prstGeom>
                          <a:noFill/>
                          <a:ln w="12700" cap="flat" cmpd="sng" algn="ctr">
                            <a:solidFill>
                              <a:srgbClr val="70AD47">
                                <a:lumMod val="50000"/>
                              </a:srgbClr>
                            </a:solidFill>
                            <a:prstDash val="dash"/>
                            <a:miter lim="800000"/>
                            <a:tailEnd type="triangle"/>
                          </a:ln>
                          <a:effectLst/>
                        </wps:spPr>
                        <wps:bodyPr/>
                      </wps:wsp>
                      <wps:wsp>
                        <wps:cNvPr id="268" name="Straight Arrow Connector 268"/>
                        <wps:cNvCnPr>
                          <a:stCxn id="248" idx="3"/>
                          <a:endCxn id="29" idx="1"/>
                        </wps:cNvCnPr>
                        <wps:spPr>
                          <a:xfrm flipV="1">
                            <a:off x="2123850" y="4179238"/>
                            <a:ext cx="2073662" cy="1258258"/>
                          </a:xfrm>
                          <a:prstGeom prst="straightConnector1">
                            <a:avLst/>
                          </a:prstGeom>
                          <a:noFill/>
                          <a:ln w="12700" cap="flat" cmpd="sng" algn="ctr">
                            <a:solidFill>
                              <a:srgbClr val="70AD47">
                                <a:lumMod val="50000"/>
                              </a:srgbClr>
                            </a:solidFill>
                            <a:prstDash val="dash"/>
                            <a:miter lim="800000"/>
                            <a:tailEnd type="triangle"/>
                          </a:ln>
                          <a:effectLst/>
                        </wps:spPr>
                        <wps:bodyPr/>
                      </wps:wsp>
                      <wps:wsp>
                        <wps:cNvPr id="277" name="Straight Arrow Connector 277"/>
                        <wps:cNvCnPr>
                          <a:stCxn id="29" idx="3"/>
                          <a:endCxn id="280" idx="1"/>
                        </wps:cNvCnPr>
                        <wps:spPr>
                          <a:xfrm>
                            <a:off x="5997512" y="4179238"/>
                            <a:ext cx="2119225" cy="1226100"/>
                          </a:xfrm>
                          <a:prstGeom prst="straightConnector1">
                            <a:avLst/>
                          </a:prstGeom>
                          <a:noFill/>
                          <a:ln w="12700" cap="flat" cmpd="sng" algn="ctr">
                            <a:solidFill>
                              <a:srgbClr val="70AD47">
                                <a:lumMod val="50000"/>
                              </a:srgbClr>
                            </a:solidFill>
                            <a:prstDash val="dash"/>
                            <a:miter lim="800000"/>
                            <a:tailEnd type="triangle"/>
                          </a:ln>
                          <a:effectLst/>
                        </wps:spPr>
                        <wps:bodyPr/>
                      </wps:wsp>
                      <wps:wsp>
                        <wps:cNvPr id="278" name="Straight Arrow Connector 278"/>
                        <wps:cNvCnPr>
                          <a:stCxn id="256" idx="3"/>
                          <a:endCxn id="225" idx="1"/>
                        </wps:cNvCnPr>
                        <wps:spPr>
                          <a:xfrm flipV="1">
                            <a:off x="5997512" y="4179238"/>
                            <a:ext cx="2062075" cy="1226100"/>
                          </a:xfrm>
                          <a:prstGeom prst="straightConnector1">
                            <a:avLst/>
                          </a:prstGeom>
                          <a:noFill/>
                          <a:ln w="12700" cap="flat" cmpd="sng" algn="ctr">
                            <a:solidFill>
                              <a:srgbClr val="70AD47">
                                <a:lumMod val="50000"/>
                              </a:srgbClr>
                            </a:solidFill>
                            <a:prstDash val="solid"/>
                            <a:miter lim="800000"/>
                            <a:tailEnd type="triangle"/>
                          </a:ln>
                          <a:effectLst/>
                        </wps:spPr>
                        <wps:bodyPr/>
                      </wps:wsp>
                      <wps:wsp>
                        <wps:cNvPr id="279" name="Straight Arrow Connector 279"/>
                        <wps:cNvCnPr>
                          <a:stCxn id="248" idx="3"/>
                          <a:endCxn id="256" idx="1"/>
                        </wps:cNvCnPr>
                        <wps:spPr>
                          <a:xfrm flipV="1">
                            <a:off x="2123850" y="5405338"/>
                            <a:ext cx="2073662" cy="32158"/>
                          </a:xfrm>
                          <a:prstGeom prst="straightConnector1">
                            <a:avLst/>
                          </a:prstGeom>
                          <a:noFill/>
                          <a:ln w="12700" cap="flat" cmpd="sng" algn="ctr">
                            <a:solidFill>
                              <a:srgbClr val="70AD47">
                                <a:lumMod val="50000"/>
                              </a:srgbClr>
                            </a:solidFill>
                            <a:prstDash val="dash"/>
                            <a:miter lim="800000"/>
                            <a:tailEnd type="triangle"/>
                          </a:ln>
                          <a:effectLst/>
                        </wps:spPr>
                        <wps:bodyPr/>
                      </wps:wsp>
                      <wps:wsp>
                        <wps:cNvPr id="280" name="Rounded Rectangle 280"/>
                        <wps:cNvSpPr/>
                        <wps:spPr>
                          <a:xfrm>
                            <a:off x="8116737" y="4955338"/>
                            <a:ext cx="1800000" cy="900000"/>
                          </a:xfrm>
                          <a:prstGeom prst="roundRect">
                            <a:avLst/>
                          </a:prstGeom>
                          <a:solidFill>
                            <a:srgbClr val="CCFF99"/>
                          </a:solidFill>
                          <a:ln w="12700" cap="flat" cmpd="sng" algn="ctr">
                            <a:solidFill>
                              <a:srgbClr val="70AD47">
                                <a:lumMod val="50000"/>
                              </a:srgbClr>
                            </a:solidFill>
                            <a:prstDash val="solid"/>
                            <a:miter lim="800000"/>
                          </a:ln>
                          <a:effectLst/>
                        </wps:spPr>
                        <wps:txbx>
                          <w:txbxContent>
                            <w:p w14:paraId="4F2D7D83" w14:textId="77777777" w:rsidR="00E85916" w:rsidRPr="00434AB0" w:rsidRDefault="00E85916" w:rsidP="00434AB0">
                              <w:pPr>
                                <w:jc w:val="center"/>
                                <w:rPr>
                                  <w:rFonts w:eastAsia="Calibri" w:cstheme="minorHAnsi"/>
                                  <w:sz w:val="18"/>
                                  <w:szCs w:val="20"/>
                                </w:rPr>
                              </w:pPr>
                              <w:r w:rsidRPr="00434AB0">
                                <w:rPr>
                                  <w:rFonts w:eastAsia="Calibri" w:cstheme="minorHAnsi"/>
                                  <w:sz w:val="18"/>
                                  <w:szCs w:val="20"/>
                                </w:rPr>
                                <w:t>SRI 3.4. брой подкрепени стартиращи фирми</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1" name="Straight Arrow Connector 281"/>
                        <wps:cNvCnPr>
                          <a:stCxn id="29" idx="1"/>
                          <a:endCxn id="28" idx="3"/>
                        </wps:cNvCnPr>
                        <wps:spPr>
                          <a:xfrm flipH="1" flipV="1">
                            <a:off x="2066700" y="3457292"/>
                            <a:ext cx="2130812" cy="721946"/>
                          </a:xfrm>
                          <a:prstGeom prst="straightConnector1">
                            <a:avLst/>
                          </a:prstGeom>
                          <a:noFill/>
                          <a:ln w="6350" cap="flat" cmpd="sng" algn="ctr">
                            <a:solidFill>
                              <a:srgbClr val="5B9BD5"/>
                            </a:solidFill>
                            <a:prstDash val="dash"/>
                            <a:miter lim="800000"/>
                            <a:headEnd type="triangle"/>
                            <a:tailEnd type="triangle"/>
                          </a:ln>
                          <a:effectLst/>
                        </wps:spPr>
                        <wps:bodyPr/>
                      </wps:wsp>
                      <wps:wsp>
                        <wps:cNvPr id="282" name="Rectangle 282"/>
                        <wps:cNvSpPr/>
                        <wps:spPr>
                          <a:xfrm rot="1068472">
                            <a:off x="2592437" y="3518969"/>
                            <a:ext cx="678982" cy="291480"/>
                          </a:xfrm>
                          <a:prstGeom prst="rect">
                            <a:avLst/>
                          </a:prstGeom>
                          <a:noFill/>
                          <a:ln w="12700" cap="flat" cmpd="sng" algn="ctr">
                            <a:noFill/>
                            <a:prstDash val="solid"/>
                            <a:miter lim="800000"/>
                          </a:ln>
                          <a:effectLst/>
                        </wps:spPr>
                        <wps:txbx>
                          <w:txbxContent>
                            <w:p w14:paraId="4BB33B8E"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3" name="Straight Arrow Connector 152"/>
                        <wps:cNvCnPr>
                          <a:stCxn id="256" idx="3"/>
                          <a:endCxn id="280" idx="1"/>
                        </wps:cNvCnPr>
                        <wps:spPr>
                          <a:xfrm>
                            <a:off x="5997512" y="5405338"/>
                            <a:ext cx="2119225" cy="12700"/>
                          </a:xfrm>
                          <a:prstGeom prst="bentConnector3">
                            <a:avLst>
                              <a:gd name="adj1" fmla="val 50000"/>
                            </a:avLst>
                          </a:prstGeom>
                          <a:noFill/>
                          <a:ln w="12700" cap="flat" cmpd="sng" algn="ctr">
                            <a:solidFill>
                              <a:srgbClr val="70AD47">
                                <a:lumMod val="50000"/>
                              </a:srgbClr>
                            </a:solidFill>
                            <a:prstDash val="dash"/>
                            <a:miter lim="800000"/>
                            <a:tailEnd type="triangle"/>
                          </a:ln>
                          <a:effectLst/>
                        </wps:spPr>
                        <wps:bodyPr/>
                      </wps:wsp>
                      <wps:wsp>
                        <wps:cNvPr id="284" name="Straight Arrow Connector 153"/>
                        <wps:cNvCnPr>
                          <a:stCxn id="248" idx="2"/>
                          <a:endCxn id="259" idx="1"/>
                        </wps:cNvCnPr>
                        <wps:spPr>
                          <a:xfrm rot="16200000" flipH="1">
                            <a:off x="4364960" y="2746385"/>
                            <a:ext cx="610667" cy="6892887"/>
                          </a:xfrm>
                          <a:prstGeom prst="bentConnector2">
                            <a:avLst/>
                          </a:prstGeom>
                          <a:noFill/>
                          <a:ln w="12700" cap="flat" cmpd="sng" algn="ctr">
                            <a:solidFill>
                              <a:srgbClr val="70AD47">
                                <a:lumMod val="50000"/>
                              </a:srgbClr>
                            </a:solidFill>
                            <a:prstDash val="solid"/>
                            <a:miter lim="800000"/>
                            <a:tailEnd type="triangle"/>
                          </a:ln>
                          <a:effectLst/>
                        </wps:spPr>
                        <wps:bodyPr/>
                      </wps:wsp>
                      <wps:wsp>
                        <wps:cNvPr id="285" name="Straight Arrow Connector 285"/>
                        <wps:cNvCnPr>
                          <a:stCxn id="29" idx="3"/>
                          <a:endCxn id="225" idx="1"/>
                        </wps:cNvCnPr>
                        <wps:spPr>
                          <a:xfrm>
                            <a:off x="5997512" y="4179238"/>
                            <a:ext cx="2062075" cy="0"/>
                          </a:xfrm>
                          <a:prstGeom prst="straightConnector1">
                            <a:avLst/>
                          </a:prstGeom>
                          <a:noFill/>
                          <a:ln w="12700" cap="flat" cmpd="sng" algn="ctr">
                            <a:solidFill>
                              <a:srgbClr val="70AD47">
                                <a:lumMod val="50000"/>
                              </a:srgbClr>
                            </a:solidFill>
                            <a:prstDash val="solid"/>
                            <a:miter lim="800000"/>
                            <a:tailEnd type="triangle"/>
                          </a:ln>
                          <a:effectLst/>
                        </wps:spPr>
                        <wps:bodyPr/>
                      </wps:wsp>
                      <wps:wsp>
                        <wps:cNvPr id="286" name="Straight Arrow Connector 286"/>
                        <wps:cNvCnPr>
                          <a:stCxn id="29" idx="3"/>
                          <a:endCxn id="224" idx="1"/>
                        </wps:cNvCnPr>
                        <wps:spPr>
                          <a:xfrm flipV="1">
                            <a:off x="5997512" y="1982581"/>
                            <a:ext cx="2062075" cy="2196657"/>
                          </a:xfrm>
                          <a:prstGeom prst="straightConnector1">
                            <a:avLst/>
                          </a:prstGeom>
                          <a:noFill/>
                          <a:ln w="12700" cap="flat" cmpd="sng" algn="ctr">
                            <a:solidFill>
                              <a:srgbClr val="70AD47">
                                <a:lumMod val="50000"/>
                              </a:srgbClr>
                            </a:solidFill>
                            <a:prstDash val="solid"/>
                            <a:miter lim="800000"/>
                            <a:tailEnd type="triangle"/>
                          </a:ln>
                          <a:effectLst/>
                        </wps:spPr>
                        <wps:bodyPr/>
                      </wps:wsp>
                      <wps:wsp>
                        <wps:cNvPr id="186" name="Straight Arrow Connector 186"/>
                        <wps:cNvCnPr>
                          <a:stCxn id="29" idx="3"/>
                          <a:endCxn id="265" idx="1"/>
                        </wps:cNvCnPr>
                        <wps:spPr>
                          <a:xfrm flipV="1">
                            <a:off x="5997512" y="3058484"/>
                            <a:ext cx="2068891" cy="1120754"/>
                          </a:xfrm>
                          <a:prstGeom prst="straightConnector1">
                            <a:avLst/>
                          </a:prstGeom>
                          <a:noFill/>
                          <a:ln w="12700" cap="flat" cmpd="sng" algn="ctr">
                            <a:solidFill>
                              <a:srgbClr val="70AD47">
                                <a:lumMod val="50000"/>
                              </a:srgbClr>
                            </a:solidFill>
                            <a:prstDash val="solid"/>
                            <a:miter lim="800000"/>
                            <a:tailEnd type="triangle"/>
                          </a:ln>
                          <a:effectLst/>
                        </wps:spPr>
                        <wps:bodyPr/>
                      </wps:wsp>
                      <wps:wsp>
                        <wps:cNvPr id="189" name="Straight Arrow Connector 189"/>
                        <wps:cNvCnPr>
                          <a:stCxn id="31" idx="3"/>
                          <a:endCxn id="224" idx="1"/>
                        </wps:cNvCnPr>
                        <wps:spPr>
                          <a:xfrm flipV="1">
                            <a:off x="5997512" y="1982581"/>
                            <a:ext cx="2062075" cy="958302"/>
                          </a:xfrm>
                          <a:prstGeom prst="straightConnector1">
                            <a:avLst/>
                          </a:prstGeom>
                          <a:noFill/>
                          <a:ln w="12700" cap="flat" cmpd="sng" algn="ctr">
                            <a:solidFill>
                              <a:srgbClr val="70AD47">
                                <a:lumMod val="50000"/>
                              </a:srgbClr>
                            </a:solidFill>
                            <a:prstDash val="dash"/>
                            <a:miter lim="800000"/>
                            <a:tailEnd type="triangle"/>
                          </a:ln>
                          <a:effectLst/>
                        </wps:spPr>
                        <wps:bodyPr/>
                      </wps:wsp>
                      <wps:wsp>
                        <wps:cNvPr id="64" name="Elbow Connector 64"/>
                        <wps:cNvCnPr>
                          <a:stCxn id="248" idx="1"/>
                          <a:endCxn id="265" idx="3"/>
                        </wps:cNvCnPr>
                        <wps:spPr>
                          <a:xfrm rot="10800000" flipH="1">
                            <a:off x="323849" y="3058484"/>
                            <a:ext cx="9535737" cy="2379012"/>
                          </a:xfrm>
                          <a:prstGeom prst="bentConnector5">
                            <a:avLst>
                              <a:gd name="adj1" fmla="val -2397"/>
                              <a:gd name="adj2" fmla="val -75404"/>
                              <a:gd name="adj3" fmla="val 102397"/>
                            </a:avLst>
                          </a:prstGeom>
                          <a:ln>
                            <a:prstDash val="dash"/>
                            <a:tailEnd type="triangle"/>
                          </a:ln>
                        </wps:spPr>
                        <wps:style>
                          <a:lnRef idx="2">
                            <a:schemeClr val="dk1"/>
                          </a:lnRef>
                          <a:fillRef idx="0">
                            <a:schemeClr val="dk1"/>
                          </a:fillRef>
                          <a:effectRef idx="1">
                            <a:schemeClr val="dk1"/>
                          </a:effectRef>
                          <a:fontRef idx="minor">
                            <a:schemeClr val="tx1"/>
                          </a:fontRef>
                        </wps:style>
                        <wps:bodyPr/>
                      </wps:wsp>
                    </wpc:wpc>
                  </a:graphicData>
                </a:graphic>
                <wp14:sizeRelH relativeFrom="margin">
                  <wp14:pctWidth>0</wp14:pctWidth>
                </wp14:sizeRelH>
                <wp14:sizeRelV relativeFrom="margin">
                  <wp14:pctHeight>0</wp14:pctHeight>
                </wp14:sizeRelV>
              </wp:anchor>
            </w:drawing>
          </mc:Choice>
          <mc:Fallback>
            <w:pict>
              <v:group w14:anchorId="03F41563" id="Canvas 287" o:spid="_x0000_s1179" editas="canvas" style="position:absolute;margin-left:-25.35pt;margin-top:4.8pt;width:846.6pt;height:584.4pt;z-index:251677696;mso-position-vertical-relative:page;mso-width-relative:margin;mso-height-relative:margin" coordsize="107518,74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">
                <v:shape id="_x0000_s1180" type="#_x0000_t75" style="position:absolute;width:107518;height:74218;visibility:visible;mso-wrap-style:square">
                  <v:fill o:detectmouseclick="t"/>
                  <v:path o:connecttype="none"/>
                </v:shape>
                <v:roundrect id="Rounded Rectangle 27" o:spid="_x0000_s1181" style="position:absolute;left:2667;top:126;width:104851;height:721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" filled="f" stroked="f">
                  <v:textbox inset=".25714mm,.15431mm,.25714mm,.15431mm">
                    <w:txbxContent>
                      <w:p w14:paraId="4EEAB1B8" w14:textId="77777777" w:rsidR="00E85916" w:rsidRPr="009866CC" w:rsidRDefault="00E85916" w:rsidP="009866CC">
                        <w:pPr>
                          <w:jc w:val="center"/>
                          <w:rPr>
                            <w:b/>
                            <w:bCs/>
                            <w:color w:val="C00000"/>
                            <w:sz w:val="28"/>
                            <w:szCs w:val="28"/>
                          </w:rPr>
                        </w:pPr>
                        <w:r w:rsidRPr="009866CC">
                          <w:rPr>
                            <w:b/>
                            <w:bCs/>
                            <w:color w:val="C00000"/>
                            <w:sz w:val="28"/>
                            <w:szCs w:val="28"/>
                          </w:rPr>
                          <w:t>ПРИОРИТЕТ 3 – ВРЪЗКА НА ОБРАЗОВАНИЕТО С ПАЗАРА НА ТРУДА –</w:t>
                        </w:r>
                      </w:p>
                      <w:p w14:paraId="1CB0B830" w14:textId="77777777" w:rsidR="00E85916" w:rsidRPr="009866CC" w:rsidRDefault="00E85916" w:rsidP="009866CC">
                        <w:pPr>
                          <w:jc w:val="center"/>
                          <w:rPr>
                            <w:b/>
                            <w:bCs/>
                            <w:color w:val="1F4E79" w:themeColor="accent1" w:themeShade="80"/>
                            <w:sz w:val="28"/>
                            <w:szCs w:val="28"/>
                          </w:rPr>
                        </w:pPr>
                        <w:r w:rsidRPr="009866CC">
                          <w:rPr>
                            <w:b/>
                            <w:bCs/>
                            <w:color w:val="1F4E79" w:themeColor="accent1" w:themeShade="80"/>
                            <w:sz w:val="28"/>
                            <w:szCs w:val="28"/>
                          </w:rPr>
                          <w:t xml:space="preserve">ВИСШЕ ОБРАЗОВАНИЕ </w:t>
                        </w:r>
                      </w:p>
                    </w:txbxContent>
                  </v:textbox>
                </v:roundrect>
                <v:roundrect id="Rounded Rectangle 28" o:spid="_x0000_s1182" style="position:absolute;left:2667;top:30072;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" fillcolor="#cff" strokecolor="#002060" strokeweight="1pt">
                  <v:stroke joinstyle="miter"/>
                  <v:textbox>
                    <w:txbxContent>
                      <w:p w14:paraId="2CBD4477" w14:textId="77777777" w:rsidR="00E85916" w:rsidRPr="008221D3" w:rsidRDefault="00E85916" w:rsidP="008221D3">
                        <w:pPr>
                          <w:jc w:val="center"/>
                          <w:rPr>
                            <w:rFonts w:eastAsia="Calibri" w:cstheme="minorHAnsi"/>
                            <w:sz w:val="18"/>
                            <w:szCs w:val="20"/>
                          </w:rPr>
                        </w:pPr>
                        <w:r w:rsidRPr="008221D3">
                          <w:rPr>
                            <w:rFonts w:eastAsia="Calibri" w:cstheme="minorHAnsi"/>
                            <w:sz w:val="18"/>
                            <w:szCs w:val="20"/>
                          </w:rPr>
                          <w:t>EECO15 малцинства (включително маргинализирани общности като ромите)</w:t>
                        </w:r>
                      </w:p>
                      <w:p w14:paraId="73F84FF6" w14:textId="77777777" w:rsidR="00E85916" w:rsidRPr="00ED6445" w:rsidRDefault="00E85916" w:rsidP="00A73E26">
                        <w:pPr>
                          <w:pStyle w:val="Style1"/>
                        </w:pPr>
                      </w:p>
                    </w:txbxContent>
                  </v:textbox>
                </v:roundrect>
                <v:roundrect id="Rounded Rectangle 29" o:spid="_x0000_s1183" style="position:absolute;left:41975;top:37292;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" fillcolor="#cff" strokecolor="#002060" strokeweight="1pt">
                  <v:stroke joinstyle="miter"/>
                  <v:textbox>
                    <w:txbxContent>
                      <w:p w14:paraId="314925F7" w14:textId="77777777" w:rsidR="00E85916" w:rsidRPr="0003299F" w:rsidRDefault="00E85916" w:rsidP="0003299F">
                        <w:pPr>
                          <w:jc w:val="center"/>
                          <w:rPr>
                            <w:rFonts w:eastAsia="Calibri" w:cstheme="minorHAnsi"/>
                            <w:sz w:val="18"/>
                            <w:szCs w:val="20"/>
                          </w:rPr>
                        </w:pPr>
                        <w:r w:rsidRPr="0003299F">
                          <w:rPr>
                            <w:rFonts w:eastAsia="Calibri" w:cstheme="minorHAnsi"/>
                            <w:sz w:val="18"/>
                            <w:szCs w:val="20"/>
                          </w:rPr>
                          <w:t>EEC010 Участници със средно образование  (ISCED 3) или образование след средното образование (ISCED 4)</w:t>
                        </w:r>
                      </w:p>
                      <w:p w14:paraId="5E42371E" w14:textId="77777777" w:rsidR="00E85916" w:rsidRDefault="00E85916" w:rsidP="009B3CF6"/>
                    </w:txbxContent>
                  </v:textbox>
                </v:roundrect>
                <v:rect id="Rectangle 30" o:spid="_x0000_s1184" style="position:absolute;left:33596;top:8876;width:43586;height:3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" fillcolor="#ffc" strokecolor="#ed7d31" strokeweight=".5pt">
                  <v:textbox>
                    <w:txbxContent>
                      <w:p w14:paraId="70BC8FBA" w14:textId="77777777" w:rsidR="00E85916" w:rsidRPr="007E42F6" w:rsidRDefault="00E85916" w:rsidP="009B3CF6">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д</w:t>
                        </w:r>
                        <w:r w:rsidRPr="00591763">
                          <w:rPr>
                            <w:b/>
                            <w:sz w:val="32"/>
                            <w:szCs w:val="24"/>
                          </w:rPr>
                          <w:t>)</w:t>
                        </w:r>
                      </w:p>
                    </w:txbxContent>
                  </v:textbox>
                </v:rect>
                <v:roundrect id="Rounded Rectangle 31" o:spid="_x0000_s1185" style="position:absolute;left:41975;top:24908;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" fillcolor="#cff" strokecolor="#002060" strokeweight="1pt">
                  <v:stroke joinstyle="miter"/>
                  <v:textbox>
                    <w:txbxContent>
                      <w:p w14:paraId="72ABDF78" w14:textId="77777777" w:rsidR="00E85916" w:rsidRPr="000215B2" w:rsidRDefault="00E85916" w:rsidP="009B3CF6">
                        <w:pPr>
                          <w:jc w:val="center"/>
                          <w:rPr>
                            <w:rFonts w:eastAsia="Calibri" w:cstheme="minorHAnsi"/>
                            <w:sz w:val="18"/>
                            <w:szCs w:val="20"/>
                          </w:rPr>
                        </w:pPr>
                        <w:r w:rsidRPr="007E42F6">
                          <w:rPr>
                            <w:rFonts w:eastAsia="Calibri" w:cstheme="minorHAnsi"/>
                            <w:sz w:val="18"/>
                            <w:szCs w:val="20"/>
                          </w:rPr>
                          <w:t>ЕЕСO09 Участници с прогимназиален етап на основното образование или по-ниска степен (ISCED 0-2)</w:t>
                        </w:r>
                      </w:p>
                    </w:txbxContent>
                  </v:textbox>
                </v:roundrect>
                <v:roundrect id="Rounded Rectangle 224" o:spid="_x0000_s1186" style="position:absolute;left:80595;top:15094;width:18000;height:94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" fillcolor="#cf9" strokecolor="#385723" strokeweight="1pt">
                  <v:stroke joinstyle="miter"/>
                  <v:textbox>
                    <w:txbxContent>
                      <w:p w14:paraId="5BE4CE33" w14:textId="77777777" w:rsidR="00E85916" w:rsidRPr="008221D3" w:rsidRDefault="00E85916" w:rsidP="008221D3">
                        <w:pPr>
                          <w:jc w:val="center"/>
                          <w:rPr>
                            <w:rFonts w:eastAsia="Calibri" w:cstheme="minorHAnsi"/>
                            <w:sz w:val="18"/>
                            <w:szCs w:val="20"/>
                          </w:rPr>
                        </w:pPr>
                        <w:r w:rsidRPr="008221D3">
                          <w:rPr>
                            <w:rFonts w:eastAsia="Calibri" w:cstheme="minorHAnsi"/>
                            <w:sz w:val="18"/>
                            <w:szCs w:val="20"/>
                          </w:rPr>
                          <w:t>SRI 3.3. Участници, които остават в образование</w:t>
                        </w:r>
                      </w:p>
                    </w:txbxContent>
                  </v:textbox>
                </v:roundrect>
                <v:roundrect id="Rounded Rectangle 225" o:spid="_x0000_s1187" style="position:absolute;left:80595;top:37292;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" fillcolor="#cf9" strokecolor="#385723" strokeweight="1pt">
                  <v:stroke joinstyle="miter"/>
                  <v:textbox>
                    <w:txbxContent>
                      <w:p w14:paraId="40715FAC" w14:textId="77777777" w:rsidR="0034404D" w:rsidRPr="0034404D" w:rsidRDefault="0034404D" w:rsidP="008221D3">
                        <w:pPr>
                          <w:jc w:val="center"/>
                          <w:rPr>
                            <w:rFonts w:eastAsia="Calibri" w:cstheme="minorHAnsi"/>
                            <w:sz w:val="2"/>
                            <w:szCs w:val="2"/>
                          </w:rPr>
                        </w:pPr>
                      </w:p>
                      <w:p w14:paraId="406412AD" w14:textId="3B9AE5DF" w:rsidR="00E85916" w:rsidRPr="008221D3" w:rsidRDefault="00E85916" w:rsidP="008221D3">
                        <w:pPr>
                          <w:jc w:val="center"/>
                          <w:rPr>
                            <w:rFonts w:eastAsia="Calibri" w:cstheme="minorHAnsi"/>
                            <w:sz w:val="18"/>
                            <w:szCs w:val="20"/>
                          </w:rPr>
                        </w:pPr>
                        <w:r w:rsidRPr="008221D3">
                          <w:rPr>
                            <w:rFonts w:eastAsia="Calibri" w:cstheme="minorHAnsi"/>
                            <w:sz w:val="18"/>
                            <w:szCs w:val="20"/>
                          </w:rPr>
                          <w:t>EECR03 участници, които при напускане на операцията получават квалификация</w:t>
                        </w:r>
                      </w:p>
                      <w:p w14:paraId="5A2D448C" w14:textId="77777777" w:rsidR="00E85916" w:rsidRPr="008028A6" w:rsidRDefault="00E85916" w:rsidP="00A73E26">
                        <w:pPr>
                          <w:pStyle w:val="Style1"/>
                          <w:rPr>
                            <w:lang w:val="bg-BG"/>
                          </w:rPr>
                        </w:pPr>
                      </w:p>
                    </w:txbxContent>
                  </v:textbox>
                </v:roundrect>
                <v:shape id="Straight Arrow Connector 230" o:spid="_x0000_s1188" type="#_x0000_t32" style="position:absolute;left:20667;top:29408;width:21308;height:51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" strokecolor="#5b9bd5" strokeweight=".5pt">
                  <v:stroke dashstyle="dash" startarrow="block" endarrow="block" joinstyle="miter"/>
                </v:shape>
                <v:rect id="Rectangle 239" o:spid="_x0000_s1189" style="position:absolute;left:25924;top:30449;width:6790;height:2915;rotation:-90437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" filled="f" stroked="f" strokeweight="1pt">
                  <v:textbox>
                    <w:txbxContent>
                      <w:p w14:paraId="72BBD4C5"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v:textbox>
                </v:rect>
                <v:roundrect id="Rounded Rectangle 248" o:spid="_x0000_s1190" style="position:absolute;left:3238;top:49874;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" fillcolor="#6ff" strokecolor="#002060" strokeweight="1pt">
                  <v:stroke joinstyle="miter"/>
                  <v:textbox>
                    <w:txbxContent>
                      <w:p w14:paraId="3701B4C2" w14:textId="77777777" w:rsidR="00E85916" w:rsidRPr="008221D3" w:rsidRDefault="00E85916" w:rsidP="008221D3">
                        <w:pPr>
                          <w:jc w:val="center"/>
                          <w:rPr>
                            <w:rFonts w:eastAsia="Calibri" w:cstheme="minorHAnsi"/>
                            <w:sz w:val="18"/>
                            <w:szCs w:val="20"/>
                          </w:rPr>
                        </w:pPr>
                        <w:r w:rsidRPr="008221D3">
                          <w:rPr>
                            <w:rFonts w:eastAsia="Calibri" w:cstheme="minorHAnsi"/>
                            <w:sz w:val="18"/>
                            <w:szCs w:val="20"/>
                          </w:rPr>
                          <w:t>SOI 3.4 Брой висши училища, въвели дуална форма на преподаване</w:t>
                        </w:r>
                      </w:p>
                    </w:txbxContent>
                  </v:textbox>
                </v:roundrect>
                <v:roundrect id="Rounded Rectangle 256" o:spid="_x0000_s1191" style="position:absolute;left:41975;top:49553;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" fillcolor="#cff" strokecolor="#002060" strokeweight="1pt">
                  <v:stroke joinstyle="miter"/>
                  <v:textbox>
                    <w:txbxContent>
                      <w:p w14:paraId="70AA2431" w14:textId="77777777" w:rsidR="00E85916" w:rsidRPr="0003299F" w:rsidRDefault="00E85916" w:rsidP="0003299F">
                        <w:pPr>
                          <w:jc w:val="center"/>
                          <w:rPr>
                            <w:rFonts w:eastAsia="Calibri" w:cstheme="minorHAnsi"/>
                            <w:sz w:val="18"/>
                            <w:szCs w:val="20"/>
                          </w:rPr>
                        </w:pPr>
                        <w:r w:rsidRPr="0003299F">
                          <w:rPr>
                            <w:rFonts w:eastAsia="Calibri" w:cstheme="minorHAnsi"/>
                            <w:sz w:val="18"/>
                            <w:szCs w:val="20"/>
                          </w:rPr>
                          <w:t>EEC011 Участници с висше образование  (ISCED 5 до 8)</w:t>
                        </w:r>
                      </w:p>
                    </w:txbxContent>
                  </v:textbox>
                </v:roundrect>
                <v:roundrect id="Rounded Rectangle 259" o:spid="_x0000_s1192" style="position:absolute;left:81167;top:60481;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" fillcolor="#cf9" strokecolor="#385723" strokeweight="1pt">
                  <v:stroke joinstyle="miter"/>
                  <v:textbox>
                    <w:txbxContent>
                      <w:p w14:paraId="6047469A" w14:textId="77777777" w:rsidR="00E85916" w:rsidRPr="0003299F" w:rsidRDefault="00E85916" w:rsidP="0003299F">
                        <w:pPr>
                          <w:jc w:val="center"/>
                          <w:rPr>
                            <w:rFonts w:eastAsia="Calibri" w:cstheme="minorHAnsi"/>
                            <w:sz w:val="18"/>
                            <w:szCs w:val="20"/>
                          </w:rPr>
                        </w:pPr>
                        <w:r w:rsidRPr="0003299F">
                          <w:rPr>
                            <w:rFonts w:eastAsia="Calibri" w:cstheme="minorHAnsi"/>
                            <w:sz w:val="18"/>
                            <w:szCs w:val="20"/>
                          </w:rPr>
                          <w:t>SRI 3.2. Брой студенти, които се обучават в дуална форма</w:t>
                        </w:r>
                      </w:p>
                    </w:txbxContent>
                  </v:textbox>
                </v:roundrect>
                <v:roundrect id="Rounded Rectangle 265" o:spid="_x0000_s1193" style="position:absolute;left:80664;top:25853;width:17931;height:94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" fillcolor="#cf9" strokecolor="#385723" strokeweight="1pt">
                  <v:stroke joinstyle="miter"/>
                  <v:textbox>
                    <w:txbxContent>
                      <w:p w14:paraId="3CFBA057" w14:textId="77777777" w:rsidR="00E85916" w:rsidRPr="008221D3" w:rsidRDefault="00E85916" w:rsidP="008221D3">
                        <w:pPr>
                          <w:jc w:val="center"/>
                          <w:rPr>
                            <w:rFonts w:eastAsia="Calibri" w:cstheme="minorHAnsi"/>
                            <w:sz w:val="18"/>
                            <w:szCs w:val="20"/>
                          </w:rPr>
                        </w:pPr>
                        <w:r w:rsidRPr="008221D3">
                          <w:rPr>
                            <w:rFonts w:eastAsia="Calibri" w:cstheme="minorHAnsi"/>
                            <w:sz w:val="18"/>
                            <w:szCs w:val="20"/>
                          </w:rPr>
                          <w:t>SRI 3.1. Лица започнали да търсят работа</w:t>
                        </w:r>
                      </w:p>
                    </w:txbxContent>
                  </v:textbox>
                </v:roundrect>
                <v:shape id="Straight Arrow Connector 266" o:spid="_x0000_s1194" type="#_x0000_t32" style="position:absolute;left:21238;top:29408;width:20737;height:249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" strokecolor="#385723" strokeweight="1pt">
                  <v:stroke dashstyle="dash" endarrow="block" joinstyle="miter"/>
                </v:shape>
                <v:shape id="Straight Arrow Connector 268" o:spid="_x0000_s1195" type="#_x0000_t32" style="position:absolute;left:21238;top:41792;width:20737;height:125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" strokecolor="#385723" strokeweight="1pt">
                  <v:stroke dashstyle="dash" endarrow="block" joinstyle="miter"/>
                </v:shape>
                <v:shape id="Straight Arrow Connector 277" o:spid="_x0000_s1196" type="#_x0000_t32" style="position:absolute;left:59975;top:41792;width:21192;height:122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" strokecolor="#385723" strokeweight="1pt">
                  <v:stroke dashstyle="dash" endarrow="block" joinstyle="miter"/>
                </v:shape>
                <v:shape id="Straight Arrow Connector 278" o:spid="_x0000_s1197" type="#_x0000_t32" style="position:absolute;left:59975;top:41792;width:20620;height:1226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" strokecolor="#385723" strokeweight="1pt">
                  <v:stroke endarrow="block" joinstyle="miter"/>
                </v:shape>
                <v:shape id="Straight Arrow Connector 279" o:spid="_x0000_s1198" type="#_x0000_t32" style="position:absolute;left:21238;top:54053;width:20737;height:3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" strokecolor="#385723" strokeweight="1pt">
                  <v:stroke dashstyle="dash" endarrow="block" joinstyle="miter"/>
                </v:shape>
                <v:roundrect id="Rounded Rectangle 280" o:spid="_x0000_s1199" style="position:absolute;left:81167;top:49553;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" fillcolor="#cf9" strokecolor="#385723" strokeweight="1pt">
                  <v:stroke joinstyle="miter"/>
                  <v:textbox>
                    <w:txbxContent>
                      <w:p w14:paraId="4F2D7D83" w14:textId="77777777" w:rsidR="00E85916" w:rsidRPr="00434AB0" w:rsidRDefault="00E85916" w:rsidP="00434AB0">
                        <w:pPr>
                          <w:jc w:val="center"/>
                          <w:rPr>
                            <w:rFonts w:eastAsia="Calibri" w:cstheme="minorHAnsi"/>
                            <w:sz w:val="18"/>
                            <w:szCs w:val="20"/>
                          </w:rPr>
                        </w:pPr>
                        <w:r w:rsidRPr="00434AB0">
                          <w:rPr>
                            <w:rFonts w:eastAsia="Calibri" w:cstheme="minorHAnsi"/>
                            <w:sz w:val="18"/>
                            <w:szCs w:val="20"/>
                          </w:rPr>
                          <w:t>SRI 3.4. брой подкрепени стартиращи фирми</w:t>
                        </w:r>
                      </w:p>
                    </w:txbxContent>
                  </v:textbox>
                </v:roundrect>
                <v:shape id="Straight Arrow Connector 281" o:spid="_x0000_s1200" type="#_x0000_t32" style="position:absolute;left:20667;top:34572;width:21308;height:72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" strokecolor="#5b9bd5" strokeweight=".5pt">
                  <v:stroke dashstyle="dash" startarrow="block" endarrow="block" joinstyle="miter"/>
                </v:shape>
                <v:rect id="Rectangle 282" o:spid="_x0000_s1201" style="position:absolute;left:25924;top:35189;width:6790;height:2915;rotation:116705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" filled="f" stroked="f" strokeweight="1pt">
                  <v:textbox>
                    <w:txbxContent>
                      <w:p w14:paraId="4BB33B8E" w14:textId="77777777" w:rsidR="00E85916" w:rsidRPr="00F54BC9" w:rsidRDefault="00E85916" w:rsidP="00F54BC9">
                        <w:pPr>
                          <w:pStyle w:val="NormalWeb"/>
                          <w:spacing w:before="0" w:beforeAutospacing="0" w:after="0" w:afterAutospacing="0" w:line="254" w:lineRule="auto"/>
                          <w:jc w:val="center"/>
                          <w:rPr>
                            <w:rFonts w:eastAsia="Calibri"/>
                            <w:b/>
                            <w:bCs/>
                          </w:rPr>
                        </w:pPr>
                        <w:r w:rsidRPr="00F54BC9">
                          <w:rPr>
                            <w:rFonts w:eastAsia="Calibri"/>
                            <w:b/>
                            <w:bCs/>
                          </w:rPr>
                          <w:t>от тях</w:t>
                        </w:r>
                      </w:p>
                    </w:txbxContent>
                  </v:textbox>
                </v:rect>
                <v:shape id="Straight Arrow Connector 152" o:spid="_x0000_s1202" type="#_x0000_t34" style="position:absolute;left:59975;top:54053;width:21192;height:127;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" strokecolor="#385723" strokeweight="1pt">
                  <v:stroke dashstyle="dash" endarrow="block"/>
                </v:shape>
                <v:shape id="Straight Arrow Connector 153" o:spid="_x0000_s1203" type="#_x0000_t33" style="position:absolute;left:43649;top:27463;width:6107;height:6892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" strokecolor="#385723" strokeweight="1pt">
                  <v:stroke endarrow="block"/>
                </v:shape>
                <v:shape id="Straight Arrow Connector 285" o:spid="_x0000_s1204" type="#_x0000_t32" style="position:absolute;left:59975;top:41792;width:206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" strokecolor="#385723" strokeweight="1pt">
                  <v:stroke endarrow="block" joinstyle="miter"/>
                </v:shape>
                <v:shape id="Straight Arrow Connector 286" o:spid="_x0000_s1205" type="#_x0000_t32" style="position:absolute;left:59975;top:19825;width:20620;height:2196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" strokecolor="#385723" strokeweight="1pt">
                  <v:stroke endarrow="block" joinstyle="miter"/>
                </v:shape>
                <v:shape id="Straight Arrow Connector 186" o:spid="_x0000_s1206" type="#_x0000_t32" style="position:absolute;left:59975;top:30584;width:20689;height:1120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" strokecolor="#385723" strokeweight="1pt">
                  <v:stroke endarrow="block" joinstyle="miter"/>
                </v:shape>
                <v:shape id="Straight Arrow Connector 189" o:spid="_x0000_s1207" type="#_x0000_t32" style="position:absolute;left:59975;top:19825;width:20620;height:95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" strokecolor="#385723" strokeweight="1pt">
                  <v:stroke dashstyle="dash" endarrow="block" joinstyle="miter"/>
                </v:shape>
                <v:shapetype id="_x0000_t36" coordsize="21600,21600" o:spt="36" o:oned="t" adj="10800,10800,10800" path="m,l@0,0@0@1@2@1@2,21600,21600,21600e" filled="f">
                  <v:stroke joinstyle="miter"/>
                  <v:formulas>
                    <v:f eqn="val #0"/>
                    <v:f eqn="val #1"/>
                    <v:f eqn="val #2"/>
                    <v:f eqn="prod #1 1 2"/>
                    <v:f eqn="mid #0 #2"/>
                    <v:f eqn="mid #1 height"/>
                  </v:formulas>
                  <v:path arrowok="t" fillok="f" o:connecttype="none"/>
                  <v:handles>
                    <v:h position="#0,@3"/>
                    <v:h position="@4,#1"/>
                    <v:h position="#2,@5"/>
                  </v:handles>
                  <o:lock v:ext="edit" shapetype="t"/>
                </v:shapetype>
                <v:shape id="Elbow Connector 64" o:spid="_x0000_s1208" type="#_x0000_t36" style="position:absolute;left:3238;top:30584;width:95357;height:23790;rotation:18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" adj="-518,-16287,22118" strokecolor="black [3200]" strokeweight="1pt">
                  <v:stroke dashstyle="dash" endarrow="block"/>
                </v:shape>
                <w10:wrap anchory="page"/>
              </v:group>
            </w:pict>
          </mc:Fallback>
        </mc:AlternateContent>
      </w:r>
      <w:r w:rsidR="00E85916" w:rsidRPr="00D83669">
        <w:br w:type="page"/>
      </w:r>
    </w:p>
    <w:p w14:paraId="79A76E67" w14:textId="77777777" w:rsidR="00E85916" w:rsidRPr="00D83669" w:rsidRDefault="00E85916">
      <w:r w:rsidRPr="00D83669">
        <w:rPr>
          <w:rFonts w:eastAsia="Calibri"/>
          <w:noProof/>
          <w:color w:val="000000" w:themeColor="text1"/>
          <w:sz w:val="20"/>
          <w:szCs w:val="20"/>
          <w:lang w:eastAsia="bg-BG"/>
        </w:rPr>
        <w:lastRenderedPageBreak/>
        <mc:AlternateContent>
          <mc:Choice Requires="wpc">
            <w:drawing>
              <wp:anchor distT="0" distB="0" distL="114300" distR="114300" simplePos="0" relativeHeight="251676672" behindDoc="0" locked="0" layoutInCell="1" allowOverlap="1" wp14:anchorId="01807AE9" wp14:editId="03F593DC">
                <wp:simplePos x="0" y="0"/>
                <wp:positionH relativeFrom="column">
                  <wp:posOffset>-305254</wp:posOffset>
                </wp:positionH>
                <wp:positionV relativeFrom="page">
                  <wp:posOffset>380455</wp:posOffset>
                </wp:positionV>
                <wp:extent cx="10546080" cy="6063343"/>
                <wp:effectExtent l="0" t="0" r="7620" b="0"/>
                <wp:wrapNone/>
                <wp:docPr id="233" name="Canvas 23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3" name="Rounded Rectangle 23"/>
                        <wps:cNvSpPr/>
                        <wps:spPr>
                          <a:xfrm>
                            <a:off x="60960" y="0"/>
                            <a:ext cx="10485120" cy="721591"/>
                          </a:xfrm>
                          <a:prstGeom prst="round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4E585B47" w14:textId="77777777" w:rsidR="00E85916" w:rsidRPr="009B688F" w:rsidRDefault="00E85916" w:rsidP="009B688F">
                              <w:pPr>
                                <w:jc w:val="center"/>
                                <w:rPr>
                                  <w:b/>
                                  <w:bCs/>
                                  <w:color w:val="C00000"/>
                                  <w:sz w:val="28"/>
                                  <w:szCs w:val="28"/>
                                </w:rPr>
                              </w:pPr>
                              <w:r w:rsidRPr="009B688F">
                                <w:rPr>
                                  <w:b/>
                                  <w:bCs/>
                                  <w:color w:val="C00000"/>
                                  <w:sz w:val="28"/>
                                  <w:szCs w:val="28"/>
                                </w:rPr>
                                <w:t>ПРИОРИТЕТ 3 – ВРЪЗКА НА ОБРАЗОВАНИЕТО С ПАЗАРА НА ТРУДА –</w:t>
                              </w:r>
                            </w:p>
                            <w:p w14:paraId="2EB298D9" w14:textId="77777777" w:rsidR="00E85916" w:rsidRPr="009B688F" w:rsidRDefault="00E85916" w:rsidP="009B688F">
                              <w:pPr>
                                <w:jc w:val="center"/>
                                <w:rPr>
                                  <w:b/>
                                  <w:bCs/>
                                  <w:color w:val="1F4E79" w:themeColor="accent1" w:themeShade="80"/>
                                  <w:sz w:val="28"/>
                                  <w:szCs w:val="28"/>
                                </w:rPr>
                              </w:pPr>
                              <w:r w:rsidRPr="009B688F">
                                <w:rPr>
                                  <w:b/>
                                  <w:bCs/>
                                  <w:color w:val="1F4E79" w:themeColor="accent1" w:themeShade="80"/>
                                  <w:sz w:val="28"/>
                                  <w:szCs w:val="28"/>
                                </w:rPr>
                                <w:t xml:space="preserve">ВИСШЕ ОБРАЗОВАНИЕ </w:t>
                              </w:r>
                            </w:p>
                          </w:txbxContent>
                        </wps:txbx>
                        <wps:bodyPr rot="0" spcFirstLastPara="0" vert="horz" wrap="square" lIns="9257" tIns="5555" rIns="9257" bIns="5555" numCol="1" spcCol="0" rtlCol="0" fromWordArt="0" anchor="t" anchorCtr="0" forceAA="0" compatLnSpc="1">
                          <a:prstTxWarp prst="textNoShape">
                            <a:avLst/>
                          </a:prstTxWarp>
                          <a:noAutofit/>
                        </wps:bodyPr>
                      </wps:wsp>
                      <wps:wsp>
                        <wps:cNvPr id="24" name="Rectangle 24"/>
                        <wps:cNvSpPr/>
                        <wps:spPr>
                          <a:xfrm>
                            <a:off x="3001469" y="1122158"/>
                            <a:ext cx="4358640" cy="371127"/>
                          </a:xfrm>
                          <a:prstGeom prst="rect">
                            <a:avLst/>
                          </a:prstGeom>
                          <a:solidFill>
                            <a:srgbClr val="FFFFCC"/>
                          </a:solidFill>
                        </wps:spPr>
                        <wps:style>
                          <a:lnRef idx="1">
                            <a:schemeClr val="accent2"/>
                          </a:lnRef>
                          <a:fillRef idx="2">
                            <a:schemeClr val="accent2"/>
                          </a:fillRef>
                          <a:effectRef idx="1">
                            <a:schemeClr val="accent2"/>
                          </a:effectRef>
                          <a:fontRef idx="minor">
                            <a:schemeClr val="dk1"/>
                          </a:fontRef>
                        </wps:style>
                        <wps:txbx>
                          <w:txbxContent>
                            <w:p w14:paraId="1F8BFE40" w14:textId="77777777" w:rsidR="00E85916" w:rsidRPr="007E42F6" w:rsidRDefault="00E85916" w:rsidP="00ED6445">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ж</w:t>
                              </w:r>
                              <w:r w:rsidRPr="00591763">
                                <w:rPr>
                                  <w:b/>
                                  <w:sz w:val="32"/>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ounded Rectangle 25"/>
                        <wps:cNvSpPr/>
                        <wps:spPr>
                          <a:xfrm>
                            <a:off x="6167922" y="3078071"/>
                            <a:ext cx="1800000" cy="900000"/>
                          </a:xfrm>
                          <a:prstGeom prst="roundRect">
                            <a:avLst/>
                          </a:prstGeom>
                          <a:solidFill>
                            <a:srgbClr val="CCFF99"/>
                          </a:solidFill>
                          <a:ln w="12700">
                            <a:solidFill>
                              <a:schemeClr val="accent6">
                                <a:lumMod val="50000"/>
                              </a:schemeClr>
                            </a:solidFill>
                          </a:ln>
                        </wps:spPr>
                        <wps:style>
                          <a:lnRef idx="1">
                            <a:schemeClr val="accent1"/>
                          </a:lnRef>
                          <a:fillRef idx="2">
                            <a:schemeClr val="accent1"/>
                          </a:fillRef>
                          <a:effectRef idx="1">
                            <a:schemeClr val="accent1"/>
                          </a:effectRef>
                          <a:fontRef idx="minor">
                            <a:schemeClr val="dk1"/>
                          </a:fontRef>
                        </wps:style>
                        <wps:txbx>
                          <w:txbxContent>
                            <w:p w14:paraId="64576E1A" w14:textId="77777777" w:rsidR="00E85916" w:rsidRPr="006B16EF" w:rsidRDefault="00E85916" w:rsidP="006B16EF">
                              <w:pPr>
                                <w:jc w:val="center"/>
                                <w:rPr>
                                  <w:rFonts w:eastAsia="Calibri" w:cstheme="minorHAnsi"/>
                                  <w:sz w:val="20"/>
                                </w:rPr>
                              </w:pPr>
                              <w:r w:rsidRPr="006B16EF">
                                <w:rPr>
                                  <w:rFonts w:eastAsia="Calibri" w:cstheme="minorHAnsi"/>
                                  <w:sz w:val="20"/>
                                </w:rPr>
                                <w:t>EECR03 участници, които при напускане на операцията получават квалификация</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 name="Rounded Rectangle 26"/>
                        <wps:cNvSpPr/>
                        <wps:spPr>
                          <a:xfrm>
                            <a:off x="2905922" y="4054271"/>
                            <a:ext cx="1800000" cy="900000"/>
                          </a:xfrm>
                          <a:prstGeom prst="roundRect">
                            <a:avLst/>
                          </a:prstGeom>
                          <a:solidFill>
                            <a:srgbClr val="66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53E6BD3E" w14:textId="77777777" w:rsidR="00E85916" w:rsidRPr="006B16EF" w:rsidRDefault="00E85916" w:rsidP="006B16EF">
                              <w:pPr>
                                <w:jc w:val="center"/>
                                <w:rPr>
                                  <w:rFonts w:eastAsia="Calibri" w:cstheme="minorHAnsi"/>
                                  <w:sz w:val="20"/>
                                </w:rPr>
                              </w:pPr>
                              <w:r w:rsidRPr="006B16EF">
                                <w:rPr>
                                  <w:rFonts w:eastAsia="Calibri" w:cstheme="minorHAnsi"/>
                                  <w:sz w:val="20"/>
                                </w:rPr>
                                <w:t>SOI 3.5 Брой докторантски училища</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6" name="Rounded Rectangle 226"/>
                        <wps:cNvSpPr/>
                        <wps:spPr>
                          <a:xfrm>
                            <a:off x="2905922" y="2423386"/>
                            <a:ext cx="1800000" cy="900000"/>
                          </a:xfrm>
                          <a:prstGeom prst="roundRect">
                            <a:avLst/>
                          </a:prstGeom>
                          <a:solidFill>
                            <a:srgbClr val="CCFFFF"/>
                          </a:solidFill>
                          <a:ln w="12700">
                            <a:solidFill>
                              <a:srgbClr val="002060"/>
                            </a:solidFill>
                          </a:ln>
                        </wps:spPr>
                        <wps:style>
                          <a:lnRef idx="1">
                            <a:schemeClr val="accent1"/>
                          </a:lnRef>
                          <a:fillRef idx="2">
                            <a:schemeClr val="accent1"/>
                          </a:fillRef>
                          <a:effectRef idx="1">
                            <a:schemeClr val="accent1"/>
                          </a:effectRef>
                          <a:fontRef idx="minor">
                            <a:schemeClr val="dk1"/>
                          </a:fontRef>
                        </wps:style>
                        <wps:txbx>
                          <w:txbxContent>
                            <w:p w14:paraId="7876375A" w14:textId="77777777" w:rsidR="00E85916" w:rsidRPr="006B16EF" w:rsidRDefault="00E85916" w:rsidP="006B16EF">
                              <w:pPr>
                                <w:jc w:val="center"/>
                                <w:rPr>
                                  <w:rFonts w:eastAsia="Calibri" w:cstheme="minorHAnsi"/>
                                  <w:sz w:val="20"/>
                                </w:rPr>
                              </w:pPr>
                              <w:r w:rsidRPr="006B16EF">
                                <w:rPr>
                                  <w:rFonts w:eastAsia="Calibri" w:cstheme="minorHAnsi"/>
                                  <w:sz w:val="20"/>
                                </w:rPr>
                                <w:t>EEC011 Участници с висше образование  (ISCED 5 до 8)</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7" name="Straight Arrow Connector 227"/>
                        <wps:cNvCnPr/>
                        <wps:spPr>
                          <a:xfrm>
                            <a:off x="4705922" y="2873386"/>
                            <a:ext cx="1462000" cy="654685"/>
                          </a:xfrm>
                          <a:prstGeom prst="straightConnector1">
                            <a:avLst/>
                          </a:prstGeom>
                          <a:ln w="12700">
                            <a:solidFill>
                              <a:schemeClr val="accent6">
                                <a:lumMod val="50000"/>
                              </a:schemeClr>
                            </a:solidFill>
                            <a:tailEnd type="triangle"/>
                          </a:ln>
                        </wps:spPr>
                        <wps:style>
                          <a:lnRef idx="1">
                            <a:schemeClr val="accent2"/>
                          </a:lnRef>
                          <a:fillRef idx="0">
                            <a:schemeClr val="accent2"/>
                          </a:fillRef>
                          <a:effectRef idx="0">
                            <a:schemeClr val="accent2"/>
                          </a:effectRef>
                          <a:fontRef idx="minor">
                            <a:schemeClr val="tx1"/>
                          </a:fontRef>
                        </wps:style>
                        <wps:bodyPr/>
                      </wps:wsp>
                      <wps:wsp>
                        <wps:cNvPr id="228" name="Straight Arrow Connector 228"/>
                        <wps:cNvCnPr/>
                        <wps:spPr>
                          <a:xfrm flipV="1">
                            <a:off x="4705922" y="3528071"/>
                            <a:ext cx="1462000" cy="976200"/>
                          </a:xfrm>
                          <a:prstGeom prst="straightConnector1">
                            <a:avLst/>
                          </a:prstGeom>
                          <a:ln w="12700">
                            <a:solidFill>
                              <a:schemeClr val="accent6">
                                <a:lumMod val="50000"/>
                              </a:schemeClr>
                            </a:solidFill>
                            <a:prstDash val="dash"/>
                            <a:tailEnd type="triangle"/>
                          </a:ln>
                        </wps:spPr>
                        <wps:style>
                          <a:lnRef idx="1">
                            <a:schemeClr val="accent2"/>
                          </a:lnRef>
                          <a:fillRef idx="0">
                            <a:schemeClr val="accent2"/>
                          </a:fillRef>
                          <a:effectRef idx="0">
                            <a:schemeClr val="accent2"/>
                          </a:effectRef>
                          <a:fontRef idx="minor">
                            <a:schemeClr val="tx1"/>
                          </a:fontRef>
                        </wps:style>
                        <wps:bodyPr/>
                      </wps:wsp>
                    </wpc:wpc>
                  </a:graphicData>
                </a:graphic>
                <wp14:sizeRelH relativeFrom="margin">
                  <wp14:pctWidth>0</wp14:pctWidth>
                </wp14:sizeRelH>
                <wp14:sizeRelV relativeFrom="margin">
                  <wp14:pctHeight>0</wp14:pctHeight>
                </wp14:sizeRelV>
              </wp:anchor>
            </w:drawing>
          </mc:Choice>
          <mc:Fallback>
            <w:pict>
              <v:group w14:anchorId="01807AE9" id="Canvas 233" o:spid="_x0000_s1209" editas="canvas" style="position:absolute;margin-left:-24.05pt;margin-top:29.95pt;width:830.4pt;height:477.45pt;z-index:251676672;mso-position-vertical-relative:page;mso-width-relative:margin;mso-height-relative:margin" coordsize="105460,60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">
                <v:shape id="_x0000_s1210" type="#_x0000_t75" style="position:absolute;width:105460;height:60629;visibility:visible;mso-wrap-style:square">
                  <v:fill o:detectmouseclick="t"/>
                  <v:path o:connecttype="none"/>
                </v:shape>
                <v:roundrect id="Rounded Rectangle 23" o:spid="_x0000_s1211" style="position:absolute;left:609;width:104851;height:72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" filled="f" stroked="f">
                  <v:textbox inset=".25714mm,.15431mm,.25714mm,.15431mm">
                    <w:txbxContent>
                      <w:p w14:paraId="4E585B47" w14:textId="77777777" w:rsidR="00E85916" w:rsidRPr="009B688F" w:rsidRDefault="00E85916" w:rsidP="009B688F">
                        <w:pPr>
                          <w:jc w:val="center"/>
                          <w:rPr>
                            <w:b/>
                            <w:bCs/>
                            <w:color w:val="C00000"/>
                            <w:sz w:val="28"/>
                            <w:szCs w:val="28"/>
                          </w:rPr>
                        </w:pPr>
                        <w:r w:rsidRPr="009B688F">
                          <w:rPr>
                            <w:b/>
                            <w:bCs/>
                            <w:color w:val="C00000"/>
                            <w:sz w:val="28"/>
                            <w:szCs w:val="28"/>
                          </w:rPr>
                          <w:t>ПРИОРИТЕТ 3 – ВРЪЗКА НА ОБРАЗОВАНИЕТО С ПАЗАРА НА ТРУДА –</w:t>
                        </w:r>
                      </w:p>
                      <w:p w14:paraId="2EB298D9" w14:textId="77777777" w:rsidR="00E85916" w:rsidRPr="009B688F" w:rsidRDefault="00E85916" w:rsidP="009B688F">
                        <w:pPr>
                          <w:jc w:val="center"/>
                          <w:rPr>
                            <w:b/>
                            <w:bCs/>
                            <w:color w:val="1F4E79" w:themeColor="accent1" w:themeShade="80"/>
                            <w:sz w:val="28"/>
                            <w:szCs w:val="28"/>
                          </w:rPr>
                        </w:pPr>
                        <w:r w:rsidRPr="009B688F">
                          <w:rPr>
                            <w:b/>
                            <w:bCs/>
                            <w:color w:val="1F4E79" w:themeColor="accent1" w:themeShade="80"/>
                            <w:sz w:val="28"/>
                            <w:szCs w:val="28"/>
                          </w:rPr>
                          <w:t xml:space="preserve">ВИСШЕ ОБРАЗОВАНИЕ </w:t>
                        </w:r>
                      </w:p>
                    </w:txbxContent>
                  </v:textbox>
                </v:roundrect>
                <v:rect id="Rectangle 24" o:spid="_x0000_s1212" style="position:absolute;left:30014;top:11221;width:43587;height:3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" fillcolor="#ffc" strokecolor="#ed7d31 [3205]" strokeweight=".5pt">
                  <v:textbox>
                    <w:txbxContent>
                      <w:p w14:paraId="1F8BFE40" w14:textId="77777777" w:rsidR="00E85916" w:rsidRPr="007E42F6" w:rsidRDefault="00E85916" w:rsidP="00ED6445">
                        <w:pPr>
                          <w:spacing w:after="0" w:line="240" w:lineRule="auto"/>
                          <w:jc w:val="center"/>
                          <w:rPr>
                            <w:sz w:val="32"/>
                            <w:szCs w:val="24"/>
                          </w:rPr>
                        </w:pPr>
                        <w:r w:rsidRPr="00E845B8">
                          <w:rPr>
                            <w:sz w:val="32"/>
                            <w:szCs w:val="24"/>
                          </w:rPr>
                          <w:t xml:space="preserve">Специфична цел по чл. 4, пар. 1, </w:t>
                        </w:r>
                        <w:r>
                          <w:rPr>
                            <w:b/>
                            <w:sz w:val="32"/>
                            <w:szCs w:val="24"/>
                          </w:rPr>
                          <w:t>буква ж</w:t>
                        </w:r>
                        <w:r w:rsidRPr="00591763">
                          <w:rPr>
                            <w:b/>
                            <w:sz w:val="32"/>
                            <w:szCs w:val="24"/>
                          </w:rPr>
                          <w:t>)</w:t>
                        </w:r>
                      </w:p>
                    </w:txbxContent>
                  </v:textbox>
                </v:rect>
                <v:roundrect id="Rounded Rectangle 25" o:spid="_x0000_s1213" style="position:absolute;left:61679;top:30780;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" fillcolor="#cf9" strokecolor="#375623 [1609]" strokeweight="1pt">
                  <v:stroke joinstyle="miter"/>
                  <v:textbox>
                    <w:txbxContent>
                      <w:p w14:paraId="64576E1A" w14:textId="77777777" w:rsidR="00E85916" w:rsidRPr="006B16EF" w:rsidRDefault="00E85916" w:rsidP="006B16EF">
                        <w:pPr>
                          <w:jc w:val="center"/>
                          <w:rPr>
                            <w:rFonts w:eastAsia="Calibri" w:cstheme="minorHAnsi"/>
                            <w:sz w:val="20"/>
                          </w:rPr>
                        </w:pPr>
                        <w:r w:rsidRPr="006B16EF">
                          <w:rPr>
                            <w:rFonts w:eastAsia="Calibri" w:cstheme="minorHAnsi"/>
                            <w:sz w:val="20"/>
                          </w:rPr>
                          <w:t>EECR03 участници, които при напускане на операцията получават квалификация</w:t>
                        </w:r>
                      </w:p>
                    </w:txbxContent>
                  </v:textbox>
                </v:roundrect>
                <v:roundrect id="Rounded Rectangle 26" o:spid="_x0000_s1214" style="position:absolute;left:29059;top:40542;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" fillcolor="#6ff" strokecolor="#002060" strokeweight="1pt">
                  <v:stroke joinstyle="miter"/>
                  <v:textbox>
                    <w:txbxContent>
                      <w:p w14:paraId="53E6BD3E" w14:textId="77777777" w:rsidR="00E85916" w:rsidRPr="006B16EF" w:rsidRDefault="00E85916" w:rsidP="006B16EF">
                        <w:pPr>
                          <w:jc w:val="center"/>
                          <w:rPr>
                            <w:rFonts w:eastAsia="Calibri" w:cstheme="minorHAnsi"/>
                            <w:sz w:val="20"/>
                          </w:rPr>
                        </w:pPr>
                        <w:r w:rsidRPr="006B16EF">
                          <w:rPr>
                            <w:rFonts w:eastAsia="Calibri" w:cstheme="minorHAnsi"/>
                            <w:sz w:val="20"/>
                          </w:rPr>
                          <w:t>SOI 3.5 Брой докторантски училища</w:t>
                        </w:r>
                      </w:p>
                    </w:txbxContent>
                  </v:textbox>
                </v:roundrect>
                <v:roundrect id="Rounded Rectangle 226" o:spid="_x0000_s1215" style="position:absolute;left:29059;top:24233;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" fillcolor="#cff" strokecolor="#002060" strokeweight="1pt">
                  <v:stroke joinstyle="miter"/>
                  <v:textbox>
                    <w:txbxContent>
                      <w:p w14:paraId="7876375A" w14:textId="77777777" w:rsidR="00E85916" w:rsidRPr="006B16EF" w:rsidRDefault="00E85916" w:rsidP="006B16EF">
                        <w:pPr>
                          <w:jc w:val="center"/>
                          <w:rPr>
                            <w:rFonts w:eastAsia="Calibri" w:cstheme="minorHAnsi"/>
                            <w:sz w:val="20"/>
                          </w:rPr>
                        </w:pPr>
                        <w:r w:rsidRPr="006B16EF">
                          <w:rPr>
                            <w:rFonts w:eastAsia="Calibri" w:cstheme="minorHAnsi"/>
                            <w:sz w:val="20"/>
                          </w:rPr>
                          <w:t>EEC011 Участници с висше образование  (ISCED 5 до 8)</w:t>
                        </w:r>
                      </w:p>
                    </w:txbxContent>
                  </v:textbox>
                </v:roundrect>
                <v:shape id="Straight Arrow Connector 227" o:spid="_x0000_s1216" type="#_x0000_t32" style="position:absolute;left:47059;top:28733;width:14620;height:65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" strokecolor="#375623 [1609]" strokeweight="1pt">
                  <v:stroke endarrow="block" joinstyle="miter"/>
                </v:shape>
                <v:shape id="Straight Arrow Connector 228" o:spid="_x0000_s1217" type="#_x0000_t32" style="position:absolute;left:47059;top:35280;width:14620;height:97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" strokecolor="#375623 [1609]" strokeweight="1pt">
                  <v:stroke dashstyle="dash" endarrow="block" joinstyle="miter"/>
                </v:shape>
                <w10:wrap anchory="page"/>
              </v:group>
            </w:pict>
          </mc:Fallback>
        </mc:AlternateContent>
      </w:r>
    </w:p>
    <w:p w14:paraId="7F7B4367" w14:textId="353D1EEB" w:rsidR="00E85916" w:rsidRPr="00D83669" w:rsidRDefault="00E85916" w:rsidP="0041069D">
      <w:pPr>
        <w:ind w:left="-450"/>
        <w:jc w:val="both"/>
        <w:rPr>
          <w:rFonts w:ascii="Times New Roman" w:hAnsi="Times New Roman" w:cs="Times New Roman"/>
          <w:sz w:val="28"/>
          <w:szCs w:val="28"/>
        </w:rPr>
      </w:pPr>
    </w:p>
    <w:p w14:paraId="7D8B0DC6" w14:textId="4907553A" w:rsidR="00FD5070" w:rsidRPr="00D83669" w:rsidRDefault="00FD5070" w:rsidP="0041069D">
      <w:pPr>
        <w:ind w:left="-450"/>
        <w:jc w:val="both"/>
        <w:rPr>
          <w:rFonts w:ascii="Times New Roman" w:hAnsi="Times New Roman" w:cs="Times New Roman"/>
          <w:sz w:val="28"/>
          <w:szCs w:val="28"/>
        </w:rPr>
      </w:pPr>
    </w:p>
    <w:p w14:paraId="395D7161" w14:textId="73048F58" w:rsidR="00FD5070" w:rsidRPr="00D83669" w:rsidRDefault="00FD5070" w:rsidP="0041069D">
      <w:pPr>
        <w:ind w:left="-450"/>
        <w:jc w:val="both"/>
        <w:rPr>
          <w:rFonts w:ascii="Times New Roman" w:hAnsi="Times New Roman" w:cs="Times New Roman"/>
          <w:sz w:val="28"/>
          <w:szCs w:val="28"/>
        </w:rPr>
      </w:pPr>
    </w:p>
    <w:p w14:paraId="10FC074D" w14:textId="2B101FB1" w:rsidR="00FD5070" w:rsidRPr="00D83669" w:rsidRDefault="00FD5070" w:rsidP="0041069D">
      <w:pPr>
        <w:ind w:left="-450"/>
        <w:jc w:val="both"/>
        <w:rPr>
          <w:rFonts w:ascii="Times New Roman" w:hAnsi="Times New Roman" w:cs="Times New Roman"/>
          <w:sz w:val="28"/>
          <w:szCs w:val="28"/>
        </w:rPr>
      </w:pPr>
    </w:p>
    <w:p w14:paraId="249C8F83" w14:textId="7D867F2D" w:rsidR="00FD5070" w:rsidRPr="00D83669" w:rsidRDefault="00FD5070" w:rsidP="0041069D">
      <w:pPr>
        <w:ind w:left="-450"/>
        <w:jc w:val="both"/>
        <w:rPr>
          <w:rFonts w:ascii="Times New Roman" w:hAnsi="Times New Roman" w:cs="Times New Roman"/>
          <w:sz w:val="28"/>
          <w:szCs w:val="28"/>
        </w:rPr>
      </w:pPr>
    </w:p>
    <w:p w14:paraId="2BC9D410" w14:textId="18D51658" w:rsidR="00FD5070" w:rsidRPr="00D83669" w:rsidRDefault="00FD5070" w:rsidP="0041069D">
      <w:pPr>
        <w:ind w:left="-450"/>
        <w:jc w:val="both"/>
        <w:rPr>
          <w:rFonts w:ascii="Times New Roman" w:hAnsi="Times New Roman" w:cs="Times New Roman"/>
          <w:sz w:val="28"/>
          <w:szCs w:val="28"/>
        </w:rPr>
      </w:pPr>
    </w:p>
    <w:p w14:paraId="41C6E0D8" w14:textId="3F16CBE6" w:rsidR="00FD5070" w:rsidRPr="00D83669" w:rsidRDefault="00FD5070" w:rsidP="0041069D">
      <w:pPr>
        <w:ind w:left="-450"/>
        <w:jc w:val="both"/>
        <w:rPr>
          <w:rFonts w:ascii="Times New Roman" w:hAnsi="Times New Roman" w:cs="Times New Roman"/>
          <w:sz w:val="28"/>
          <w:szCs w:val="28"/>
        </w:rPr>
      </w:pPr>
    </w:p>
    <w:p w14:paraId="68991EED" w14:textId="417873FD" w:rsidR="00FD5070" w:rsidRPr="00D83669" w:rsidRDefault="00FD5070" w:rsidP="0041069D">
      <w:pPr>
        <w:ind w:left="-450"/>
        <w:jc w:val="both"/>
        <w:rPr>
          <w:rFonts w:ascii="Times New Roman" w:hAnsi="Times New Roman" w:cs="Times New Roman"/>
          <w:sz w:val="28"/>
          <w:szCs w:val="28"/>
        </w:rPr>
      </w:pPr>
    </w:p>
    <w:p w14:paraId="450685F4" w14:textId="72F8DEC4" w:rsidR="00FD5070" w:rsidRPr="00D83669" w:rsidRDefault="00FD5070" w:rsidP="0041069D">
      <w:pPr>
        <w:ind w:left="-450"/>
        <w:jc w:val="both"/>
        <w:rPr>
          <w:rFonts w:ascii="Times New Roman" w:hAnsi="Times New Roman" w:cs="Times New Roman"/>
          <w:sz w:val="28"/>
          <w:szCs w:val="28"/>
        </w:rPr>
      </w:pPr>
    </w:p>
    <w:p w14:paraId="508702EF" w14:textId="36FA7F02" w:rsidR="00FD5070" w:rsidRPr="00D83669" w:rsidRDefault="00FD5070" w:rsidP="0041069D">
      <w:pPr>
        <w:ind w:left="-450"/>
        <w:jc w:val="both"/>
        <w:rPr>
          <w:rFonts w:ascii="Times New Roman" w:hAnsi="Times New Roman" w:cs="Times New Roman"/>
          <w:sz w:val="28"/>
          <w:szCs w:val="28"/>
        </w:rPr>
      </w:pPr>
    </w:p>
    <w:p w14:paraId="42E72DB1" w14:textId="77777777" w:rsidR="00FD5070" w:rsidRPr="00D83669" w:rsidRDefault="00FD5070" w:rsidP="0041069D">
      <w:pPr>
        <w:ind w:left="-450"/>
        <w:jc w:val="both"/>
        <w:rPr>
          <w:rFonts w:ascii="Times New Roman" w:hAnsi="Times New Roman" w:cs="Times New Roman"/>
          <w:sz w:val="28"/>
          <w:szCs w:val="28"/>
        </w:rPr>
      </w:pPr>
    </w:p>
    <w:p w14:paraId="752A15AF" w14:textId="34C0644C" w:rsidR="00534C42" w:rsidRPr="00D83669" w:rsidRDefault="00534C42" w:rsidP="00890863">
      <w:pPr>
        <w:ind w:left="-360"/>
        <w:jc w:val="both"/>
        <w:rPr>
          <w:rFonts w:ascii="Times New Roman" w:hAnsi="Times New Roman" w:cs="Times New Roman"/>
          <w:sz w:val="28"/>
          <w:szCs w:val="28"/>
        </w:rPr>
      </w:pPr>
    </w:p>
    <w:p w14:paraId="6A8ECE09" w14:textId="03AB6582" w:rsidR="00534C42" w:rsidRPr="00D83669" w:rsidRDefault="00534C42" w:rsidP="00A852D0">
      <w:pPr>
        <w:jc w:val="both"/>
        <w:rPr>
          <w:rFonts w:ascii="Times New Roman" w:hAnsi="Times New Roman" w:cs="Times New Roman"/>
          <w:sz w:val="28"/>
          <w:szCs w:val="28"/>
        </w:rPr>
      </w:pPr>
    </w:p>
    <w:p w14:paraId="6161DE80" w14:textId="645CE463" w:rsidR="00A852D0" w:rsidRPr="00D83669" w:rsidRDefault="00A852D0" w:rsidP="009C3D9D">
      <w:pPr>
        <w:jc w:val="center"/>
        <w:rPr>
          <w:rFonts w:ascii="Times New Roman" w:hAnsi="Times New Roman" w:cs="Times New Roman"/>
          <w:sz w:val="28"/>
          <w:szCs w:val="28"/>
        </w:rPr>
      </w:pPr>
    </w:p>
    <w:p w14:paraId="5AB286BA" w14:textId="21374522" w:rsidR="00A852D0" w:rsidRPr="00D83669" w:rsidRDefault="00A852D0" w:rsidP="00A852D0">
      <w:pPr>
        <w:jc w:val="both"/>
        <w:rPr>
          <w:rFonts w:ascii="Times New Roman" w:hAnsi="Times New Roman" w:cs="Times New Roman"/>
          <w:sz w:val="28"/>
          <w:szCs w:val="28"/>
        </w:rPr>
      </w:pPr>
    </w:p>
    <w:p w14:paraId="6063E2D2" w14:textId="16D01A96" w:rsidR="00A852D0" w:rsidRPr="00D83669" w:rsidRDefault="00A852D0" w:rsidP="00A852D0">
      <w:pPr>
        <w:jc w:val="both"/>
        <w:rPr>
          <w:rFonts w:ascii="Times New Roman" w:hAnsi="Times New Roman" w:cs="Times New Roman"/>
          <w:sz w:val="28"/>
          <w:szCs w:val="28"/>
        </w:rPr>
      </w:pPr>
    </w:p>
    <w:p w14:paraId="4898A4D7" w14:textId="5FB7F089" w:rsidR="00A852D0" w:rsidRPr="00D83669" w:rsidRDefault="00A852D0" w:rsidP="00A852D0">
      <w:pPr>
        <w:jc w:val="both"/>
        <w:rPr>
          <w:rFonts w:ascii="Times New Roman" w:hAnsi="Times New Roman" w:cs="Times New Roman"/>
          <w:sz w:val="28"/>
          <w:szCs w:val="28"/>
        </w:rPr>
      </w:pPr>
    </w:p>
    <w:p w14:paraId="2E939009" w14:textId="7C72B4A1" w:rsidR="00A852D0" w:rsidRPr="00D83669" w:rsidRDefault="00A852D0" w:rsidP="00A852D0">
      <w:pPr>
        <w:jc w:val="both"/>
        <w:rPr>
          <w:rFonts w:ascii="Times New Roman" w:hAnsi="Times New Roman" w:cs="Times New Roman"/>
          <w:sz w:val="28"/>
          <w:szCs w:val="28"/>
        </w:rPr>
      </w:pPr>
    </w:p>
    <w:p w14:paraId="5FA7BDA3" w14:textId="6F9AAB71" w:rsidR="00A852D0" w:rsidRPr="00D83669" w:rsidRDefault="00A852D0" w:rsidP="00A852D0">
      <w:pPr>
        <w:jc w:val="both"/>
        <w:rPr>
          <w:rFonts w:ascii="Times New Roman" w:hAnsi="Times New Roman" w:cs="Times New Roman"/>
          <w:sz w:val="28"/>
          <w:szCs w:val="28"/>
        </w:rPr>
      </w:pPr>
    </w:p>
    <w:p w14:paraId="5BA19A0B" w14:textId="77777777" w:rsidR="00E85916" w:rsidRPr="00D83669" w:rsidRDefault="00E85916" w:rsidP="00A852D0">
      <w:pPr>
        <w:jc w:val="both"/>
        <w:rPr>
          <w:rFonts w:ascii="Times New Roman" w:hAnsi="Times New Roman" w:cs="Times New Roman"/>
          <w:sz w:val="28"/>
          <w:szCs w:val="28"/>
        </w:rPr>
        <w:sectPr w:rsidR="00E85916" w:rsidRPr="00D83669" w:rsidSect="00E85916">
          <w:pgSz w:w="16838" w:h="11906" w:orient="landscape"/>
          <w:pgMar w:top="567" w:right="567" w:bottom="567" w:left="567" w:header="709" w:footer="709" w:gutter="0"/>
          <w:cols w:space="708"/>
          <w:docGrid w:linePitch="360"/>
        </w:sectPr>
      </w:pPr>
    </w:p>
    <w:p w14:paraId="125773F6" w14:textId="1D23318B" w:rsidR="00C63818" w:rsidRPr="00D83669" w:rsidRDefault="00C63818" w:rsidP="006F73C2">
      <w:pPr>
        <w:pStyle w:val="Heading1"/>
        <w:numPr>
          <w:ilvl w:val="0"/>
          <w:numId w:val="19"/>
        </w:numPr>
        <w:spacing w:after="240" w:line="360" w:lineRule="auto"/>
        <w:ind w:left="0" w:firstLine="0"/>
        <w:rPr>
          <w:rFonts w:ascii="Times New Roman" w:hAnsi="Times New Roman" w:cs="Times New Roman"/>
          <w:b/>
          <w:color w:val="auto"/>
          <w:sz w:val="28"/>
          <w:szCs w:val="28"/>
          <w:lang w:val="bg-BG"/>
        </w:rPr>
      </w:pPr>
      <w:bookmarkStart w:id="3" w:name="_Toc103586635"/>
      <w:r w:rsidRPr="00D83669">
        <w:rPr>
          <w:rFonts w:ascii="Times New Roman" w:hAnsi="Times New Roman" w:cs="Times New Roman"/>
          <w:b/>
          <w:color w:val="auto"/>
          <w:sz w:val="28"/>
          <w:szCs w:val="28"/>
          <w:lang w:val="bg-BG"/>
        </w:rPr>
        <w:lastRenderedPageBreak/>
        <w:t xml:space="preserve">Определяне на </w:t>
      </w:r>
      <w:r w:rsidR="003457B4" w:rsidRPr="00D83669">
        <w:rPr>
          <w:rFonts w:ascii="Times New Roman" w:hAnsi="Times New Roman" w:cs="Times New Roman"/>
          <w:b/>
          <w:color w:val="auto"/>
          <w:sz w:val="28"/>
          <w:szCs w:val="28"/>
          <w:lang w:val="bg-BG"/>
        </w:rPr>
        <w:t xml:space="preserve">етапни цели и </w:t>
      </w:r>
      <w:r w:rsidRPr="00D83669">
        <w:rPr>
          <w:rFonts w:ascii="Times New Roman" w:hAnsi="Times New Roman" w:cs="Times New Roman"/>
          <w:b/>
          <w:color w:val="auto"/>
          <w:sz w:val="28"/>
          <w:szCs w:val="28"/>
          <w:lang w:val="bg-BG"/>
        </w:rPr>
        <w:t xml:space="preserve">целеви стойности на </w:t>
      </w:r>
      <w:r w:rsidR="007A09A4" w:rsidRPr="00D83669">
        <w:rPr>
          <w:rFonts w:ascii="Times New Roman" w:hAnsi="Times New Roman" w:cs="Times New Roman"/>
          <w:b/>
          <w:color w:val="auto"/>
          <w:sz w:val="28"/>
          <w:szCs w:val="28"/>
          <w:lang w:val="bg-BG"/>
        </w:rPr>
        <w:t>показателите</w:t>
      </w:r>
      <w:bookmarkEnd w:id="3"/>
    </w:p>
    <w:p w14:paraId="400856F2" w14:textId="61EB3623" w:rsidR="00C63818" w:rsidRPr="00D83669" w:rsidRDefault="00C63818" w:rsidP="0022589D">
      <w:pPr>
        <w:ind w:firstLine="450"/>
        <w:jc w:val="both"/>
        <w:rPr>
          <w:rFonts w:ascii="Times New Roman" w:hAnsi="Times New Roman" w:cs="Times New Roman"/>
          <w:sz w:val="24"/>
          <w:szCs w:val="24"/>
        </w:rPr>
      </w:pPr>
      <w:r w:rsidRPr="00D83669">
        <w:rPr>
          <w:rFonts w:ascii="Times New Roman" w:hAnsi="Times New Roman" w:cs="Times New Roman"/>
          <w:sz w:val="24"/>
          <w:szCs w:val="24"/>
        </w:rPr>
        <w:t xml:space="preserve">Целевите стойности на </w:t>
      </w:r>
      <w:r w:rsidR="007A09A4"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се основават на опита от изпълнението на предишни интервенции, които са сходни с планираните в </w:t>
      </w:r>
      <w:r w:rsidR="009F48B0" w:rsidRPr="00D83669">
        <w:rPr>
          <w:rFonts w:ascii="Times New Roman" w:hAnsi="Times New Roman" w:cs="Times New Roman"/>
          <w:sz w:val="24"/>
          <w:szCs w:val="24"/>
        </w:rPr>
        <w:t>ПО</w:t>
      </w:r>
      <w:r w:rsidRPr="00D83669">
        <w:rPr>
          <w:rFonts w:ascii="Times New Roman" w:hAnsi="Times New Roman" w:cs="Times New Roman"/>
          <w:sz w:val="24"/>
          <w:szCs w:val="24"/>
        </w:rPr>
        <w:t xml:space="preserve">. За целите на определянето на релевантността </w:t>
      </w:r>
      <w:r w:rsidR="00AF44D7" w:rsidRPr="00D83669">
        <w:rPr>
          <w:rFonts w:ascii="Times New Roman" w:hAnsi="Times New Roman" w:cs="Times New Roman"/>
          <w:sz w:val="24"/>
          <w:szCs w:val="24"/>
        </w:rPr>
        <w:t>им</w:t>
      </w:r>
      <w:r w:rsidRPr="00D83669">
        <w:rPr>
          <w:rFonts w:ascii="Times New Roman" w:hAnsi="Times New Roman" w:cs="Times New Roman"/>
          <w:sz w:val="24"/>
          <w:szCs w:val="24"/>
        </w:rPr>
        <w:t xml:space="preserve"> с предвидените в </w:t>
      </w:r>
      <w:r w:rsidR="009F48B0" w:rsidRPr="00D83669">
        <w:rPr>
          <w:rFonts w:ascii="Times New Roman" w:hAnsi="Times New Roman" w:cs="Times New Roman"/>
          <w:sz w:val="24"/>
          <w:szCs w:val="24"/>
        </w:rPr>
        <w:t>ПО</w:t>
      </w:r>
      <w:r w:rsidRPr="00D83669">
        <w:rPr>
          <w:rFonts w:ascii="Times New Roman" w:hAnsi="Times New Roman" w:cs="Times New Roman"/>
          <w:sz w:val="24"/>
          <w:szCs w:val="24"/>
        </w:rPr>
        <w:t xml:space="preserve"> е извършен сравнителен анализ на данните от изпълнените интервенции, за да се установи кои са сходни. За </w:t>
      </w:r>
      <w:r w:rsidR="00AF44D7" w:rsidRPr="00D83669">
        <w:rPr>
          <w:rFonts w:ascii="Times New Roman" w:hAnsi="Times New Roman" w:cs="Times New Roman"/>
          <w:sz w:val="24"/>
          <w:szCs w:val="24"/>
        </w:rPr>
        <w:t>такива</w:t>
      </w:r>
      <w:r w:rsidRPr="00D83669">
        <w:rPr>
          <w:rFonts w:ascii="Times New Roman" w:hAnsi="Times New Roman" w:cs="Times New Roman"/>
          <w:sz w:val="24"/>
          <w:szCs w:val="24"/>
        </w:rPr>
        <w:t xml:space="preserve"> </w:t>
      </w:r>
      <w:r w:rsidR="00550833" w:rsidRPr="00D83669">
        <w:rPr>
          <w:rFonts w:ascii="Times New Roman" w:hAnsi="Times New Roman" w:cs="Times New Roman"/>
          <w:sz w:val="24"/>
          <w:szCs w:val="24"/>
        </w:rPr>
        <w:t xml:space="preserve">са </w:t>
      </w:r>
      <w:r w:rsidRPr="00D83669">
        <w:rPr>
          <w:rFonts w:ascii="Times New Roman" w:hAnsi="Times New Roman" w:cs="Times New Roman"/>
          <w:sz w:val="24"/>
          <w:szCs w:val="24"/>
        </w:rPr>
        <w:t xml:space="preserve">счетени </w:t>
      </w:r>
      <w:r w:rsidR="00AF44D7" w:rsidRPr="00D83669">
        <w:rPr>
          <w:rFonts w:ascii="Times New Roman" w:hAnsi="Times New Roman" w:cs="Times New Roman"/>
          <w:sz w:val="24"/>
          <w:szCs w:val="24"/>
        </w:rPr>
        <w:t>интервенциите</w:t>
      </w:r>
      <w:r w:rsidRPr="00D83669">
        <w:rPr>
          <w:rFonts w:ascii="Times New Roman" w:hAnsi="Times New Roman" w:cs="Times New Roman"/>
          <w:sz w:val="24"/>
          <w:szCs w:val="24"/>
        </w:rPr>
        <w:t>, за които при анализа на данните е установено, че са с идентични бенефициенти, целева група и тип на подкрепата за целевата група.</w:t>
      </w:r>
    </w:p>
    <w:p w14:paraId="44709BF8" w14:textId="27997ABD" w:rsidR="00B0545B" w:rsidRPr="00D83669" w:rsidRDefault="00B0545B" w:rsidP="0022589D">
      <w:pPr>
        <w:ind w:firstLine="450"/>
        <w:jc w:val="both"/>
        <w:rPr>
          <w:rFonts w:ascii="Times New Roman" w:hAnsi="Times New Roman" w:cs="Times New Roman"/>
          <w:sz w:val="24"/>
          <w:szCs w:val="24"/>
        </w:rPr>
      </w:pPr>
      <w:r w:rsidRPr="00D83669">
        <w:rPr>
          <w:rFonts w:ascii="Times New Roman" w:hAnsi="Times New Roman" w:cs="Times New Roman"/>
          <w:sz w:val="24"/>
          <w:szCs w:val="24"/>
        </w:rPr>
        <w:t xml:space="preserve">Целевите стойности на </w:t>
      </w:r>
      <w:r w:rsidR="007A09A4" w:rsidRPr="00D83669">
        <w:rPr>
          <w:rFonts w:ascii="Times New Roman" w:hAnsi="Times New Roman" w:cs="Times New Roman"/>
          <w:sz w:val="24"/>
          <w:szCs w:val="24"/>
        </w:rPr>
        <w:t>показателите</w:t>
      </w:r>
      <w:r w:rsidRPr="00D83669">
        <w:rPr>
          <w:rFonts w:ascii="Times New Roman" w:hAnsi="Times New Roman" w:cs="Times New Roman"/>
          <w:sz w:val="24"/>
          <w:szCs w:val="24"/>
        </w:rPr>
        <w:t xml:space="preserve"> за</w:t>
      </w:r>
      <w:r w:rsidR="007A09A4"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продукт са определени </w:t>
      </w:r>
      <w:bookmarkStart w:id="4" w:name="_Hlk100129884"/>
      <w:r w:rsidRPr="00D83669">
        <w:rPr>
          <w:rFonts w:ascii="Times New Roman" w:hAnsi="Times New Roman" w:cs="Times New Roman"/>
          <w:sz w:val="24"/>
          <w:szCs w:val="24"/>
        </w:rPr>
        <w:t>на база исторически данни за обхвата на представителите на целевата група,</w:t>
      </w:r>
      <w:bookmarkEnd w:id="4"/>
      <w:r w:rsidRPr="00D83669">
        <w:rPr>
          <w:rFonts w:ascii="Times New Roman" w:hAnsi="Times New Roman" w:cs="Times New Roman"/>
          <w:sz w:val="24"/>
          <w:szCs w:val="24"/>
        </w:rPr>
        <w:t xml:space="preserve"> която е била подкрепена по предишни операции или </w:t>
      </w:r>
      <w:r w:rsidR="00AD0CD8" w:rsidRPr="00D83669">
        <w:rPr>
          <w:rFonts w:ascii="Times New Roman" w:hAnsi="Times New Roman" w:cs="Times New Roman"/>
          <w:sz w:val="24"/>
          <w:szCs w:val="24"/>
        </w:rPr>
        <w:t>по</w:t>
      </w:r>
      <w:r w:rsidRPr="00D83669">
        <w:rPr>
          <w:rFonts w:ascii="Times New Roman" w:hAnsi="Times New Roman" w:cs="Times New Roman"/>
          <w:sz w:val="24"/>
          <w:szCs w:val="24"/>
        </w:rPr>
        <w:t xml:space="preserve"> други програми и проекти, финансирани от националния бюджет</w:t>
      </w:r>
      <w:r w:rsidR="005F7EBB" w:rsidRPr="00D83669">
        <w:rPr>
          <w:rFonts w:ascii="Times New Roman" w:hAnsi="Times New Roman" w:cs="Times New Roman"/>
          <w:sz w:val="24"/>
          <w:szCs w:val="24"/>
        </w:rPr>
        <w:t>,</w:t>
      </w:r>
      <w:r w:rsidRPr="00D83669">
        <w:rPr>
          <w:rFonts w:ascii="Times New Roman" w:hAnsi="Times New Roman" w:cs="Times New Roman"/>
          <w:sz w:val="24"/>
          <w:szCs w:val="24"/>
        </w:rPr>
        <w:t xml:space="preserve"> от ЕСИФ и</w:t>
      </w:r>
      <w:r w:rsidR="005C43BE" w:rsidRPr="00D83669">
        <w:rPr>
          <w:rFonts w:ascii="Times New Roman" w:hAnsi="Times New Roman" w:cs="Times New Roman"/>
          <w:sz w:val="24"/>
          <w:szCs w:val="24"/>
        </w:rPr>
        <w:t>ли</w:t>
      </w:r>
      <w:r w:rsidRPr="00D83669">
        <w:rPr>
          <w:rFonts w:ascii="Times New Roman" w:hAnsi="Times New Roman" w:cs="Times New Roman"/>
          <w:sz w:val="24"/>
          <w:szCs w:val="24"/>
        </w:rPr>
        <w:t xml:space="preserve"> от други международни донори. </w:t>
      </w:r>
      <w:r w:rsidR="00AD226E" w:rsidRPr="00D83669">
        <w:rPr>
          <w:rFonts w:ascii="Times New Roman" w:hAnsi="Times New Roman" w:cs="Times New Roman"/>
          <w:sz w:val="24"/>
          <w:szCs w:val="24"/>
        </w:rPr>
        <w:t>Р</w:t>
      </w:r>
      <w:r w:rsidRPr="00D83669">
        <w:rPr>
          <w:rFonts w:ascii="Times New Roman" w:hAnsi="Times New Roman" w:cs="Times New Roman"/>
          <w:sz w:val="24"/>
          <w:szCs w:val="24"/>
        </w:rPr>
        <w:t xml:space="preserve">еферентните стойности на програмните </w:t>
      </w:r>
      <w:r w:rsidR="007A09A4" w:rsidRPr="00D83669">
        <w:rPr>
          <w:rFonts w:ascii="Times New Roman" w:hAnsi="Times New Roman" w:cs="Times New Roman"/>
          <w:sz w:val="24"/>
          <w:szCs w:val="24"/>
        </w:rPr>
        <w:t>показатели</w:t>
      </w:r>
      <w:r w:rsidRPr="00D83669">
        <w:rPr>
          <w:rFonts w:ascii="Times New Roman" w:hAnsi="Times New Roman" w:cs="Times New Roman"/>
          <w:sz w:val="24"/>
          <w:szCs w:val="24"/>
        </w:rPr>
        <w:t xml:space="preserve"> за резултат са </w:t>
      </w:r>
      <w:r w:rsidR="00AD226E" w:rsidRPr="00D83669">
        <w:rPr>
          <w:rFonts w:ascii="Times New Roman" w:hAnsi="Times New Roman" w:cs="Times New Roman"/>
          <w:sz w:val="24"/>
          <w:szCs w:val="24"/>
        </w:rPr>
        <w:t xml:space="preserve">определени </w:t>
      </w:r>
      <w:r w:rsidR="0012140D" w:rsidRPr="00D83669">
        <w:rPr>
          <w:rFonts w:ascii="Times New Roman" w:hAnsi="Times New Roman" w:cs="Times New Roman"/>
          <w:sz w:val="24"/>
          <w:szCs w:val="24"/>
        </w:rPr>
        <w:t xml:space="preserve"> </w:t>
      </w:r>
      <w:r w:rsidR="00AD226E" w:rsidRPr="00D83669">
        <w:rPr>
          <w:rFonts w:ascii="Times New Roman" w:hAnsi="Times New Roman" w:cs="Times New Roman"/>
          <w:sz w:val="24"/>
          <w:szCs w:val="24"/>
        </w:rPr>
        <w:t>в съответствие с</w:t>
      </w:r>
      <w:r w:rsidRPr="00D83669">
        <w:rPr>
          <w:rFonts w:ascii="Times New Roman" w:hAnsi="Times New Roman" w:cs="Times New Roman"/>
          <w:sz w:val="24"/>
          <w:szCs w:val="24"/>
        </w:rPr>
        <w:t xml:space="preserve"> дефиницията за референтна стойност</w:t>
      </w:r>
      <w:r w:rsidR="00AD226E" w:rsidRPr="00D83669">
        <w:rPr>
          <w:rFonts w:ascii="Times New Roman" w:hAnsi="Times New Roman" w:cs="Times New Roman"/>
          <w:sz w:val="24"/>
          <w:szCs w:val="24"/>
        </w:rPr>
        <w:t>, посочена в</w:t>
      </w:r>
      <w:r w:rsidR="0012140D" w:rsidRPr="00D83669">
        <w:rPr>
          <w:rFonts w:ascii="Times New Roman" w:hAnsi="Times New Roman" w:cs="Times New Roman"/>
          <w:sz w:val="24"/>
          <w:szCs w:val="24"/>
        </w:rPr>
        <w:t xml:space="preserve"> </w:t>
      </w:r>
      <w:r w:rsidRPr="00D83669">
        <w:rPr>
          <w:rFonts w:ascii="Times New Roman" w:hAnsi="Times New Roman" w:cs="Times New Roman"/>
          <w:sz w:val="24"/>
          <w:szCs w:val="24"/>
        </w:rPr>
        <w:t>Регламент</w:t>
      </w:r>
      <w:r w:rsidR="00AD226E" w:rsidRPr="00D83669">
        <w:rPr>
          <w:rFonts w:ascii="Times New Roman" w:hAnsi="Times New Roman" w:cs="Times New Roman"/>
          <w:sz w:val="24"/>
          <w:szCs w:val="24"/>
        </w:rPr>
        <w:t xml:space="preserve"> </w:t>
      </w:r>
      <w:r w:rsidR="00694C49" w:rsidRPr="00D83669">
        <w:rPr>
          <w:rFonts w:ascii="Times New Roman" w:hAnsi="Times New Roman" w:cs="Times New Roman"/>
          <w:sz w:val="24"/>
          <w:szCs w:val="24"/>
        </w:rPr>
        <w:t xml:space="preserve">(ЕС) </w:t>
      </w:r>
      <w:r w:rsidRPr="00D83669">
        <w:rPr>
          <w:rFonts w:ascii="Times New Roman" w:hAnsi="Times New Roman" w:cs="Times New Roman"/>
          <w:sz w:val="24"/>
          <w:szCs w:val="24"/>
        </w:rPr>
        <w:t xml:space="preserve">2021/1057, като са използвани данни от съществуващи или предишни подобни интервенции, а именно исторически данни, </w:t>
      </w:r>
      <w:r w:rsidR="00AD226E" w:rsidRPr="00D83669">
        <w:rPr>
          <w:rFonts w:ascii="Times New Roman" w:hAnsi="Times New Roman" w:cs="Times New Roman"/>
          <w:sz w:val="24"/>
          <w:szCs w:val="24"/>
        </w:rPr>
        <w:t>включително</w:t>
      </w:r>
      <w:r w:rsidRPr="00D83669">
        <w:rPr>
          <w:rFonts w:ascii="Times New Roman" w:hAnsi="Times New Roman" w:cs="Times New Roman"/>
          <w:sz w:val="24"/>
          <w:szCs w:val="24"/>
        </w:rPr>
        <w:t xml:space="preserve"> информация </w:t>
      </w:r>
      <w:r w:rsidR="0012140D" w:rsidRPr="00D83669">
        <w:rPr>
          <w:rFonts w:ascii="Times New Roman" w:hAnsi="Times New Roman" w:cs="Times New Roman"/>
          <w:sz w:val="24"/>
          <w:szCs w:val="24"/>
        </w:rPr>
        <w:t>от</w:t>
      </w:r>
      <w:r w:rsidRPr="00D83669">
        <w:rPr>
          <w:rFonts w:ascii="Times New Roman" w:hAnsi="Times New Roman" w:cs="Times New Roman"/>
          <w:sz w:val="24"/>
          <w:szCs w:val="24"/>
        </w:rPr>
        <w:t xml:space="preserve"> МОН </w:t>
      </w:r>
      <w:r w:rsidR="0012140D" w:rsidRPr="00D83669">
        <w:rPr>
          <w:rFonts w:ascii="Times New Roman" w:hAnsi="Times New Roman" w:cs="Times New Roman"/>
          <w:sz w:val="24"/>
          <w:szCs w:val="24"/>
        </w:rPr>
        <w:t>за резултати от изпълнението на</w:t>
      </w:r>
      <w:r w:rsidRPr="00D83669">
        <w:rPr>
          <w:rFonts w:ascii="Times New Roman" w:hAnsi="Times New Roman" w:cs="Times New Roman"/>
          <w:sz w:val="24"/>
          <w:szCs w:val="24"/>
        </w:rPr>
        <w:t xml:space="preserve"> проекти с подобни дейности, съобразно идентифицираните потребности на целевата група.</w:t>
      </w:r>
    </w:p>
    <w:p w14:paraId="1AFC4CB2" w14:textId="179D59D8" w:rsidR="00C63818" w:rsidRPr="00D83669" w:rsidRDefault="00C63818" w:rsidP="008F054C">
      <w:pPr>
        <w:ind w:firstLine="450"/>
        <w:jc w:val="both"/>
        <w:rPr>
          <w:rFonts w:ascii="Times New Roman" w:hAnsi="Times New Roman" w:cs="Times New Roman"/>
          <w:sz w:val="24"/>
          <w:szCs w:val="24"/>
        </w:rPr>
      </w:pPr>
      <w:r w:rsidRPr="00D83669">
        <w:rPr>
          <w:rFonts w:ascii="Times New Roman" w:hAnsi="Times New Roman" w:cs="Times New Roman"/>
          <w:sz w:val="24"/>
          <w:szCs w:val="24"/>
        </w:rPr>
        <w:t xml:space="preserve">Целевите стойности са определени на база идентифицирани </w:t>
      </w:r>
      <w:r w:rsidR="00F213CD" w:rsidRPr="00D83669">
        <w:rPr>
          <w:rFonts w:ascii="Times New Roman" w:hAnsi="Times New Roman" w:cs="Times New Roman"/>
          <w:sz w:val="24"/>
          <w:szCs w:val="24"/>
        </w:rPr>
        <w:t>потребности</w:t>
      </w:r>
      <w:r w:rsidRPr="00D83669">
        <w:rPr>
          <w:rFonts w:ascii="Times New Roman" w:hAnsi="Times New Roman" w:cs="Times New Roman"/>
          <w:sz w:val="24"/>
          <w:szCs w:val="24"/>
        </w:rPr>
        <w:t xml:space="preserve"> за подкрепа на целевите групи, като са използвани единичните разходи за сходен тип дейности, прилагани през периода 2018</w:t>
      </w:r>
      <w:r w:rsidR="008F054C" w:rsidRPr="00D83669">
        <w:rPr>
          <w:rFonts w:ascii="Times New Roman" w:hAnsi="Times New Roman" w:cs="Times New Roman"/>
          <w:sz w:val="24"/>
          <w:szCs w:val="24"/>
        </w:rPr>
        <w:t xml:space="preserve"> – </w:t>
      </w:r>
      <w:r w:rsidRPr="00D83669">
        <w:rPr>
          <w:rFonts w:ascii="Times New Roman" w:hAnsi="Times New Roman" w:cs="Times New Roman"/>
          <w:sz w:val="24"/>
          <w:szCs w:val="24"/>
        </w:rPr>
        <w:t>2020 г. Единичните разходи, които са прилагани от УО през периода 2018</w:t>
      </w:r>
      <w:r w:rsidR="008F054C" w:rsidRPr="00D83669">
        <w:rPr>
          <w:rFonts w:ascii="Times New Roman" w:hAnsi="Times New Roman" w:cs="Times New Roman"/>
          <w:sz w:val="24"/>
          <w:szCs w:val="24"/>
        </w:rPr>
        <w:t xml:space="preserve"> – </w:t>
      </w:r>
      <w:r w:rsidRPr="00D83669">
        <w:rPr>
          <w:rFonts w:ascii="Times New Roman" w:hAnsi="Times New Roman" w:cs="Times New Roman"/>
          <w:sz w:val="24"/>
          <w:szCs w:val="24"/>
        </w:rPr>
        <w:t>2020 г. са обвързани с разходите за възнаграждения и са в пряка зависимост от ръста на разходите за труд</w:t>
      </w:r>
      <w:r w:rsidR="00A01460" w:rsidRPr="00D83669">
        <w:rPr>
          <w:rStyle w:val="FootnoteReference"/>
          <w:rFonts w:ascii="Times New Roman" w:hAnsi="Times New Roman" w:cs="Times New Roman"/>
          <w:sz w:val="24"/>
          <w:szCs w:val="24"/>
        </w:rPr>
        <w:footnoteReference w:id="4"/>
      </w:r>
      <w:r w:rsidRPr="00D83669">
        <w:rPr>
          <w:rFonts w:ascii="Times New Roman" w:hAnsi="Times New Roman" w:cs="Times New Roman"/>
          <w:sz w:val="24"/>
          <w:szCs w:val="24"/>
        </w:rPr>
        <w:t xml:space="preserve">, което произтича от спецификата на подкрепата в сектор </w:t>
      </w:r>
      <w:r w:rsidR="00A01460" w:rsidRPr="00D83669">
        <w:rPr>
          <w:rFonts w:ascii="Times New Roman" w:hAnsi="Times New Roman" w:cs="Times New Roman"/>
          <w:sz w:val="24"/>
          <w:szCs w:val="24"/>
        </w:rPr>
        <w:t>„Образование“</w:t>
      </w:r>
      <w:r w:rsidRPr="00D83669">
        <w:rPr>
          <w:rFonts w:ascii="Times New Roman" w:hAnsi="Times New Roman" w:cs="Times New Roman"/>
          <w:sz w:val="24"/>
          <w:szCs w:val="24"/>
        </w:rPr>
        <w:t xml:space="preserve">. С оглед минимизиране на риска от неизпълнение на целевите стойности, към единичните разходи е приложен процент на индексация на база очакваното увеличение на разходите за труд в сектор </w:t>
      </w:r>
      <w:r w:rsidR="00290D2E" w:rsidRPr="00D83669">
        <w:rPr>
          <w:rFonts w:ascii="Times New Roman" w:hAnsi="Times New Roman" w:cs="Times New Roman"/>
          <w:sz w:val="24"/>
          <w:szCs w:val="24"/>
        </w:rPr>
        <w:t>„</w:t>
      </w:r>
      <w:r w:rsidRPr="00D83669">
        <w:rPr>
          <w:rFonts w:ascii="Times New Roman" w:hAnsi="Times New Roman" w:cs="Times New Roman"/>
          <w:sz w:val="24"/>
          <w:szCs w:val="24"/>
        </w:rPr>
        <w:t>Образование</w:t>
      </w:r>
      <w:r w:rsidR="00290D2E" w:rsidRPr="00D83669">
        <w:rPr>
          <w:rFonts w:ascii="Times New Roman" w:hAnsi="Times New Roman" w:cs="Times New Roman"/>
          <w:sz w:val="24"/>
          <w:szCs w:val="24"/>
        </w:rPr>
        <w:t>“</w:t>
      </w:r>
      <w:r w:rsidRPr="00D83669">
        <w:rPr>
          <w:rFonts w:ascii="Times New Roman" w:hAnsi="Times New Roman" w:cs="Times New Roman"/>
          <w:sz w:val="24"/>
          <w:szCs w:val="24"/>
        </w:rPr>
        <w:t xml:space="preserve"> за съответните години, в които е планирана конкретната интервенция. Приложеният метод на изчисление на целевите стойности може да се онагледи със следната формула:</w:t>
      </w:r>
    </w:p>
    <w:p w14:paraId="5C1706C7" w14:textId="77777777" w:rsidR="00C63818" w:rsidRPr="00D83669" w:rsidRDefault="00C63818" w:rsidP="00C63818">
      <w:pPr>
        <w:jc w:val="both"/>
        <w:rPr>
          <w:rFonts w:ascii="Times New Roman" w:hAnsi="Times New Roman" w:cs="Times New Roman"/>
          <w:sz w:val="28"/>
          <w:szCs w:val="28"/>
        </w:rPr>
      </w:pPr>
      <w:r w:rsidRPr="00D83669">
        <w:rPr>
          <w:rFonts w:ascii="Cambria Math" w:hAnsi="Cambria Math"/>
          <w:i/>
          <w:sz w:val="40"/>
          <w:szCs w:val="40"/>
        </w:rPr>
        <w:t>T</w:t>
      </w:r>
      <w:r w:rsidRPr="00D83669">
        <w:rPr>
          <w:i/>
          <w:sz w:val="32"/>
          <w:szCs w:val="32"/>
        </w:rPr>
        <w:t xml:space="preserve">=  </w:t>
      </w:r>
      <m:oMath>
        <m:f>
          <m:fPr>
            <m:ctrlPr>
              <w:rPr>
                <w:rFonts w:ascii="Cambria Math" w:hAnsi="Cambria Math"/>
                <w:i/>
                <w:sz w:val="44"/>
                <w:szCs w:val="44"/>
              </w:rPr>
            </m:ctrlPr>
          </m:fPr>
          <m:num>
            <m:r>
              <w:rPr>
                <w:rFonts w:ascii="Cambria Math" w:hAnsi="Cambria Math"/>
                <w:sz w:val="44"/>
                <w:szCs w:val="44"/>
              </w:rPr>
              <m:t>E</m:t>
            </m:r>
          </m:num>
          <m:den>
            <m:r>
              <w:rPr>
                <w:rFonts w:ascii="Cambria Math" w:hAnsi="Cambria Math"/>
                <w:sz w:val="44"/>
                <w:szCs w:val="44"/>
              </w:rPr>
              <m:t>I</m:t>
            </m:r>
          </m:den>
        </m:f>
        <m:r>
          <w:rPr>
            <w:rFonts w:ascii="Cambria Math" w:hAnsi="Cambria Math"/>
            <w:sz w:val="44"/>
            <w:szCs w:val="44"/>
          </w:rPr>
          <m:t xml:space="preserve"> </m:t>
        </m:r>
      </m:oMath>
      <w:r w:rsidRPr="00D83669">
        <w:rPr>
          <w:sz w:val="32"/>
          <w:szCs w:val="32"/>
        </w:rPr>
        <w:fldChar w:fldCharType="begin"/>
      </w:r>
      <w:r w:rsidRPr="00D83669">
        <w:rPr>
          <w:sz w:val="32"/>
          <w:szCs w:val="32"/>
        </w:rPr>
        <w:instrText xml:space="preserve"> QUOTE </w:instrText>
      </w:r>
      <m:oMath>
        <m:f>
          <m:fPr>
            <m:ctrlPr>
              <w:rPr>
                <w:rFonts w:ascii="Cambria Math" w:hAnsi="Cambria Math"/>
                <w:i/>
                <w:sz w:val="36"/>
                <w:szCs w:val="36"/>
              </w:rPr>
            </m:ctrlPr>
          </m:fPr>
          <m:num>
            <m:r>
              <m:rPr>
                <m:sty m:val="p"/>
              </m:rPr>
              <w:rPr>
                <w:rFonts w:ascii="Cambria Math" w:hAnsi="Cambria Math"/>
                <w:sz w:val="36"/>
                <w:szCs w:val="36"/>
                <w:lang w:val="en-GB"/>
              </w:rPr>
              <m:t>C</m:t>
            </m:r>
          </m:num>
          <m:den>
            <m:r>
              <m:rPr>
                <m:sty m:val="p"/>
              </m:rPr>
              <w:rPr>
                <w:rFonts w:ascii="Cambria Math" w:hAnsi="Cambria Math"/>
                <w:sz w:val="36"/>
                <w:szCs w:val="36"/>
              </w:rPr>
              <m:t>D</m:t>
            </m:r>
          </m:den>
        </m:f>
      </m:oMath>
      <w:r w:rsidRPr="00D83669">
        <w:rPr>
          <w:sz w:val="32"/>
          <w:szCs w:val="32"/>
        </w:rPr>
        <w:instrText xml:space="preserve"> </w:instrText>
      </w:r>
      <w:r w:rsidRPr="00D83669">
        <w:rPr>
          <w:sz w:val="32"/>
          <w:szCs w:val="32"/>
        </w:rPr>
        <w:fldChar w:fldCharType="end"/>
      </w:r>
      <w:r w:rsidRPr="00D83669">
        <w:rPr>
          <w:sz w:val="32"/>
          <w:szCs w:val="32"/>
        </w:rPr>
        <w:t xml:space="preserve">  ,</w:t>
      </w:r>
    </w:p>
    <w:p w14:paraId="7A6BF062" w14:textId="77777777" w:rsidR="00C63818" w:rsidRPr="00D83669" w:rsidRDefault="00C63818" w:rsidP="00C63818">
      <w:pPr>
        <w:jc w:val="both"/>
        <w:rPr>
          <w:rFonts w:ascii="Times New Roman" w:hAnsi="Times New Roman" w:cs="Times New Roman"/>
          <w:i/>
          <w:sz w:val="24"/>
          <w:szCs w:val="24"/>
        </w:rPr>
      </w:pPr>
      <w:r w:rsidRPr="00D83669">
        <w:rPr>
          <w:rFonts w:ascii="Times New Roman" w:hAnsi="Times New Roman" w:cs="Times New Roman"/>
          <w:i/>
          <w:sz w:val="24"/>
          <w:szCs w:val="24"/>
        </w:rPr>
        <w:t>където:</w:t>
      </w:r>
    </w:p>
    <w:p w14:paraId="19F1D59E" w14:textId="77777777" w:rsidR="00C63818" w:rsidRPr="00D83669" w:rsidRDefault="00C63818" w:rsidP="00C63818">
      <w:pPr>
        <w:ind w:firstLine="708"/>
        <w:jc w:val="both"/>
        <w:rPr>
          <w:rFonts w:ascii="Times New Roman" w:hAnsi="Times New Roman" w:cs="Times New Roman"/>
          <w:sz w:val="24"/>
          <w:szCs w:val="24"/>
        </w:rPr>
      </w:pPr>
      <w:r w:rsidRPr="00D83669">
        <w:rPr>
          <w:rFonts w:ascii="Times New Roman" w:hAnsi="Times New Roman" w:cs="Times New Roman"/>
          <w:b/>
          <w:i/>
          <w:sz w:val="24"/>
          <w:szCs w:val="24"/>
        </w:rPr>
        <w:t>Т</w:t>
      </w:r>
      <w:r w:rsidRPr="00D83669">
        <w:rPr>
          <w:rFonts w:ascii="Times New Roman" w:hAnsi="Times New Roman" w:cs="Times New Roman"/>
          <w:b/>
          <w:sz w:val="24"/>
          <w:szCs w:val="24"/>
        </w:rPr>
        <w:t xml:space="preserve"> </w:t>
      </w:r>
      <w:r w:rsidRPr="00D83669">
        <w:rPr>
          <w:rFonts w:ascii="Times New Roman" w:hAnsi="Times New Roman" w:cs="Times New Roman"/>
          <w:sz w:val="24"/>
          <w:szCs w:val="24"/>
        </w:rPr>
        <w:t>– целева стойност;</w:t>
      </w:r>
    </w:p>
    <w:p w14:paraId="6D9CC52B" w14:textId="77777777" w:rsidR="00C63818" w:rsidRPr="00D83669" w:rsidRDefault="00C63818" w:rsidP="00C63818">
      <w:pPr>
        <w:ind w:firstLine="708"/>
        <w:jc w:val="both"/>
        <w:rPr>
          <w:rFonts w:ascii="Times New Roman" w:hAnsi="Times New Roman" w:cs="Times New Roman"/>
          <w:sz w:val="24"/>
          <w:szCs w:val="24"/>
        </w:rPr>
      </w:pPr>
      <w:r w:rsidRPr="00D83669">
        <w:rPr>
          <w:rFonts w:ascii="Times New Roman" w:hAnsi="Times New Roman" w:cs="Times New Roman"/>
          <w:b/>
          <w:i/>
          <w:sz w:val="24"/>
          <w:szCs w:val="24"/>
        </w:rPr>
        <w:lastRenderedPageBreak/>
        <w:t>Е</w:t>
      </w:r>
      <w:r w:rsidRPr="00D83669">
        <w:rPr>
          <w:rFonts w:ascii="Times New Roman" w:hAnsi="Times New Roman" w:cs="Times New Roman"/>
          <w:sz w:val="24"/>
          <w:szCs w:val="24"/>
        </w:rPr>
        <w:t xml:space="preserve"> - прогнозен разход, който е изчислен на база единичните разходи, прилагани в периода 2018-2020 г. и идентифицираните </w:t>
      </w:r>
      <w:r w:rsidR="00F36F38" w:rsidRPr="00D83669">
        <w:rPr>
          <w:rFonts w:ascii="Times New Roman" w:hAnsi="Times New Roman" w:cs="Times New Roman"/>
          <w:sz w:val="24"/>
          <w:szCs w:val="24"/>
        </w:rPr>
        <w:t>потребности</w:t>
      </w:r>
      <w:r w:rsidRPr="00D83669">
        <w:rPr>
          <w:rFonts w:ascii="Times New Roman" w:hAnsi="Times New Roman" w:cs="Times New Roman"/>
          <w:sz w:val="24"/>
          <w:szCs w:val="24"/>
        </w:rPr>
        <w:t xml:space="preserve"> (</w:t>
      </w:r>
      <w:r w:rsidR="00DE22C7" w:rsidRPr="00D83669">
        <w:rPr>
          <w:rFonts w:ascii="Times New Roman" w:hAnsi="Times New Roman" w:cs="Times New Roman"/>
          <w:sz w:val="24"/>
          <w:szCs w:val="24"/>
        </w:rPr>
        <w:t xml:space="preserve">прогнозен </w:t>
      </w:r>
      <w:r w:rsidRPr="00D83669">
        <w:rPr>
          <w:rFonts w:ascii="Times New Roman" w:hAnsi="Times New Roman" w:cs="Times New Roman"/>
          <w:sz w:val="24"/>
          <w:szCs w:val="24"/>
        </w:rPr>
        <w:t>брой представители на целевата група);</w:t>
      </w:r>
    </w:p>
    <w:p w14:paraId="3244FA5C" w14:textId="0A8C75C9" w:rsidR="00C63818" w:rsidRPr="00D83669" w:rsidRDefault="00C63818" w:rsidP="00C63818">
      <w:pPr>
        <w:ind w:firstLine="708"/>
        <w:jc w:val="both"/>
        <w:rPr>
          <w:rFonts w:ascii="Times New Roman" w:hAnsi="Times New Roman" w:cs="Times New Roman"/>
          <w:sz w:val="24"/>
          <w:szCs w:val="24"/>
        </w:rPr>
      </w:pPr>
      <w:r w:rsidRPr="00D83669">
        <w:rPr>
          <w:rFonts w:ascii="Times New Roman" w:hAnsi="Times New Roman" w:cs="Times New Roman"/>
          <w:b/>
          <w:i/>
          <w:sz w:val="24"/>
          <w:szCs w:val="24"/>
          <w:lang w:val="en-US"/>
        </w:rPr>
        <w:t>I</w:t>
      </w:r>
      <w:r w:rsidRPr="00D83669">
        <w:rPr>
          <w:rFonts w:ascii="Times New Roman" w:hAnsi="Times New Roman" w:cs="Times New Roman"/>
          <w:sz w:val="24"/>
          <w:szCs w:val="24"/>
        </w:rPr>
        <w:t xml:space="preserve"> – индексиран разход, който е изчислен на база единичните разходи за съответната дейност, прилагани в периода 2018-2020 г., към които са приложени индекси на инфлация за периода, в който се планира изпълнението на интервенцията.</w:t>
      </w:r>
    </w:p>
    <w:p w14:paraId="1B455917" w14:textId="191E62F7" w:rsidR="00C63818" w:rsidRPr="00D83669" w:rsidRDefault="00C63818" w:rsidP="00C63818">
      <w:pPr>
        <w:jc w:val="both"/>
        <w:rPr>
          <w:rFonts w:ascii="Times New Roman" w:hAnsi="Times New Roman" w:cs="Times New Roman"/>
          <w:sz w:val="24"/>
          <w:szCs w:val="24"/>
        </w:rPr>
      </w:pPr>
    </w:p>
    <w:p w14:paraId="53D48441" w14:textId="4AE4B787" w:rsidR="00884C3B" w:rsidRPr="00D83669" w:rsidRDefault="00E71EB0" w:rsidP="0096766F">
      <w:pPr>
        <w:ind w:firstLine="708"/>
        <w:jc w:val="both"/>
        <w:rPr>
          <w:rFonts w:ascii="Times New Roman" w:hAnsi="Times New Roman" w:cs="Times New Roman"/>
          <w:sz w:val="24"/>
          <w:szCs w:val="24"/>
        </w:rPr>
      </w:pPr>
      <w:r w:rsidRPr="00D83669">
        <w:rPr>
          <w:rFonts w:ascii="Times New Roman" w:hAnsi="Times New Roman" w:cs="Times New Roman"/>
          <w:sz w:val="24"/>
          <w:szCs w:val="24"/>
        </w:rPr>
        <w:t>Конкретните изчисления за всяка група дейности</w:t>
      </w:r>
      <w:r w:rsidR="000553B6" w:rsidRPr="00D83669">
        <w:rPr>
          <w:rFonts w:ascii="Times New Roman" w:hAnsi="Times New Roman" w:cs="Times New Roman"/>
          <w:sz w:val="24"/>
          <w:szCs w:val="24"/>
        </w:rPr>
        <w:t xml:space="preserve"> по всяка специфична цел/ приоритет на </w:t>
      </w:r>
      <w:r w:rsidR="00CD3FCA" w:rsidRPr="00D83669">
        <w:rPr>
          <w:rFonts w:ascii="Times New Roman" w:hAnsi="Times New Roman" w:cs="Times New Roman"/>
          <w:sz w:val="24"/>
          <w:szCs w:val="24"/>
        </w:rPr>
        <w:t xml:space="preserve">Програмата </w:t>
      </w:r>
      <w:r w:rsidRPr="00D83669">
        <w:rPr>
          <w:rFonts w:ascii="Times New Roman" w:hAnsi="Times New Roman" w:cs="Times New Roman"/>
          <w:sz w:val="24"/>
          <w:szCs w:val="24"/>
        </w:rPr>
        <w:t>се съдържат във файл</w:t>
      </w:r>
      <w:r w:rsidR="0096766F" w:rsidRPr="00D83669">
        <w:rPr>
          <w:rFonts w:ascii="Times New Roman" w:hAnsi="Times New Roman" w:cs="Times New Roman"/>
          <w:sz w:val="24"/>
          <w:szCs w:val="24"/>
        </w:rPr>
        <w:t xml:space="preserve"> </w:t>
      </w:r>
      <w:r w:rsidR="0096766F" w:rsidRPr="00D83669">
        <w:rPr>
          <w:rFonts w:ascii="Times New Roman" w:hAnsi="Times New Roman" w:cs="Times New Roman"/>
          <w:i/>
          <w:sz w:val="24"/>
          <w:szCs w:val="24"/>
        </w:rPr>
        <w:t>Micro_Indicators</w:t>
      </w:r>
      <w:r w:rsidR="0096766F" w:rsidRPr="00D83669">
        <w:rPr>
          <w:rFonts w:ascii="Times New Roman" w:hAnsi="Times New Roman" w:cs="Times New Roman"/>
          <w:sz w:val="24"/>
          <w:szCs w:val="24"/>
        </w:rPr>
        <w:t xml:space="preserve"> за </w:t>
      </w:r>
      <w:r w:rsidR="000553B6" w:rsidRPr="00D83669">
        <w:rPr>
          <w:rFonts w:ascii="Times New Roman" w:hAnsi="Times New Roman" w:cs="Times New Roman"/>
          <w:sz w:val="24"/>
          <w:szCs w:val="24"/>
        </w:rPr>
        <w:t>съответния приоритет</w:t>
      </w:r>
      <w:r w:rsidR="0096766F" w:rsidRPr="00D83669">
        <w:rPr>
          <w:rFonts w:ascii="Times New Roman" w:hAnsi="Times New Roman" w:cs="Times New Roman"/>
          <w:sz w:val="24"/>
          <w:szCs w:val="24"/>
        </w:rPr>
        <w:t xml:space="preserve"> (листове </w:t>
      </w:r>
      <w:r w:rsidR="0096766F" w:rsidRPr="00D83669">
        <w:rPr>
          <w:rFonts w:ascii="Times New Roman" w:hAnsi="Times New Roman" w:cs="Times New Roman"/>
          <w:i/>
          <w:sz w:val="24"/>
          <w:szCs w:val="24"/>
          <w:lang w:val="en-US"/>
        </w:rPr>
        <w:t>Index</w:t>
      </w:r>
      <w:r w:rsidR="0096766F" w:rsidRPr="00D83669">
        <w:rPr>
          <w:rFonts w:ascii="Times New Roman" w:hAnsi="Times New Roman" w:cs="Times New Roman"/>
          <w:i/>
          <w:sz w:val="24"/>
          <w:szCs w:val="24"/>
        </w:rPr>
        <w:t>_</w:t>
      </w:r>
      <w:r w:rsidR="0096766F" w:rsidRPr="00D83669">
        <w:rPr>
          <w:rFonts w:ascii="Times New Roman" w:hAnsi="Times New Roman" w:cs="Times New Roman"/>
          <w:i/>
          <w:sz w:val="24"/>
          <w:szCs w:val="24"/>
          <w:lang w:val="en-US"/>
        </w:rPr>
        <w:t>unit</w:t>
      </w:r>
      <w:r w:rsidR="0096766F" w:rsidRPr="00D83669">
        <w:rPr>
          <w:rFonts w:ascii="Times New Roman" w:hAnsi="Times New Roman" w:cs="Times New Roman"/>
          <w:i/>
          <w:sz w:val="24"/>
          <w:szCs w:val="24"/>
        </w:rPr>
        <w:t xml:space="preserve"> </w:t>
      </w:r>
      <w:r w:rsidR="0096766F" w:rsidRPr="00D83669">
        <w:rPr>
          <w:rFonts w:ascii="Times New Roman" w:hAnsi="Times New Roman" w:cs="Times New Roman"/>
          <w:i/>
          <w:sz w:val="24"/>
          <w:szCs w:val="24"/>
          <w:lang w:val="en-US"/>
        </w:rPr>
        <w:t>cost</w:t>
      </w:r>
      <w:r w:rsidR="006F49C8" w:rsidRPr="00D83669">
        <w:rPr>
          <w:rFonts w:ascii="Times New Roman" w:hAnsi="Times New Roman" w:cs="Times New Roman"/>
          <w:i/>
          <w:sz w:val="24"/>
          <w:szCs w:val="24"/>
        </w:rPr>
        <w:t>_</w:t>
      </w:r>
      <w:r w:rsidR="006F49C8" w:rsidRPr="00D83669">
        <w:rPr>
          <w:rFonts w:ascii="Times New Roman" w:hAnsi="Times New Roman" w:cs="Times New Roman"/>
          <w:i/>
          <w:sz w:val="24"/>
          <w:szCs w:val="24"/>
          <w:lang w:val="en-US"/>
        </w:rPr>
        <w:t>A</w:t>
      </w:r>
      <w:r w:rsidR="006F49C8" w:rsidRPr="00D83669">
        <w:rPr>
          <w:rFonts w:ascii="Times New Roman" w:hAnsi="Times New Roman" w:cs="Times New Roman"/>
          <w:i/>
          <w:sz w:val="16"/>
          <w:szCs w:val="16"/>
          <w:lang w:val="en-US"/>
        </w:rPr>
        <w:t>n</w:t>
      </w:r>
      <w:r w:rsidR="0096766F" w:rsidRPr="00D83669">
        <w:rPr>
          <w:rFonts w:ascii="Times New Roman" w:hAnsi="Times New Roman" w:cs="Times New Roman"/>
          <w:i/>
          <w:sz w:val="24"/>
          <w:szCs w:val="24"/>
        </w:rPr>
        <w:t xml:space="preserve"> </w:t>
      </w:r>
      <w:r w:rsidR="0096766F" w:rsidRPr="00D83669">
        <w:rPr>
          <w:rFonts w:ascii="Times New Roman" w:hAnsi="Times New Roman" w:cs="Times New Roman"/>
          <w:sz w:val="24"/>
          <w:szCs w:val="24"/>
        </w:rPr>
        <w:t>за съответната група дейности)</w:t>
      </w:r>
      <w:r w:rsidR="006F49C8" w:rsidRPr="00D83669">
        <w:rPr>
          <w:rFonts w:ascii="Times New Roman" w:hAnsi="Times New Roman" w:cs="Times New Roman"/>
          <w:sz w:val="24"/>
          <w:szCs w:val="24"/>
        </w:rPr>
        <w:t xml:space="preserve">, където </w:t>
      </w:r>
      <w:r w:rsidR="005D54BB" w:rsidRPr="00D83669">
        <w:rPr>
          <w:rFonts w:ascii="Times New Roman" w:hAnsi="Times New Roman" w:cs="Times New Roman"/>
          <w:sz w:val="24"/>
          <w:szCs w:val="24"/>
        </w:rPr>
        <w:t xml:space="preserve">са </w:t>
      </w:r>
      <w:r w:rsidR="00DB5656" w:rsidRPr="00D83669">
        <w:rPr>
          <w:rFonts w:ascii="Times New Roman" w:hAnsi="Times New Roman" w:cs="Times New Roman"/>
          <w:sz w:val="24"/>
          <w:szCs w:val="24"/>
        </w:rPr>
        <w:t>посочен</w:t>
      </w:r>
      <w:r w:rsidR="005D54BB" w:rsidRPr="00D83669">
        <w:rPr>
          <w:rFonts w:ascii="Times New Roman" w:hAnsi="Times New Roman" w:cs="Times New Roman"/>
          <w:sz w:val="24"/>
          <w:szCs w:val="24"/>
        </w:rPr>
        <w:t>и</w:t>
      </w:r>
      <w:r w:rsidR="00884C3B" w:rsidRPr="00D83669">
        <w:rPr>
          <w:rFonts w:ascii="Times New Roman" w:hAnsi="Times New Roman" w:cs="Times New Roman"/>
          <w:sz w:val="24"/>
          <w:szCs w:val="24"/>
        </w:rPr>
        <w:t>:</w:t>
      </w:r>
    </w:p>
    <w:p w14:paraId="3DC7600B" w14:textId="36584993" w:rsidR="00E71EB0" w:rsidRPr="00D83669" w:rsidRDefault="00DB5656" w:rsidP="009420FE">
      <w:pPr>
        <w:pStyle w:val="ListParagraph"/>
        <w:numPr>
          <w:ilvl w:val="0"/>
          <w:numId w:val="14"/>
        </w:numPr>
        <w:ind w:left="0" w:firstLine="990"/>
        <w:jc w:val="both"/>
        <w:rPr>
          <w:rFonts w:ascii="Times New Roman" w:hAnsi="Times New Roman" w:cs="Times New Roman"/>
          <w:sz w:val="24"/>
          <w:szCs w:val="24"/>
        </w:rPr>
      </w:pPr>
      <w:r w:rsidRPr="00D83669">
        <w:rPr>
          <w:rFonts w:ascii="Times New Roman" w:hAnsi="Times New Roman" w:cs="Times New Roman"/>
          <w:sz w:val="24"/>
          <w:szCs w:val="24"/>
        </w:rPr>
        <w:t>индикативно</w:t>
      </w:r>
      <w:r w:rsidR="000553B6" w:rsidRPr="00D83669">
        <w:rPr>
          <w:rFonts w:ascii="Times New Roman" w:hAnsi="Times New Roman" w:cs="Times New Roman"/>
          <w:sz w:val="24"/>
          <w:szCs w:val="24"/>
        </w:rPr>
        <w:t>то</w:t>
      </w:r>
      <w:r w:rsidR="006F49C8" w:rsidRPr="00D83669">
        <w:rPr>
          <w:rFonts w:ascii="Times New Roman" w:hAnsi="Times New Roman" w:cs="Times New Roman"/>
          <w:sz w:val="24"/>
          <w:szCs w:val="24"/>
        </w:rPr>
        <w:t xml:space="preserve"> </w:t>
      </w:r>
      <w:r w:rsidR="00CC1F8E" w:rsidRPr="00D83669">
        <w:rPr>
          <w:rFonts w:ascii="Times New Roman" w:hAnsi="Times New Roman" w:cs="Times New Roman"/>
          <w:sz w:val="24"/>
          <w:szCs w:val="24"/>
        </w:rPr>
        <w:t>разпределение</w:t>
      </w:r>
      <w:r w:rsidR="006F49C8" w:rsidRPr="00D83669">
        <w:rPr>
          <w:rFonts w:ascii="Times New Roman" w:hAnsi="Times New Roman" w:cs="Times New Roman"/>
          <w:sz w:val="24"/>
          <w:szCs w:val="24"/>
        </w:rPr>
        <w:t xml:space="preserve"> на прогнозната стойност на микр</w:t>
      </w:r>
      <w:r w:rsidRPr="00D83669">
        <w:rPr>
          <w:rFonts w:ascii="Times New Roman" w:hAnsi="Times New Roman" w:cs="Times New Roman"/>
          <w:sz w:val="24"/>
          <w:szCs w:val="24"/>
        </w:rPr>
        <w:t>о индикатор</w:t>
      </w:r>
      <w:r w:rsidR="000553B6" w:rsidRPr="00D83669">
        <w:rPr>
          <w:rFonts w:ascii="Times New Roman" w:hAnsi="Times New Roman" w:cs="Times New Roman"/>
          <w:sz w:val="24"/>
          <w:szCs w:val="24"/>
        </w:rPr>
        <w:t>а</w:t>
      </w:r>
      <w:r w:rsidR="00CC1F8E" w:rsidRPr="00D83669">
        <w:rPr>
          <w:rFonts w:ascii="Times New Roman" w:hAnsi="Times New Roman" w:cs="Times New Roman"/>
          <w:sz w:val="24"/>
          <w:szCs w:val="24"/>
        </w:rPr>
        <w:t xml:space="preserve"> (</w:t>
      </w:r>
      <w:r w:rsidR="00425E58" w:rsidRPr="00D83669">
        <w:rPr>
          <w:rFonts w:ascii="Times New Roman" w:hAnsi="Times New Roman" w:cs="Times New Roman"/>
          <w:i/>
          <w:sz w:val="24"/>
          <w:szCs w:val="24"/>
        </w:rPr>
        <w:t>колона</w:t>
      </w:r>
      <w:r w:rsidR="009A47B9" w:rsidRPr="00D83669">
        <w:rPr>
          <w:rFonts w:ascii="Times New Roman" w:hAnsi="Times New Roman" w:cs="Times New Roman"/>
          <w:i/>
          <w:sz w:val="24"/>
          <w:szCs w:val="24"/>
        </w:rPr>
        <w:t xml:space="preserve"> „</w:t>
      </w:r>
      <w:r w:rsidR="00425E58" w:rsidRPr="00D83669">
        <w:rPr>
          <w:rFonts w:ascii="Times New Roman" w:hAnsi="Times New Roman" w:cs="Times New Roman"/>
          <w:i/>
          <w:sz w:val="24"/>
          <w:szCs w:val="24"/>
        </w:rPr>
        <w:t>прогнозен брой</w:t>
      </w:r>
      <w:r w:rsidR="009A47B9" w:rsidRPr="00D83669">
        <w:rPr>
          <w:rFonts w:ascii="Times New Roman" w:hAnsi="Times New Roman" w:cs="Times New Roman"/>
          <w:i/>
          <w:sz w:val="24"/>
          <w:szCs w:val="24"/>
        </w:rPr>
        <w:t>“</w:t>
      </w:r>
      <w:r w:rsidR="00CC1F8E" w:rsidRPr="00D83669">
        <w:rPr>
          <w:rFonts w:ascii="Times New Roman" w:hAnsi="Times New Roman" w:cs="Times New Roman"/>
          <w:sz w:val="24"/>
          <w:szCs w:val="24"/>
        </w:rPr>
        <w:t>)</w:t>
      </w:r>
      <w:r w:rsidR="009A47B9" w:rsidRPr="00D83669">
        <w:rPr>
          <w:rFonts w:ascii="Times New Roman" w:hAnsi="Times New Roman" w:cs="Times New Roman"/>
          <w:sz w:val="24"/>
          <w:szCs w:val="24"/>
        </w:rPr>
        <w:t>,</w:t>
      </w:r>
      <w:r w:rsidR="006F49C8" w:rsidRPr="00D83669">
        <w:rPr>
          <w:rFonts w:ascii="Times New Roman" w:hAnsi="Times New Roman" w:cs="Times New Roman"/>
          <w:sz w:val="24"/>
          <w:szCs w:val="24"/>
        </w:rPr>
        <w:t xml:space="preserve"> </w:t>
      </w:r>
      <w:r w:rsidR="00425E58" w:rsidRPr="00D83669">
        <w:rPr>
          <w:rFonts w:ascii="Times New Roman" w:hAnsi="Times New Roman" w:cs="Times New Roman"/>
          <w:sz w:val="24"/>
          <w:szCs w:val="24"/>
        </w:rPr>
        <w:t>когато за неговото изпълнение се планира да бъде приложен единичен разход от ОПНОИР</w:t>
      </w:r>
      <w:r w:rsidR="009A47B9" w:rsidRPr="00D83669">
        <w:rPr>
          <w:rFonts w:ascii="Times New Roman" w:hAnsi="Times New Roman" w:cs="Times New Roman"/>
          <w:sz w:val="24"/>
          <w:szCs w:val="24"/>
        </w:rPr>
        <w:t>,</w:t>
      </w:r>
      <w:r w:rsidR="00425E58" w:rsidRPr="00D83669">
        <w:rPr>
          <w:rFonts w:ascii="Times New Roman" w:hAnsi="Times New Roman" w:cs="Times New Roman"/>
          <w:sz w:val="24"/>
          <w:szCs w:val="24"/>
        </w:rPr>
        <w:t xml:space="preserve"> </w:t>
      </w:r>
      <w:r w:rsidRPr="00D83669">
        <w:rPr>
          <w:rFonts w:ascii="Times New Roman" w:hAnsi="Times New Roman" w:cs="Times New Roman"/>
          <w:sz w:val="24"/>
          <w:szCs w:val="24"/>
        </w:rPr>
        <w:t>за всяка година от планирания период на операцията</w:t>
      </w:r>
      <w:r w:rsidR="009A47B9" w:rsidRPr="00D83669">
        <w:rPr>
          <w:rFonts w:ascii="Times New Roman" w:hAnsi="Times New Roman" w:cs="Times New Roman"/>
          <w:sz w:val="24"/>
          <w:szCs w:val="24"/>
        </w:rPr>
        <w:t>, за която се очаква да има изпълнение на индикатора</w:t>
      </w:r>
      <w:r w:rsidR="00884C3B" w:rsidRPr="00D83669">
        <w:rPr>
          <w:rFonts w:ascii="Times New Roman" w:hAnsi="Times New Roman" w:cs="Times New Roman"/>
          <w:sz w:val="24"/>
          <w:szCs w:val="24"/>
        </w:rPr>
        <w:t>;</w:t>
      </w:r>
    </w:p>
    <w:p w14:paraId="45E4927E" w14:textId="1D231B28" w:rsidR="00425E58" w:rsidRPr="00D83669" w:rsidRDefault="00884C3B" w:rsidP="009420FE">
      <w:pPr>
        <w:pStyle w:val="ListParagraph"/>
        <w:numPr>
          <w:ilvl w:val="0"/>
          <w:numId w:val="14"/>
        </w:numPr>
        <w:ind w:left="0" w:firstLine="990"/>
        <w:jc w:val="both"/>
        <w:rPr>
          <w:rFonts w:ascii="Times New Roman" w:hAnsi="Times New Roman" w:cs="Times New Roman"/>
          <w:sz w:val="24"/>
          <w:szCs w:val="24"/>
        </w:rPr>
      </w:pPr>
      <w:r w:rsidRPr="00D83669">
        <w:rPr>
          <w:rFonts w:ascii="Times New Roman" w:hAnsi="Times New Roman" w:cs="Times New Roman"/>
          <w:sz w:val="24"/>
          <w:szCs w:val="24"/>
        </w:rPr>
        <w:t>средния</w:t>
      </w:r>
      <w:r w:rsidR="005D54BB" w:rsidRPr="00D83669">
        <w:rPr>
          <w:rFonts w:ascii="Times New Roman" w:hAnsi="Times New Roman" w:cs="Times New Roman"/>
          <w:sz w:val="24"/>
          <w:szCs w:val="24"/>
        </w:rPr>
        <w:t>т</w:t>
      </w:r>
      <w:r w:rsidRPr="00D83669">
        <w:rPr>
          <w:rFonts w:ascii="Times New Roman" w:hAnsi="Times New Roman" w:cs="Times New Roman"/>
          <w:sz w:val="24"/>
          <w:szCs w:val="24"/>
        </w:rPr>
        <w:t xml:space="preserve"> прогнозен разход по години</w:t>
      </w:r>
      <w:r w:rsidR="009A47B9" w:rsidRPr="00D83669">
        <w:rPr>
          <w:rFonts w:ascii="Times New Roman" w:hAnsi="Times New Roman" w:cs="Times New Roman"/>
          <w:sz w:val="24"/>
          <w:szCs w:val="24"/>
        </w:rPr>
        <w:t xml:space="preserve"> (</w:t>
      </w:r>
      <w:r w:rsidR="009A47B9" w:rsidRPr="00D83669">
        <w:rPr>
          <w:rFonts w:ascii="Times New Roman" w:hAnsi="Times New Roman" w:cs="Times New Roman"/>
          <w:i/>
          <w:sz w:val="24"/>
          <w:szCs w:val="24"/>
        </w:rPr>
        <w:t>колона „среден прогнозен разход“</w:t>
      </w:r>
      <w:r w:rsidR="009A47B9" w:rsidRPr="00D83669">
        <w:rPr>
          <w:rFonts w:ascii="Times New Roman" w:hAnsi="Times New Roman" w:cs="Times New Roman"/>
          <w:sz w:val="24"/>
          <w:szCs w:val="24"/>
        </w:rPr>
        <w:t>)</w:t>
      </w:r>
      <w:r w:rsidRPr="00D83669">
        <w:rPr>
          <w:rFonts w:ascii="Times New Roman" w:hAnsi="Times New Roman" w:cs="Times New Roman"/>
          <w:sz w:val="24"/>
          <w:szCs w:val="24"/>
        </w:rPr>
        <w:t xml:space="preserve">, който се </w:t>
      </w:r>
      <w:r w:rsidR="00372861" w:rsidRPr="00D83669">
        <w:rPr>
          <w:rFonts w:ascii="Times New Roman" w:hAnsi="Times New Roman" w:cs="Times New Roman"/>
          <w:sz w:val="24"/>
          <w:szCs w:val="24"/>
        </w:rPr>
        <w:t>изчислява като</w:t>
      </w:r>
      <w:r w:rsidRPr="00D83669">
        <w:rPr>
          <w:rFonts w:ascii="Times New Roman" w:hAnsi="Times New Roman" w:cs="Times New Roman"/>
          <w:sz w:val="24"/>
          <w:szCs w:val="24"/>
        </w:rPr>
        <w:t xml:space="preserve"> съотношение между прогнозния ресурс за изпълнението на </w:t>
      </w:r>
      <w:r w:rsidR="00B958D5" w:rsidRPr="00D83669">
        <w:rPr>
          <w:rFonts w:ascii="Times New Roman" w:hAnsi="Times New Roman" w:cs="Times New Roman"/>
          <w:sz w:val="24"/>
          <w:szCs w:val="24"/>
        </w:rPr>
        <w:t xml:space="preserve">общата </w:t>
      </w:r>
      <w:r w:rsidR="0061109B" w:rsidRPr="00D83669">
        <w:rPr>
          <w:rFonts w:ascii="Times New Roman" w:hAnsi="Times New Roman" w:cs="Times New Roman"/>
          <w:sz w:val="24"/>
          <w:szCs w:val="24"/>
        </w:rPr>
        <w:t xml:space="preserve">прогнозна стойност на микро индикатора (изчислен на база единичните разходи, прилагани по ОПНОИР) и прогнозната </w:t>
      </w:r>
      <w:r w:rsidR="00B958D5" w:rsidRPr="00D83669">
        <w:rPr>
          <w:rFonts w:ascii="Times New Roman" w:hAnsi="Times New Roman" w:cs="Times New Roman"/>
          <w:sz w:val="24"/>
          <w:szCs w:val="24"/>
        </w:rPr>
        <w:t xml:space="preserve">обща </w:t>
      </w:r>
      <w:r w:rsidR="0061109B" w:rsidRPr="00D83669">
        <w:rPr>
          <w:rFonts w:ascii="Times New Roman" w:hAnsi="Times New Roman" w:cs="Times New Roman"/>
          <w:sz w:val="24"/>
          <w:szCs w:val="24"/>
        </w:rPr>
        <w:t xml:space="preserve">стойност на микро индикатора, умножено по </w:t>
      </w:r>
      <w:r w:rsidR="00B958D5" w:rsidRPr="00D83669">
        <w:rPr>
          <w:rFonts w:ascii="Times New Roman" w:hAnsi="Times New Roman" w:cs="Times New Roman"/>
          <w:sz w:val="24"/>
          <w:szCs w:val="24"/>
        </w:rPr>
        <w:t>прогнозния брой участници</w:t>
      </w:r>
      <w:r w:rsidR="00425E58" w:rsidRPr="00D83669">
        <w:rPr>
          <w:rFonts w:ascii="Times New Roman" w:hAnsi="Times New Roman" w:cs="Times New Roman"/>
          <w:sz w:val="24"/>
          <w:szCs w:val="24"/>
        </w:rPr>
        <w:t xml:space="preserve"> за съответната година;</w:t>
      </w:r>
    </w:p>
    <w:p w14:paraId="0B4741AE" w14:textId="6C1A2FCF" w:rsidR="00884C3B" w:rsidRPr="00D83669" w:rsidRDefault="00D449BA" w:rsidP="009420FE">
      <w:pPr>
        <w:pStyle w:val="ListParagraph"/>
        <w:numPr>
          <w:ilvl w:val="0"/>
          <w:numId w:val="14"/>
        </w:numPr>
        <w:ind w:left="0" w:firstLine="990"/>
        <w:jc w:val="both"/>
        <w:rPr>
          <w:rFonts w:ascii="Times New Roman" w:hAnsi="Times New Roman" w:cs="Times New Roman"/>
          <w:sz w:val="24"/>
          <w:szCs w:val="24"/>
        </w:rPr>
      </w:pPr>
      <w:r w:rsidRPr="00D83669">
        <w:rPr>
          <w:rFonts w:ascii="Times New Roman" w:hAnsi="Times New Roman" w:cs="Times New Roman"/>
          <w:sz w:val="24"/>
          <w:szCs w:val="24"/>
        </w:rPr>
        <w:t>индексираният разход по години (</w:t>
      </w:r>
      <w:r w:rsidRPr="00D83669">
        <w:rPr>
          <w:rFonts w:ascii="Times New Roman" w:hAnsi="Times New Roman" w:cs="Times New Roman"/>
          <w:i/>
          <w:sz w:val="24"/>
          <w:szCs w:val="24"/>
        </w:rPr>
        <w:t>колона „индексиран среден единичен разход“</w:t>
      </w:r>
      <w:r w:rsidRPr="00D83669">
        <w:rPr>
          <w:rFonts w:ascii="Times New Roman" w:hAnsi="Times New Roman" w:cs="Times New Roman"/>
          <w:sz w:val="24"/>
          <w:szCs w:val="24"/>
        </w:rPr>
        <w:t>)</w:t>
      </w:r>
      <w:r w:rsidR="00372861" w:rsidRPr="00D83669">
        <w:rPr>
          <w:rFonts w:ascii="Times New Roman" w:hAnsi="Times New Roman" w:cs="Times New Roman"/>
          <w:sz w:val="24"/>
          <w:szCs w:val="24"/>
        </w:rPr>
        <w:t>,</w:t>
      </w:r>
      <w:r w:rsidR="00372861" w:rsidRPr="00D83669">
        <w:t xml:space="preserve"> </w:t>
      </w:r>
      <w:r w:rsidR="00372861" w:rsidRPr="00D83669">
        <w:rPr>
          <w:rFonts w:ascii="Times New Roman" w:hAnsi="Times New Roman" w:cs="Times New Roman"/>
          <w:sz w:val="24"/>
          <w:szCs w:val="24"/>
        </w:rPr>
        <w:t>който се изчислява като съотношение между прогнозния ресурс за изпълнението на общата прогнозна стойност на микро индикатора (изчислен на база единичните разходи, прилагани по ОПНОИР) и прогнозната обща стойност на микро индикатора, умножено по индекса на инфлация за съответната година;</w:t>
      </w:r>
    </w:p>
    <w:p w14:paraId="4AAFF1E6" w14:textId="3D834D3A" w:rsidR="00372861" w:rsidRPr="00D83669" w:rsidRDefault="0069319A" w:rsidP="009420FE">
      <w:pPr>
        <w:pStyle w:val="ListParagraph"/>
        <w:numPr>
          <w:ilvl w:val="0"/>
          <w:numId w:val="14"/>
        </w:numPr>
        <w:ind w:left="0" w:firstLine="990"/>
        <w:jc w:val="both"/>
        <w:rPr>
          <w:rFonts w:ascii="Times New Roman" w:hAnsi="Times New Roman" w:cs="Times New Roman"/>
          <w:sz w:val="24"/>
          <w:szCs w:val="24"/>
        </w:rPr>
      </w:pPr>
      <w:r w:rsidRPr="00D83669">
        <w:rPr>
          <w:rFonts w:ascii="Times New Roman" w:hAnsi="Times New Roman" w:cs="Times New Roman"/>
          <w:sz w:val="24"/>
          <w:szCs w:val="24"/>
        </w:rPr>
        <w:t xml:space="preserve">целевата стойност на микро индикатора, разпределена по години </w:t>
      </w:r>
      <w:r w:rsidRPr="00D83669">
        <w:rPr>
          <w:rFonts w:ascii="Times New Roman" w:hAnsi="Times New Roman" w:cs="Times New Roman"/>
          <w:i/>
          <w:sz w:val="24"/>
          <w:szCs w:val="24"/>
        </w:rPr>
        <w:t>(колона „прогнозен брой след индексиране“)</w:t>
      </w:r>
      <w:r w:rsidR="00A33D7D" w:rsidRPr="00D83669">
        <w:rPr>
          <w:rFonts w:ascii="Times New Roman" w:hAnsi="Times New Roman" w:cs="Times New Roman"/>
          <w:i/>
          <w:sz w:val="24"/>
          <w:szCs w:val="24"/>
        </w:rPr>
        <w:t xml:space="preserve">, </w:t>
      </w:r>
      <w:r w:rsidR="00A33D7D" w:rsidRPr="00D83669">
        <w:rPr>
          <w:rFonts w:ascii="Times New Roman" w:hAnsi="Times New Roman" w:cs="Times New Roman"/>
          <w:sz w:val="24"/>
          <w:szCs w:val="24"/>
        </w:rPr>
        <w:t xml:space="preserve">която е изчислена като съотношение между </w:t>
      </w:r>
      <w:r w:rsidRPr="00D83669">
        <w:rPr>
          <w:rFonts w:ascii="Times New Roman" w:hAnsi="Times New Roman" w:cs="Times New Roman"/>
          <w:sz w:val="24"/>
          <w:szCs w:val="24"/>
        </w:rPr>
        <w:t xml:space="preserve"> </w:t>
      </w:r>
      <w:r w:rsidR="00A33D7D" w:rsidRPr="00D83669">
        <w:rPr>
          <w:rFonts w:ascii="Times New Roman" w:hAnsi="Times New Roman" w:cs="Times New Roman"/>
          <w:sz w:val="24"/>
          <w:szCs w:val="24"/>
        </w:rPr>
        <w:t>средния прогнозен разход по години и индексирания разход по години.</w:t>
      </w:r>
    </w:p>
    <w:p w14:paraId="4E10DD61" w14:textId="77777777" w:rsidR="00C00109" w:rsidRPr="00D83669" w:rsidRDefault="00C00109" w:rsidP="008F7AF2">
      <w:pPr>
        <w:ind w:firstLine="708"/>
        <w:jc w:val="both"/>
        <w:rPr>
          <w:rFonts w:ascii="Times New Roman" w:hAnsi="Times New Roman" w:cs="Times New Roman"/>
          <w:i/>
          <w:sz w:val="24"/>
          <w:szCs w:val="24"/>
        </w:rPr>
      </w:pPr>
    </w:p>
    <w:p w14:paraId="4E778DA3" w14:textId="1BAB1B9F" w:rsidR="00C63818" w:rsidRPr="00D83669" w:rsidRDefault="00C63818" w:rsidP="008F7AF2">
      <w:pPr>
        <w:ind w:firstLine="708"/>
        <w:jc w:val="both"/>
        <w:rPr>
          <w:rFonts w:ascii="Times New Roman" w:hAnsi="Times New Roman" w:cs="Times New Roman"/>
          <w:i/>
          <w:sz w:val="24"/>
          <w:szCs w:val="24"/>
        </w:rPr>
      </w:pPr>
      <w:r w:rsidRPr="00D83669">
        <w:rPr>
          <w:rFonts w:ascii="Times New Roman" w:hAnsi="Times New Roman" w:cs="Times New Roman"/>
          <w:i/>
          <w:sz w:val="24"/>
          <w:szCs w:val="24"/>
        </w:rPr>
        <w:t xml:space="preserve">Описание на стъпките при </w:t>
      </w:r>
      <w:r w:rsidR="00D720C7" w:rsidRPr="00D83669">
        <w:rPr>
          <w:rFonts w:ascii="Times New Roman" w:hAnsi="Times New Roman" w:cs="Times New Roman"/>
          <w:i/>
          <w:sz w:val="24"/>
          <w:szCs w:val="24"/>
        </w:rPr>
        <w:t>избора на</w:t>
      </w:r>
      <w:r w:rsidRPr="00D83669">
        <w:rPr>
          <w:rFonts w:ascii="Times New Roman" w:hAnsi="Times New Roman" w:cs="Times New Roman"/>
          <w:i/>
          <w:sz w:val="24"/>
          <w:szCs w:val="24"/>
        </w:rPr>
        <w:t xml:space="preserve"> </w:t>
      </w:r>
      <w:r w:rsidR="007A09A4" w:rsidRPr="00D83669">
        <w:rPr>
          <w:rFonts w:ascii="Times New Roman" w:hAnsi="Times New Roman" w:cs="Times New Roman"/>
          <w:i/>
          <w:sz w:val="24"/>
          <w:szCs w:val="24"/>
        </w:rPr>
        <w:t xml:space="preserve">показатели </w:t>
      </w:r>
      <w:r w:rsidR="00D720C7" w:rsidRPr="00D83669">
        <w:rPr>
          <w:rFonts w:ascii="Times New Roman" w:hAnsi="Times New Roman" w:cs="Times New Roman"/>
          <w:i/>
          <w:sz w:val="24"/>
          <w:szCs w:val="24"/>
        </w:rPr>
        <w:t>и определянето на целевите стойности</w:t>
      </w:r>
      <w:r w:rsidR="008F7AF2" w:rsidRPr="00D83669">
        <w:rPr>
          <w:rFonts w:ascii="Times New Roman" w:hAnsi="Times New Roman" w:cs="Times New Roman"/>
          <w:i/>
          <w:sz w:val="24"/>
          <w:szCs w:val="24"/>
        </w:rPr>
        <w:t>:</w:t>
      </w:r>
    </w:p>
    <w:p w14:paraId="5B818E97" w14:textId="0E4F52F2" w:rsidR="0094299D" w:rsidRPr="00D83669" w:rsidRDefault="0094299D" w:rsidP="00C63818">
      <w:pPr>
        <w:jc w:val="both"/>
        <w:rPr>
          <w:rFonts w:ascii="Times New Roman" w:hAnsi="Times New Roman" w:cs="Times New Roman"/>
          <w:sz w:val="24"/>
          <w:szCs w:val="24"/>
        </w:rPr>
      </w:pPr>
      <w:r w:rsidRPr="00D83669">
        <w:rPr>
          <w:rFonts w:ascii="Times New Roman" w:hAnsi="Times New Roman" w:cs="Times New Roman"/>
          <w:b/>
          <w:i/>
          <w:sz w:val="24"/>
          <w:szCs w:val="24"/>
        </w:rPr>
        <w:t>Микро индикатори</w:t>
      </w:r>
      <w:r w:rsidR="001C127C" w:rsidRPr="00D83669">
        <w:rPr>
          <w:rFonts w:ascii="Times New Roman" w:hAnsi="Times New Roman" w:cs="Times New Roman"/>
          <w:b/>
          <w:i/>
          <w:sz w:val="24"/>
          <w:szCs w:val="24"/>
        </w:rPr>
        <w:t xml:space="preserve"> (изходни данни)</w:t>
      </w:r>
      <w:r w:rsidR="00607554" w:rsidRPr="00D83669">
        <w:rPr>
          <w:rFonts w:ascii="Times New Roman" w:hAnsi="Times New Roman" w:cs="Times New Roman"/>
          <w:b/>
          <w:i/>
          <w:sz w:val="24"/>
          <w:szCs w:val="24"/>
        </w:rPr>
        <w:t>:</w:t>
      </w:r>
      <w:r w:rsidR="00607554" w:rsidRPr="00D83669">
        <w:rPr>
          <w:rFonts w:ascii="Times New Roman" w:hAnsi="Times New Roman" w:cs="Times New Roman"/>
          <w:sz w:val="24"/>
          <w:szCs w:val="24"/>
        </w:rPr>
        <w:t xml:space="preserve"> </w:t>
      </w:r>
      <w:r w:rsidR="00D720C7" w:rsidRPr="00D83669">
        <w:rPr>
          <w:rFonts w:ascii="Times New Roman" w:hAnsi="Times New Roman" w:cs="Times New Roman"/>
          <w:b/>
          <w:sz w:val="24"/>
          <w:szCs w:val="24"/>
        </w:rPr>
        <w:t>Използват</w:t>
      </w:r>
      <w:r w:rsidRPr="00D83669">
        <w:rPr>
          <w:rFonts w:ascii="Times New Roman" w:hAnsi="Times New Roman" w:cs="Times New Roman"/>
          <w:b/>
          <w:sz w:val="24"/>
          <w:szCs w:val="24"/>
        </w:rPr>
        <w:t xml:space="preserve"> се </w:t>
      </w:r>
      <w:r w:rsidRPr="00D83669">
        <w:rPr>
          <w:rFonts w:ascii="Times New Roman" w:hAnsi="Times New Roman" w:cs="Times New Roman"/>
          <w:b/>
          <w:sz w:val="24"/>
          <w:szCs w:val="24"/>
          <w:u w:val="single"/>
        </w:rPr>
        <w:t>единствено</w:t>
      </w:r>
      <w:r w:rsidRPr="00D83669">
        <w:rPr>
          <w:rFonts w:ascii="Times New Roman" w:hAnsi="Times New Roman" w:cs="Times New Roman"/>
          <w:b/>
          <w:sz w:val="24"/>
          <w:szCs w:val="24"/>
        </w:rPr>
        <w:t xml:space="preserve"> за целите на изчисленията на целевите стойности на общите и специфичните </w:t>
      </w:r>
      <w:r w:rsidR="007A09A4" w:rsidRPr="00D83669">
        <w:rPr>
          <w:rFonts w:ascii="Times New Roman" w:hAnsi="Times New Roman" w:cs="Times New Roman"/>
          <w:b/>
          <w:sz w:val="24"/>
          <w:szCs w:val="24"/>
        </w:rPr>
        <w:t xml:space="preserve">показатели </w:t>
      </w:r>
      <w:r w:rsidR="00EF53FD" w:rsidRPr="00D83669">
        <w:rPr>
          <w:rFonts w:ascii="Times New Roman" w:hAnsi="Times New Roman" w:cs="Times New Roman"/>
          <w:b/>
          <w:sz w:val="24"/>
          <w:szCs w:val="24"/>
        </w:rPr>
        <w:t>в ПО</w:t>
      </w:r>
    </w:p>
    <w:p w14:paraId="144811AC" w14:textId="5CFD691C" w:rsidR="00C63818" w:rsidRPr="00D83669" w:rsidRDefault="00E84068" w:rsidP="00C63818">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 xml:space="preserve">идентифициране на </w:t>
      </w:r>
      <w:r w:rsidR="00F36F38" w:rsidRPr="00D83669">
        <w:rPr>
          <w:rFonts w:ascii="Times New Roman" w:hAnsi="Times New Roman" w:cs="Times New Roman"/>
          <w:sz w:val="24"/>
          <w:szCs w:val="24"/>
        </w:rPr>
        <w:t>потребностите</w:t>
      </w:r>
      <w:r w:rsidRPr="00D83669">
        <w:rPr>
          <w:rFonts w:ascii="Times New Roman" w:hAnsi="Times New Roman" w:cs="Times New Roman"/>
          <w:sz w:val="24"/>
          <w:szCs w:val="24"/>
        </w:rPr>
        <w:t xml:space="preserve"> от подкрепа чрез </w:t>
      </w:r>
      <w:r w:rsidR="00C63818" w:rsidRPr="00D83669">
        <w:rPr>
          <w:rFonts w:ascii="Times New Roman" w:hAnsi="Times New Roman" w:cs="Times New Roman"/>
          <w:sz w:val="24"/>
          <w:szCs w:val="24"/>
        </w:rPr>
        <w:t>използване на исторически данни на ОПНОИР и/или официални публични статистически данни – НСИ, Евростат, и/или вторични източници на налични исторически данни –</w:t>
      </w:r>
      <w:r w:rsidR="003A29E8" w:rsidRPr="00D83669">
        <w:rPr>
          <w:rFonts w:ascii="Times New Roman" w:hAnsi="Times New Roman" w:cs="Times New Roman"/>
          <w:sz w:val="24"/>
          <w:szCs w:val="24"/>
        </w:rPr>
        <w:t xml:space="preserve"> </w:t>
      </w:r>
      <w:r w:rsidR="00C63818" w:rsidRPr="00D83669">
        <w:rPr>
          <w:rFonts w:ascii="Times New Roman" w:hAnsi="Times New Roman" w:cs="Times New Roman"/>
          <w:sz w:val="24"/>
          <w:szCs w:val="24"/>
        </w:rPr>
        <w:t>проучване (</w:t>
      </w:r>
      <w:r w:rsidR="00C63818" w:rsidRPr="00D83669">
        <w:rPr>
          <w:rFonts w:ascii="Times New Roman" w:hAnsi="Times New Roman" w:cs="Times New Roman"/>
          <w:sz w:val="24"/>
          <w:szCs w:val="24"/>
          <w:lang w:val="en-US"/>
        </w:rPr>
        <w:t>desk</w:t>
      </w:r>
      <w:r w:rsidR="00C63818" w:rsidRPr="00D83669">
        <w:rPr>
          <w:rFonts w:ascii="Times New Roman" w:hAnsi="Times New Roman" w:cs="Times New Roman"/>
          <w:sz w:val="24"/>
          <w:szCs w:val="24"/>
        </w:rPr>
        <w:t xml:space="preserve"> </w:t>
      </w:r>
      <w:r w:rsidR="00C63818" w:rsidRPr="00D83669">
        <w:rPr>
          <w:rFonts w:ascii="Times New Roman" w:hAnsi="Times New Roman" w:cs="Times New Roman"/>
          <w:sz w:val="24"/>
          <w:szCs w:val="24"/>
          <w:lang w:val="en-US"/>
        </w:rPr>
        <w:t>research</w:t>
      </w:r>
      <w:r w:rsidR="00C63818" w:rsidRPr="00D83669">
        <w:rPr>
          <w:rFonts w:ascii="Times New Roman" w:hAnsi="Times New Roman" w:cs="Times New Roman"/>
          <w:sz w:val="24"/>
          <w:szCs w:val="24"/>
        </w:rPr>
        <w:t xml:space="preserve">) на </w:t>
      </w:r>
      <w:r w:rsidR="0059541F" w:rsidRPr="00D83669">
        <w:rPr>
          <w:rFonts w:ascii="Times New Roman" w:hAnsi="Times New Roman" w:cs="Times New Roman"/>
          <w:sz w:val="24"/>
          <w:szCs w:val="24"/>
        </w:rPr>
        <w:t xml:space="preserve">национални програми, </w:t>
      </w:r>
      <w:r w:rsidR="00C63818" w:rsidRPr="00D83669">
        <w:rPr>
          <w:rFonts w:ascii="Times New Roman" w:hAnsi="Times New Roman" w:cs="Times New Roman"/>
          <w:sz w:val="24"/>
          <w:szCs w:val="24"/>
        </w:rPr>
        <w:t xml:space="preserve">публикации, доклади, стратегии с референтни данни за определяне на прогнозна стойност на микро индикаторите; </w:t>
      </w:r>
    </w:p>
    <w:p w14:paraId="2BDAACA8" w14:textId="77777777" w:rsidR="00C63818" w:rsidRPr="00D83669" w:rsidRDefault="00E84068" w:rsidP="00C63818">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определяне на прогнозни стойности на микро индикаторите</w:t>
      </w:r>
      <w:r w:rsidR="00C63818" w:rsidRPr="00D83669">
        <w:rPr>
          <w:rFonts w:ascii="Times New Roman" w:hAnsi="Times New Roman" w:cs="Times New Roman"/>
          <w:sz w:val="24"/>
          <w:szCs w:val="24"/>
        </w:rPr>
        <w:t xml:space="preserve"> </w:t>
      </w:r>
      <w:r w:rsidR="00872F52" w:rsidRPr="00D83669">
        <w:rPr>
          <w:rFonts w:ascii="Times New Roman" w:hAnsi="Times New Roman" w:cs="Times New Roman"/>
          <w:sz w:val="24"/>
          <w:szCs w:val="24"/>
        </w:rPr>
        <w:t xml:space="preserve">на база идентифицираните </w:t>
      </w:r>
      <w:r w:rsidR="00AE21F8" w:rsidRPr="00D83669">
        <w:rPr>
          <w:rFonts w:ascii="Times New Roman" w:hAnsi="Times New Roman" w:cs="Times New Roman"/>
          <w:sz w:val="24"/>
          <w:szCs w:val="24"/>
        </w:rPr>
        <w:t>потребности</w:t>
      </w:r>
      <w:r w:rsidR="00F668EB" w:rsidRPr="00D83669">
        <w:rPr>
          <w:rFonts w:ascii="Times New Roman" w:hAnsi="Times New Roman" w:cs="Times New Roman"/>
          <w:sz w:val="24"/>
          <w:szCs w:val="24"/>
        </w:rPr>
        <w:t xml:space="preserve"> и съобразно спецификата на предвидената подкрепа и опита на ОПНОИР в изпълнението на сходни операции</w:t>
      </w:r>
      <w:r w:rsidR="00872F52" w:rsidRPr="00D83669">
        <w:rPr>
          <w:rFonts w:ascii="Times New Roman" w:hAnsi="Times New Roman" w:cs="Times New Roman"/>
          <w:sz w:val="24"/>
          <w:szCs w:val="24"/>
        </w:rPr>
        <w:t xml:space="preserve"> </w:t>
      </w:r>
      <w:r w:rsidR="00F668EB" w:rsidRPr="00D83669">
        <w:rPr>
          <w:rFonts w:ascii="Times New Roman" w:hAnsi="Times New Roman" w:cs="Times New Roman"/>
          <w:sz w:val="24"/>
          <w:szCs w:val="24"/>
        </w:rPr>
        <w:t xml:space="preserve">- </w:t>
      </w:r>
      <w:r w:rsidR="00872F52" w:rsidRPr="00D83669">
        <w:rPr>
          <w:rFonts w:ascii="Times New Roman" w:hAnsi="Times New Roman" w:cs="Times New Roman"/>
          <w:sz w:val="24"/>
          <w:szCs w:val="24"/>
        </w:rPr>
        <w:t xml:space="preserve"> използва</w:t>
      </w:r>
      <w:r w:rsidR="00F668EB" w:rsidRPr="00D83669">
        <w:rPr>
          <w:rFonts w:ascii="Times New Roman" w:hAnsi="Times New Roman" w:cs="Times New Roman"/>
          <w:sz w:val="24"/>
          <w:szCs w:val="24"/>
        </w:rPr>
        <w:t>т се</w:t>
      </w:r>
      <w:r w:rsidR="00C63818" w:rsidRPr="00D83669">
        <w:rPr>
          <w:rFonts w:ascii="Times New Roman" w:hAnsi="Times New Roman" w:cs="Times New Roman"/>
          <w:sz w:val="24"/>
          <w:szCs w:val="24"/>
        </w:rPr>
        <w:t xml:space="preserve"> налични методологии на УО за </w:t>
      </w:r>
      <w:r w:rsidR="00727A73" w:rsidRPr="00D83669">
        <w:rPr>
          <w:rFonts w:ascii="Times New Roman" w:hAnsi="Times New Roman" w:cs="Times New Roman"/>
          <w:sz w:val="24"/>
          <w:szCs w:val="24"/>
        </w:rPr>
        <w:t>единични разходи</w:t>
      </w:r>
      <w:r w:rsidR="00FE25D2" w:rsidRPr="00D83669">
        <w:rPr>
          <w:rFonts w:ascii="Times New Roman" w:hAnsi="Times New Roman" w:cs="Times New Roman"/>
          <w:sz w:val="24"/>
          <w:szCs w:val="24"/>
        </w:rPr>
        <w:t>, прилагани по ОПНОИР</w:t>
      </w:r>
      <w:r w:rsidR="00872F52" w:rsidRPr="00D83669">
        <w:rPr>
          <w:rFonts w:ascii="Times New Roman" w:hAnsi="Times New Roman" w:cs="Times New Roman"/>
          <w:sz w:val="24"/>
          <w:szCs w:val="24"/>
        </w:rPr>
        <w:t xml:space="preserve"> или</w:t>
      </w:r>
      <w:r w:rsidR="00C63818" w:rsidRPr="00D83669">
        <w:rPr>
          <w:rFonts w:ascii="Times New Roman" w:hAnsi="Times New Roman" w:cs="Times New Roman"/>
          <w:sz w:val="24"/>
          <w:szCs w:val="24"/>
        </w:rPr>
        <w:t xml:space="preserve"> използване на </w:t>
      </w:r>
      <w:r w:rsidR="00C63818" w:rsidRPr="00D83669">
        <w:rPr>
          <w:rFonts w:ascii="Times New Roman" w:hAnsi="Times New Roman" w:cs="Times New Roman"/>
          <w:sz w:val="24"/>
          <w:szCs w:val="24"/>
        </w:rPr>
        <w:lastRenderedPageBreak/>
        <w:t>опростени</w:t>
      </w:r>
      <w:r w:rsidR="00727A73" w:rsidRPr="00D83669">
        <w:rPr>
          <w:rFonts w:ascii="Times New Roman" w:hAnsi="Times New Roman" w:cs="Times New Roman"/>
          <w:sz w:val="24"/>
          <w:szCs w:val="24"/>
        </w:rPr>
        <w:t xml:space="preserve"> </w:t>
      </w:r>
      <w:r w:rsidR="00C63818" w:rsidRPr="00D83669">
        <w:rPr>
          <w:rFonts w:ascii="Times New Roman" w:hAnsi="Times New Roman" w:cs="Times New Roman"/>
          <w:sz w:val="24"/>
          <w:szCs w:val="24"/>
        </w:rPr>
        <w:t xml:space="preserve">разходи от </w:t>
      </w:r>
      <w:r w:rsidR="00FE25D2" w:rsidRPr="00D83669">
        <w:rPr>
          <w:rFonts w:ascii="Times New Roman" w:hAnsi="Times New Roman" w:cs="Times New Roman"/>
          <w:sz w:val="24"/>
          <w:szCs w:val="24"/>
        </w:rPr>
        <w:t xml:space="preserve">национални и международни </w:t>
      </w:r>
      <w:r w:rsidR="00C63818" w:rsidRPr="00D83669">
        <w:rPr>
          <w:rFonts w:ascii="Times New Roman" w:hAnsi="Times New Roman" w:cs="Times New Roman"/>
          <w:sz w:val="24"/>
          <w:szCs w:val="24"/>
        </w:rPr>
        <w:t>програми, проекти или установени счетоводни практики, когато е  приложимо;</w:t>
      </w:r>
    </w:p>
    <w:p w14:paraId="7F1E7335" w14:textId="77777777" w:rsidR="00C63818" w:rsidRPr="00D83669" w:rsidRDefault="00C63818" w:rsidP="00C63818">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 xml:space="preserve">индексиране на прогнозните стойности на </w:t>
      </w:r>
      <w:r w:rsidR="00872F52" w:rsidRPr="00D83669">
        <w:rPr>
          <w:rFonts w:ascii="Times New Roman" w:hAnsi="Times New Roman" w:cs="Times New Roman"/>
          <w:sz w:val="24"/>
          <w:szCs w:val="24"/>
        </w:rPr>
        <w:t xml:space="preserve">микро </w:t>
      </w:r>
      <w:r w:rsidRPr="00D83669">
        <w:rPr>
          <w:rFonts w:ascii="Times New Roman" w:hAnsi="Times New Roman" w:cs="Times New Roman"/>
          <w:sz w:val="24"/>
          <w:szCs w:val="24"/>
        </w:rPr>
        <w:t xml:space="preserve">индикаторите чрез прилагане на  коефициент на инфлация към </w:t>
      </w:r>
      <w:r w:rsidR="00872F52" w:rsidRPr="00D83669">
        <w:rPr>
          <w:rFonts w:ascii="Times New Roman" w:hAnsi="Times New Roman" w:cs="Times New Roman"/>
          <w:sz w:val="24"/>
          <w:szCs w:val="24"/>
        </w:rPr>
        <w:t>единичните</w:t>
      </w:r>
      <w:r w:rsidRPr="00D83669">
        <w:rPr>
          <w:rFonts w:ascii="Times New Roman" w:hAnsi="Times New Roman" w:cs="Times New Roman"/>
          <w:sz w:val="24"/>
          <w:szCs w:val="24"/>
        </w:rPr>
        <w:t xml:space="preserve"> разходи за периода на изпълнение на операцията</w:t>
      </w:r>
      <w:r w:rsidR="00136AB3" w:rsidRPr="00D83669">
        <w:rPr>
          <w:rFonts w:ascii="Times New Roman" w:hAnsi="Times New Roman" w:cs="Times New Roman"/>
          <w:sz w:val="24"/>
          <w:szCs w:val="24"/>
        </w:rPr>
        <w:t xml:space="preserve"> и определяне на целеви стойности на микро индикаторите</w:t>
      </w:r>
      <w:r w:rsidRPr="00D83669">
        <w:rPr>
          <w:rFonts w:ascii="Times New Roman" w:hAnsi="Times New Roman" w:cs="Times New Roman"/>
          <w:sz w:val="24"/>
          <w:szCs w:val="24"/>
        </w:rPr>
        <w:t>;</w:t>
      </w:r>
    </w:p>
    <w:p w14:paraId="4E36B1B6" w14:textId="498F49FB" w:rsidR="00CE4494" w:rsidRPr="00D83669" w:rsidRDefault="00CE4494" w:rsidP="00C63818">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 xml:space="preserve">определяне на </w:t>
      </w:r>
      <w:r w:rsidR="00186A6A" w:rsidRPr="00D83669">
        <w:rPr>
          <w:rFonts w:ascii="Times New Roman" w:hAnsi="Times New Roman" w:cs="Times New Roman"/>
          <w:sz w:val="24"/>
          <w:szCs w:val="24"/>
        </w:rPr>
        <w:t xml:space="preserve">общия </w:t>
      </w:r>
      <w:r w:rsidRPr="00D83669">
        <w:rPr>
          <w:rFonts w:ascii="Times New Roman" w:hAnsi="Times New Roman" w:cs="Times New Roman"/>
          <w:sz w:val="24"/>
          <w:szCs w:val="24"/>
        </w:rPr>
        <w:t>финансов ресурс (европейско и национално финансиране)</w:t>
      </w:r>
      <w:r w:rsidR="004E43A3" w:rsidRPr="00D83669">
        <w:rPr>
          <w:rFonts w:ascii="Times New Roman" w:hAnsi="Times New Roman" w:cs="Times New Roman"/>
          <w:sz w:val="24"/>
          <w:szCs w:val="24"/>
        </w:rPr>
        <w:t>, необходим за постигането на целевите стойности</w:t>
      </w:r>
      <w:r w:rsidR="00CD70BD" w:rsidRPr="00D83669">
        <w:rPr>
          <w:rFonts w:ascii="Times New Roman" w:hAnsi="Times New Roman" w:cs="Times New Roman"/>
          <w:sz w:val="24"/>
          <w:szCs w:val="24"/>
        </w:rPr>
        <w:t xml:space="preserve"> </w:t>
      </w:r>
      <w:r w:rsidR="00252EA6" w:rsidRPr="00D83669">
        <w:rPr>
          <w:rFonts w:ascii="Times New Roman" w:hAnsi="Times New Roman" w:cs="Times New Roman"/>
          <w:sz w:val="24"/>
          <w:szCs w:val="24"/>
        </w:rPr>
        <w:t xml:space="preserve">на </w:t>
      </w:r>
      <w:r w:rsidR="00136AB3" w:rsidRPr="00D83669">
        <w:rPr>
          <w:rFonts w:ascii="Times New Roman" w:hAnsi="Times New Roman" w:cs="Times New Roman"/>
          <w:sz w:val="24"/>
          <w:szCs w:val="24"/>
        </w:rPr>
        <w:t>микро индикаторите</w:t>
      </w:r>
      <w:r w:rsidR="0003099A" w:rsidRPr="00D83669">
        <w:rPr>
          <w:rFonts w:ascii="Times New Roman" w:hAnsi="Times New Roman" w:cs="Times New Roman"/>
          <w:sz w:val="24"/>
          <w:szCs w:val="24"/>
        </w:rPr>
        <w:t xml:space="preserve"> – на база идентифицираните </w:t>
      </w:r>
      <w:r w:rsidR="00AE21F8" w:rsidRPr="00D83669">
        <w:rPr>
          <w:rFonts w:ascii="Times New Roman" w:hAnsi="Times New Roman" w:cs="Times New Roman"/>
          <w:sz w:val="24"/>
          <w:szCs w:val="24"/>
        </w:rPr>
        <w:t>потребности</w:t>
      </w:r>
      <w:r w:rsidR="0003099A" w:rsidRPr="00D83669">
        <w:rPr>
          <w:rFonts w:ascii="Times New Roman" w:hAnsi="Times New Roman" w:cs="Times New Roman"/>
          <w:sz w:val="24"/>
          <w:szCs w:val="24"/>
        </w:rPr>
        <w:t xml:space="preserve"> (прогнозни стойности на микро индикаторите) и </w:t>
      </w:r>
      <w:r w:rsidR="00893997" w:rsidRPr="00D83669">
        <w:rPr>
          <w:rFonts w:ascii="Times New Roman" w:hAnsi="Times New Roman" w:cs="Times New Roman"/>
          <w:sz w:val="24"/>
          <w:szCs w:val="24"/>
        </w:rPr>
        <w:t>индексираните</w:t>
      </w:r>
      <w:r w:rsidR="00252EA6" w:rsidRPr="00D83669">
        <w:rPr>
          <w:rFonts w:ascii="Times New Roman" w:hAnsi="Times New Roman" w:cs="Times New Roman"/>
          <w:sz w:val="24"/>
          <w:szCs w:val="24"/>
        </w:rPr>
        <w:t xml:space="preserve"> единични разходи</w:t>
      </w:r>
      <w:r w:rsidR="00607554" w:rsidRPr="00D83669">
        <w:rPr>
          <w:rFonts w:ascii="Times New Roman" w:hAnsi="Times New Roman" w:cs="Times New Roman"/>
          <w:sz w:val="24"/>
          <w:szCs w:val="24"/>
        </w:rPr>
        <w:t>.</w:t>
      </w:r>
    </w:p>
    <w:p w14:paraId="234C7DE4" w14:textId="77777777" w:rsidR="00607554" w:rsidRPr="00D83669" w:rsidRDefault="00607554" w:rsidP="00607554">
      <w:pPr>
        <w:pStyle w:val="ListParagraph"/>
        <w:ind w:left="270"/>
        <w:jc w:val="both"/>
        <w:rPr>
          <w:rFonts w:ascii="Times New Roman" w:hAnsi="Times New Roman" w:cs="Times New Roman"/>
          <w:sz w:val="24"/>
          <w:szCs w:val="24"/>
        </w:rPr>
      </w:pPr>
    </w:p>
    <w:p w14:paraId="48866773" w14:textId="39331894" w:rsidR="00607554" w:rsidRPr="00D83669" w:rsidRDefault="00607554" w:rsidP="00607554">
      <w:pPr>
        <w:jc w:val="both"/>
        <w:rPr>
          <w:rFonts w:ascii="Times New Roman" w:hAnsi="Times New Roman" w:cs="Times New Roman"/>
          <w:b/>
          <w:i/>
          <w:sz w:val="24"/>
          <w:szCs w:val="24"/>
        </w:rPr>
      </w:pPr>
      <w:r w:rsidRPr="00D83669">
        <w:rPr>
          <w:rFonts w:ascii="Times New Roman" w:hAnsi="Times New Roman" w:cs="Times New Roman"/>
          <w:b/>
          <w:i/>
          <w:sz w:val="24"/>
          <w:szCs w:val="24"/>
        </w:rPr>
        <w:t xml:space="preserve">Общи и специфични </w:t>
      </w:r>
      <w:r w:rsidR="007A09A4" w:rsidRPr="00D83669">
        <w:rPr>
          <w:rFonts w:ascii="Times New Roman" w:hAnsi="Times New Roman" w:cs="Times New Roman"/>
          <w:b/>
          <w:i/>
          <w:sz w:val="24"/>
          <w:szCs w:val="24"/>
        </w:rPr>
        <w:t xml:space="preserve">показатели </w:t>
      </w:r>
      <w:r w:rsidR="00F46600" w:rsidRPr="00D83669">
        <w:rPr>
          <w:rFonts w:ascii="Times New Roman" w:hAnsi="Times New Roman" w:cs="Times New Roman"/>
          <w:b/>
          <w:i/>
          <w:sz w:val="24"/>
          <w:szCs w:val="24"/>
        </w:rPr>
        <w:t>(крайни данни)</w:t>
      </w:r>
      <w:r w:rsidRPr="00D83669">
        <w:rPr>
          <w:rFonts w:ascii="Times New Roman" w:hAnsi="Times New Roman" w:cs="Times New Roman"/>
          <w:b/>
          <w:i/>
          <w:sz w:val="24"/>
          <w:szCs w:val="24"/>
        </w:rPr>
        <w:t xml:space="preserve">: </w:t>
      </w:r>
    </w:p>
    <w:p w14:paraId="673B7586" w14:textId="7842C9DE" w:rsidR="00DF175A" w:rsidRPr="00D83669" w:rsidRDefault="007C7D75" w:rsidP="00C63818">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избор на подходящи общ</w:t>
      </w:r>
      <w:r w:rsidR="00860020" w:rsidRPr="00D83669">
        <w:rPr>
          <w:rFonts w:ascii="Times New Roman" w:hAnsi="Times New Roman" w:cs="Times New Roman"/>
          <w:sz w:val="24"/>
          <w:szCs w:val="24"/>
        </w:rPr>
        <w:t xml:space="preserve">и и специфични </w:t>
      </w:r>
      <w:r w:rsidR="007A09A4" w:rsidRPr="00D83669">
        <w:rPr>
          <w:rFonts w:ascii="Times New Roman" w:hAnsi="Times New Roman" w:cs="Times New Roman"/>
          <w:sz w:val="24"/>
          <w:szCs w:val="24"/>
        </w:rPr>
        <w:t xml:space="preserve">показатели </w:t>
      </w:r>
      <w:r w:rsidR="00860020" w:rsidRPr="00D83669">
        <w:rPr>
          <w:rFonts w:ascii="Times New Roman" w:hAnsi="Times New Roman" w:cs="Times New Roman"/>
          <w:sz w:val="24"/>
          <w:szCs w:val="24"/>
        </w:rPr>
        <w:t>за</w:t>
      </w:r>
      <w:r w:rsidR="007A09A4" w:rsidRPr="00D83669">
        <w:rPr>
          <w:rFonts w:ascii="Times New Roman" w:hAnsi="Times New Roman" w:cs="Times New Roman"/>
          <w:sz w:val="24"/>
          <w:szCs w:val="24"/>
        </w:rPr>
        <w:t xml:space="preserve"> краен</w:t>
      </w:r>
      <w:r w:rsidR="00860020" w:rsidRPr="00D83669">
        <w:rPr>
          <w:rFonts w:ascii="Times New Roman" w:hAnsi="Times New Roman" w:cs="Times New Roman"/>
          <w:sz w:val="24"/>
          <w:szCs w:val="24"/>
        </w:rPr>
        <w:t xml:space="preserve"> </w:t>
      </w:r>
      <w:r w:rsidR="00536C07" w:rsidRPr="00D83669">
        <w:rPr>
          <w:rFonts w:ascii="Times New Roman" w:hAnsi="Times New Roman" w:cs="Times New Roman"/>
          <w:sz w:val="24"/>
          <w:szCs w:val="24"/>
        </w:rPr>
        <w:t xml:space="preserve">продукт </w:t>
      </w:r>
      <w:r w:rsidR="00860020" w:rsidRPr="00D83669">
        <w:rPr>
          <w:rFonts w:ascii="Times New Roman" w:hAnsi="Times New Roman" w:cs="Times New Roman"/>
          <w:sz w:val="24"/>
          <w:szCs w:val="24"/>
        </w:rPr>
        <w:t>и за резултат – съобразени с конкретни</w:t>
      </w:r>
      <w:r w:rsidR="00710C0B" w:rsidRPr="00D83669">
        <w:rPr>
          <w:rFonts w:ascii="Times New Roman" w:hAnsi="Times New Roman" w:cs="Times New Roman"/>
          <w:sz w:val="24"/>
          <w:szCs w:val="24"/>
        </w:rPr>
        <w:t>те</w:t>
      </w:r>
      <w:r w:rsidR="00860020" w:rsidRPr="00D83669">
        <w:rPr>
          <w:rFonts w:ascii="Times New Roman" w:hAnsi="Times New Roman" w:cs="Times New Roman"/>
          <w:sz w:val="24"/>
          <w:szCs w:val="24"/>
        </w:rPr>
        <w:t xml:space="preserve"> характеристики на целевите групи;</w:t>
      </w:r>
    </w:p>
    <w:p w14:paraId="6F189235" w14:textId="485EC75D" w:rsidR="00C63818" w:rsidRPr="00D83669" w:rsidRDefault="00C63818" w:rsidP="00306825">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изчисляване на целев</w:t>
      </w:r>
      <w:r w:rsidR="00CD70BD" w:rsidRPr="00D83669">
        <w:rPr>
          <w:rFonts w:ascii="Times New Roman" w:hAnsi="Times New Roman" w:cs="Times New Roman"/>
          <w:sz w:val="24"/>
          <w:szCs w:val="24"/>
        </w:rPr>
        <w:t>и</w:t>
      </w:r>
      <w:r w:rsidRPr="00D83669">
        <w:rPr>
          <w:rFonts w:ascii="Times New Roman" w:hAnsi="Times New Roman" w:cs="Times New Roman"/>
          <w:sz w:val="24"/>
          <w:szCs w:val="24"/>
        </w:rPr>
        <w:t xml:space="preserve"> стойност</w:t>
      </w:r>
      <w:r w:rsidR="00CD70BD" w:rsidRPr="00D83669">
        <w:rPr>
          <w:rFonts w:ascii="Times New Roman" w:hAnsi="Times New Roman" w:cs="Times New Roman"/>
          <w:sz w:val="24"/>
          <w:szCs w:val="24"/>
        </w:rPr>
        <w:t>и</w:t>
      </w:r>
      <w:r w:rsidRPr="00D83669">
        <w:rPr>
          <w:rFonts w:ascii="Times New Roman" w:hAnsi="Times New Roman" w:cs="Times New Roman"/>
          <w:sz w:val="24"/>
          <w:szCs w:val="24"/>
        </w:rPr>
        <w:t xml:space="preserve"> на </w:t>
      </w:r>
      <w:r w:rsidR="00CD70BD" w:rsidRPr="00D83669">
        <w:rPr>
          <w:rFonts w:ascii="Times New Roman" w:hAnsi="Times New Roman" w:cs="Times New Roman"/>
          <w:sz w:val="24"/>
          <w:szCs w:val="24"/>
        </w:rPr>
        <w:t xml:space="preserve">общите и специфичните </w:t>
      </w:r>
      <w:r w:rsidR="007A09A4"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 xml:space="preserve">за </w:t>
      </w:r>
      <w:r w:rsidR="007A09A4" w:rsidRPr="00D83669">
        <w:rPr>
          <w:rFonts w:ascii="Times New Roman" w:hAnsi="Times New Roman" w:cs="Times New Roman"/>
          <w:sz w:val="24"/>
          <w:szCs w:val="24"/>
        </w:rPr>
        <w:t xml:space="preserve">краен </w:t>
      </w:r>
      <w:r w:rsidR="00536C07" w:rsidRPr="00D83669">
        <w:rPr>
          <w:rFonts w:ascii="Times New Roman" w:hAnsi="Times New Roman" w:cs="Times New Roman"/>
          <w:sz w:val="24"/>
          <w:szCs w:val="24"/>
        </w:rPr>
        <w:t xml:space="preserve">продукт </w:t>
      </w:r>
      <w:r w:rsidRPr="00D83669">
        <w:rPr>
          <w:rFonts w:ascii="Times New Roman" w:hAnsi="Times New Roman" w:cs="Times New Roman"/>
          <w:sz w:val="24"/>
          <w:szCs w:val="24"/>
        </w:rPr>
        <w:t>съобразно</w:t>
      </w:r>
      <w:r w:rsidR="00B54FC1" w:rsidRPr="00D83669">
        <w:rPr>
          <w:rFonts w:ascii="Times New Roman" w:hAnsi="Times New Roman" w:cs="Times New Roman"/>
          <w:sz w:val="24"/>
          <w:szCs w:val="24"/>
        </w:rPr>
        <w:t xml:space="preserve"> целевите стойности на микро индикаторите</w:t>
      </w:r>
      <w:r w:rsidR="00306825" w:rsidRPr="00D83669">
        <w:rPr>
          <w:rFonts w:ascii="Times New Roman" w:hAnsi="Times New Roman" w:cs="Times New Roman"/>
          <w:sz w:val="24"/>
          <w:szCs w:val="24"/>
        </w:rPr>
        <w:t xml:space="preserve"> </w:t>
      </w:r>
      <w:r w:rsidR="00F50B59" w:rsidRPr="00D83669">
        <w:rPr>
          <w:rFonts w:ascii="Times New Roman" w:hAnsi="Times New Roman" w:cs="Times New Roman"/>
          <w:sz w:val="24"/>
          <w:szCs w:val="24"/>
        </w:rPr>
        <w:t>– при определяне на целевите стойности на общите и специфичните показатели са отчетени идентифицираните потребности за обхвата на целевата група, общият финансов ресурс (европейско и национално финансиране) и единичните разходи, индексирани за периода, който е планиран за изпълнение на операцията</w:t>
      </w:r>
      <w:r w:rsidRPr="00D83669">
        <w:rPr>
          <w:rFonts w:ascii="Times New Roman" w:hAnsi="Times New Roman" w:cs="Times New Roman"/>
          <w:sz w:val="24"/>
          <w:szCs w:val="24"/>
        </w:rPr>
        <w:t>;</w:t>
      </w:r>
    </w:p>
    <w:p w14:paraId="1CADF71D" w14:textId="1C3023C8" w:rsidR="005D1D0C" w:rsidRPr="00D83669" w:rsidRDefault="0072370D" w:rsidP="00192E0A">
      <w:pPr>
        <w:pStyle w:val="ListParagraph"/>
        <w:numPr>
          <w:ilvl w:val="0"/>
          <w:numId w:val="9"/>
        </w:numPr>
        <w:tabs>
          <w:tab w:val="left" w:pos="360"/>
          <w:tab w:val="left" w:pos="450"/>
        </w:tabs>
        <w:ind w:left="0" w:firstLine="270"/>
        <w:jc w:val="both"/>
        <w:rPr>
          <w:rFonts w:ascii="Times New Roman" w:hAnsi="Times New Roman" w:cs="Times New Roman"/>
          <w:sz w:val="24"/>
          <w:szCs w:val="24"/>
        </w:rPr>
      </w:pPr>
      <w:r w:rsidRPr="00D83669">
        <w:rPr>
          <w:rFonts w:ascii="Times New Roman" w:hAnsi="Times New Roman" w:cs="Times New Roman"/>
          <w:sz w:val="24"/>
          <w:szCs w:val="24"/>
        </w:rPr>
        <w:t>отчитане на</w:t>
      </w:r>
      <w:r w:rsidR="005D1D0C" w:rsidRPr="00D83669">
        <w:rPr>
          <w:rFonts w:ascii="Times New Roman" w:hAnsi="Times New Roman" w:cs="Times New Roman"/>
          <w:sz w:val="24"/>
          <w:szCs w:val="24"/>
        </w:rPr>
        <w:t xml:space="preserve"> възможно</w:t>
      </w:r>
      <w:r w:rsidRPr="00D83669">
        <w:rPr>
          <w:rFonts w:ascii="Times New Roman" w:hAnsi="Times New Roman" w:cs="Times New Roman"/>
          <w:sz w:val="24"/>
          <w:szCs w:val="24"/>
        </w:rPr>
        <w:t>то</w:t>
      </w:r>
      <w:r w:rsidR="005D1D0C" w:rsidRPr="00D83669">
        <w:rPr>
          <w:rFonts w:ascii="Times New Roman" w:hAnsi="Times New Roman" w:cs="Times New Roman"/>
          <w:sz w:val="24"/>
          <w:szCs w:val="24"/>
        </w:rPr>
        <w:t xml:space="preserve"> припокриване на целев</w:t>
      </w:r>
      <w:r w:rsidRPr="00D83669">
        <w:rPr>
          <w:rFonts w:ascii="Times New Roman" w:hAnsi="Times New Roman" w:cs="Times New Roman"/>
          <w:sz w:val="24"/>
          <w:szCs w:val="24"/>
        </w:rPr>
        <w:t>ите</w:t>
      </w:r>
      <w:r w:rsidR="005D1D0C" w:rsidRPr="00D83669">
        <w:rPr>
          <w:rFonts w:ascii="Times New Roman" w:hAnsi="Times New Roman" w:cs="Times New Roman"/>
          <w:sz w:val="24"/>
          <w:szCs w:val="24"/>
        </w:rPr>
        <w:t xml:space="preserve"> груп</w:t>
      </w:r>
      <w:r w:rsidRPr="00D83669">
        <w:rPr>
          <w:rFonts w:ascii="Times New Roman" w:hAnsi="Times New Roman" w:cs="Times New Roman"/>
          <w:sz w:val="24"/>
          <w:szCs w:val="24"/>
        </w:rPr>
        <w:t>и</w:t>
      </w:r>
      <w:r w:rsidR="005D1D0C" w:rsidRPr="00D83669">
        <w:rPr>
          <w:rFonts w:ascii="Times New Roman" w:hAnsi="Times New Roman" w:cs="Times New Roman"/>
          <w:sz w:val="24"/>
          <w:szCs w:val="24"/>
        </w:rPr>
        <w:t xml:space="preserve"> при определянето на </w:t>
      </w:r>
      <w:r w:rsidR="005C4F27" w:rsidRPr="00D83669">
        <w:rPr>
          <w:rFonts w:ascii="Times New Roman" w:hAnsi="Times New Roman" w:cs="Times New Roman"/>
          <w:sz w:val="24"/>
          <w:szCs w:val="24"/>
        </w:rPr>
        <w:t>целеви</w:t>
      </w:r>
      <w:r w:rsidR="00953226" w:rsidRPr="00D83669">
        <w:rPr>
          <w:rFonts w:ascii="Times New Roman" w:hAnsi="Times New Roman" w:cs="Times New Roman"/>
          <w:sz w:val="24"/>
          <w:szCs w:val="24"/>
        </w:rPr>
        <w:t>те</w:t>
      </w:r>
      <w:r w:rsidR="005C4F27" w:rsidRPr="00D83669">
        <w:rPr>
          <w:rFonts w:ascii="Times New Roman" w:hAnsi="Times New Roman" w:cs="Times New Roman"/>
          <w:sz w:val="24"/>
          <w:szCs w:val="24"/>
        </w:rPr>
        <w:t xml:space="preserve"> </w:t>
      </w:r>
      <w:r w:rsidR="005D1D0C" w:rsidRPr="00D83669">
        <w:rPr>
          <w:rFonts w:ascii="Times New Roman" w:hAnsi="Times New Roman" w:cs="Times New Roman"/>
          <w:sz w:val="24"/>
          <w:szCs w:val="24"/>
        </w:rPr>
        <w:t>стойност</w:t>
      </w:r>
      <w:r w:rsidR="005C4F27" w:rsidRPr="00D83669">
        <w:rPr>
          <w:rFonts w:ascii="Times New Roman" w:hAnsi="Times New Roman" w:cs="Times New Roman"/>
          <w:sz w:val="24"/>
          <w:szCs w:val="24"/>
        </w:rPr>
        <w:t>и</w:t>
      </w:r>
      <w:r w:rsidR="005D1D0C" w:rsidRPr="00D83669">
        <w:rPr>
          <w:rFonts w:ascii="Times New Roman" w:hAnsi="Times New Roman" w:cs="Times New Roman"/>
          <w:sz w:val="24"/>
          <w:szCs w:val="24"/>
        </w:rPr>
        <w:t xml:space="preserve"> на </w:t>
      </w:r>
      <w:r w:rsidR="007A09A4" w:rsidRPr="00D83669">
        <w:rPr>
          <w:rFonts w:ascii="Times New Roman" w:hAnsi="Times New Roman" w:cs="Times New Roman"/>
          <w:sz w:val="24"/>
          <w:szCs w:val="24"/>
        </w:rPr>
        <w:t xml:space="preserve">показателите </w:t>
      </w:r>
      <w:r w:rsidR="001573EA" w:rsidRPr="00D83669">
        <w:rPr>
          <w:rFonts w:ascii="Times New Roman" w:hAnsi="Times New Roman" w:cs="Times New Roman"/>
          <w:sz w:val="24"/>
          <w:szCs w:val="24"/>
        </w:rPr>
        <w:t>по една и съща специфична цел</w:t>
      </w:r>
      <w:r w:rsidR="003F32C9" w:rsidRPr="00D83669">
        <w:rPr>
          <w:rFonts w:ascii="Times New Roman" w:hAnsi="Times New Roman" w:cs="Times New Roman"/>
          <w:sz w:val="24"/>
          <w:szCs w:val="24"/>
        </w:rPr>
        <w:t xml:space="preserve"> </w:t>
      </w:r>
      <w:r w:rsidR="00E11147" w:rsidRPr="00D83669">
        <w:rPr>
          <w:rFonts w:ascii="Times New Roman" w:hAnsi="Times New Roman" w:cs="Times New Roman"/>
          <w:sz w:val="24"/>
          <w:szCs w:val="24"/>
        </w:rPr>
        <w:t xml:space="preserve">– допуснато е само </w:t>
      </w:r>
      <w:r w:rsidR="005D25C1" w:rsidRPr="00D83669">
        <w:rPr>
          <w:rFonts w:ascii="Times New Roman" w:hAnsi="Times New Roman" w:cs="Times New Roman"/>
          <w:sz w:val="24"/>
          <w:szCs w:val="24"/>
        </w:rPr>
        <w:t>по отношение</w:t>
      </w:r>
      <w:r w:rsidR="00E11147" w:rsidRPr="00D83669">
        <w:rPr>
          <w:rFonts w:ascii="Times New Roman" w:hAnsi="Times New Roman" w:cs="Times New Roman"/>
          <w:sz w:val="24"/>
          <w:szCs w:val="24"/>
        </w:rPr>
        <w:t xml:space="preserve"> на </w:t>
      </w:r>
      <w:r w:rsidR="00B322EF" w:rsidRPr="00D83669">
        <w:rPr>
          <w:rFonts w:ascii="Times New Roman" w:hAnsi="Times New Roman" w:cs="Times New Roman"/>
          <w:sz w:val="24"/>
          <w:szCs w:val="24"/>
        </w:rPr>
        <w:t xml:space="preserve">някои </w:t>
      </w:r>
      <w:r w:rsidR="00E11147" w:rsidRPr="00D83669">
        <w:rPr>
          <w:rFonts w:ascii="Times New Roman" w:hAnsi="Times New Roman" w:cs="Times New Roman"/>
          <w:sz w:val="24"/>
          <w:szCs w:val="24"/>
        </w:rPr>
        <w:t>общ</w:t>
      </w:r>
      <w:r w:rsidR="00B322EF" w:rsidRPr="00D83669">
        <w:rPr>
          <w:rFonts w:ascii="Times New Roman" w:hAnsi="Times New Roman" w:cs="Times New Roman"/>
          <w:sz w:val="24"/>
          <w:szCs w:val="24"/>
        </w:rPr>
        <w:t>и</w:t>
      </w:r>
      <w:r w:rsidR="007A09A4" w:rsidRPr="00D83669">
        <w:rPr>
          <w:rFonts w:ascii="Times New Roman" w:hAnsi="Times New Roman" w:cs="Times New Roman"/>
          <w:sz w:val="24"/>
          <w:szCs w:val="24"/>
        </w:rPr>
        <w:t xml:space="preserve"> показатели</w:t>
      </w:r>
      <w:r w:rsidR="00B322EF" w:rsidRPr="00D83669">
        <w:rPr>
          <w:rFonts w:ascii="Times New Roman" w:hAnsi="Times New Roman" w:cs="Times New Roman"/>
          <w:sz w:val="24"/>
          <w:szCs w:val="24"/>
        </w:rPr>
        <w:t xml:space="preserve"> за</w:t>
      </w:r>
      <w:r w:rsidR="007A09A4" w:rsidRPr="00D83669">
        <w:rPr>
          <w:rFonts w:ascii="Times New Roman" w:hAnsi="Times New Roman" w:cs="Times New Roman"/>
          <w:sz w:val="24"/>
          <w:szCs w:val="24"/>
        </w:rPr>
        <w:t xml:space="preserve"> краен</w:t>
      </w:r>
      <w:r w:rsidR="00B322EF" w:rsidRPr="00D83669">
        <w:rPr>
          <w:rFonts w:ascii="Times New Roman" w:hAnsi="Times New Roman" w:cs="Times New Roman"/>
          <w:sz w:val="24"/>
          <w:szCs w:val="24"/>
        </w:rPr>
        <w:t xml:space="preserve"> продукт с оглед отчитането на специфични </w:t>
      </w:r>
      <w:r w:rsidR="00C97460" w:rsidRPr="00D83669">
        <w:rPr>
          <w:rFonts w:ascii="Times New Roman" w:hAnsi="Times New Roman" w:cs="Times New Roman"/>
          <w:sz w:val="24"/>
          <w:szCs w:val="24"/>
        </w:rPr>
        <w:t xml:space="preserve">характеристики </w:t>
      </w:r>
      <w:r w:rsidR="00B322EF" w:rsidRPr="00D83669">
        <w:rPr>
          <w:rFonts w:ascii="Times New Roman" w:hAnsi="Times New Roman" w:cs="Times New Roman"/>
          <w:sz w:val="24"/>
          <w:szCs w:val="24"/>
        </w:rPr>
        <w:t>на целев</w:t>
      </w:r>
      <w:r w:rsidR="00854320" w:rsidRPr="00D83669">
        <w:rPr>
          <w:rFonts w:ascii="Times New Roman" w:hAnsi="Times New Roman" w:cs="Times New Roman"/>
          <w:sz w:val="24"/>
          <w:szCs w:val="24"/>
        </w:rPr>
        <w:t>ите</w:t>
      </w:r>
      <w:r w:rsidR="00B322EF" w:rsidRPr="00D83669">
        <w:rPr>
          <w:rFonts w:ascii="Times New Roman" w:hAnsi="Times New Roman" w:cs="Times New Roman"/>
          <w:sz w:val="24"/>
          <w:szCs w:val="24"/>
        </w:rPr>
        <w:t xml:space="preserve"> груп</w:t>
      </w:r>
      <w:r w:rsidR="00854320" w:rsidRPr="00D83669">
        <w:rPr>
          <w:rFonts w:ascii="Times New Roman" w:hAnsi="Times New Roman" w:cs="Times New Roman"/>
          <w:sz w:val="24"/>
          <w:szCs w:val="24"/>
        </w:rPr>
        <w:t>и</w:t>
      </w:r>
      <w:r w:rsidR="00C97460" w:rsidRPr="00D83669">
        <w:rPr>
          <w:rFonts w:ascii="Times New Roman" w:hAnsi="Times New Roman" w:cs="Times New Roman"/>
          <w:sz w:val="24"/>
          <w:szCs w:val="24"/>
        </w:rPr>
        <w:t xml:space="preserve"> и проследяване на ефекта от предоставената подкрепа</w:t>
      </w:r>
      <w:r w:rsidR="00192E0A" w:rsidRPr="00D83669">
        <w:rPr>
          <w:rFonts w:ascii="Times New Roman" w:hAnsi="Times New Roman" w:cs="Times New Roman"/>
          <w:sz w:val="24"/>
          <w:szCs w:val="24"/>
        </w:rPr>
        <w:t xml:space="preserve"> </w:t>
      </w:r>
      <w:r w:rsidR="00C97460" w:rsidRPr="00D83669">
        <w:rPr>
          <w:rFonts w:ascii="Times New Roman" w:hAnsi="Times New Roman" w:cs="Times New Roman"/>
          <w:sz w:val="24"/>
          <w:szCs w:val="24"/>
        </w:rPr>
        <w:t xml:space="preserve"> (н</w:t>
      </w:r>
      <w:r w:rsidR="00B322EF" w:rsidRPr="00D83669">
        <w:rPr>
          <w:rFonts w:ascii="Times New Roman" w:hAnsi="Times New Roman" w:cs="Times New Roman"/>
          <w:sz w:val="24"/>
          <w:szCs w:val="24"/>
        </w:rPr>
        <w:t>апример общ</w:t>
      </w:r>
      <w:r w:rsidR="00C97460" w:rsidRPr="00D83669">
        <w:rPr>
          <w:rFonts w:ascii="Times New Roman" w:hAnsi="Times New Roman" w:cs="Times New Roman"/>
          <w:sz w:val="24"/>
          <w:szCs w:val="24"/>
        </w:rPr>
        <w:t>и</w:t>
      </w:r>
      <w:r w:rsidR="00B322EF" w:rsidRPr="00D83669">
        <w:rPr>
          <w:rFonts w:ascii="Times New Roman" w:hAnsi="Times New Roman" w:cs="Times New Roman"/>
          <w:sz w:val="24"/>
          <w:szCs w:val="24"/>
        </w:rPr>
        <w:t xml:space="preserve"> </w:t>
      </w:r>
      <w:r w:rsidR="00254DF6" w:rsidRPr="00D83669">
        <w:rPr>
          <w:rFonts w:ascii="Times New Roman" w:hAnsi="Times New Roman" w:cs="Times New Roman"/>
          <w:sz w:val="24"/>
          <w:szCs w:val="24"/>
        </w:rPr>
        <w:t>показатели</w:t>
      </w:r>
      <w:r w:rsidR="00B322EF" w:rsidRPr="00D83669">
        <w:rPr>
          <w:rFonts w:ascii="Times New Roman" w:hAnsi="Times New Roman" w:cs="Times New Roman"/>
          <w:sz w:val="24"/>
          <w:szCs w:val="24"/>
        </w:rPr>
        <w:t xml:space="preserve"> за </w:t>
      </w:r>
      <w:r w:rsidR="00254DF6" w:rsidRPr="00D83669">
        <w:rPr>
          <w:rFonts w:ascii="Times New Roman" w:hAnsi="Times New Roman" w:cs="Times New Roman"/>
          <w:sz w:val="24"/>
          <w:szCs w:val="24"/>
        </w:rPr>
        <w:t xml:space="preserve">краен </w:t>
      </w:r>
      <w:r w:rsidR="00B322EF" w:rsidRPr="00D83669">
        <w:rPr>
          <w:rFonts w:ascii="Times New Roman" w:hAnsi="Times New Roman" w:cs="Times New Roman"/>
          <w:sz w:val="24"/>
          <w:szCs w:val="24"/>
        </w:rPr>
        <w:t>продукт</w:t>
      </w:r>
      <w:r w:rsidR="00E11147" w:rsidRPr="00D83669">
        <w:t xml:space="preserve"> </w:t>
      </w:r>
      <w:r w:rsidR="00E11147" w:rsidRPr="00D83669">
        <w:rPr>
          <w:rFonts w:ascii="Times New Roman" w:hAnsi="Times New Roman" w:cs="Times New Roman"/>
          <w:sz w:val="24"/>
          <w:szCs w:val="24"/>
        </w:rPr>
        <w:t>EECO15 малцинства (включително маргинализирани общности като ромите)</w:t>
      </w:r>
      <w:r w:rsidR="00397CA0" w:rsidRPr="00D83669">
        <w:rPr>
          <w:rFonts w:ascii="Times New Roman" w:hAnsi="Times New Roman" w:cs="Times New Roman"/>
          <w:sz w:val="24"/>
          <w:szCs w:val="24"/>
        </w:rPr>
        <w:t xml:space="preserve">; EECO02 безработни, включително трайно безработни; EECO04 неактивни; EECO05 </w:t>
      </w:r>
      <w:r w:rsidR="00536C07" w:rsidRPr="00D83669">
        <w:rPr>
          <w:rFonts w:ascii="Times New Roman" w:hAnsi="Times New Roman" w:cs="Times New Roman"/>
          <w:sz w:val="24"/>
          <w:szCs w:val="24"/>
        </w:rPr>
        <w:t>з</w:t>
      </w:r>
      <w:r w:rsidR="00397CA0" w:rsidRPr="00D83669">
        <w:rPr>
          <w:rFonts w:ascii="Times New Roman" w:hAnsi="Times New Roman" w:cs="Times New Roman"/>
          <w:sz w:val="24"/>
          <w:szCs w:val="24"/>
        </w:rPr>
        <w:t>аети, вкл. самостоятелно заети).</w:t>
      </w:r>
      <w:r w:rsidR="00E11147" w:rsidRPr="00D83669">
        <w:rPr>
          <w:rFonts w:ascii="Times New Roman" w:hAnsi="Times New Roman" w:cs="Times New Roman"/>
          <w:sz w:val="24"/>
          <w:szCs w:val="24"/>
        </w:rPr>
        <w:t xml:space="preserve"> </w:t>
      </w:r>
      <w:r w:rsidR="001F6917" w:rsidRPr="00D83669">
        <w:rPr>
          <w:rFonts w:ascii="Times New Roman" w:hAnsi="Times New Roman" w:cs="Times New Roman"/>
          <w:sz w:val="24"/>
          <w:szCs w:val="24"/>
        </w:rPr>
        <w:t>Ц</w:t>
      </w:r>
      <w:r w:rsidR="00E2757D" w:rsidRPr="00D83669">
        <w:rPr>
          <w:rFonts w:ascii="Times New Roman" w:hAnsi="Times New Roman" w:cs="Times New Roman"/>
          <w:sz w:val="24"/>
          <w:szCs w:val="24"/>
        </w:rPr>
        <w:t>елевите стойности</w:t>
      </w:r>
      <w:r w:rsidR="00192E0A" w:rsidRPr="00D83669">
        <w:rPr>
          <w:rFonts w:ascii="Times New Roman" w:hAnsi="Times New Roman" w:cs="Times New Roman"/>
          <w:sz w:val="24"/>
          <w:szCs w:val="24"/>
        </w:rPr>
        <w:t xml:space="preserve"> за те</w:t>
      </w:r>
      <w:r w:rsidR="001F6917" w:rsidRPr="00D83669">
        <w:rPr>
          <w:rFonts w:ascii="Times New Roman" w:hAnsi="Times New Roman" w:cs="Times New Roman"/>
          <w:sz w:val="24"/>
          <w:szCs w:val="24"/>
        </w:rPr>
        <w:t xml:space="preserve">зи </w:t>
      </w:r>
      <w:r w:rsidR="00254DF6" w:rsidRPr="00D83669">
        <w:rPr>
          <w:rFonts w:ascii="Times New Roman" w:hAnsi="Times New Roman" w:cs="Times New Roman"/>
          <w:sz w:val="24"/>
          <w:szCs w:val="24"/>
        </w:rPr>
        <w:t xml:space="preserve">показатели </w:t>
      </w:r>
      <w:r w:rsidR="006D2E9B" w:rsidRPr="00D83669">
        <w:rPr>
          <w:rFonts w:ascii="Times New Roman" w:hAnsi="Times New Roman" w:cs="Times New Roman"/>
          <w:sz w:val="24"/>
          <w:szCs w:val="24"/>
        </w:rPr>
        <w:t xml:space="preserve">по съответната специфична цел/ приоритет </w:t>
      </w:r>
      <w:r w:rsidR="00EA5BF5" w:rsidRPr="00D83669">
        <w:rPr>
          <w:rFonts w:ascii="Times New Roman" w:hAnsi="Times New Roman" w:cs="Times New Roman"/>
          <w:sz w:val="24"/>
          <w:szCs w:val="24"/>
        </w:rPr>
        <w:t>се определя</w:t>
      </w:r>
      <w:r w:rsidR="000223C7" w:rsidRPr="00D83669">
        <w:rPr>
          <w:rFonts w:ascii="Times New Roman" w:hAnsi="Times New Roman" w:cs="Times New Roman"/>
          <w:sz w:val="24"/>
          <w:szCs w:val="24"/>
        </w:rPr>
        <w:t>т</w:t>
      </w:r>
      <w:r w:rsidR="006D2E9B" w:rsidRPr="00D83669">
        <w:rPr>
          <w:rFonts w:ascii="Times New Roman" w:hAnsi="Times New Roman" w:cs="Times New Roman"/>
          <w:sz w:val="24"/>
          <w:szCs w:val="24"/>
        </w:rPr>
        <w:t xml:space="preserve"> като процент от общия брой представител</w:t>
      </w:r>
      <w:r w:rsidR="00EA5BF5" w:rsidRPr="00D83669">
        <w:rPr>
          <w:rFonts w:ascii="Times New Roman" w:hAnsi="Times New Roman" w:cs="Times New Roman"/>
          <w:sz w:val="24"/>
          <w:szCs w:val="24"/>
        </w:rPr>
        <w:t>и на съответната целева група</w:t>
      </w:r>
      <w:r w:rsidR="001F6917" w:rsidRPr="00D83669">
        <w:rPr>
          <w:rFonts w:ascii="Times New Roman" w:hAnsi="Times New Roman" w:cs="Times New Roman"/>
          <w:sz w:val="24"/>
          <w:szCs w:val="24"/>
        </w:rPr>
        <w:t>. Конкретният процент се определя въз основа на</w:t>
      </w:r>
      <w:r w:rsidR="00E2757D" w:rsidRPr="00D83669">
        <w:rPr>
          <w:rFonts w:ascii="Times New Roman" w:hAnsi="Times New Roman" w:cs="Times New Roman"/>
          <w:sz w:val="24"/>
          <w:szCs w:val="24"/>
        </w:rPr>
        <w:t xml:space="preserve"> сравнителен анализ на данните</w:t>
      </w:r>
      <w:r w:rsidR="001F6917" w:rsidRPr="00D83669">
        <w:rPr>
          <w:rFonts w:ascii="Times New Roman" w:hAnsi="Times New Roman" w:cs="Times New Roman"/>
          <w:sz w:val="24"/>
          <w:szCs w:val="24"/>
        </w:rPr>
        <w:t xml:space="preserve"> от предостав</w:t>
      </w:r>
      <w:r w:rsidR="00CA4E36" w:rsidRPr="00D83669">
        <w:rPr>
          <w:rFonts w:ascii="Times New Roman" w:hAnsi="Times New Roman" w:cs="Times New Roman"/>
          <w:sz w:val="24"/>
          <w:szCs w:val="24"/>
        </w:rPr>
        <w:t>ената</w:t>
      </w:r>
      <w:r w:rsidR="001F6917" w:rsidRPr="00D83669">
        <w:rPr>
          <w:rFonts w:ascii="Times New Roman" w:hAnsi="Times New Roman" w:cs="Times New Roman"/>
          <w:sz w:val="24"/>
          <w:szCs w:val="24"/>
        </w:rPr>
        <w:t xml:space="preserve"> подкрепа </w:t>
      </w:r>
      <w:r w:rsidR="00CA4E36" w:rsidRPr="00D83669">
        <w:rPr>
          <w:rFonts w:ascii="Times New Roman" w:hAnsi="Times New Roman" w:cs="Times New Roman"/>
          <w:sz w:val="24"/>
          <w:szCs w:val="24"/>
        </w:rPr>
        <w:t>за сходни интервенции по ОПНОИР</w:t>
      </w:r>
      <w:r w:rsidR="006F1205" w:rsidRPr="00D83669">
        <w:rPr>
          <w:rFonts w:ascii="Times New Roman" w:hAnsi="Times New Roman" w:cs="Times New Roman"/>
          <w:sz w:val="24"/>
          <w:szCs w:val="24"/>
        </w:rPr>
        <w:t xml:space="preserve"> и дела на участниците</w:t>
      </w:r>
      <w:r w:rsidR="000223C7" w:rsidRPr="00D83669">
        <w:rPr>
          <w:rFonts w:ascii="Times New Roman" w:hAnsi="Times New Roman" w:cs="Times New Roman"/>
          <w:sz w:val="24"/>
          <w:szCs w:val="24"/>
        </w:rPr>
        <w:t xml:space="preserve"> </w:t>
      </w:r>
      <w:r w:rsidR="00192E0A" w:rsidRPr="00D83669">
        <w:rPr>
          <w:rFonts w:ascii="Times New Roman" w:hAnsi="Times New Roman" w:cs="Times New Roman"/>
          <w:sz w:val="24"/>
          <w:szCs w:val="24"/>
        </w:rPr>
        <w:t>със съответните характеристики</w:t>
      </w:r>
      <w:r w:rsidR="00E077BF" w:rsidRPr="00D83669">
        <w:rPr>
          <w:rFonts w:ascii="Times New Roman" w:hAnsi="Times New Roman" w:cs="Times New Roman"/>
          <w:sz w:val="24"/>
          <w:szCs w:val="24"/>
        </w:rPr>
        <w:t>, които са получили подкрепа</w:t>
      </w:r>
      <w:r w:rsidR="00192E0A" w:rsidRPr="00D83669">
        <w:rPr>
          <w:rFonts w:ascii="Times New Roman" w:hAnsi="Times New Roman" w:cs="Times New Roman"/>
          <w:sz w:val="24"/>
          <w:szCs w:val="24"/>
        </w:rPr>
        <w:t xml:space="preserve"> по ОПНОИР</w:t>
      </w:r>
      <w:r w:rsidR="00496863" w:rsidRPr="00D83669">
        <w:rPr>
          <w:rFonts w:ascii="Times New Roman" w:hAnsi="Times New Roman" w:cs="Times New Roman"/>
          <w:sz w:val="24"/>
          <w:szCs w:val="24"/>
        </w:rPr>
        <w:t>. В тази връзка</w:t>
      </w:r>
      <w:r w:rsidR="00F27F46" w:rsidRPr="00D83669">
        <w:rPr>
          <w:rFonts w:ascii="Times New Roman" w:hAnsi="Times New Roman" w:cs="Times New Roman"/>
          <w:sz w:val="24"/>
          <w:szCs w:val="24"/>
        </w:rPr>
        <w:t xml:space="preserve"> за</w:t>
      </w:r>
      <w:r w:rsidR="00496863" w:rsidRPr="00D83669">
        <w:rPr>
          <w:rFonts w:ascii="Times New Roman" w:hAnsi="Times New Roman" w:cs="Times New Roman"/>
          <w:sz w:val="24"/>
          <w:szCs w:val="24"/>
        </w:rPr>
        <w:t xml:space="preserve"> определянето на целевите стойности на </w:t>
      </w:r>
      <w:r w:rsidR="00254DF6" w:rsidRPr="00D83669">
        <w:rPr>
          <w:rFonts w:ascii="Times New Roman" w:hAnsi="Times New Roman" w:cs="Times New Roman"/>
          <w:sz w:val="24"/>
          <w:szCs w:val="24"/>
        </w:rPr>
        <w:t>показателите</w:t>
      </w:r>
      <w:r w:rsidR="00F27F46" w:rsidRPr="00D83669">
        <w:rPr>
          <w:rFonts w:ascii="Times New Roman" w:hAnsi="Times New Roman" w:cs="Times New Roman"/>
          <w:sz w:val="24"/>
          <w:szCs w:val="24"/>
        </w:rPr>
        <w:t>, при които е налице припокриване</w:t>
      </w:r>
      <w:r w:rsidR="00496863" w:rsidRPr="00D83669">
        <w:rPr>
          <w:rFonts w:ascii="Times New Roman" w:hAnsi="Times New Roman" w:cs="Times New Roman"/>
          <w:sz w:val="24"/>
          <w:szCs w:val="24"/>
        </w:rPr>
        <w:t xml:space="preserve"> се </w:t>
      </w:r>
      <w:r w:rsidR="00F27F46" w:rsidRPr="00D83669">
        <w:rPr>
          <w:rFonts w:ascii="Times New Roman" w:hAnsi="Times New Roman" w:cs="Times New Roman"/>
          <w:sz w:val="24"/>
          <w:szCs w:val="24"/>
        </w:rPr>
        <w:t>извършва</w:t>
      </w:r>
      <w:r w:rsidR="00496863" w:rsidRPr="00D83669">
        <w:rPr>
          <w:rFonts w:ascii="Times New Roman" w:hAnsi="Times New Roman" w:cs="Times New Roman"/>
          <w:sz w:val="24"/>
          <w:szCs w:val="24"/>
        </w:rPr>
        <w:t xml:space="preserve"> на базата</w:t>
      </w:r>
      <w:r w:rsidR="00F27F46" w:rsidRPr="00D83669">
        <w:rPr>
          <w:rFonts w:ascii="Times New Roman" w:hAnsi="Times New Roman" w:cs="Times New Roman"/>
          <w:sz w:val="24"/>
          <w:szCs w:val="24"/>
        </w:rPr>
        <w:t xml:space="preserve"> на</w:t>
      </w:r>
      <w:r w:rsidR="00496863" w:rsidRPr="00D83669">
        <w:rPr>
          <w:rFonts w:ascii="Times New Roman" w:hAnsi="Times New Roman" w:cs="Times New Roman"/>
          <w:sz w:val="24"/>
          <w:szCs w:val="24"/>
        </w:rPr>
        <w:t xml:space="preserve"> определ</w:t>
      </w:r>
      <w:r w:rsidR="00F27F46" w:rsidRPr="00D83669">
        <w:rPr>
          <w:rFonts w:ascii="Times New Roman" w:hAnsi="Times New Roman" w:cs="Times New Roman"/>
          <w:sz w:val="24"/>
          <w:szCs w:val="24"/>
        </w:rPr>
        <w:t>е</w:t>
      </w:r>
      <w:r w:rsidR="00496863" w:rsidRPr="00D83669">
        <w:rPr>
          <w:rFonts w:ascii="Times New Roman" w:hAnsi="Times New Roman" w:cs="Times New Roman"/>
          <w:sz w:val="24"/>
          <w:szCs w:val="24"/>
        </w:rPr>
        <w:t xml:space="preserve">н процент от </w:t>
      </w:r>
      <w:r w:rsidR="00F27F46" w:rsidRPr="00D83669">
        <w:rPr>
          <w:rFonts w:ascii="Times New Roman" w:hAnsi="Times New Roman" w:cs="Times New Roman"/>
          <w:sz w:val="24"/>
          <w:szCs w:val="24"/>
        </w:rPr>
        <w:t xml:space="preserve">друг общ </w:t>
      </w:r>
      <w:r w:rsidR="00254DF6" w:rsidRPr="00D83669">
        <w:rPr>
          <w:rFonts w:ascii="Times New Roman" w:hAnsi="Times New Roman" w:cs="Times New Roman"/>
          <w:sz w:val="24"/>
          <w:szCs w:val="24"/>
        </w:rPr>
        <w:t>показатели</w:t>
      </w:r>
      <w:r w:rsidR="00F27F46" w:rsidRPr="00D83669">
        <w:rPr>
          <w:rFonts w:ascii="Times New Roman" w:hAnsi="Times New Roman" w:cs="Times New Roman"/>
          <w:sz w:val="24"/>
          <w:szCs w:val="24"/>
        </w:rPr>
        <w:t xml:space="preserve"> за</w:t>
      </w:r>
      <w:r w:rsidR="00254DF6" w:rsidRPr="00D83669">
        <w:rPr>
          <w:rFonts w:ascii="Times New Roman" w:hAnsi="Times New Roman" w:cs="Times New Roman"/>
          <w:sz w:val="24"/>
          <w:szCs w:val="24"/>
        </w:rPr>
        <w:t xml:space="preserve"> краен</w:t>
      </w:r>
      <w:r w:rsidR="00F27F46" w:rsidRPr="00D83669">
        <w:rPr>
          <w:rFonts w:ascii="Times New Roman" w:hAnsi="Times New Roman" w:cs="Times New Roman"/>
          <w:sz w:val="24"/>
          <w:szCs w:val="24"/>
        </w:rPr>
        <w:t xml:space="preserve"> продукт, съобразно спецификите на целевите</w:t>
      </w:r>
      <w:r w:rsidR="00496863" w:rsidRPr="00D83669">
        <w:rPr>
          <w:rFonts w:ascii="Times New Roman" w:hAnsi="Times New Roman" w:cs="Times New Roman"/>
          <w:sz w:val="24"/>
          <w:szCs w:val="24"/>
        </w:rPr>
        <w:t xml:space="preserve"> груп</w:t>
      </w:r>
      <w:r w:rsidR="00F27F46" w:rsidRPr="00D83669">
        <w:rPr>
          <w:rFonts w:ascii="Times New Roman" w:hAnsi="Times New Roman" w:cs="Times New Roman"/>
          <w:sz w:val="24"/>
          <w:szCs w:val="24"/>
        </w:rPr>
        <w:t>и</w:t>
      </w:r>
      <w:r w:rsidR="00496863" w:rsidRPr="00D83669">
        <w:rPr>
          <w:rFonts w:ascii="Times New Roman" w:hAnsi="Times New Roman" w:cs="Times New Roman"/>
          <w:sz w:val="24"/>
          <w:szCs w:val="24"/>
        </w:rPr>
        <w:t>, които ще бъдат обхванати</w:t>
      </w:r>
      <w:r w:rsidR="00F27F46" w:rsidRPr="00D83669">
        <w:rPr>
          <w:rFonts w:ascii="Times New Roman" w:hAnsi="Times New Roman" w:cs="Times New Roman"/>
          <w:sz w:val="24"/>
          <w:szCs w:val="24"/>
        </w:rPr>
        <w:t>. Посоченият процент се определя</w:t>
      </w:r>
      <w:r w:rsidR="00496863" w:rsidRPr="00D83669">
        <w:rPr>
          <w:rFonts w:ascii="Times New Roman" w:hAnsi="Times New Roman" w:cs="Times New Roman"/>
          <w:sz w:val="24"/>
          <w:szCs w:val="24"/>
        </w:rPr>
        <w:t>, вследствие натрупания опит от предходния програмен период за сходни интервенции</w:t>
      </w:r>
      <w:r w:rsidR="00F27F46" w:rsidRPr="00D83669">
        <w:rPr>
          <w:rFonts w:ascii="Times New Roman" w:hAnsi="Times New Roman" w:cs="Times New Roman"/>
          <w:sz w:val="24"/>
          <w:szCs w:val="24"/>
        </w:rPr>
        <w:t xml:space="preserve"> и целеви групи</w:t>
      </w:r>
      <w:r w:rsidR="00E077BF" w:rsidRPr="00D83669">
        <w:rPr>
          <w:rFonts w:ascii="Times New Roman" w:hAnsi="Times New Roman" w:cs="Times New Roman"/>
          <w:sz w:val="24"/>
          <w:szCs w:val="24"/>
        </w:rPr>
        <w:t>;</w:t>
      </w:r>
    </w:p>
    <w:p w14:paraId="58EDD0C0" w14:textId="7DD973EA" w:rsidR="00E24013" w:rsidRPr="00D83669" w:rsidRDefault="00C63818" w:rsidP="00155955">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изчисляване на междинн</w:t>
      </w:r>
      <w:r w:rsidR="004E43A3" w:rsidRPr="00D83669">
        <w:rPr>
          <w:rFonts w:ascii="Times New Roman" w:hAnsi="Times New Roman" w:cs="Times New Roman"/>
          <w:sz w:val="24"/>
          <w:szCs w:val="24"/>
        </w:rPr>
        <w:t>и</w:t>
      </w:r>
      <w:r w:rsidRPr="00D83669">
        <w:rPr>
          <w:rFonts w:ascii="Times New Roman" w:hAnsi="Times New Roman" w:cs="Times New Roman"/>
          <w:sz w:val="24"/>
          <w:szCs w:val="24"/>
        </w:rPr>
        <w:t xml:space="preserve"> цел</w:t>
      </w:r>
      <w:r w:rsidR="004E43A3" w:rsidRPr="00D83669">
        <w:rPr>
          <w:rFonts w:ascii="Times New Roman" w:hAnsi="Times New Roman" w:cs="Times New Roman"/>
          <w:sz w:val="24"/>
          <w:szCs w:val="24"/>
        </w:rPr>
        <w:t>и</w:t>
      </w:r>
      <w:r w:rsidRPr="00D83669">
        <w:rPr>
          <w:rFonts w:ascii="Times New Roman" w:hAnsi="Times New Roman" w:cs="Times New Roman"/>
          <w:sz w:val="24"/>
          <w:szCs w:val="24"/>
        </w:rPr>
        <w:t xml:space="preserve"> на</w:t>
      </w:r>
      <w:r w:rsidR="004E43A3" w:rsidRPr="00D83669">
        <w:rPr>
          <w:rFonts w:ascii="Times New Roman" w:hAnsi="Times New Roman" w:cs="Times New Roman"/>
          <w:sz w:val="24"/>
          <w:szCs w:val="24"/>
        </w:rPr>
        <w:t xml:space="preserve"> общите и специфичните</w:t>
      </w:r>
      <w:r w:rsidRPr="00D83669">
        <w:rPr>
          <w:rFonts w:ascii="Times New Roman" w:hAnsi="Times New Roman" w:cs="Times New Roman"/>
          <w:sz w:val="24"/>
          <w:szCs w:val="24"/>
        </w:rPr>
        <w:t xml:space="preserve"> </w:t>
      </w:r>
      <w:r w:rsidR="00254DF6"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 xml:space="preserve">за </w:t>
      </w:r>
      <w:r w:rsidR="00254DF6" w:rsidRPr="00D83669">
        <w:rPr>
          <w:rFonts w:ascii="Times New Roman" w:hAnsi="Times New Roman" w:cs="Times New Roman"/>
          <w:sz w:val="24"/>
          <w:szCs w:val="24"/>
        </w:rPr>
        <w:t xml:space="preserve">краен </w:t>
      </w:r>
      <w:r w:rsidR="00374271" w:rsidRPr="00D83669">
        <w:rPr>
          <w:rFonts w:ascii="Times New Roman" w:hAnsi="Times New Roman" w:cs="Times New Roman"/>
          <w:sz w:val="24"/>
          <w:szCs w:val="24"/>
        </w:rPr>
        <w:t xml:space="preserve">продукт </w:t>
      </w:r>
      <w:r w:rsidRPr="00D83669">
        <w:rPr>
          <w:rFonts w:ascii="Times New Roman" w:hAnsi="Times New Roman" w:cs="Times New Roman"/>
          <w:sz w:val="24"/>
          <w:szCs w:val="24"/>
        </w:rPr>
        <w:t xml:space="preserve">- при определянето на междинните цели </w:t>
      </w:r>
      <w:r w:rsidR="00CD70BD" w:rsidRPr="00D83669">
        <w:rPr>
          <w:rFonts w:ascii="Times New Roman" w:hAnsi="Times New Roman" w:cs="Times New Roman"/>
          <w:sz w:val="24"/>
          <w:szCs w:val="24"/>
        </w:rPr>
        <w:t>се вземат</w:t>
      </w:r>
      <w:r w:rsidRPr="00D83669">
        <w:rPr>
          <w:rFonts w:ascii="Times New Roman" w:hAnsi="Times New Roman" w:cs="Times New Roman"/>
          <w:sz w:val="24"/>
          <w:szCs w:val="24"/>
        </w:rPr>
        <w:t xml:space="preserve"> предвид: </w:t>
      </w:r>
    </w:p>
    <w:p w14:paraId="366E3EF3" w14:textId="77777777" w:rsidR="00E24013" w:rsidRPr="00D83669" w:rsidRDefault="00C63818" w:rsidP="006F1205">
      <w:pPr>
        <w:pStyle w:val="ListParagraph"/>
        <w:numPr>
          <w:ilvl w:val="0"/>
          <w:numId w:val="10"/>
        </w:numPr>
        <w:ind w:left="0" w:firstLine="990"/>
        <w:jc w:val="both"/>
        <w:rPr>
          <w:rFonts w:ascii="Times New Roman" w:hAnsi="Times New Roman" w:cs="Times New Roman"/>
          <w:sz w:val="24"/>
          <w:szCs w:val="24"/>
        </w:rPr>
      </w:pPr>
      <w:r w:rsidRPr="00D83669">
        <w:rPr>
          <w:rFonts w:ascii="Times New Roman" w:hAnsi="Times New Roman" w:cs="Times New Roman"/>
          <w:sz w:val="24"/>
          <w:szCs w:val="24"/>
        </w:rPr>
        <w:t>началната и крайната година на изпълнение, която е в рамките на програмния период;</w:t>
      </w:r>
    </w:p>
    <w:p w14:paraId="3E71CB04" w14:textId="1A40C40F" w:rsidR="00C63818" w:rsidRPr="00D83669" w:rsidRDefault="00C63818" w:rsidP="006F1205">
      <w:pPr>
        <w:pStyle w:val="ListParagraph"/>
        <w:numPr>
          <w:ilvl w:val="0"/>
          <w:numId w:val="10"/>
        </w:numPr>
        <w:ind w:left="0" w:firstLine="990"/>
        <w:jc w:val="both"/>
        <w:rPr>
          <w:rFonts w:ascii="Times New Roman" w:hAnsi="Times New Roman" w:cs="Times New Roman"/>
          <w:sz w:val="24"/>
          <w:szCs w:val="24"/>
        </w:rPr>
      </w:pPr>
      <w:r w:rsidRPr="00D83669">
        <w:rPr>
          <w:rFonts w:ascii="Times New Roman" w:hAnsi="Times New Roman" w:cs="Times New Roman"/>
          <w:sz w:val="24"/>
          <w:szCs w:val="24"/>
        </w:rPr>
        <w:t>физическото изпълнение на операциите – съобразено е със спецификата на дейностите</w:t>
      </w:r>
      <w:r w:rsidR="00F76F8E" w:rsidRPr="00D83669">
        <w:rPr>
          <w:rFonts w:ascii="Times New Roman" w:hAnsi="Times New Roman" w:cs="Times New Roman"/>
          <w:sz w:val="24"/>
          <w:szCs w:val="24"/>
        </w:rPr>
        <w:t xml:space="preserve"> и целевите групи</w:t>
      </w:r>
      <w:r w:rsidRPr="00D83669">
        <w:rPr>
          <w:rFonts w:ascii="Times New Roman" w:hAnsi="Times New Roman" w:cs="Times New Roman"/>
          <w:sz w:val="24"/>
          <w:szCs w:val="24"/>
        </w:rPr>
        <w:t xml:space="preserve">, </w:t>
      </w:r>
      <w:r w:rsidR="00CD70BD" w:rsidRPr="00D83669">
        <w:rPr>
          <w:rFonts w:ascii="Times New Roman" w:hAnsi="Times New Roman" w:cs="Times New Roman"/>
          <w:sz w:val="24"/>
          <w:szCs w:val="24"/>
        </w:rPr>
        <w:t>от които произтича</w:t>
      </w:r>
      <w:r w:rsidRPr="00D83669">
        <w:rPr>
          <w:rFonts w:ascii="Times New Roman" w:hAnsi="Times New Roman" w:cs="Times New Roman"/>
          <w:sz w:val="24"/>
          <w:szCs w:val="24"/>
        </w:rPr>
        <w:t xml:space="preserve"> изпълнението на </w:t>
      </w:r>
      <w:r w:rsidR="00254DF6" w:rsidRPr="00D83669">
        <w:rPr>
          <w:rFonts w:ascii="Times New Roman" w:hAnsi="Times New Roman" w:cs="Times New Roman"/>
          <w:sz w:val="24"/>
          <w:szCs w:val="24"/>
        </w:rPr>
        <w:t>показателя</w:t>
      </w:r>
      <w:r w:rsidR="006533B6" w:rsidRPr="00D83669">
        <w:rPr>
          <w:rFonts w:ascii="Times New Roman" w:hAnsi="Times New Roman" w:cs="Times New Roman"/>
          <w:sz w:val="24"/>
          <w:szCs w:val="24"/>
        </w:rPr>
        <w:t>;</w:t>
      </w:r>
    </w:p>
    <w:p w14:paraId="57282750" w14:textId="49E29EA0" w:rsidR="00613F47" w:rsidRPr="00D83669" w:rsidRDefault="00613F47" w:rsidP="00B3118C">
      <w:pPr>
        <w:ind w:firstLine="708"/>
        <w:jc w:val="both"/>
        <w:rPr>
          <w:rFonts w:ascii="Times New Roman" w:hAnsi="Times New Roman" w:cs="Times New Roman"/>
          <w:sz w:val="24"/>
          <w:szCs w:val="24"/>
        </w:rPr>
      </w:pPr>
      <w:r w:rsidRPr="00D83669">
        <w:rPr>
          <w:rFonts w:ascii="Times New Roman" w:hAnsi="Times New Roman" w:cs="Times New Roman"/>
          <w:sz w:val="24"/>
          <w:szCs w:val="24"/>
        </w:rPr>
        <w:t xml:space="preserve">За показателите за крайни продукти се определят кумулативни етапни (междинни) цели и целеви стойности за всяка специфична цел. Етапната цел се определя като дял от предвидената целева стойност на индикатора изразена в абсолютна стойност, тъй като етапните цели и целевите стойности следва да са определени с една и съща </w:t>
      </w:r>
      <w:r w:rsidRPr="00D83669">
        <w:rPr>
          <w:rFonts w:ascii="Times New Roman" w:hAnsi="Times New Roman" w:cs="Times New Roman"/>
          <w:sz w:val="24"/>
          <w:szCs w:val="24"/>
        </w:rPr>
        <w:lastRenderedPageBreak/>
        <w:t xml:space="preserve">мерна единица. Целевите стойности са определени за края на 2029 г., докато </w:t>
      </w:r>
      <w:r w:rsidR="00B3118C" w:rsidRPr="00D83669">
        <w:rPr>
          <w:rFonts w:ascii="Times New Roman" w:hAnsi="Times New Roman" w:cs="Times New Roman"/>
          <w:sz w:val="24"/>
          <w:szCs w:val="24"/>
        </w:rPr>
        <w:t xml:space="preserve">етапните </w:t>
      </w:r>
      <w:r w:rsidRPr="00D83669">
        <w:rPr>
          <w:rFonts w:ascii="Times New Roman" w:hAnsi="Times New Roman" w:cs="Times New Roman"/>
          <w:sz w:val="24"/>
          <w:szCs w:val="24"/>
        </w:rPr>
        <w:t>цели са зададени до края на 2024 г. и дават възможност за сравняване на измерените стойности за даден показател с това, което се иска да се постигне с програмата. Този подход за наблюдение на напредъка позволява текуща вътрешна оценка от Управляващия орган на това как, с какви темпове се изпълнява програмата. Цел</w:t>
      </w:r>
      <w:r w:rsidR="00B3118C" w:rsidRPr="00D83669">
        <w:rPr>
          <w:rFonts w:ascii="Times New Roman" w:hAnsi="Times New Roman" w:cs="Times New Roman"/>
          <w:sz w:val="24"/>
          <w:szCs w:val="24"/>
        </w:rPr>
        <w:t>евите стойности</w:t>
      </w:r>
      <w:r w:rsidRPr="00D83669">
        <w:rPr>
          <w:rFonts w:ascii="Times New Roman" w:hAnsi="Times New Roman" w:cs="Times New Roman"/>
          <w:sz w:val="24"/>
          <w:szCs w:val="24"/>
        </w:rPr>
        <w:t xml:space="preserve"> и </w:t>
      </w:r>
      <w:r w:rsidR="00B3118C" w:rsidRPr="00D83669">
        <w:rPr>
          <w:rFonts w:ascii="Times New Roman" w:hAnsi="Times New Roman" w:cs="Times New Roman"/>
          <w:sz w:val="24"/>
          <w:szCs w:val="24"/>
        </w:rPr>
        <w:t xml:space="preserve">етапните </w:t>
      </w:r>
      <w:r w:rsidRPr="00D83669">
        <w:rPr>
          <w:rFonts w:ascii="Times New Roman" w:hAnsi="Times New Roman" w:cs="Times New Roman"/>
          <w:sz w:val="24"/>
          <w:szCs w:val="24"/>
        </w:rPr>
        <w:t>цели са инструменти за подобряване на програмирането и за оценка на изпълнението на програмата</w:t>
      </w:r>
      <w:r w:rsidRPr="00D83669">
        <w:rPr>
          <w:rStyle w:val="FootnoteReference"/>
          <w:rFonts w:ascii="Times New Roman" w:hAnsi="Times New Roman" w:cs="Times New Roman"/>
          <w:sz w:val="24"/>
          <w:szCs w:val="24"/>
        </w:rPr>
        <w:footnoteReference w:id="5"/>
      </w:r>
      <w:r w:rsidRPr="00D83669">
        <w:rPr>
          <w:rFonts w:ascii="Times New Roman" w:hAnsi="Times New Roman" w:cs="Times New Roman"/>
          <w:sz w:val="24"/>
          <w:szCs w:val="24"/>
        </w:rPr>
        <w:t>.</w:t>
      </w:r>
    </w:p>
    <w:p w14:paraId="3A790B0B" w14:textId="5D01C4B6" w:rsidR="00613F47" w:rsidRPr="00D83669" w:rsidRDefault="00613F47" w:rsidP="00CB0B01">
      <w:pPr>
        <w:ind w:firstLine="708"/>
        <w:jc w:val="both"/>
        <w:rPr>
          <w:rFonts w:ascii="Times New Roman" w:hAnsi="Times New Roman" w:cs="Times New Roman"/>
          <w:sz w:val="24"/>
          <w:szCs w:val="24"/>
        </w:rPr>
      </w:pPr>
      <w:r w:rsidRPr="00D83669">
        <w:rPr>
          <w:rFonts w:ascii="Times New Roman" w:hAnsi="Times New Roman" w:cs="Times New Roman"/>
          <w:sz w:val="24"/>
          <w:szCs w:val="24"/>
        </w:rPr>
        <w:t xml:space="preserve">Методологията и основните допускания, използвани за определяне на етапните цели отразяват логиката на интервенция и периода, в който ще стартира изпълнението на проекта/тите на база планирания график за обявяване и стартиране на всяка операция по съответните групи дейности по Приоритети 1, 2 и 3 на ПО. План-графикът на стартиране на операциите е съобразен и с процедурите по ОПНОИР 2014-2020, които се реализират до края на 2023 г., за които изпълнението на сходен тип дейности ще продължи с операции по ПО 2021-2027 г. </w:t>
      </w:r>
      <w:bookmarkStart w:id="5" w:name="_Hlk103164201"/>
      <w:bookmarkStart w:id="6" w:name="_Hlk103163849"/>
      <w:r w:rsidR="004D336E" w:rsidRPr="00D83669">
        <w:rPr>
          <w:rFonts w:ascii="Times New Roman" w:hAnsi="Times New Roman"/>
          <w:sz w:val="24"/>
        </w:rPr>
        <w:t>За операциите от стратегическо значение, предвидени в програмата, предположението на Управляващия орган, което е взето предвид при изчисляването на етапните цели е, че тези операции ще бъдат  договорени първоначално за период от 5 години със 75% от общия предвиден финансов ресурс, а останалите 25 % ще бъдат разпределени за операции след оценка на постигнатия напредък в тяхното изпълнение.</w:t>
      </w:r>
      <w:bookmarkEnd w:id="5"/>
      <w:r w:rsidR="00D23025" w:rsidRPr="00D83669">
        <w:rPr>
          <w:rFonts w:ascii="Times New Roman" w:hAnsi="Times New Roman" w:cs="Times New Roman"/>
          <w:sz w:val="24"/>
          <w:szCs w:val="24"/>
        </w:rPr>
        <w:t xml:space="preserve"> </w:t>
      </w:r>
      <w:r w:rsidRPr="00D83669">
        <w:rPr>
          <w:rFonts w:ascii="Times New Roman" w:hAnsi="Times New Roman" w:cs="Times New Roman"/>
          <w:sz w:val="24"/>
          <w:szCs w:val="24"/>
        </w:rPr>
        <w:t xml:space="preserve">Съответно етапната цел се определя, като се взема предвид определения финансовия ресурс за операциите, който се разделя на планирания брой години за изпълнението им и отчитането на стойности на индикаторите до края на 2024 г. </w:t>
      </w:r>
      <w:bookmarkEnd w:id="6"/>
      <w:r w:rsidRPr="00D83669">
        <w:rPr>
          <w:rFonts w:ascii="Times New Roman" w:hAnsi="Times New Roman" w:cs="Times New Roman"/>
          <w:sz w:val="24"/>
          <w:szCs w:val="24"/>
        </w:rPr>
        <w:t>В допълнение се взема предвид и необходимото технологично време за одобряване на операциите от Комитета за наблюдение на програмата, съгласуване и обществено обсъждане, утвърждаване на документация</w:t>
      </w:r>
      <w:r w:rsidR="00B3118C" w:rsidRPr="00D83669">
        <w:rPr>
          <w:rFonts w:ascii="Times New Roman" w:hAnsi="Times New Roman" w:cs="Times New Roman"/>
          <w:sz w:val="24"/>
          <w:szCs w:val="24"/>
        </w:rPr>
        <w:t>та за кандидатстване</w:t>
      </w:r>
      <w:r w:rsidRPr="00D83669">
        <w:rPr>
          <w:rFonts w:ascii="Times New Roman" w:hAnsi="Times New Roman" w:cs="Times New Roman"/>
          <w:sz w:val="24"/>
          <w:szCs w:val="24"/>
        </w:rPr>
        <w:t>, обявяване, кандидатстване, оценяване, договаряне, реално изпълнение на дейности,  отчитане и верифициране на показателите за краен продукт. В зависимост от това дали операцията се изпълнява като процедура за директно предоставяне или чрез процедура за конкурентен подбор, необходимото технологично време може да варира</w:t>
      </w:r>
      <w:r w:rsidR="00B3118C" w:rsidRPr="00D83669">
        <w:rPr>
          <w:rFonts w:ascii="Times New Roman" w:hAnsi="Times New Roman" w:cs="Times New Roman"/>
          <w:sz w:val="24"/>
          <w:szCs w:val="24"/>
        </w:rPr>
        <w:t>.</w:t>
      </w:r>
      <w:r w:rsidRPr="00D83669">
        <w:rPr>
          <w:rFonts w:ascii="Times New Roman" w:hAnsi="Times New Roman" w:cs="Times New Roman"/>
          <w:sz w:val="24"/>
          <w:szCs w:val="24"/>
        </w:rPr>
        <w:t xml:space="preserve"> Придобитият опит по ОПНОИР 2014-2020 показва различни фактори например, че при процедурите за директно предоставяне с КБ – МОН </w:t>
      </w:r>
      <w:r w:rsidR="00B3118C" w:rsidRPr="00D83669">
        <w:rPr>
          <w:rFonts w:ascii="Times New Roman" w:hAnsi="Times New Roman" w:cs="Times New Roman"/>
          <w:sz w:val="24"/>
          <w:szCs w:val="24"/>
        </w:rPr>
        <w:t xml:space="preserve">в рамките на изпълнение на проекта </w:t>
      </w:r>
      <w:r w:rsidRPr="00D83669">
        <w:rPr>
          <w:rFonts w:ascii="Times New Roman" w:hAnsi="Times New Roman" w:cs="Times New Roman"/>
          <w:sz w:val="24"/>
          <w:szCs w:val="24"/>
        </w:rPr>
        <w:t xml:space="preserve">се прилага механизъм за допълнителен подбор на училища/детски градини, които ще участват в изпълнението на проекта, а при процедурите за конкурентен подбор </w:t>
      </w:r>
      <w:r w:rsidR="00B3118C" w:rsidRPr="00D83669">
        <w:rPr>
          <w:rFonts w:ascii="Times New Roman" w:hAnsi="Times New Roman" w:cs="Times New Roman"/>
          <w:sz w:val="24"/>
          <w:szCs w:val="24"/>
        </w:rPr>
        <w:t xml:space="preserve">- </w:t>
      </w:r>
      <w:r w:rsidRPr="00D83669">
        <w:rPr>
          <w:rFonts w:ascii="Times New Roman" w:hAnsi="Times New Roman" w:cs="Times New Roman"/>
          <w:sz w:val="24"/>
          <w:szCs w:val="24"/>
        </w:rPr>
        <w:t xml:space="preserve">оценителните сесии и отчитането от страна на бенефициентите, верифициране на постъпилите искания за плащане от страна на УО. </w:t>
      </w:r>
    </w:p>
    <w:p w14:paraId="50A97CD0" w14:textId="1FF283EF" w:rsidR="00613F47" w:rsidRPr="00D83669" w:rsidRDefault="00613F47" w:rsidP="00B3118C">
      <w:pPr>
        <w:ind w:firstLine="708"/>
        <w:jc w:val="both"/>
        <w:rPr>
          <w:rFonts w:ascii="Times New Roman" w:hAnsi="Times New Roman" w:cs="Times New Roman"/>
          <w:sz w:val="24"/>
          <w:szCs w:val="24"/>
        </w:rPr>
      </w:pPr>
      <w:r w:rsidRPr="00D83669">
        <w:rPr>
          <w:rFonts w:ascii="Times New Roman" w:hAnsi="Times New Roman" w:cs="Times New Roman"/>
          <w:sz w:val="24"/>
          <w:szCs w:val="24"/>
        </w:rPr>
        <w:t xml:space="preserve">Етапни цели са определени за операции, чието изпълнение </w:t>
      </w:r>
      <w:r w:rsidR="00B3118C" w:rsidRPr="00D83669">
        <w:rPr>
          <w:rFonts w:ascii="Times New Roman" w:hAnsi="Times New Roman" w:cs="Times New Roman"/>
          <w:sz w:val="24"/>
          <w:szCs w:val="24"/>
        </w:rPr>
        <w:t xml:space="preserve">е планирано да </w:t>
      </w:r>
      <w:r w:rsidRPr="00D83669">
        <w:rPr>
          <w:rFonts w:ascii="Times New Roman" w:hAnsi="Times New Roman" w:cs="Times New Roman"/>
          <w:sz w:val="24"/>
          <w:szCs w:val="24"/>
        </w:rPr>
        <w:t>започ</w:t>
      </w:r>
      <w:r w:rsidR="00B3118C" w:rsidRPr="00D83669">
        <w:rPr>
          <w:rFonts w:ascii="Times New Roman" w:hAnsi="Times New Roman" w:cs="Times New Roman"/>
          <w:sz w:val="24"/>
          <w:szCs w:val="24"/>
        </w:rPr>
        <w:t>не</w:t>
      </w:r>
      <w:r w:rsidRPr="00D83669">
        <w:rPr>
          <w:rFonts w:ascii="Times New Roman" w:hAnsi="Times New Roman" w:cs="Times New Roman"/>
          <w:sz w:val="24"/>
          <w:szCs w:val="24"/>
        </w:rPr>
        <w:t xml:space="preserve"> втората половина на 2022 и 2023 години с постигане на индикатори в рамките на реално изпълнение на дейности през 2023 г. и 2024 г. За показатели за краен продукт, обхванати в операции, при които реално отчитане и верифициране </w:t>
      </w:r>
      <w:r w:rsidR="00B3118C" w:rsidRPr="00D83669">
        <w:rPr>
          <w:rFonts w:ascii="Times New Roman" w:hAnsi="Times New Roman" w:cs="Times New Roman"/>
          <w:sz w:val="24"/>
          <w:szCs w:val="24"/>
        </w:rPr>
        <w:t xml:space="preserve">на </w:t>
      </w:r>
      <w:r w:rsidRPr="00D83669">
        <w:rPr>
          <w:rFonts w:ascii="Times New Roman" w:hAnsi="Times New Roman" w:cs="Times New Roman"/>
          <w:sz w:val="24"/>
          <w:szCs w:val="24"/>
        </w:rPr>
        <w:t xml:space="preserve">стойностите на показателите за краен продукт </w:t>
      </w:r>
      <w:r w:rsidR="00B3118C" w:rsidRPr="00D83669">
        <w:rPr>
          <w:rFonts w:ascii="Times New Roman" w:hAnsi="Times New Roman" w:cs="Times New Roman"/>
          <w:sz w:val="24"/>
          <w:szCs w:val="24"/>
        </w:rPr>
        <w:t>се очаква</w:t>
      </w:r>
      <w:r w:rsidRPr="00D83669">
        <w:rPr>
          <w:rFonts w:ascii="Times New Roman" w:hAnsi="Times New Roman" w:cs="Times New Roman"/>
          <w:sz w:val="24"/>
          <w:szCs w:val="24"/>
        </w:rPr>
        <w:t xml:space="preserve"> след 2025 г., не са предвиждани етапни цели. П</w:t>
      </w:r>
      <w:r w:rsidR="00A05C3C" w:rsidRPr="00D83669">
        <w:rPr>
          <w:rFonts w:ascii="Times New Roman" w:hAnsi="Times New Roman" w:cs="Times New Roman"/>
          <w:sz w:val="24"/>
          <w:szCs w:val="24"/>
        </w:rPr>
        <w:t>о отношение на п</w:t>
      </w:r>
      <w:r w:rsidRPr="00D83669">
        <w:rPr>
          <w:rFonts w:ascii="Times New Roman" w:hAnsi="Times New Roman" w:cs="Times New Roman"/>
          <w:sz w:val="24"/>
          <w:szCs w:val="24"/>
        </w:rPr>
        <w:t xml:space="preserve">оказатели за краен продукт, обхванати в операции в продължение на сходен тип дейности по проект по ОПНОИР или с прилагане на подхода Интегрирани териториални инвестиции (ИТИ) и Водено от общностите местно развитие (ВОМР), </w:t>
      </w:r>
      <w:r w:rsidR="00A05C3C" w:rsidRPr="00D83669">
        <w:rPr>
          <w:rFonts w:ascii="Times New Roman" w:hAnsi="Times New Roman" w:cs="Times New Roman"/>
          <w:sz w:val="24"/>
          <w:szCs w:val="24"/>
        </w:rPr>
        <w:t xml:space="preserve">се </w:t>
      </w:r>
      <w:r w:rsidRPr="00D83669">
        <w:rPr>
          <w:rFonts w:ascii="Times New Roman" w:hAnsi="Times New Roman" w:cs="Times New Roman"/>
          <w:sz w:val="24"/>
          <w:szCs w:val="24"/>
        </w:rPr>
        <w:t xml:space="preserve">предвижда отчитане на </w:t>
      </w:r>
      <w:r w:rsidR="00A05C3C" w:rsidRPr="00D83669">
        <w:rPr>
          <w:rFonts w:ascii="Times New Roman" w:hAnsi="Times New Roman" w:cs="Times New Roman"/>
          <w:sz w:val="24"/>
          <w:szCs w:val="24"/>
        </w:rPr>
        <w:t xml:space="preserve">етапни цели </w:t>
      </w:r>
      <w:r w:rsidRPr="00D83669">
        <w:rPr>
          <w:rFonts w:ascii="Times New Roman" w:hAnsi="Times New Roman" w:cs="Times New Roman"/>
          <w:sz w:val="24"/>
          <w:szCs w:val="24"/>
        </w:rPr>
        <w:t>през 2024 г., което е съобразено при определяне на дела на етапната цел, спрямо целевата стойност на съответния показател за краен продукт.</w:t>
      </w:r>
    </w:p>
    <w:p w14:paraId="2E863105" w14:textId="552D9A8E" w:rsidR="00C63818" w:rsidRPr="00D83669" w:rsidRDefault="00C63818" w:rsidP="00155955">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lastRenderedPageBreak/>
        <w:t xml:space="preserve">връзка на </w:t>
      </w:r>
      <w:r w:rsidR="00254DF6"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 xml:space="preserve">за </w:t>
      </w:r>
      <w:r w:rsidR="00487427" w:rsidRPr="00D83669">
        <w:rPr>
          <w:rFonts w:ascii="Times New Roman" w:hAnsi="Times New Roman" w:cs="Times New Roman"/>
          <w:sz w:val="24"/>
          <w:szCs w:val="24"/>
        </w:rPr>
        <w:t xml:space="preserve">краен </w:t>
      </w:r>
      <w:r w:rsidR="000E39D7" w:rsidRPr="00D83669">
        <w:rPr>
          <w:rFonts w:ascii="Times New Roman" w:hAnsi="Times New Roman" w:cs="Times New Roman"/>
          <w:sz w:val="24"/>
          <w:szCs w:val="24"/>
        </w:rPr>
        <w:t xml:space="preserve">продукт </w:t>
      </w:r>
      <w:r w:rsidRPr="00D83669">
        <w:rPr>
          <w:rFonts w:ascii="Times New Roman" w:hAnsi="Times New Roman" w:cs="Times New Roman"/>
          <w:sz w:val="24"/>
          <w:szCs w:val="24"/>
        </w:rPr>
        <w:t xml:space="preserve">и </w:t>
      </w:r>
      <w:r w:rsidR="00487427"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 xml:space="preserve">за резултат по специфични цели/приоритети - изчисления на целевите стойности на </w:t>
      </w:r>
      <w:r w:rsidR="00487427"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за резултат чрез целевите стойности на </w:t>
      </w:r>
      <w:r w:rsidR="00487427" w:rsidRPr="00D83669">
        <w:rPr>
          <w:rFonts w:ascii="Times New Roman" w:hAnsi="Times New Roman" w:cs="Times New Roman"/>
          <w:sz w:val="24"/>
          <w:szCs w:val="24"/>
        </w:rPr>
        <w:t>показателите</w:t>
      </w:r>
      <w:r w:rsidRPr="00D83669">
        <w:rPr>
          <w:rFonts w:ascii="Times New Roman" w:hAnsi="Times New Roman" w:cs="Times New Roman"/>
          <w:sz w:val="24"/>
          <w:szCs w:val="24"/>
        </w:rPr>
        <w:t xml:space="preserve"> за</w:t>
      </w:r>
      <w:r w:rsidR="00487427"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w:t>
      </w:r>
      <w:r w:rsidR="000E39D7" w:rsidRPr="00D83669">
        <w:rPr>
          <w:rFonts w:ascii="Times New Roman" w:hAnsi="Times New Roman" w:cs="Times New Roman"/>
          <w:sz w:val="24"/>
          <w:szCs w:val="24"/>
        </w:rPr>
        <w:t>продукт</w:t>
      </w:r>
      <w:r w:rsidRPr="00D83669">
        <w:rPr>
          <w:rFonts w:ascii="Times New Roman" w:hAnsi="Times New Roman" w:cs="Times New Roman"/>
          <w:sz w:val="24"/>
          <w:szCs w:val="24"/>
        </w:rPr>
        <w:t xml:space="preserve">, съобразно спецификата на предвидената подкрепа и използвайки опита на ОПНОИР </w:t>
      </w:r>
      <w:r w:rsidR="00487427" w:rsidRPr="00D83669">
        <w:rPr>
          <w:rFonts w:ascii="Times New Roman" w:hAnsi="Times New Roman" w:cs="Times New Roman"/>
          <w:sz w:val="24"/>
          <w:szCs w:val="24"/>
        </w:rPr>
        <w:t xml:space="preserve">от </w:t>
      </w:r>
      <w:r w:rsidRPr="00D83669">
        <w:rPr>
          <w:rFonts w:ascii="Times New Roman" w:hAnsi="Times New Roman" w:cs="Times New Roman"/>
          <w:sz w:val="24"/>
          <w:szCs w:val="24"/>
        </w:rPr>
        <w:t>изпълнението на сходни операции;</w:t>
      </w:r>
    </w:p>
    <w:p w14:paraId="3C444FE5" w14:textId="518F275B" w:rsidR="00A01460" w:rsidRPr="00D83669" w:rsidRDefault="00C63818" w:rsidP="00155955">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 xml:space="preserve">определяне на референтни стойности на </w:t>
      </w:r>
      <w:r w:rsidR="000C483F" w:rsidRPr="00D83669">
        <w:rPr>
          <w:rFonts w:ascii="Times New Roman" w:hAnsi="Times New Roman" w:cs="Times New Roman"/>
          <w:sz w:val="24"/>
          <w:szCs w:val="24"/>
        </w:rPr>
        <w:t xml:space="preserve">общите и специфичните </w:t>
      </w:r>
      <w:r w:rsidR="00487427" w:rsidRPr="00D83669">
        <w:rPr>
          <w:rFonts w:ascii="Times New Roman" w:hAnsi="Times New Roman" w:cs="Times New Roman"/>
          <w:sz w:val="24"/>
          <w:szCs w:val="24"/>
        </w:rPr>
        <w:t xml:space="preserve">показатели </w:t>
      </w:r>
      <w:r w:rsidR="000C483F" w:rsidRPr="00D83669">
        <w:rPr>
          <w:rFonts w:ascii="Times New Roman" w:hAnsi="Times New Roman" w:cs="Times New Roman"/>
          <w:sz w:val="24"/>
          <w:szCs w:val="24"/>
        </w:rPr>
        <w:t xml:space="preserve">за </w:t>
      </w:r>
      <w:r w:rsidRPr="00D83669">
        <w:rPr>
          <w:rFonts w:ascii="Times New Roman" w:hAnsi="Times New Roman" w:cs="Times New Roman"/>
          <w:sz w:val="24"/>
          <w:szCs w:val="24"/>
        </w:rPr>
        <w:t>резултат по специфични цели/ приоритети, използвайки данни от изпълнението на сходни операции по ОПНОИР, национални програми за същия или сходен тип подкрепа</w:t>
      </w:r>
      <w:r w:rsidR="00A01460" w:rsidRPr="00D83669">
        <w:rPr>
          <w:rFonts w:ascii="Times New Roman" w:hAnsi="Times New Roman" w:cs="Times New Roman"/>
          <w:sz w:val="24"/>
          <w:szCs w:val="24"/>
        </w:rPr>
        <w:t>;</w:t>
      </w:r>
    </w:p>
    <w:p w14:paraId="5B0E9D71" w14:textId="7BE5ABDE" w:rsidR="00A106D8" w:rsidRPr="00D83669" w:rsidRDefault="00A01460" w:rsidP="006F73C2">
      <w:pPr>
        <w:pStyle w:val="ListParagraph"/>
        <w:numPr>
          <w:ilvl w:val="0"/>
          <w:numId w:val="9"/>
        </w:numPr>
        <w:ind w:left="0" w:firstLine="270"/>
        <w:jc w:val="both"/>
        <w:rPr>
          <w:rFonts w:ascii="Times New Roman" w:hAnsi="Times New Roman" w:cs="Times New Roman"/>
          <w:sz w:val="24"/>
          <w:szCs w:val="24"/>
        </w:rPr>
      </w:pPr>
      <w:r w:rsidRPr="00D83669">
        <w:rPr>
          <w:rFonts w:ascii="Times New Roman" w:hAnsi="Times New Roman" w:cs="Times New Roman"/>
          <w:sz w:val="24"/>
          <w:szCs w:val="24"/>
        </w:rPr>
        <w:t xml:space="preserve">определяне на стойностите на </w:t>
      </w:r>
      <w:r w:rsidR="00487427"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за</w:t>
      </w:r>
      <w:r w:rsidR="00487427"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продукт и</w:t>
      </w:r>
      <w:r w:rsidR="00487427" w:rsidRPr="00D83669">
        <w:rPr>
          <w:rFonts w:ascii="Times New Roman" w:hAnsi="Times New Roman" w:cs="Times New Roman"/>
          <w:sz w:val="24"/>
          <w:szCs w:val="24"/>
        </w:rPr>
        <w:t xml:space="preserve"> за</w:t>
      </w:r>
      <w:r w:rsidRPr="00D83669">
        <w:rPr>
          <w:rFonts w:ascii="Times New Roman" w:hAnsi="Times New Roman" w:cs="Times New Roman"/>
          <w:sz w:val="24"/>
          <w:szCs w:val="24"/>
        </w:rPr>
        <w:t xml:space="preserve"> резултат, които се включват в Програма „Образование“, разпределени по райони на планиране. (или т.нар. статистически райони NUTS-2, според класификацията на териториалните единици за статистически цели по региони</w:t>
      </w:r>
      <w:r w:rsidR="00487427" w:rsidRPr="00D83669">
        <w:rPr>
          <w:rFonts w:ascii="Times New Roman" w:hAnsi="Times New Roman" w:cs="Times New Roman"/>
          <w:sz w:val="24"/>
          <w:szCs w:val="24"/>
        </w:rPr>
        <w:t>)</w:t>
      </w:r>
      <w:r w:rsidRPr="00D83669">
        <w:rPr>
          <w:rFonts w:ascii="Times New Roman" w:hAnsi="Times New Roman" w:cs="Times New Roman"/>
          <w:sz w:val="24"/>
          <w:szCs w:val="24"/>
        </w:rPr>
        <w:t>. Разпределението по райони на планиране се извършва за</w:t>
      </w:r>
      <w:r w:rsidR="00A106D8" w:rsidRPr="00D83669">
        <w:rPr>
          <w:rFonts w:ascii="Times New Roman" w:hAnsi="Times New Roman" w:cs="Times New Roman"/>
          <w:sz w:val="24"/>
          <w:szCs w:val="24"/>
        </w:rPr>
        <w:t xml:space="preserve"> следните райони на планиране</w:t>
      </w:r>
      <w:r w:rsidRPr="00D83669">
        <w:rPr>
          <w:rFonts w:ascii="Times New Roman" w:hAnsi="Times New Roman" w:cs="Times New Roman"/>
          <w:sz w:val="24"/>
          <w:szCs w:val="24"/>
        </w:rPr>
        <w:t xml:space="preserve">: </w:t>
      </w:r>
    </w:p>
    <w:p w14:paraId="67350AB1" w14:textId="661DFC4D" w:rsidR="00A106D8" w:rsidRPr="00D83669" w:rsidRDefault="00A106D8" w:rsidP="006F73C2">
      <w:pPr>
        <w:pStyle w:val="ListParagraph"/>
        <w:numPr>
          <w:ilvl w:val="0"/>
          <w:numId w:val="17"/>
        </w:numPr>
        <w:jc w:val="both"/>
        <w:rPr>
          <w:rFonts w:ascii="Times New Roman" w:hAnsi="Times New Roman" w:cs="Times New Roman"/>
          <w:sz w:val="24"/>
          <w:szCs w:val="24"/>
        </w:rPr>
      </w:pPr>
      <w:r w:rsidRPr="00D83669">
        <w:rPr>
          <w:rFonts w:ascii="Times New Roman" w:hAnsi="Times New Roman" w:cs="Times New Roman"/>
          <w:i/>
          <w:sz w:val="24"/>
          <w:szCs w:val="24"/>
        </w:rPr>
        <w:t>П</w:t>
      </w:r>
      <w:r w:rsidR="00A01460" w:rsidRPr="00D83669">
        <w:rPr>
          <w:rFonts w:ascii="Times New Roman" w:hAnsi="Times New Roman" w:cs="Times New Roman"/>
          <w:i/>
          <w:sz w:val="24"/>
          <w:szCs w:val="24"/>
        </w:rPr>
        <w:t>о-слабо развити райони</w:t>
      </w:r>
      <w:r w:rsidR="00A01460" w:rsidRPr="00D83669">
        <w:rPr>
          <w:rFonts w:ascii="Times New Roman" w:hAnsi="Times New Roman" w:cs="Times New Roman"/>
          <w:sz w:val="24"/>
          <w:szCs w:val="24"/>
        </w:rPr>
        <w:t xml:space="preserve"> – това са районите с брутен вътрешен продукт (БВП) на глава от населението в стандарт на покупателна способност (</w:t>
      </w:r>
      <w:r w:rsidRPr="00D83669">
        <w:rPr>
          <w:rFonts w:ascii="Times New Roman" w:hAnsi="Times New Roman" w:cs="Times New Roman"/>
          <w:sz w:val="24"/>
          <w:szCs w:val="24"/>
        </w:rPr>
        <w:t xml:space="preserve">СПС) под 75 % от средното за ЕС, като за България това са Южен централен, Югоизточен, Североизточен, Северен централен и Северозападен райони за планиране;  </w:t>
      </w:r>
    </w:p>
    <w:p w14:paraId="6D135B1D" w14:textId="2DBE544B" w:rsidR="00C63818" w:rsidRPr="00D83669" w:rsidRDefault="00A01460" w:rsidP="006F73C2">
      <w:pPr>
        <w:pStyle w:val="ListParagraph"/>
        <w:numPr>
          <w:ilvl w:val="0"/>
          <w:numId w:val="17"/>
        </w:numPr>
        <w:jc w:val="both"/>
        <w:rPr>
          <w:rFonts w:ascii="Times New Roman" w:hAnsi="Times New Roman" w:cs="Times New Roman"/>
          <w:sz w:val="24"/>
          <w:szCs w:val="24"/>
        </w:rPr>
      </w:pPr>
      <w:r w:rsidRPr="00D83669">
        <w:rPr>
          <w:rFonts w:ascii="Times New Roman" w:hAnsi="Times New Roman" w:cs="Times New Roman"/>
          <w:i/>
          <w:sz w:val="24"/>
          <w:szCs w:val="24"/>
        </w:rPr>
        <w:t>Райони в преход</w:t>
      </w:r>
      <w:r w:rsidRPr="00D83669">
        <w:rPr>
          <w:rFonts w:ascii="Times New Roman" w:hAnsi="Times New Roman" w:cs="Times New Roman"/>
          <w:sz w:val="24"/>
          <w:szCs w:val="24"/>
        </w:rPr>
        <w:t xml:space="preserve"> – с БВП/глава между 75 и 90 % от средното за ЕС</w:t>
      </w:r>
      <w:r w:rsidR="00A106D8" w:rsidRPr="00D83669">
        <w:rPr>
          <w:rFonts w:ascii="Times New Roman" w:hAnsi="Times New Roman" w:cs="Times New Roman"/>
          <w:sz w:val="24"/>
          <w:szCs w:val="24"/>
        </w:rPr>
        <w:t>, като</w:t>
      </w:r>
      <w:r w:rsidRPr="00D83669">
        <w:rPr>
          <w:rFonts w:ascii="Times New Roman" w:hAnsi="Times New Roman" w:cs="Times New Roman"/>
          <w:sz w:val="24"/>
          <w:szCs w:val="24"/>
        </w:rPr>
        <w:t xml:space="preserve"> </w:t>
      </w:r>
      <w:r w:rsidR="00A106D8" w:rsidRPr="00D83669">
        <w:rPr>
          <w:rFonts w:ascii="Times New Roman" w:hAnsi="Times New Roman" w:cs="Times New Roman"/>
          <w:sz w:val="24"/>
          <w:szCs w:val="24"/>
        </w:rPr>
        <w:t>за България това е Югозападен район.</w:t>
      </w:r>
    </w:p>
    <w:p w14:paraId="1A9B609F" w14:textId="0636ADB7" w:rsidR="009217E9" w:rsidRPr="00D83669" w:rsidRDefault="00A106D8" w:rsidP="000632B9">
      <w:pPr>
        <w:ind w:firstLine="708"/>
        <w:jc w:val="both"/>
        <w:rPr>
          <w:rFonts w:ascii="Times New Roman" w:hAnsi="Times New Roman" w:cs="Times New Roman"/>
          <w:sz w:val="24"/>
          <w:szCs w:val="24"/>
        </w:rPr>
      </w:pPr>
      <w:r w:rsidRPr="00D83669">
        <w:rPr>
          <w:rFonts w:ascii="Times New Roman" w:hAnsi="Times New Roman" w:cs="Times New Roman"/>
          <w:sz w:val="24"/>
          <w:szCs w:val="24"/>
        </w:rPr>
        <w:t xml:space="preserve">Определянето на референтни стойности на общите и специфичните </w:t>
      </w:r>
      <w:r w:rsidR="006A7A8F"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по райони на планиране се извършва съобразно разпределението на финансовите средства за съответните групи дейности и приоритети в Програма „Образование“ 2021-2027.</w:t>
      </w:r>
    </w:p>
    <w:p w14:paraId="67B72707" w14:textId="6FF3ADC7" w:rsidR="00EC1C39" w:rsidRPr="00D83669" w:rsidRDefault="00EC1C39" w:rsidP="009217E9">
      <w:pPr>
        <w:pStyle w:val="ListParagraph"/>
        <w:ind w:left="270"/>
        <w:jc w:val="both"/>
        <w:rPr>
          <w:rFonts w:ascii="Times New Roman" w:hAnsi="Times New Roman" w:cs="Times New Roman"/>
          <w:sz w:val="24"/>
          <w:szCs w:val="24"/>
        </w:rPr>
      </w:pPr>
    </w:p>
    <w:p w14:paraId="725EA041" w14:textId="77777777" w:rsidR="006F73C2" w:rsidRPr="00D83669" w:rsidRDefault="006F73C2" w:rsidP="009217E9">
      <w:pPr>
        <w:pStyle w:val="ListParagraph"/>
        <w:ind w:left="270"/>
        <w:jc w:val="both"/>
        <w:rPr>
          <w:rFonts w:ascii="Times New Roman" w:hAnsi="Times New Roman" w:cs="Times New Roman"/>
          <w:sz w:val="24"/>
          <w:szCs w:val="24"/>
        </w:rPr>
      </w:pPr>
    </w:p>
    <w:p w14:paraId="78611EF1" w14:textId="7AB2EBEA" w:rsidR="00C63818" w:rsidRPr="00D83669" w:rsidRDefault="00F46600" w:rsidP="006F73C2">
      <w:pPr>
        <w:pStyle w:val="Heading1"/>
        <w:numPr>
          <w:ilvl w:val="0"/>
          <w:numId w:val="19"/>
        </w:numPr>
        <w:spacing w:after="240" w:line="360" w:lineRule="auto"/>
        <w:ind w:left="0" w:firstLine="0"/>
        <w:rPr>
          <w:rFonts w:ascii="Times New Roman" w:hAnsi="Times New Roman" w:cs="Times New Roman"/>
          <w:b/>
          <w:color w:val="auto"/>
          <w:sz w:val="28"/>
          <w:szCs w:val="28"/>
          <w:lang w:val="bg-BG"/>
        </w:rPr>
      </w:pPr>
      <w:bookmarkStart w:id="7" w:name="_Toc103586636"/>
      <w:r w:rsidRPr="00D83669">
        <w:rPr>
          <w:rFonts w:ascii="Times New Roman" w:hAnsi="Times New Roman" w:cs="Times New Roman"/>
          <w:b/>
          <w:color w:val="auto"/>
          <w:sz w:val="28"/>
          <w:szCs w:val="28"/>
          <w:lang w:val="bg-BG"/>
        </w:rPr>
        <w:t>Документиране на в</w:t>
      </w:r>
      <w:r w:rsidR="00C63818" w:rsidRPr="00D83669">
        <w:rPr>
          <w:rFonts w:ascii="Times New Roman" w:hAnsi="Times New Roman" w:cs="Times New Roman"/>
          <w:b/>
          <w:color w:val="auto"/>
          <w:sz w:val="28"/>
          <w:szCs w:val="28"/>
          <w:lang w:val="bg-BG"/>
        </w:rPr>
        <w:t>ръзка</w:t>
      </w:r>
      <w:r w:rsidRPr="00D83669">
        <w:rPr>
          <w:rFonts w:ascii="Times New Roman" w:hAnsi="Times New Roman" w:cs="Times New Roman"/>
          <w:b/>
          <w:color w:val="auto"/>
          <w:sz w:val="28"/>
          <w:szCs w:val="28"/>
          <w:lang w:val="bg-BG"/>
        </w:rPr>
        <w:t>та</w:t>
      </w:r>
      <w:r w:rsidR="00C63818" w:rsidRPr="00D83669">
        <w:rPr>
          <w:rFonts w:ascii="Times New Roman" w:hAnsi="Times New Roman" w:cs="Times New Roman"/>
          <w:b/>
          <w:color w:val="auto"/>
          <w:sz w:val="28"/>
          <w:szCs w:val="28"/>
          <w:lang w:val="bg-BG"/>
        </w:rPr>
        <w:t xml:space="preserve"> между изходните и крайните данни на общите и специфичните </w:t>
      </w:r>
      <w:r w:rsidR="006A7A8F" w:rsidRPr="00D83669">
        <w:rPr>
          <w:rFonts w:ascii="Times New Roman" w:hAnsi="Times New Roman" w:cs="Times New Roman"/>
          <w:b/>
          <w:color w:val="auto"/>
          <w:sz w:val="28"/>
          <w:szCs w:val="28"/>
          <w:lang w:val="bg-BG"/>
        </w:rPr>
        <w:t xml:space="preserve">показатели </w:t>
      </w:r>
      <w:r w:rsidR="00C63818" w:rsidRPr="00D83669">
        <w:rPr>
          <w:rFonts w:ascii="Times New Roman" w:hAnsi="Times New Roman" w:cs="Times New Roman"/>
          <w:b/>
          <w:color w:val="auto"/>
          <w:sz w:val="28"/>
          <w:szCs w:val="28"/>
          <w:lang w:val="bg-BG"/>
        </w:rPr>
        <w:t xml:space="preserve">по </w:t>
      </w:r>
      <w:r w:rsidR="00CD3FCA" w:rsidRPr="00D83669">
        <w:rPr>
          <w:rFonts w:ascii="Times New Roman" w:hAnsi="Times New Roman" w:cs="Times New Roman"/>
          <w:b/>
          <w:color w:val="auto"/>
          <w:sz w:val="28"/>
          <w:szCs w:val="28"/>
          <w:lang w:val="bg-BG"/>
        </w:rPr>
        <w:t>Програмата</w:t>
      </w:r>
      <w:bookmarkEnd w:id="7"/>
      <w:r w:rsidR="00CD3FCA" w:rsidRPr="00D83669">
        <w:rPr>
          <w:rFonts w:ascii="Times New Roman" w:hAnsi="Times New Roman" w:cs="Times New Roman"/>
          <w:b/>
          <w:color w:val="auto"/>
          <w:sz w:val="28"/>
          <w:szCs w:val="28"/>
          <w:lang w:val="bg-BG"/>
        </w:rPr>
        <w:t xml:space="preserve"> </w:t>
      </w:r>
    </w:p>
    <w:p w14:paraId="40ECF6DE" w14:textId="7CC5AD2A" w:rsidR="00C63818" w:rsidRPr="00D83669" w:rsidRDefault="00C63818" w:rsidP="00DC2868">
      <w:pPr>
        <w:ind w:firstLine="450"/>
        <w:jc w:val="both"/>
        <w:rPr>
          <w:rFonts w:ascii="Times New Roman" w:hAnsi="Times New Roman" w:cs="Times New Roman"/>
          <w:sz w:val="24"/>
          <w:szCs w:val="24"/>
        </w:rPr>
      </w:pPr>
      <w:r w:rsidRPr="00D83669">
        <w:rPr>
          <w:rFonts w:ascii="Times New Roman" w:hAnsi="Times New Roman" w:cs="Times New Roman"/>
          <w:sz w:val="24"/>
          <w:szCs w:val="24"/>
        </w:rPr>
        <w:t xml:space="preserve">Описаните по-горе подходи и процеси, използвани за </w:t>
      </w:r>
      <w:r w:rsidR="00DC2868" w:rsidRPr="00D83669">
        <w:rPr>
          <w:rFonts w:ascii="Times New Roman" w:hAnsi="Times New Roman" w:cs="Times New Roman"/>
          <w:sz w:val="24"/>
          <w:szCs w:val="24"/>
        </w:rPr>
        <w:t>избора</w:t>
      </w:r>
      <w:r w:rsidRPr="00D83669">
        <w:rPr>
          <w:rFonts w:ascii="Times New Roman" w:hAnsi="Times New Roman" w:cs="Times New Roman"/>
          <w:sz w:val="24"/>
          <w:szCs w:val="24"/>
        </w:rPr>
        <w:t xml:space="preserve"> на релевантни общи и специфични </w:t>
      </w:r>
      <w:r w:rsidR="006A7A8F" w:rsidRPr="00D83669">
        <w:rPr>
          <w:rFonts w:ascii="Times New Roman" w:hAnsi="Times New Roman" w:cs="Times New Roman"/>
          <w:sz w:val="24"/>
          <w:szCs w:val="24"/>
        </w:rPr>
        <w:t>показатели</w:t>
      </w:r>
      <w:r w:rsidRPr="00D83669">
        <w:rPr>
          <w:rFonts w:ascii="Times New Roman" w:hAnsi="Times New Roman" w:cs="Times New Roman"/>
          <w:sz w:val="24"/>
          <w:szCs w:val="24"/>
        </w:rPr>
        <w:t xml:space="preserve"> за</w:t>
      </w:r>
      <w:r w:rsidR="006A7A8F"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w:t>
      </w:r>
      <w:r w:rsidR="000E39D7" w:rsidRPr="00D83669">
        <w:rPr>
          <w:rFonts w:ascii="Times New Roman" w:hAnsi="Times New Roman" w:cs="Times New Roman"/>
          <w:sz w:val="24"/>
          <w:szCs w:val="24"/>
        </w:rPr>
        <w:t xml:space="preserve">продукт </w:t>
      </w:r>
      <w:r w:rsidRPr="00D83669">
        <w:rPr>
          <w:rFonts w:ascii="Times New Roman" w:hAnsi="Times New Roman" w:cs="Times New Roman"/>
          <w:sz w:val="24"/>
          <w:szCs w:val="24"/>
        </w:rPr>
        <w:t xml:space="preserve">и за резултат по </w:t>
      </w:r>
      <w:r w:rsidR="00CD3FCA" w:rsidRPr="00D83669">
        <w:rPr>
          <w:rFonts w:ascii="Times New Roman" w:hAnsi="Times New Roman" w:cs="Times New Roman"/>
          <w:sz w:val="24"/>
          <w:szCs w:val="24"/>
        </w:rPr>
        <w:t>Програмата</w:t>
      </w:r>
      <w:r w:rsidRPr="00D83669">
        <w:rPr>
          <w:rFonts w:ascii="Times New Roman" w:hAnsi="Times New Roman" w:cs="Times New Roman"/>
          <w:sz w:val="24"/>
          <w:szCs w:val="24"/>
        </w:rPr>
        <w:t xml:space="preserve">, са документирани в набор от документи, които имат за цел да осигурят ясна връзка между изходните и крайните данни на </w:t>
      </w:r>
      <w:r w:rsidR="006A7A8F"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по </w:t>
      </w:r>
      <w:r w:rsidR="00CD3FCA" w:rsidRPr="00D83669">
        <w:rPr>
          <w:rFonts w:ascii="Times New Roman" w:hAnsi="Times New Roman" w:cs="Times New Roman"/>
          <w:sz w:val="24"/>
          <w:szCs w:val="24"/>
        </w:rPr>
        <w:t xml:space="preserve">Програмата </w:t>
      </w:r>
      <w:r w:rsidRPr="00D83669">
        <w:rPr>
          <w:rFonts w:ascii="Times New Roman" w:hAnsi="Times New Roman" w:cs="Times New Roman"/>
          <w:sz w:val="24"/>
          <w:szCs w:val="24"/>
        </w:rPr>
        <w:t>и тяхната логическа връзка с предвидената подкрепа.</w:t>
      </w:r>
    </w:p>
    <w:p w14:paraId="5DC76B1A" w14:textId="469115C6" w:rsidR="00C63818" w:rsidRPr="00D83669" w:rsidRDefault="00C63818" w:rsidP="000632B9">
      <w:pPr>
        <w:ind w:firstLine="270"/>
        <w:jc w:val="both"/>
        <w:rPr>
          <w:rFonts w:ascii="Times New Roman" w:hAnsi="Times New Roman" w:cs="Times New Roman"/>
          <w:sz w:val="24"/>
          <w:szCs w:val="24"/>
        </w:rPr>
      </w:pPr>
      <w:r w:rsidRPr="00D83669">
        <w:rPr>
          <w:rFonts w:ascii="Times New Roman" w:hAnsi="Times New Roman" w:cs="Times New Roman"/>
          <w:sz w:val="24"/>
          <w:szCs w:val="24"/>
        </w:rPr>
        <w:t xml:space="preserve">Изходните данни на </w:t>
      </w:r>
      <w:r w:rsidR="006A7A8F"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за</w:t>
      </w:r>
      <w:r w:rsidR="00151925"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w:t>
      </w:r>
      <w:r w:rsidR="00374271" w:rsidRPr="00D83669">
        <w:rPr>
          <w:rFonts w:ascii="Times New Roman" w:hAnsi="Times New Roman" w:cs="Times New Roman"/>
          <w:sz w:val="24"/>
          <w:szCs w:val="24"/>
        </w:rPr>
        <w:t xml:space="preserve">продукт </w:t>
      </w:r>
      <w:r w:rsidRPr="00D83669">
        <w:rPr>
          <w:rFonts w:ascii="Times New Roman" w:hAnsi="Times New Roman" w:cs="Times New Roman"/>
          <w:sz w:val="24"/>
          <w:szCs w:val="24"/>
        </w:rPr>
        <w:t xml:space="preserve">и за резултат се съдържат във файл </w:t>
      </w:r>
      <w:r w:rsidRPr="00D83669">
        <w:rPr>
          <w:rFonts w:ascii="Times New Roman" w:hAnsi="Times New Roman" w:cs="Times New Roman"/>
          <w:i/>
          <w:sz w:val="24"/>
          <w:szCs w:val="24"/>
          <w:lang w:val="en-US"/>
        </w:rPr>
        <w:t>Micro</w:t>
      </w:r>
      <w:r w:rsidRPr="00D83669">
        <w:rPr>
          <w:rFonts w:ascii="Times New Roman" w:hAnsi="Times New Roman" w:cs="Times New Roman"/>
          <w:i/>
          <w:sz w:val="24"/>
          <w:szCs w:val="24"/>
        </w:rPr>
        <w:t>_</w:t>
      </w:r>
      <w:r w:rsidRPr="00D83669">
        <w:rPr>
          <w:rFonts w:ascii="Times New Roman" w:hAnsi="Times New Roman" w:cs="Times New Roman"/>
          <w:i/>
          <w:sz w:val="24"/>
          <w:szCs w:val="24"/>
          <w:lang w:val="en-US"/>
        </w:rPr>
        <w:t>Indicators</w:t>
      </w:r>
      <w:r w:rsidRPr="00D83669">
        <w:rPr>
          <w:rFonts w:ascii="Times New Roman" w:hAnsi="Times New Roman" w:cs="Times New Roman"/>
          <w:sz w:val="24"/>
          <w:szCs w:val="24"/>
        </w:rPr>
        <w:t xml:space="preserve"> за съответния приоритет на </w:t>
      </w:r>
      <w:r w:rsidR="00CD3FCA" w:rsidRPr="00D83669">
        <w:rPr>
          <w:rFonts w:ascii="Times New Roman" w:hAnsi="Times New Roman" w:cs="Times New Roman"/>
          <w:sz w:val="24"/>
          <w:szCs w:val="24"/>
        </w:rPr>
        <w:t>Програмата</w:t>
      </w:r>
      <w:r w:rsidRPr="00D83669">
        <w:rPr>
          <w:rFonts w:ascii="Times New Roman" w:hAnsi="Times New Roman" w:cs="Times New Roman"/>
          <w:sz w:val="24"/>
          <w:szCs w:val="24"/>
        </w:rPr>
        <w:t>, в който:</w:t>
      </w:r>
    </w:p>
    <w:p w14:paraId="4664B716" w14:textId="77777777" w:rsidR="00C63818" w:rsidRPr="00D83669" w:rsidRDefault="00C63818" w:rsidP="00C63818">
      <w:pPr>
        <w:pStyle w:val="ListParagraph"/>
        <w:numPr>
          <w:ilvl w:val="0"/>
          <w:numId w:val="4"/>
        </w:numPr>
        <w:ind w:left="630"/>
        <w:jc w:val="both"/>
        <w:rPr>
          <w:rFonts w:ascii="Times New Roman" w:hAnsi="Times New Roman" w:cs="Times New Roman"/>
          <w:sz w:val="24"/>
          <w:szCs w:val="24"/>
        </w:rPr>
      </w:pPr>
      <w:r w:rsidRPr="00D83669">
        <w:rPr>
          <w:rFonts w:ascii="Times New Roman" w:hAnsi="Times New Roman" w:cs="Times New Roman"/>
          <w:sz w:val="24"/>
          <w:szCs w:val="24"/>
        </w:rPr>
        <w:t>За всяка група дейности по съответния приоритет е изготвен прогнозен бюджет, като е използван опита по ОПНОИР в изпълнението на сходни операции. Прогнозните бюджети са обвързани с:</w:t>
      </w:r>
    </w:p>
    <w:p w14:paraId="20D09D63" w14:textId="77777777" w:rsidR="00C63818" w:rsidRPr="00D83669" w:rsidRDefault="00C63818" w:rsidP="00C63818">
      <w:pPr>
        <w:pStyle w:val="ListParagraph"/>
        <w:numPr>
          <w:ilvl w:val="0"/>
          <w:numId w:val="3"/>
        </w:numPr>
        <w:jc w:val="both"/>
        <w:rPr>
          <w:rFonts w:ascii="Times New Roman" w:hAnsi="Times New Roman" w:cs="Times New Roman"/>
          <w:sz w:val="24"/>
          <w:szCs w:val="24"/>
        </w:rPr>
      </w:pPr>
      <w:r w:rsidRPr="00D83669">
        <w:rPr>
          <w:rFonts w:ascii="Times New Roman" w:hAnsi="Times New Roman" w:cs="Times New Roman"/>
          <w:sz w:val="24"/>
          <w:szCs w:val="24"/>
        </w:rPr>
        <w:t>конкретните дейности, за които се предвижда подкрепа;</w:t>
      </w:r>
    </w:p>
    <w:p w14:paraId="7E32A2FF" w14:textId="46FD2DF6" w:rsidR="00C63818" w:rsidRPr="00D83669" w:rsidRDefault="00C63818" w:rsidP="00C63818">
      <w:pPr>
        <w:pStyle w:val="ListParagraph"/>
        <w:numPr>
          <w:ilvl w:val="0"/>
          <w:numId w:val="3"/>
        </w:numPr>
        <w:jc w:val="both"/>
        <w:rPr>
          <w:rFonts w:ascii="Times New Roman" w:hAnsi="Times New Roman" w:cs="Times New Roman"/>
          <w:sz w:val="24"/>
          <w:szCs w:val="24"/>
        </w:rPr>
      </w:pPr>
      <w:r w:rsidRPr="00D83669">
        <w:rPr>
          <w:rFonts w:ascii="Times New Roman" w:hAnsi="Times New Roman" w:cs="Times New Roman"/>
          <w:sz w:val="24"/>
          <w:szCs w:val="24"/>
        </w:rPr>
        <w:t>микро индикатори – формулирани са въз основа на целевите групи, които ще бъдат подкрепени в съответната дейност.</w:t>
      </w:r>
      <w:r w:rsidR="00C6267D" w:rsidRPr="00D83669">
        <w:rPr>
          <w:rFonts w:ascii="Times New Roman" w:hAnsi="Times New Roman" w:cs="Times New Roman"/>
          <w:sz w:val="24"/>
          <w:szCs w:val="24"/>
        </w:rPr>
        <w:t xml:space="preserve"> Обхватът на целевите групи е определен</w:t>
      </w:r>
      <w:r w:rsidR="00C6267D" w:rsidRPr="00D83669">
        <w:t xml:space="preserve"> </w:t>
      </w:r>
      <w:r w:rsidR="00C6267D" w:rsidRPr="00D83669">
        <w:rPr>
          <w:rFonts w:ascii="Times New Roman" w:hAnsi="Times New Roman" w:cs="Times New Roman"/>
          <w:sz w:val="24"/>
          <w:szCs w:val="24"/>
        </w:rPr>
        <w:t xml:space="preserve">на база идентифицираните потребности на целевата група и историческите данни за обхвата на </w:t>
      </w:r>
      <w:r w:rsidR="00931152" w:rsidRPr="00D83669">
        <w:rPr>
          <w:rFonts w:ascii="Times New Roman" w:hAnsi="Times New Roman" w:cs="Times New Roman"/>
          <w:sz w:val="24"/>
          <w:szCs w:val="24"/>
        </w:rPr>
        <w:t>предоставената подкрепа</w:t>
      </w:r>
      <w:r w:rsidR="00C6267D" w:rsidRPr="00D83669">
        <w:rPr>
          <w:rFonts w:ascii="Times New Roman" w:hAnsi="Times New Roman" w:cs="Times New Roman"/>
          <w:sz w:val="24"/>
          <w:szCs w:val="24"/>
        </w:rPr>
        <w:t>,</w:t>
      </w:r>
      <w:r w:rsidRPr="00D83669">
        <w:rPr>
          <w:rFonts w:ascii="Times New Roman" w:hAnsi="Times New Roman" w:cs="Times New Roman"/>
          <w:i/>
          <w:sz w:val="24"/>
          <w:szCs w:val="24"/>
        </w:rPr>
        <w:t xml:space="preserve"> Използват </w:t>
      </w:r>
      <w:r w:rsidRPr="00D83669">
        <w:rPr>
          <w:rFonts w:ascii="Times New Roman" w:hAnsi="Times New Roman" w:cs="Times New Roman"/>
          <w:i/>
          <w:sz w:val="24"/>
          <w:szCs w:val="24"/>
        </w:rPr>
        <w:lastRenderedPageBreak/>
        <w:t xml:space="preserve">се само за целите на изчисленията на целевите стойности на общите и специфичните </w:t>
      </w:r>
      <w:r w:rsidR="00151925" w:rsidRPr="00D83669">
        <w:rPr>
          <w:rFonts w:ascii="Times New Roman" w:hAnsi="Times New Roman" w:cs="Times New Roman"/>
          <w:i/>
          <w:sz w:val="24"/>
          <w:szCs w:val="24"/>
        </w:rPr>
        <w:t xml:space="preserve">показатели </w:t>
      </w:r>
      <w:r w:rsidRPr="00D83669">
        <w:rPr>
          <w:rFonts w:ascii="Times New Roman" w:hAnsi="Times New Roman" w:cs="Times New Roman"/>
          <w:i/>
          <w:sz w:val="24"/>
          <w:szCs w:val="24"/>
        </w:rPr>
        <w:t>за</w:t>
      </w:r>
      <w:r w:rsidR="00151925" w:rsidRPr="00D83669">
        <w:rPr>
          <w:rFonts w:ascii="Times New Roman" w:hAnsi="Times New Roman" w:cs="Times New Roman"/>
          <w:i/>
          <w:sz w:val="24"/>
          <w:szCs w:val="24"/>
        </w:rPr>
        <w:t xml:space="preserve"> краен</w:t>
      </w:r>
      <w:r w:rsidRPr="00D83669">
        <w:rPr>
          <w:rFonts w:ascii="Times New Roman" w:hAnsi="Times New Roman" w:cs="Times New Roman"/>
          <w:i/>
          <w:sz w:val="24"/>
          <w:szCs w:val="24"/>
        </w:rPr>
        <w:t xml:space="preserve"> </w:t>
      </w:r>
      <w:r w:rsidR="00374271" w:rsidRPr="00D83669">
        <w:rPr>
          <w:rFonts w:ascii="Times New Roman" w:hAnsi="Times New Roman" w:cs="Times New Roman"/>
          <w:i/>
          <w:sz w:val="24"/>
          <w:szCs w:val="24"/>
        </w:rPr>
        <w:t xml:space="preserve">продукт </w:t>
      </w:r>
      <w:r w:rsidRPr="00D83669">
        <w:rPr>
          <w:rFonts w:ascii="Times New Roman" w:hAnsi="Times New Roman" w:cs="Times New Roman"/>
          <w:i/>
          <w:sz w:val="24"/>
          <w:szCs w:val="24"/>
        </w:rPr>
        <w:t>и за резултат</w:t>
      </w:r>
      <w:r w:rsidRPr="00D83669">
        <w:rPr>
          <w:rFonts w:ascii="Times New Roman" w:hAnsi="Times New Roman" w:cs="Times New Roman"/>
          <w:sz w:val="24"/>
          <w:szCs w:val="24"/>
        </w:rPr>
        <w:t xml:space="preserve">; </w:t>
      </w:r>
    </w:p>
    <w:p w14:paraId="77A40E23" w14:textId="77777777" w:rsidR="00C63818" w:rsidRPr="00D83669" w:rsidRDefault="00C63818" w:rsidP="00C63818">
      <w:pPr>
        <w:pStyle w:val="ListParagraph"/>
        <w:numPr>
          <w:ilvl w:val="0"/>
          <w:numId w:val="3"/>
        </w:numPr>
        <w:jc w:val="both"/>
        <w:rPr>
          <w:rFonts w:ascii="Times New Roman" w:hAnsi="Times New Roman" w:cs="Times New Roman"/>
          <w:sz w:val="24"/>
          <w:szCs w:val="24"/>
        </w:rPr>
      </w:pPr>
      <w:r w:rsidRPr="00D83669">
        <w:rPr>
          <w:rFonts w:ascii="Times New Roman" w:hAnsi="Times New Roman" w:cs="Times New Roman"/>
          <w:sz w:val="24"/>
          <w:szCs w:val="24"/>
        </w:rPr>
        <w:t>прогнозен размер на разходите по дейности, определен въз основа на исторически данни от ОПНОИР или други програми (национални/международни) – опростени разходи и действително извършени разходи;</w:t>
      </w:r>
    </w:p>
    <w:p w14:paraId="6BBF5E81" w14:textId="77777777" w:rsidR="00C63818" w:rsidRPr="00D83669" w:rsidRDefault="00C63818" w:rsidP="00C63818">
      <w:pPr>
        <w:pStyle w:val="ListParagraph"/>
        <w:numPr>
          <w:ilvl w:val="0"/>
          <w:numId w:val="3"/>
        </w:numPr>
        <w:jc w:val="both"/>
        <w:rPr>
          <w:rFonts w:ascii="Times New Roman" w:hAnsi="Times New Roman" w:cs="Times New Roman"/>
          <w:sz w:val="24"/>
          <w:szCs w:val="24"/>
        </w:rPr>
      </w:pPr>
      <w:r w:rsidRPr="00D83669">
        <w:rPr>
          <w:rFonts w:ascii="Times New Roman" w:hAnsi="Times New Roman" w:cs="Times New Roman"/>
          <w:sz w:val="24"/>
          <w:szCs w:val="24"/>
        </w:rPr>
        <w:t>коефициент на инфлация, приложен към прогнозния размер на разходите за планирания период на изпълнение на операцията.</w:t>
      </w:r>
    </w:p>
    <w:p w14:paraId="27997C91" w14:textId="79D918D2" w:rsidR="00C63818" w:rsidRPr="00D83669" w:rsidRDefault="00C63818" w:rsidP="00C63818">
      <w:pPr>
        <w:pStyle w:val="ListParagraph"/>
        <w:numPr>
          <w:ilvl w:val="0"/>
          <w:numId w:val="4"/>
        </w:numPr>
        <w:ind w:left="630"/>
        <w:jc w:val="both"/>
        <w:rPr>
          <w:rFonts w:ascii="Times New Roman" w:hAnsi="Times New Roman" w:cs="Times New Roman"/>
          <w:sz w:val="24"/>
          <w:szCs w:val="24"/>
        </w:rPr>
      </w:pPr>
      <w:r w:rsidRPr="00D83669">
        <w:rPr>
          <w:rFonts w:ascii="Times New Roman" w:hAnsi="Times New Roman" w:cs="Times New Roman"/>
          <w:sz w:val="24"/>
          <w:szCs w:val="24"/>
        </w:rPr>
        <w:t xml:space="preserve">Целевите стойности на микро индикаторите на ниво специфична цел/приоритет са агрегирани в общи и специфични </w:t>
      </w:r>
      <w:r w:rsidR="006A7A8F"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за</w:t>
      </w:r>
      <w:r w:rsidR="006A7A8F"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w:t>
      </w:r>
      <w:r w:rsidR="00D06F7B" w:rsidRPr="00D83669">
        <w:rPr>
          <w:rFonts w:ascii="Times New Roman" w:hAnsi="Times New Roman" w:cs="Times New Roman"/>
          <w:sz w:val="24"/>
          <w:szCs w:val="24"/>
        </w:rPr>
        <w:t xml:space="preserve">продукт </w:t>
      </w:r>
      <w:r w:rsidRPr="00D83669">
        <w:rPr>
          <w:rFonts w:ascii="Times New Roman" w:hAnsi="Times New Roman" w:cs="Times New Roman"/>
          <w:sz w:val="24"/>
          <w:szCs w:val="24"/>
        </w:rPr>
        <w:t>и за резултат със съответните целеви стойности.</w:t>
      </w:r>
    </w:p>
    <w:p w14:paraId="464C8A56" w14:textId="6C65F8FC" w:rsidR="00C63818" w:rsidRPr="00D83669" w:rsidRDefault="00C63818" w:rsidP="00942153">
      <w:pPr>
        <w:ind w:firstLine="630"/>
        <w:jc w:val="both"/>
        <w:rPr>
          <w:rFonts w:ascii="Times New Roman" w:hAnsi="Times New Roman" w:cs="Times New Roman"/>
          <w:sz w:val="24"/>
          <w:szCs w:val="24"/>
        </w:rPr>
      </w:pPr>
      <w:r w:rsidRPr="00D83669">
        <w:rPr>
          <w:rFonts w:ascii="Times New Roman" w:hAnsi="Times New Roman" w:cs="Times New Roman"/>
          <w:sz w:val="24"/>
          <w:szCs w:val="24"/>
        </w:rPr>
        <w:t xml:space="preserve">Агрегираните данни за </w:t>
      </w:r>
      <w:r w:rsidR="006A7A8F"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по всички специфични цели и приоритети на </w:t>
      </w:r>
      <w:r w:rsidR="00CD3FCA" w:rsidRPr="00D83669">
        <w:rPr>
          <w:rFonts w:ascii="Times New Roman" w:hAnsi="Times New Roman" w:cs="Times New Roman"/>
          <w:sz w:val="24"/>
          <w:szCs w:val="24"/>
        </w:rPr>
        <w:t xml:space="preserve">Програмата </w:t>
      </w:r>
      <w:r w:rsidRPr="00D83669">
        <w:rPr>
          <w:rFonts w:ascii="Times New Roman" w:hAnsi="Times New Roman" w:cs="Times New Roman"/>
          <w:sz w:val="24"/>
          <w:szCs w:val="24"/>
        </w:rPr>
        <w:t xml:space="preserve">са изведени във файл </w:t>
      </w:r>
      <w:r w:rsidRPr="00D83669">
        <w:rPr>
          <w:rFonts w:ascii="Times New Roman" w:hAnsi="Times New Roman" w:cs="Times New Roman"/>
          <w:i/>
          <w:sz w:val="24"/>
          <w:szCs w:val="24"/>
        </w:rPr>
        <w:t>Indicators_PE 21-27</w:t>
      </w:r>
      <w:r w:rsidR="008D7881" w:rsidRPr="00D83669">
        <w:rPr>
          <w:rFonts w:ascii="Times New Roman" w:hAnsi="Times New Roman" w:cs="Times New Roman"/>
          <w:i/>
          <w:sz w:val="24"/>
          <w:szCs w:val="24"/>
        </w:rPr>
        <w:t xml:space="preserve"> (Приложение 1)</w:t>
      </w:r>
      <w:r w:rsidRPr="00D83669">
        <w:rPr>
          <w:rFonts w:ascii="Times New Roman" w:hAnsi="Times New Roman" w:cs="Times New Roman"/>
          <w:i/>
          <w:sz w:val="24"/>
          <w:szCs w:val="24"/>
        </w:rPr>
        <w:t xml:space="preserve">. </w:t>
      </w:r>
      <w:r w:rsidRPr="00D83669">
        <w:rPr>
          <w:rFonts w:ascii="Times New Roman" w:hAnsi="Times New Roman" w:cs="Times New Roman"/>
          <w:sz w:val="24"/>
          <w:szCs w:val="24"/>
        </w:rPr>
        <w:t xml:space="preserve">Крайните данни за общите и специфичните </w:t>
      </w:r>
      <w:r w:rsidR="006A7A8F"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 xml:space="preserve">по </w:t>
      </w:r>
      <w:r w:rsidR="00CD3FCA" w:rsidRPr="00D83669">
        <w:rPr>
          <w:rFonts w:ascii="Times New Roman" w:hAnsi="Times New Roman" w:cs="Times New Roman"/>
          <w:sz w:val="24"/>
          <w:szCs w:val="24"/>
        </w:rPr>
        <w:t xml:space="preserve">Програмата </w:t>
      </w:r>
      <w:r w:rsidRPr="00D83669">
        <w:rPr>
          <w:rFonts w:ascii="Times New Roman" w:hAnsi="Times New Roman" w:cs="Times New Roman"/>
          <w:sz w:val="24"/>
          <w:szCs w:val="24"/>
        </w:rPr>
        <w:t>включват:</w:t>
      </w:r>
    </w:p>
    <w:p w14:paraId="0163DFE9" w14:textId="71B7064A" w:rsidR="00C63818" w:rsidRPr="00D83669" w:rsidRDefault="00C63818" w:rsidP="00D3288C">
      <w:pPr>
        <w:pStyle w:val="ListParagraph"/>
        <w:numPr>
          <w:ilvl w:val="0"/>
          <w:numId w:val="5"/>
        </w:numPr>
        <w:ind w:left="0" w:firstLine="1080"/>
        <w:jc w:val="both"/>
        <w:rPr>
          <w:rFonts w:ascii="Times New Roman" w:hAnsi="Times New Roman" w:cs="Times New Roman"/>
          <w:sz w:val="24"/>
          <w:szCs w:val="24"/>
        </w:rPr>
      </w:pPr>
      <w:r w:rsidRPr="00D83669">
        <w:rPr>
          <w:rFonts w:ascii="Times New Roman" w:hAnsi="Times New Roman" w:cs="Times New Roman"/>
          <w:sz w:val="24"/>
          <w:szCs w:val="24"/>
        </w:rPr>
        <w:t xml:space="preserve">Общи и специфични </w:t>
      </w:r>
      <w:r w:rsidR="006A7A8F"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за</w:t>
      </w:r>
      <w:r w:rsidR="006A7A8F"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w:t>
      </w:r>
      <w:r w:rsidR="000E39D7" w:rsidRPr="00D83669">
        <w:rPr>
          <w:rFonts w:ascii="Times New Roman" w:hAnsi="Times New Roman" w:cs="Times New Roman"/>
          <w:sz w:val="24"/>
          <w:szCs w:val="24"/>
        </w:rPr>
        <w:t xml:space="preserve">продукт </w:t>
      </w:r>
      <w:r w:rsidRPr="00D83669">
        <w:rPr>
          <w:rFonts w:ascii="Times New Roman" w:hAnsi="Times New Roman" w:cs="Times New Roman"/>
          <w:sz w:val="24"/>
          <w:szCs w:val="24"/>
        </w:rPr>
        <w:t xml:space="preserve">с: междинни цели и целеви стойности, целеви групи и групи дейности, които са свързани със съответния </w:t>
      </w:r>
      <w:r w:rsidR="006A7A8F" w:rsidRPr="00D83669">
        <w:rPr>
          <w:rFonts w:ascii="Times New Roman" w:hAnsi="Times New Roman" w:cs="Times New Roman"/>
          <w:sz w:val="24"/>
          <w:szCs w:val="24"/>
        </w:rPr>
        <w:t xml:space="preserve">показател </w:t>
      </w:r>
      <w:r w:rsidRPr="00D83669">
        <w:rPr>
          <w:rFonts w:ascii="Times New Roman" w:hAnsi="Times New Roman" w:cs="Times New Roman"/>
          <w:sz w:val="24"/>
          <w:szCs w:val="24"/>
        </w:rPr>
        <w:t>за</w:t>
      </w:r>
      <w:r w:rsidR="006A7A8F"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продукт; </w:t>
      </w:r>
    </w:p>
    <w:p w14:paraId="6F9198E0" w14:textId="2326DEA2" w:rsidR="00C63818" w:rsidRPr="00D83669" w:rsidRDefault="00C63818" w:rsidP="00D3288C">
      <w:pPr>
        <w:pStyle w:val="ListParagraph"/>
        <w:numPr>
          <w:ilvl w:val="0"/>
          <w:numId w:val="5"/>
        </w:numPr>
        <w:ind w:left="0" w:firstLine="1080"/>
        <w:jc w:val="both"/>
        <w:rPr>
          <w:rFonts w:ascii="Times New Roman" w:hAnsi="Times New Roman" w:cs="Times New Roman"/>
          <w:sz w:val="24"/>
          <w:szCs w:val="24"/>
        </w:rPr>
      </w:pPr>
      <w:r w:rsidRPr="00D83669">
        <w:rPr>
          <w:rFonts w:ascii="Times New Roman" w:hAnsi="Times New Roman" w:cs="Times New Roman"/>
          <w:sz w:val="24"/>
          <w:szCs w:val="24"/>
        </w:rPr>
        <w:t xml:space="preserve">Общи и специфични </w:t>
      </w:r>
      <w:r w:rsidR="006A7A8F"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 xml:space="preserve">за резултат с референтни и целеви стойности и връзката на </w:t>
      </w:r>
      <w:r w:rsidR="00694C49" w:rsidRPr="00D83669">
        <w:rPr>
          <w:rFonts w:ascii="Times New Roman" w:hAnsi="Times New Roman" w:cs="Times New Roman"/>
          <w:sz w:val="24"/>
          <w:szCs w:val="24"/>
        </w:rPr>
        <w:t xml:space="preserve">показателите </w:t>
      </w:r>
      <w:r w:rsidRPr="00D83669">
        <w:rPr>
          <w:rFonts w:ascii="Times New Roman" w:hAnsi="Times New Roman" w:cs="Times New Roman"/>
          <w:sz w:val="24"/>
          <w:szCs w:val="24"/>
        </w:rPr>
        <w:t xml:space="preserve">за резултат със съответните </w:t>
      </w:r>
      <w:r w:rsidR="00694C49"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за</w:t>
      </w:r>
      <w:r w:rsidR="00694C49" w:rsidRPr="00D83669">
        <w:rPr>
          <w:rFonts w:ascii="Times New Roman" w:hAnsi="Times New Roman" w:cs="Times New Roman"/>
          <w:sz w:val="24"/>
          <w:szCs w:val="24"/>
        </w:rPr>
        <w:t xml:space="preserve"> краен</w:t>
      </w:r>
      <w:r w:rsidRPr="00D83669">
        <w:rPr>
          <w:rFonts w:ascii="Times New Roman" w:hAnsi="Times New Roman" w:cs="Times New Roman"/>
          <w:sz w:val="24"/>
          <w:szCs w:val="24"/>
        </w:rPr>
        <w:t xml:space="preserve"> продукт (общи и специфични).</w:t>
      </w:r>
    </w:p>
    <w:p w14:paraId="7A58D8FA" w14:textId="107BF1B5" w:rsidR="00961F7C" w:rsidRPr="00D83669" w:rsidRDefault="00C63818" w:rsidP="00961F7C">
      <w:pPr>
        <w:ind w:firstLine="450"/>
        <w:jc w:val="both"/>
        <w:rPr>
          <w:rFonts w:ascii="Times New Roman" w:hAnsi="Times New Roman" w:cs="Times New Roman"/>
          <w:sz w:val="24"/>
          <w:szCs w:val="24"/>
        </w:rPr>
      </w:pPr>
      <w:r w:rsidRPr="00D83669">
        <w:rPr>
          <w:rFonts w:ascii="Times New Roman" w:hAnsi="Times New Roman" w:cs="Times New Roman"/>
          <w:sz w:val="24"/>
          <w:szCs w:val="24"/>
        </w:rPr>
        <w:t xml:space="preserve">Крайните данни за </w:t>
      </w:r>
      <w:r w:rsidR="00694C49" w:rsidRPr="00D83669">
        <w:rPr>
          <w:rFonts w:ascii="Times New Roman" w:hAnsi="Times New Roman" w:cs="Times New Roman"/>
          <w:sz w:val="24"/>
          <w:szCs w:val="24"/>
        </w:rPr>
        <w:t xml:space="preserve">показателите </w:t>
      </w:r>
      <w:r w:rsidR="008D7881" w:rsidRPr="00D83669">
        <w:rPr>
          <w:rFonts w:ascii="Times New Roman" w:hAnsi="Times New Roman" w:cs="Times New Roman"/>
          <w:sz w:val="24"/>
          <w:szCs w:val="24"/>
        </w:rPr>
        <w:t xml:space="preserve">са описани в </w:t>
      </w:r>
      <w:r w:rsidR="008D7881" w:rsidRPr="00D83669">
        <w:rPr>
          <w:rFonts w:ascii="Times New Roman" w:hAnsi="Times New Roman" w:cs="Times New Roman"/>
          <w:i/>
          <w:iCs/>
          <w:sz w:val="24"/>
          <w:szCs w:val="24"/>
        </w:rPr>
        <w:t>т.7</w:t>
      </w:r>
      <w:r w:rsidR="008D7881" w:rsidRPr="00D83669">
        <w:rPr>
          <w:rFonts w:ascii="Times New Roman" w:hAnsi="Times New Roman" w:cs="Times New Roman"/>
          <w:sz w:val="24"/>
          <w:szCs w:val="24"/>
        </w:rPr>
        <w:t xml:space="preserve"> </w:t>
      </w:r>
      <w:r w:rsidRPr="00D83669">
        <w:rPr>
          <w:rFonts w:ascii="Times New Roman" w:hAnsi="Times New Roman" w:cs="Times New Roman"/>
          <w:i/>
          <w:sz w:val="24"/>
          <w:szCs w:val="24"/>
        </w:rPr>
        <w:t xml:space="preserve">Фишове на </w:t>
      </w:r>
      <w:r w:rsidR="00771B87" w:rsidRPr="00D83669">
        <w:rPr>
          <w:rFonts w:ascii="Times New Roman" w:hAnsi="Times New Roman" w:cs="Times New Roman"/>
          <w:i/>
          <w:sz w:val="24"/>
          <w:szCs w:val="24"/>
        </w:rPr>
        <w:t xml:space="preserve">показателите </w:t>
      </w:r>
      <w:r w:rsidRPr="00D83669">
        <w:rPr>
          <w:rFonts w:ascii="Times New Roman" w:hAnsi="Times New Roman" w:cs="Times New Roman"/>
          <w:i/>
          <w:sz w:val="24"/>
          <w:szCs w:val="24"/>
        </w:rPr>
        <w:t xml:space="preserve"> </w:t>
      </w:r>
      <w:r w:rsidR="00771B87" w:rsidRPr="00D83669">
        <w:rPr>
          <w:rFonts w:ascii="Times New Roman" w:hAnsi="Times New Roman" w:cs="Times New Roman"/>
          <w:i/>
          <w:sz w:val="24"/>
          <w:szCs w:val="24"/>
        </w:rPr>
        <w:t xml:space="preserve"> </w:t>
      </w:r>
      <w:r w:rsidR="00E43281" w:rsidRPr="00D83669">
        <w:rPr>
          <w:rFonts w:ascii="Times New Roman" w:hAnsi="Times New Roman" w:cs="Times New Roman"/>
          <w:i/>
          <w:sz w:val="24"/>
          <w:szCs w:val="24"/>
        </w:rPr>
        <w:t>от</w:t>
      </w:r>
      <w:r w:rsidR="002029EA" w:rsidRPr="00D83669">
        <w:rPr>
          <w:rFonts w:ascii="Times New Roman" w:hAnsi="Times New Roman" w:cs="Times New Roman"/>
          <w:i/>
          <w:sz w:val="24"/>
          <w:szCs w:val="24"/>
        </w:rPr>
        <w:t xml:space="preserve"> </w:t>
      </w:r>
      <w:r w:rsidR="00CD3FCA" w:rsidRPr="00D83669">
        <w:rPr>
          <w:rFonts w:ascii="Times New Roman" w:hAnsi="Times New Roman" w:cs="Times New Roman"/>
          <w:i/>
          <w:sz w:val="24"/>
          <w:szCs w:val="24"/>
        </w:rPr>
        <w:t>Програма</w:t>
      </w:r>
      <w:r w:rsidR="00E43281" w:rsidRPr="00D83669">
        <w:rPr>
          <w:rFonts w:ascii="Times New Roman" w:hAnsi="Times New Roman" w:cs="Times New Roman"/>
          <w:i/>
          <w:sz w:val="24"/>
          <w:szCs w:val="24"/>
        </w:rPr>
        <w:t xml:space="preserve"> „Образование“ 2021- 2027“</w:t>
      </w:r>
      <w:r w:rsidR="008D7881" w:rsidRPr="00D83669">
        <w:rPr>
          <w:rFonts w:ascii="Times New Roman" w:hAnsi="Times New Roman" w:cs="Times New Roman"/>
          <w:iCs/>
          <w:sz w:val="24"/>
          <w:szCs w:val="24"/>
        </w:rPr>
        <w:t xml:space="preserve"> на настоящата Методология</w:t>
      </w:r>
      <w:r w:rsidRPr="00D83669">
        <w:rPr>
          <w:rFonts w:ascii="Times New Roman" w:hAnsi="Times New Roman" w:cs="Times New Roman"/>
          <w:sz w:val="24"/>
          <w:szCs w:val="24"/>
        </w:rPr>
        <w:t>.</w:t>
      </w:r>
      <w:r w:rsidR="00F01DEC" w:rsidRPr="00D83669">
        <w:rPr>
          <w:rFonts w:ascii="Times New Roman" w:hAnsi="Times New Roman" w:cs="Times New Roman"/>
          <w:sz w:val="24"/>
          <w:szCs w:val="24"/>
        </w:rPr>
        <w:t xml:space="preserve"> </w:t>
      </w:r>
      <w:r w:rsidR="00961F7C" w:rsidRPr="00D83669">
        <w:rPr>
          <w:rFonts w:ascii="Times New Roman" w:hAnsi="Times New Roman" w:cs="Times New Roman"/>
          <w:sz w:val="24"/>
          <w:szCs w:val="24"/>
        </w:rPr>
        <w:t>Фишовете на</w:t>
      </w:r>
      <w:r w:rsidR="003A5E1B" w:rsidRPr="00D83669">
        <w:rPr>
          <w:rFonts w:ascii="Times New Roman" w:hAnsi="Times New Roman" w:cs="Times New Roman"/>
          <w:sz w:val="24"/>
          <w:szCs w:val="24"/>
        </w:rPr>
        <w:t xml:space="preserve"> общите и специфичните</w:t>
      </w:r>
      <w:r w:rsidR="00961F7C" w:rsidRPr="00D83669">
        <w:rPr>
          <w:rFonts w:ascii="Times New Roman" w:hAnsi="Times New Roman" w:cs="Times New Roman"/>
          <w:sz w:val="24"/>
          <w:szCs w:val="24"/>
        </w:rPr>
        <w:t xml:space="preserve"> </w:t>
      </w:r>
      <w:r w:rsidR="00771B87" w:rsidRPr="00D83669">
        <w:rPr>
          <w:rFonts w:ascii="Times New Roman" w:hAnsi="Times New Roman" w:cs="Times New Roman"/>
          <w:sz w:val="24"/>
          <w:szCs w:val="24"/>
        </w:rPr>
        <w:t>показатели</w:t>
      </w:r>
      <w:r w:rsidR="003A5E1B" w:rsidRPr="00D83669">
        <w:rPr>
          <w:rFonts w:ascii="Times New Roman" w:hAnsi="Times New Roman" w:cs="Times New Roman"/>
          <w:sz w:val="24"/>
          <w:szCs w:val="24"/>
        </w:rPr>
        <w:t xml:space="preserve"> за</w:t>
      </w:r>
      <w:r w:rsidR="00771B87" w:rsidRPr="00D83669">
        <w:rPr>
          <w:rFonts w:ascii="Times New Roman" w:hAnsi="Times New Roman" w:cs="Times New Roman"/>
          <w:sz w:val="24"/>
          <w:szCs w:val="24"/>
        </w:rPr>
        <w:t xml:space="preserve"> краен продукт и за резултат</w:t>
      </w:r>
      <w:r w:rsidR="003A5E1B" w:rsidRPr="00D83669">
        <w:rPr>
          <w:rFonts w:ascii="Times New Roman" w:hAnsi="Times New Roman" w:cs="Times New Roman"/>
          <w:sz w:val="24"/>
          <w:szCs w:val="24"/>
        </w:rPr>
        <w:t xml:space="preserve"> </w:t>
      </w:r>
      <w:r w:rsidR="00961F7C" w:rsidRPr="00D83669">
        <w:rPr>
          <w:rFonts w:ascii="Times New Roman" w:hAnsi="Times New Roman" w:cs="Times New Roman"/>
          <w:sz w:val="24"/>
          <w:szCs w:val="24"/>
        </w:rPr>
        <w:t xml:space="preserve"> по Програмата съдържат следната информация:</w:t>
      </w:r>
    </w:p>
    <w:p w14:paraId="3D88E0F0" w14:textId="23B4E241" w:rsidR="00961F7C" w:rsidRPr="00D83669" w:rsidRDefault="00E05C2F" w:rsidP="00221EAC">
      <w:pPr>
        <w:pStyle w:val="ListParagraph"/>
        <w:numPr>
          <w:ilvl w:val="0"/>
          <w:numId w:val="16"/>
        </w:numPr>
        <w:tabs>
          <w:tab w:val="left" w:pos="1170"/>
        </w:tabs>
        <w:ind w:left="0" w:firstLine="810"/>
        <w:jc w:val="both"/>
        <w:rPr>
          <w:rFonts w:ascii="Times New Roman" w:hAnsi="Times New Roman" w:cs="Times New Roman"/>
          <w:sz w:val="24"/>
          <w:szCs w:val="24"/>
        </w:rPr>
      </w:pPr>
      <w:r w:rsidRPr="00D83669">
        <w:rPr>
          <w:rFonts w:ascii="Times New Roman" w:hAnsi="Times New Roman" w:cs="Times New Roman"/>
          <w:sz w:val="24"/>
          <w:szCs w:val="24"/>
        </w:rPr>
        <w:t xml:space="preserve">наименование и тип </w:t>
      </w:r>
      <w:r w:rsidR="00694C49" w:rsidRPr="00D83669">
        <w:rPr>
          <w:rFonts w:ascii="Times New Roman" w:hAnsi="Times New Roman" w:cs="Times New Roman"/>
          <w:sz w:val="24"/>
          <w:szCs w:val="24"/>
        </w:rPr>
        <w:t xml:space="preserve">показателя </w:t>
      </w:r>
      <w:r w:rsidRPr="00D83669">
        <w:rPr>
          <w:rFonts w:ascii="Times New Roman" w:hAnsi="Times New Roman" w:cs="Times New Roman"/>
          <w:sz w:val="24"/>
          <w:szCs w:val="24"/>
        </w:rPr>
        <w:t>(</w:t>
      </w:r>
      <w:r w:rsidR="00961F7C" w:rsidRPr="00D83669">
        <w:rPr>
          <w:rFonts w:ascii="Times New Roman" w:hAnsi="Times New Roman" w:cs="Times New Roman"/>
          <w:sz w:val="24"/>
          <w:szCs w:val="24"/>
        </w:rPr>
        <w:t>об</w:t>
      </w:r>
      <w:r w:rsidRPr="00D83669">
        <w:rPr>
          <w:rFonts w:ascii="Times New Roman" w:hAnsi="Times New Roman" w:cs="Times New Roman"/>
          <w:sz w:val="24"/>
          <w:szCs w:val="24"/>
        </w:rPr>
        <w:t xml:space="preserve">щ/специфичен </w:t>
      </w:r>
      <w:r w:rsidR="00694C49" w:rsidRPr="00D83669">
        <w:rPr>
          <w:rFonts w:ascii="Times New Roman" w:hAnsi="Times New Roman" w:cs="Times New Roman"/>
          <w:sz w:val="24"/>
          <w:szCs w:val="24"/>
        </w:rPr>
        <w:t xml:space="preserve">показател </w:t>
      </w:r>
      <w:r w:rsidRPr="00D83669">
        <w:rPr>
          <w:rFonts w:ascii="Times New Roman" w:hAnsi="Times New Roman" w:cs="Times New Roman"/>
          <w:sz w:val="24"/>
          <w:szCs w:val="24"/>
        </w:rPr>
        <w:t xml:space="preserve">за </w:t>
      </w:r>
      <w:r w:rsidR="00694C49" w:rsidRPr="00D83669">
        <w:rPr>
          <w:rFonts w:ascii="Times New Roman" w:hAnsi="Times New Roman" w:cs="Times New Roman"/>
          <w:sz w:val="24"/>
          <w:szCs w:val="24"/>
        </w:rPr>
        <w:t xml:space="preserve">краен </w:t>
      </w:r>
      <w:r w:rsidRPr="00D83669">
        <w:rPr>
          <w:rFonts w:ascii="Times New Roman" w:hAnsi="Times New Roman" w:cs="Times New Roman"/>
          <w:sz w:val="24"/>
          <w:szCs w:val="24"/>
        </w:rPr>
        <w:t>продукт/резултат</w:t>
      </w:r>
      <w:r w:rsidR="00961F7C" w:rsidRPr="00D83669">
        <w:rPr>
          <w:rFonts w:ascii="Times New Roman" w:hAnsi="Times New Roman" w:cs="Times New Roman"/>
          <w:sz w:val="24"/>
          <w:szCs w:val="24"/>
        </w:rPr>
        <w:t>);</w:t>
      </w:r>
    </w:p>
    <w:p w14:paraId="472A233D" w14:textId="6D58967A" w:rsidR="00961F7C" w:rsidRPr="00D83669" w:rsidRDefault="00E05C2F" w:rsidP="00221EAC">
      <w:pPr>
        <w:pStyle w:val="ListParagraph"/>
        <w:numPr>
          <w:ilvl w:val="0"/>
          <w:numId w:val="16"/>
        </w:numPr>
        <w:tabs>
          <w:tab w:val="left" w:pos="1170"/>
        </w:tabs>
        <w:ind w:left="0" w:firstLine="810"/>
        <w:jc w:val="both"/>
        <w:rPr>
          <w:rFonts w:ascii="Times New Roman" w:hAnsi="Times New Roman" w:cs="Times New Roman"/>
          <w:sz w:val="24"/>
          <w:szCs w:val="24"/>
        </w:rPr>
      </w:pPr>
      <w:r w:rsidRPr="00D83669">
        <w:rPr>
          <w:rFonts w:ascii="Times New Roman" w:hAnsi="Times New Roman" w:cs="Times New Roman"/>
          <w:sz w:val="24"/>
          <w:szCs w:val="24"/>
        </w:rPr>
        <w:t xml:space="preserve">информация за специфичната цел и дейностите, с които е свързан </w:t>
      </w:r>
      <w:r w:rsidR="00694C49" w:rsidRPr="00D83669">
        <w:rPr>
          <w:rFonts w:ascii="Times New Roman" w:hAnsi="Times New Roman" w:cs="Times New Roman"/>
          <w:sz w:val="24"/>
          <w:szCs w:val="24"/>
        </w:rPr>
        <w:t>показателя</w:t>
      </w:r>
      <w:r w:rsidRPr="00D83669">
        <w:rPr>
          <w:rFonts w:ascii="Times New Roman" w:hAnsi="Times New Roman" w:cs="Times New Roman"/>
          <w:sz w:val="24"/>
          <w:szCs w:val="24"/>
        </w:rPr>
        <w:t>;</w:t>
      </w:r>
    </w:p>
    <w:p w14:paraId="5323C802" w14:textId="52DC49AF" w:rsidR="00961F7C" w:rsidRPr="00D83669" w:rsidRDefault="00961F7C" w:rsidP="00221EAC">
      <w:pPr>
        <w:pStyle w:val="ListParagraph"/>
        <w:numPr>
          <w:ilvl w:val="0"/>
          <w:numId w:val="16"/>
        </w:numPr>
        <w:tabs>
          <w:tab w:val="left" w:pos="810"/>
          <w:tab w:val="left" w:pos="1170"/>
        </w:tabs>
        <w:ind w:left="0" w:firstLine="810"/>
        <w:jc w:val="both"/>
        <w:rPr>
          <w:rFonts w:ascii="Times New Roman" w:hAnsi="Times New Roman" w:cs="Times New Roman"/>
          <w:sz w:val="24"/>
          <w:szCs w:val="24"/>
        </w:rPr>
      </w:pPr>
      <w:r w:rsidRPr="00D83669">
        <w:rPr>
          <w:rFonts w:ascii="Times New Roman" w:hAnsi="Times New Roman" w:cs="Times New Roman"/>
          <w:sz w:val="24"/>
          <w:szCs w:val="24"/>
        </w:rPr>
        <w:t xml:space="preserve">дефиниция на </w:t>
      </w:r>
      <w:r w:rsidR="00694C49" w:rsidRPr="00D83669">
        <w:rPr>
          <w:rFonts w:ascii="Times New Roman" w:hAnsi="Times New Roman" w:cs="Times New Roman"/>
          <w:sz w:val="24"/>
          <w:szCs w:val="24"/>
        </w:rPr>
        <w:t xml:space="preserve">показателя </w:t>
      </w:r>
      <w:r w:rsidR="004D3027" w:rsidRPr="00D83669">
        <w:rPr>
          <w:rFonts w:ascii="Times New Roman" w:hAnsi="Times New Roman" w:cs="Times New Roman"/>
          <w:sz w:val="24"/>
          <w:szCs w:val="24"/>
        </w:rPr>
        <w:t xml:space="preserve">– </w:t>
      </w:r>
      <w:r w:rsidR="00063767" w:rsidRPr="00D83669">
        <w:rPr>
          <w:rFonts w:ascii="Times New Roman" w:hAnsi="Times New Roman" w:cs="Times New Roman"/>
          <w:sz w:val="24"/>
          <w:szCs w:val="24"/>
        </w:rPr>
        <w:t xml:space="preserve">за </w:t>
      </w:r>
      <w:r w:rsidR="004D3027" w:rsidRPr="00D83669">
        <w:rPr>
          <w:rFonts w:ascii="Times New Roman" w:hAnsi="Times New Roman" w:cs="Times New Roman"/>
          <w:sz w:val="24"/>
          <w:szCs w:val="24"/>
        </w:rPr>
        <w:t xml:space="preserve">общите </w:t>
      </w:r>
      <w:r w:rsidR="00694C49" w:rsidRPr="00D83669">
        <w:rPr>
          <w:rFonts w:ascii="Times New Roman" w:hAnsi="Times New Roman" w:cs="Times New Roman"/>
          <w:sz w:val="24"/>
          <w:szCs w:val="24"/>
        </w:rPr>
        <w:t xml:space="preserve">показатели </w:t>
      </w:r>
      <w:r w:rsidR="004D3027" w:rsidRPr="00D83669">
        <w:rPr>
          <w:rFonts w:ascii="Times New Roman" w:hAnsi="Times New Roman" w:cs="Times New Roman"/>
          <w:sz w:val="24"/>
          <w:szCs w:val="24"/>
        </w:rPr>
        <w:t xml:space="preserve">в Програмата </w:t>
      </w:r>
      <w:r w:rsidR="00063767" w:rsidRPr="00D83669">
        <w:rPr>
          <w:rFonts w:ascii="Times New Roman" w:hAnsi="Times New Roman" w:cs="Times New Roman"/>
          <w:sz w:val="24"/>
          <w:szCs w:val="24"/>
        </w:rPr>
        <w:t>са взети предвид</w:t>
      </w:r>
      <w:r w:rsidR="004D3027" w:rsidRPr="00D83669">
        <w:rPr>
          <w:rFonts w:ascii="Times New Roman" w:hAnsi="Times New Roman" w:cs="Times New Roman"/>
          <w:sz w:val="24"/>
          <w:szCs w:val="24"/>
        </w:rPr>
        <w:t xml:space="preserve"> дефиници</w:t>
      </w:r>
      <w:r w:rsidR="00063767" w:rsidRPr="00D83669">
        <w:rPr>
          <w:rFonts w:ascii="Times New Roman" w:hAnsi="Times New Roman" w:cs="Times New Roman"/>
          <w:sz w:val="24"/>
          <w:szCs w:val="24"/>
        </w:rPr>
        <w:t>ите</w:t>
      </w:r>
      <w:r w:rsidR="0033769A" w:rsidRPr="00D83669">
        <w:rPr>
          <w:rFonts w:ascii="Times New Roman" w:hAnsi="Times New Roman" w:cs="Times New Roman"/>
          <w:sz w:val="24"/>
          <w:szCs w:val="24"/>
        </w:rPr>
        <w:t xml:space="preserve">, посочени в </w:t>
      </w:r>
      <w:r w:rsidR="00063767" w:rsidRPr="00D83669">
        <w:rPr>
          <w:rFonts w:ascii="Times New Roman" w:hAnsi="Times New Roman" w:cs="Times New Roman"/>
          <w:sz w:val="24"/>
          <w:szCs w:val="24"/>
        </w:rPr>
        <w:t xml:space="preserve">Приложение I на Регламент </w:t>
      </w:r>
      <w:bookmarkStart w:id="8" w:name="_Hlk100137701"/>
      <w:r w:rsidR="00063767" w:rsidRPr="00D83669">
        <w:rPr>
          <w:rFonts w:ascii="Times New Roman" w:hAnsi="Times New Roman" w:cs="Times New Roman"/>
          <w:sz w:val="24"/>
          <w:szCs w:val="24"/>
        </w:rPr>
        <w:t xml:space="preserve">(ЕС) </w:t>
      </w:r>
      <w:bookmarkEnd w:id="8"/>
      <w:r w:rsidR="00063767" w:rsidRPr="00D83669">
        <w:rPr>
          <w:rFonts w:ascii="Times New Roman" w:hAnsi="Times New Roman" w:cs="Times New Roman"/>
          <w:sz w:val="24"/>
          <w:szCs w:val="24"/>
        </w:rPr>
        <w:t>2021/1057 (ESF+ Common Indicators Toolbox)</w:t>
      </w:r>
      <w:r w:rsidR="003508FD" w:rsidRPr="00D83669">
        <w:rPr>
          <w:rFonts w:ascii="Times New Roman" w:hAnsi="Times New Roman" w:cs="Times New Roman"/>
          <w:sz w:val="24"/>
          <w:szCs w:val="24"/>
        </w:rPr>
        <w:t>;</w:t>
      </w:r>
    </w:p>
    <w:p w14:paraId="53ED4A74" w14:textId="77777777" w:rsidR="003508FD" w:rsidRPr="00D83669" w:rsidRDefault="003508FD" w:rsidP="00D3288C">
      <w:pPr>
        <w:pStyle w:val="ListParagraph"/>
        <w:numPr>
          <w:ilvl w:val="0"/>
          <w:numId w:val="16"/>
        </w:numPr>
        <w:jc w:val="both"/>
        <w:rPr>
          <w:rFonts w:ascii="Times New Roman" w:hAnsi="Times New Roman" w:cs="Times New Roman"/>
          <w:sz w:val="24"/>
          <w:szCs w:val="24"/>
        </w:rPr>
      </w:pPr>
      <w:r w:rsidRPr="00D83669">
        <w:rPr>
          <w:rFonts w:ascii="Times New Roman" w:hAnsi="Times New Roman" w:cs="Times New Roman"/>
          <w:sz w:val="24"/>
          <w:szCs w:val="24"/>
        </w:rPr>
        <w:t>целева стойност и методология за определянето й;</w:t>
      </w:r>
    </w:p>
    <w:p w14:paraId="34CB57F8" w14:textId="77777777" w:rsidR="003508FD" w:rsidRPr="00D83669" w:rsidRDefault="003508FD" w:rsidP="00D3288C">
      <w:pPr>
        <w:pStyle w:val="ListParagraph"/>
        <w:numPr>
          <w:ilvl w:val="0"/>
          <w:numId w:val="16"/>
        </w:numPr>
        <w:jc w:val="both"/>
        <w:rPr>
          <w:rFonts w:ascii="Times New Roman" w:hAnsi="Times New Roman" w:cs="Times New Roman"/>
          <w:sz w:val="24"/>
          <w:szCs w:val="24"/>
        </w:rPr>
      </w:pPr>
      <w:r w:rsidRPr="00D83669">
        <w:rPr>
          <w:rFonts w:ascii="Times New Roman" w:hAnsi="Times New Roman" w:cs="Times New Roman"/>
          <w:sz w:val="24"/>
          <w:szCs w:val="24"/>
        </w:rPr>
        <w:t>междинна цел/референтна стойност и методология за определянето й;</w:t>
      </w:r>
    </w:p>
    <w:p w14:paraId="7C9DA216" w14:textId="6803B136" w:rsidR="00221EAC" w:rsidRPr="00D83669" w:rsidRDefault="009F0ED4" w:rsidP="00221EAC">
      <w:pPr>
        <w:pStyle w:val="ListParagraph"/>
        <w:numPr>
          <w:ilvl w:val="0"/>
          <w:numId w:val="16"/>
        </w:numPr>
        <w:jc w:val="both"/>
        <w:rPr>
          <w:rFonts w:ascii="Times New Roman" w:hAnsi="Times New Roman" w:cs="Times New Roman"/>
          <w:sz w:val="24"/>
          <w:szCs w:val="24"/>
        </w:rPr>
      </w:pPr>
      <w:r w:rsidRPr="00D83669">
        <w:rPr>
          <w:rFonts w:ascii="Times New Roman" w:hAnsi="Times New Roman" w:cs="Times New Roman"/>
          <w:sz w:val="24"/>
          <w:szCs w:val="24"/>
        </w:rPr>
        <w:t xml:space="preserve">обосновка за избора на </w:t>
      </w:r>
      <w:r w:rsidR="001145D5" w:rsidRPr="00D83669">
        <w:rPr>
          <w:rFonts w:ascii="Times New Roman" w:hAnsi="Times New Roman" w:cs="Times New Roman"/>
          <w:sz w:val="24"/>
          <w:szCs w:val="24"/>
        </w:rPr>
        <w:t>показателя</w:t>
      </w:r>
      <w:r w:rsidRPr="00D83669">
        <w:rPr>
          <w:rFonts w:ascii="Times New Roman" w:hAnsi="Times New Roman" w:cs="Times New Roman"/>
          <w:sz w:val="24"/>
          <w:szCs w:val="24"/>
        </w:rPr>
        <w:t>;</w:t>
      </w:r>
    </w:p>
    <w:p w14:paraId="5ECF0D9F" w14:textId="0E6610C2" w:rsidR="003508FD" w:rsidRPr="00D83669" w:rsidRDefault="00CA5981" w:rsidP="00221EAC">
      <w:pPr>
        <w:pStyle w:val="ListParagraph"/>
        <w:numPr>
          <w:ilvl w:val="0"/>
          <w:numId w:val="16"/>
        </w:numPr>
        <w:tabs>
          <w:tab w:val="left" w:pos="1170"/>
        </w:tabs>
        <w:ind w:left="0" w:firstLine="810"/>
        <w:jc w:val="both"/>
        <w:rPr>
          <w:rFonts w:ascii="Times New Roman" w:hAnsi="Times New Roman" w:cs="Times New Roman"/>
          <w:sz w:val="24"/>
          <w:szCs w:val="24"/>
        </w:rPr>
      </w:pPr>
      <w:r w:rsidRPr="00D83669">
        <w:rPr>
          <w:rFonts w:ascii="Times New Roman" w:hAnsi="Times New Roman" w:cs="Times New Roman"/>
          <w:sz w:val="24"/>
          <w:szCs w:val="24"/>
        </w:rPr>
        <w:t xml:space="preserve">начин на </w:t>
      </w:r>
      <w:r w:rsidR="009F0ED4" w:rsidRPr="00D83669">
        <w:rPr>
          <w:rFonts w:ascii="Times New Roman" w:hAnsi="Times New Roman" w:cs="Times New Roman"/>
          <w:sz w:val="24"/>
          <w:szCs w:val="24"/>
        </w:rPr>
        <w:t xml:space="preserve">събиране и </w:t>
      </w:r>
      <w:r w:rsidRPr="00D83669">
        <w:rPr>
          <w:rFonts w:ascii="Times New Roman" w:hAnsi="Times New Roman" w:cs="Times New Roman"/>
          <w:sz w:val="24"/>
          <w:szCs w:val="24"/>
        </w:rPr>
        <w:t>отчитане</w:t>
      </w:r>
      <w:r w:rsidR="009F0ED4" w:rsidRPr="00D83669">
        <w:rPr>
          <w:rFonts w:ascii="Times New Roman" w:hAnsi="Times New Roman" w:cs="Times New Roman"/>
          <w:sz w:val="24"/>
          <w:szCs w:val="24"/>
        </w:rPr>
        <w:t xml:space="preserve"> на данните (методология за събиране на данните) и честота на докладване на данните;</w:t>
      </w:r>
    </w:p>
    <w:p w14:paraId="69B096BE" w14:textId="41CCDA60" w:rsidR="009F0ED4" w:rsidRPr="00D83669" w:rsidRDefault="009F0ED4" w:rsidP="0021459A">
      <w:pPr>
        <w:pStyle w:val="ListParagraph"/>
        <w:numPr>
          <w:ilvl w:val="0"/>
          <w:numId w:val="16"/>
        </w:numPr>
        <w:tabs>
          <w:tab w:val="left" w:pos="1170"/>
        </w:tabs>
        <w:ind w:left="0" w:firstLine="810"/>
        <w:jc w:val="both"/>
        <w:rPr>
          <w:rFonts w:ascii="Times New Roman" w:hAnsi="Times New Roman" w:cs="Times New Roman"/>
          <w:sz w:val="24"/>
          <w:szCs w:val="24"/>
        </w:rPr>
      </w:pPr>
      <w:r w:rsidRPr="00D83669">
        <w:rPr>
          <w:rFonts w:ascii="Times New Roman" w:hAnsi="Times New Roman" w:cs="Times New Roman"/>
          <w:sz w:val="24"/>
          <w:szCs w:val="24"/>
        </w:rPr>
        <w:t>връзка на</w:t>
      </w:r>
      <w:r w:rsidR="001145D5" w:rsidRPr="00D83669">
        <w:rPr>
          <w:rFonts w:ascii="Times New Roman" w:hAnsi="Times New Roman" w:cs="Times New Roman"/>
          <w:sz w:val="24"/>
          <w:szCs w:val="24"/>
        </w:rPr>
        <w:t xml:space="preserve"> показателя</w:t>
      </w:r>
      <w:r w:rsidRPr="00D83669">
        <w:rPr>
          <w:rFonts w:ascii="Times New Roman" w:hAnsi="Times New Roman" w:cs="Times New Roman"/>
          <w:sz w:val="24"/>
          <w:szCs w:val="24"/>
        </w:rPr>
        <w:t xml:space="preserve"> с други </w:t>
      </w:r>
      <w:r w:rsidR="001145D5" w:rsidRPr="00D83669">
        <w:rPr>
          <w:rFonts w:ascii="Times New Roman" w:hAnsi="Times New Roman" w:cs="Times New Roman"/>
          <w:sz w:val="24"/>
          <w:szCs w:val="24"/>
        </w:rPr>
        <w:t xml:space="preserve">показатели </w:t>
      </w:r>
      <w:r w:rsidRPr="00D83669">
        <w:rPr>
          <w:rFonts w:ascii="Times New Roman" w:hAnsi="Times New Roman" w:cs="Times New Roman"/>
          <w:sz w:val="24"/>
          <w:szCs w:val="24"/>
        </w:rPr>
        <w:t>по същия приоритет/ специфична цел на Програмата</w:t>
      </w:r>
      <w:r w:rsidR="00546D51" w:rsidRPr="00D83669">
        <w:rPr>
          <w:rFonts w:ascii="Times New Roman" w:hAnsi="Times New Roman" w:cs="Times New Roman"/>
          <w:sz w:val="24"/>
          <w:szCs w:val="24"/>
        </w:rPr>
        <w:t xml:space="preserve"> –</w:t>
      </w:r>
      <w:r w:rsidR="00366A4D" w:rsidRPr="00D83669">
        <w:rPr>
          <w:rFonts w:ascii="Times New Roman" w:hAnsi="Times New Roman" w:cs="Times New Roman"/>
          <w:sz w:val="24"/>
          <w:szCs w:val="24"/>
        </w:rPr>
        <w:t xml:space="preserve"> отразява пряката и косвената връзка на съответния </w:t>
      </w:r>
      <w:r w:rsidR="001145D5" w:rsidRPr="00D83669">
        <w:rPr>
          <w:rFonts w:ascii="Times New Roman" w:hAnsi="Times New Roman" w:cs="Times New Roman"/>
          <w:sz w:val="24"/>
          <w:szCs w:val="24"/>
        </w:rPr>
        <w:t xml:space="preserve">показател </w:t>
      </w:r>
      <w:r w:rsidR="00366A4D" w:rsidRPr="00D83669">
        <w:rPr>
          <w:rFonts w:ascii="Times New Roman" w:hAnsi="Times New Roman" w:cs="Times New Roman"/>
          <w:sz w:val="24"/>
          <w:szCs w:val="24"/>
        </w:rPr>
        <w:t xml:space="preserve">с други </w:t>
      </w:r>
      <w:r w:rsidR="001145D5" w:rsidRPr="00D83669">
        <w:rPr>
          <w:rFonts w:ascii="Times New Roman" w:hAnsi="Times New Roman" w:cs="Times New Roman"/>
          <w:sz w:val="24"/>
          <w:szCs w:val="24"/>
        </w:rPr>
        <w:t xml:space="preserve">показатели </w:t>
      </w:r>
      <w:r w:rsidR="00366A4D" w:rsidRPr="00D83669">
        <w:rPr>
          <w:rFonts w:ascii="Times New Roman" w:hAnsi="Times New Roman" w:cs="Times New Roman"/>
          <w:sz w:val="24"/>
          <w:szCs w:val="24"/>
        </w:rPr>
        <w:t>за</w:t>
      </w:r>
      <w:r w:rsidR="001145D5" w:rsidRPr="00D83669">
        <w:rPr>
          <w:rFonts w:ascii="Times New Roman" w:hAnsi="Times New Roman" w:cs="Times New Roman"/>
          <w:sz w:val="24"/>
          <w:szCs w:val="24"/>
        </w:rPr>
        <w:t xml:space="preserve"> краен</w:t>
      </w:r>
      <w:r w:rsidR="00366A4D" w:rsidRPr="00D83669">
        <w:rPr>
          <w:rFonts w:ascii="Times New Roman" w:hAnsi="Times New Roman" w:cs="Times New Roman"/>
          <w:sz w:val="24"/>
          <w:szCs w:val="24"/>
        </w:rPr>
        <w:t xml:space="preserve"> продукт и за резултат по същия приоритет/специфична цел</w:t>
      </w:r>
      <w:r w:rsidRPr="00D83669">
        <w:rPr>
          <w:rFonts w:ascii="Times New Roman" w:hAnsi="Times New Roman" w:cs="Times New Roman"/>
          <w:sz w:val="24"/>
          <w:szCs w:val="24"/>
        </w:rPr>
        <w:t>;</w:t>
      </w:r>
    </w:p>
    <w:p w14:paraId="3A7C5444" w14:textId="6AE2692B" w:rsidR="009F0ED4" w:rsidRPr="00D83669" w:rsidRDefault="00D270D0" w:rsidP="00221EAC">
      <w:pPr>
        <w:pStyle w:val="ListParagraph"/>
        <w:numPr>
          <w:ilvl w:val="0"/>
          <w:numId w:val="16"/>
        </w:numPr>
        <w:tabs>
          <w:tab w:val="left" w:pos="1170"/>
        </w:tabs>
        <w:ind w:left="0" w:firstLine="810"/>
        <w:jc w:val="both"/>
        <w:rPr>
          <w:rFonts w:ascii="Times New Roman" w:hAnsi="Times New Roman" w:cs="Times New Roman"/>
          <w:sz w:val="24"/>
          <w:szCs w:val="24"/>
        </w:rPr>
      </w:pPr>
      <w:r w:rsidRPr="00D83669">
        <w:rPr>
          <w:rFonts w:ascii="Times New Roman" w:hAnsi="Times New Roman" w:cs="Times New Roman"/>
          <w:sz w:val="24"/>
          <w:szCs w:val="24"/>
        </w:rPr>
        <w:t xml:space="preserve">информация за валидиране на целевата стойност на </w:t>
      </w:r>
      <w:r w:rsidR="001145D5" w:rsidRPr="00D83669">
        <w:rPr>
          <w:rFonts w:ascii="Times New Roman" w:hAnsi="Times New Roman" w:cs="Times New Roman"/>
          <w:sz w:val="24"/>
          <w:szCs w:val="24"/>
        </w:rPr>
        <w:t>показателя</w:t>
      </w:r>
      <w:r w:rsidRPr="00D83669">
        <w:rPr>
          <w:rFonts w:ascii="Times New Roman" w:hAnsi="Times New Roman" w:cs="Times New Roman"/>
          <w:sz w:val="24"/>
          <w:szCs w:val="24"/>
        </w:rPr>
        <w:t xml:space="preserve"> с оглед </w:t>
      </w:r>
      <w:r w:rsidR="00B474A7" w:rsidRPr="00D83669">
        <w:rPr>
          <w:rFonts w:ascii="Times New Roman" w:hAnsi="Times New Roman" w:cs="Times New Roman"/>
          <w:sz w:val="24"/>
          <w:szCs w:val="24"/>
        </w:rPr>
        <w:t>гарантиране на коректността на докладваните данни.</w:t>
      </w:r>
    </w:p>
    <w:p w14:paraId="4539E65F" w14:textId="68B6DD8F" w:rsidR="006F2CC0" w:rsidRPr="00D83669" w:rsidRDefault="006F2CC0" w:rsidP="006F2CC0">
      <w:pPr>
        <w:tabs>
          <w:tab w:val="left" w:pos="450"/>
        </w:tabs>
        <w:jc w:val="both"/>
        <w:rPr>
          <w:rFonts w:ascii="Times New Roman" w:hAnsi="Times New Roman" w:cs="Times New Roman"/>
          <w:b/>
          <w:bCs/>
          <w:i/>
          <w:iCs/>
          <w:sz w:val="24"/>
          <w:szCs w:val="24"/>
        </w:rPr>
      </w:pPr>
      <w:r w:rsidRPr="00D83669">
        <w:rPr>
          <w:rFonts w:ascii="Times New Roman" w:hAnsi="Times New Roman" w:cs="Times New Roman"/>
          <w:sz w:val="24"/>
          <w:szCs w:val="24"/>
        </w:rPr>
        <w:tab/>
      </w:r>
      <w:r w:rsidR="00E43281" w:rsidRPr="00D83669">
        <w:rPr>
          <w:rFonts w:ascii="Times New Roman" w:hAnsi="Times New Roman" w:cs="Times New Roman"/>
          <w:b/>
          <w:bCs/>
          <w:sz w:val="24"/>
          <w:szCs w:val="24"/>
        </w:rPr>
        <w:t>Отразява</w:t>
      </w:r>
      <w:r w:rsidR="00B03C95" w:rsidRPr="00D83669">
        <w:rPr>
          <w:rFonts w:ascii="Times New Roman" w:hAnsi="Times New Roman" w:cs="Times New Roman"/>
          <w:b/>
          <w:bCs/>
          <w:sz w:val="24"/>
          <w:szCs w:val="24"/>
        </w:rPr>
        <w:t xml:space="preserve">не на крайните данни за показателите за краен продукт и за резултат </w:t>
      </w:r>
      <w:r w:rsidRPr="00D83669">
        <w:rPr>
          <w:rFonts w:ascii="Times New Roman" w:hAnsi="Times New Roman" w:cs="Times New Roman"/>
          <w:b/>
          <w:bCs/>
          <w:sz w:val="24"/>
          <w:szCs w:val="24"/>
        </w:rPr>
        <w:t>на</w:t>
      </w:r>
      <w:r w:rsidR="00B03C95" w:rsidRPr="00D83669">
        <w:rPr>
          <w:rFonts w:ascii="Times New Roman" w:hAnsi="Times New Roman" w:cs="Times New Roman"/>
          <w:b/>
          <w:bCs/>
          <w:sz w:val="24"/>
          <w:szCs w:val="24"/>
        </w:rPr>
        <w:t xml:space="preserve"> Програма „Образование“ 2021- 2027 г.</w:t>
      </w:r>
      <w:r w:rsidRPr="00D83669">
        <w:rPr>
          <w:rFonts w:ascii="Times New Roman" w:hAnsi="Times New Roman" w:cs="Times New Roman"/>
          <w:b/>
          <w:bCs/>
          <w:sz w:val="24"/>
          <w:szCs w:val="24"/>
        </w:rPr>
        <w:t xml:space="preserve"> в </w:t>
      </w:r>
      <w:r w:rsidRPr="00D83669">
        <w:rPr>
          <w:rFonts w:ascii="Times New Roman" w:hAnsi="Times New Roman" w:cs="Times New Roman"/>
          <w:b/>
          <w:bCs/>
          <w:i/>
          <w:iCs/>
          <w:sz w:val="24"/>
          <w:szCs w:val="24"/>
          <w:lang w:val="en-US"/>
        </w:rPr>
        <w:t>SFC</w:t>
      </w:r>
      <w:r w:rsidRPr="00D83669">
        <w:rPr>
          <w:rFonts w:ascii="Times New Roman" w:hAnsi="Times New Roman" w:cs="Times New Roman"/>
          <w:b/>
          <w:bCs/>
          <w:i/>
          <w:iCs/>
          <w:sz w:val="24"/>
          <w:szCs w:val="24"/>
        </w:rPr>
        <w:t xml:space="preserve"> 2021</w:t>
      </w:r>
      <w:r w:rsidR="00F25ADF" w:rsidRPr="00D83669">
        <w:rPr>
          <w:rFonts w:ascii="Times New Roman" w:hAnsi="Times New Roman" w:cs="Times New Roman"/>
          <w:b/>
          <w:bCs/>
          <w:sz w:val="24"/>
          <w:szCs w:val="24"/>
        </w:rPr>
        <w:t>:</w:t>
      </w:r>
    </w:p>
    <w:p w14:paraId="50D95DFD" w14:textId="5B6D8E4F" w:rsidR="005A3381" w:rsidRPr="00D83669" w:rsidRDefault="0092792D" w:rsidP="00D3288C">
      <w:pPr>
        <w:jc w:val="both"/>
        <w:rPr>
          <w:rFonts w:ascii="Times New Roman" w:hAnsi="Times New Roman" w:cs="Times New Roman"/>
          <w:sz w:val="24"/>
          <w:szCs w:val="24"/>
        </w:rPr>
      </w:pPr>
      <w:r w:rsidRPr="00D83669">
        <w:rPr>
          <w:rFonts w:ascii="Times New Roman" w:hAnsi="Times New Roman" w:cs="Times New Roman"/>
          <w:sz w:val="24"/>
          <w:szCs w:val="24"/>
        </w:rPr>
        <w:t xml:space="preserve">Крайните данни за показателите на Програмата са въведени в </w:t>
      </w:r>
      <w:r w:rsidRPr="00D83669">
        <w:rPr>
          <w:rFonts w:ascii="Times New Roman" w:hAnsi="Times New Roman" w:cs="Times New Roman"/>
          <w:sz w:val="24"/>
          <w:szCs w:val="24"/>
          <w:lang w:val="en-US"/>
        </w:rPr>
        <w:t>SFC</w:t>
      </w:r>
      <w:r w:rsidRPr="00D83669">
        <w:rPr>
          <w:rFonts w:ascii="Times New Roman" w:hAnsi="Times New Roman" w:cs="Times New Roman"/>
          <w:sz w:val="24"/>
          <w:szCs w:val="24"/>
        </w:rPr>
        <w:t xml:space="preserve"> 2021 съобразно </w:t>
      </w:r>
      <w:r w:rsidR="00EF1C6A" w:rsidRPr="00D83669">
        <w:rPr>
          <w:rFonts w:ascii="Times New Roman" w:hAnsi="Times New Roman" w:cs="Times New Roman"/>
          <w:sz w:val="24"/>
          <w:szCs w:val="24"/>
        </w:rPr>
        <w:t xml:space="preserve">функционалностите на </w:t>
      </w:r>
      <w:r w:rsidRPr="00D83669">
        <w:rPr>
          <w:rFonts w:ascii="Times New Roman" w:hAnsi="Times New Roman" w:cs="Times New Roman"/>
          <w:sz w:val="24"/>
          <w:szCs w:val="24"/>
        </w:rPr>
        <w:t>сис</w:t>
      </w:r>
      <w:r w:rsidR="00B36D88" w:rsidRPr="00D83669">
        <w:rPr>
          <w:rFonts w:ascii="Times New Roman" w:hAnsi="Times New Roman" w:cs="Times New Roman"/>
          <w:sz w:val="24"/>
          <w:szCs w:val="24"/>
        </w:rPr>
        <w:t>т</w:t>
      </w:r>
      <w:r w:rsidRPr="00D83669">
        <w:rPr>
          <w:rFonts w:ascii="Times New Roman" w:hAnsi="Times New Roman" w:cs="Times New Roman"/>
          <w:sz w:val="24"/>
          <w:szCs w:val="24"/>
        </w:rPr>
        <w:t>е</w:t>
      </w:r>
      <w:r w:rsidR="00B36D88" w:rsidRPr="00D83669">
        <w:rPr>
          <w:rFonts w:ascii="Times New Roman" w:hAnsi="Times New Roman" w:cs="Times New Roman"/>
          <w:sz w:val="24"/>
          <w:szCs w:val="24"/>
        </w:rPr>
        <w:t>мат</w:t>
      </w:r>
      <w:r w:rsidR="00244926" w:rsidRPr="00D83669">
        <w:rPr>
          <w:rFonts w:ascii="Times New Roman" w:hAnsi="Times New Roman" w:cs="Times New Roman"/>
          <w:sz w:val="24"/>
          <w:szCs w:val="24"/>
        </w:rPr>
        <w:t>а</w:t>
      </w:r>
      <w:r w:rsidR="00476E9E" w:rsidRPr="00D83669">
        <w:rPr>
          <w:rFonts w:ascii="Times New Roman" w:hAnsi="Times New Roman" w:cs="Times New Roman"/>
          <w:sz w:val="24"/>
          <w:szCs w:val="24"/>
        </w:rPr>
        <w:t>. С</w:t>
      </w:r>
      <w:r w:rsidR="002D576E" w:rsidRPr="00D83669">
        <w:rPr>
          <w:rFonts w:ascii="Times New Roman" w:hAnsi="Times New Roman" w:cs="Times New Roman"/>
          <w:sz w:val="24"/>
          <w:szCs w:val="24"/>
        </w:rPr>
        <w:t xml:space="preserve"> оглед </w:t>
      </w:r>
      <w:r w:rsidR="00476E9E" w:rsidRPr="00D83669">
        <w:rPr>
          <w:rFonts w:ascii="Times New Roman" w:hAnsi="Times New Roman" w:cs="Times New Roman"/>
          <w:sz w:val="24"/>
          <w:szCs w:val="24"/>
        </w:rPr>
        <w:t>проследяване</w:t>
      </w:r>
      <w:r w:rsidR="002D576E" w:rsidRPr="00D83669">
        <w:rPr>
          <w:rFonts w:ascii="Times New Roman" w:hAnsi="Times New Roman" w:cs="Times New Roman"/>
          <w:sz w:val="24"/>
          <w:szCs w:val="24"/>
        </w:rPr>
        <w:t xml:space="preserve"> на </w:t>
      </w:r>
      <w:r w:rsidR="005A3381" w:rsidRPr="00D83669">
        <w:rPr>
          <w:rFonts w:ascii="Times New Roman" w:hAnsi="Times New Roman" w:cs="Times New Roman"/>
          <w:sz w:val="24"/>
          <w:szCs w:val="24"/>
        </w:rPr>
        <w:t xml:space="preserve">пряка </w:t>
      </w:r>
      <w:r w:rsidR="002D576E" w:rsidRPr="00D83669">
        <w:rPr>
          <w:rFonts w:ascii="Times New Roman" w:hAnsi="Times New Roman" w:cs="Times New Roman"/>
          <w:sz w:val="24"/>
          <w:szCs w:val="24"/>
        </w:rPr>
        <w:t xml:space="preserve">връзка между </w:t>
      </w:r>
      <w:r w:rsidR="002D576E" w:rsidRPr="00D83669">
        <w:rPr>
          <w:rFonts w:ascii="Times New Roman" w:hAnsi="Times New Roman" w:cs="Times New Roman"/>
          <w:sz w:val="24"/>
          <w:szCs w:val="24"/>
        </w:rPr>
        <w:lastRenderedPageBreak/>
        <w:t>показателите за краен продукт и показателите за резултат</w:t>
      </w:r>
      <w:r w:rsidR="00476E9E" w:rsidRPr="00D83669">
        <w:rPr>
          <w:rFonts w:ascii="Times New Roman" w:hAnsi="Times New Roman" w:cs="Times New Roman"/>
          <w:sz w:val="24"/>
          <w:szCs w:val="24"/>
        </w:rPr>
        <w:t>, в общия случай</w:t>
      </w:r>
      <w:r w:rsidR="00B36D88" w:rsidRPr="00D83669">
        <w:rPr>
          <w:rFonts w:ascii="Times New Roman" w:hAnsi="Times New Roman" w:cs="Times New Roman"/>
          <w:sz w:val="24"/>
          <w:szCs w:val="24"/>
        </w:rPr>
        <w:t xml:space="preserve"> </w:t>
      </w:r>
      <w:r w:rsidR="00EF1C6A" w:rsidRPr="00D83669">
        <w:rPr>
          <w:rFonts w:ascii="Times New Roman" w:hAnsi="Times New Roman" w:cs="Times New Roman"/>
          <w:sz w:val="24"/>
          <w:szCs w:val="24"/>
        </w:rPr>
        <w:t xml:space="preserve"> един </w:t>
      </w:r>
      <w:r w:rsidR="001145D5" w:rsidRPr="00D83669">
        <w:rPr>
          <w:rFonts w:ascii="Times New Roman" w:hAnsi="Times New Roman" w:cs="Times New Roman"/>
          <w:sz w:val="24"/>
          <w:szCs w:val="24"/>
        </w:rPr>
        <w:t>показател</w:t>
      </w:r>
      <w:r w:rsidR="00EF1C6A" w:rsidRPr="00D83669">
        <w:rPr>
          <w:rFonts w:ascii="Times New Roman" w:hAnsi="Times New Roman" w:cs="Times New Roman"/>
          <w:sz w:val="24"/>
          <w:szCs w:val="24"/>
        </w:rPr>
        <w:t xml:space="preserve"> за </w:t>
      </w:r>
      <w:r w:rsidR="001145D5" w:rsidRPr="00D83669">
        <w:rPr>
          <w:rFonts w:ascii="Times New Roman" w:hAnsi="Times New Roman" w:cs="Times New Roman"/>
          <w:sz w:val="24"/>
          <w:szCs w:val="24"/>
        </w:rPr>
        <w:t>краен продукт</w:t>
      </w:r>
      <w:r w:rsidR="00EF1C6A" w:rsidRPr="00D83669">
        <w:rPr>
          <w:rFonts w:ascii="Times New Roman" w:hAnsi="Times New Roman" w:cs="Times New Roman"/>
          <w:sz w:val="24"/>
          <w:szCs w:val="24"/>
        </w:rPr>
        <w:t xml:space="preserve"> е свързан с един </w:t>
      </w:r>
      <w:r w:rsidR="001145D5" w:rsidRPr="00D83669">
        <w:rPr>
          <w:rFonts w:ascii="Times New Roman" w:hAnsi="Times New Roman" w:cs="Times New Roman"/>
          <w:sz w:val="24"/>
          <w:szCs w:val="24"/>
        </w:rPr>
        <w:t>показател</w:t>
      </w:r>
      <w:r w:rsidR="00EF1C6A" w:rsidRPr="00D83669">
        <w:rPr>
          <w:rFonts w:ascii="Times New Roman" w:hAnsi="Times New Roman" w:cs="Times New Roman"/>
          <w:sz w:val="24"/>
          <w:szCs w:val="24"/>
        </w:rPr>
        <w:t xml:space="preserve"> за резултат. </w:t>
      </w:r>
    </w:p>
    <w:p w14:paraId="2C0951DB" w14:textId="4923EAB9" w:rsidR="00C2755C" w:rsidRPr="00D83669" w:rsidRDefault="005A3381" w:rsidP="00D3288C">
      <w:pPr>
        <w:jc w:val="both"/>
        <w:rPr>
          <w:rFonts w:ascii="Times New Roman" w:hAnsi="Times New Roman" w:cs="Times New Roman"/>
          <w:sz w:val="24"/>
          <w:szCs w:val="24"/>
        </w:rPr>
      </w:pPr>
      <w:r w:rsidRPr="00D83669">
        <w:rPr>
          <w:rFonts w:ascii="Times New Roman" w:hAnsi="Times New Roman" w:cs="Times New Roman"/>
          <w:sz w:val="24"/>
          <w:szCs w:val="24"/>
        </w:rPr>
        <w:t xml:space="preserve">Когато един </w:t>
      </w:r>
      <w:r w:rsidR="001145D5" w:rsidRPr="00D83669">
        <w:rPr>
          <w:rFonts w:ascii="Times New Roman" w:hAnsi="Times New Roman" w:cs="Times New Roman"/>
          <w:sz w:val="24"/>
          <w:szCs w:val="24"/>
        </w:rPr>
        <w:t>показател</w:t>
      </w:r>
      <w:r w:rsidR="00EF1C6A" w:rsidRPr="00D83669">
        <w:rPr>
          <w:rFonts w:ascii="Times New Roman" w:hAnsi="Times New Roman" w:cs="Times New Roman"/>
          <w:sz w:val="24"/>
          <w:szCs w:val="24"/>
        </w:rPr>
        <w:t xml:space="preserve"> за резултат е пряко свързан с повече от един </w:t>
      </w:r>
      <w:r w:rsidR="001145D5" w:rsidRPr="00D83669">
        <w:rPr>
          <w:rFonts w:ascii="Times New Roman" w:hAnsi="Times New Roman" w:cs="Times New Roman"/>
          <w:sz w:val="24"/>
          <w:szCs w:val="24"/>
        </w:rPr>
        <w:t>показател</w:t>
      </w:r>
      <w:r w:rsidR="00EF1C6A" w:rsidRPr="00D83669">
        <w:rPr>
          <w:rFonts w:ascii="Times New Roman" w:hAnsi="Times New Roman" w:cs="Times New Roman"/>
          <w:sz w:val="24"/>
          <w:szCs w:val="24"/>
        </w:rPr>
        <w:t xml:space="preserve"> за </w:t>
      </w:r>
      <w:r w:rsidR="001145D5" w:rsidRPr="00D83669">
        <w:rPr>
          <w:rFonts w:ascii="Times New Roman" w:hAnsi="Times New Roman" w:cs="Times New Roman"/>
          <w:sz w:val="24"/>
          <w:szCs w:val="24"/>
        </w:rPr>
        <w:t>краен продукт</w:t>
      </w:r>
      <w:r w:rsidR="00EF1C6A" w:rsidRPr="00D83669">
        <w:rPr>
          <w:rFonts w:ascii="Times New Roman" w:hAnsi="Times New Roman" w:cs="Times New Roman"/>
          <w:sz w:val="24"/>
          <w:szCs w:val="24"/>
        </w:rPr>
        <w:t xml:space="preserve">, в </w:t>
      </w:r>
      <w:r w:rsidR="00EF1C6A" w:rsidRPr="00D83669">
        <w:rPr>
          <w:rFonts w:ascii="Times New Roman" w:hAnsi="Times New Roman" w:cs="Times New Roman"/>
          <w:sz w:val="24"/>
          <w:szCs w:val="24"/>
          <w:lang w:val="en-GB"/>
        </w:rPr>
        <w:t>SFC</w:t>
      </w:r>
      <w:r w:rsidR="00EF1C6A" w:rsidRPr="00D83669">
        <w:rPr>
          <w:rFonts w:ascii="Times New Roman" w:hAnsi="Times New Roman" w:cs="Times New Roman"/>
          <w:sz w:val="24"/>
          <w:szCs w:val="24"/>
        </w:rPr>
        <w:t xml:space="preserve">2021 се създават отделни записи, за всеки от един от </w:t>
      </w:r>
      <w:r w:rsidR="001145D5" w:rsidRPr="00D83669">
        <w:rPr>
          <w:rFonts w:ascii="Times New Roman" w:hAnsi="Times New Roman" w:cs="Times New Roman"/>
          <w:sz w:val="24"/>
          <w:szCs w:val="24"/>
        </w:rPr>
        <w:t>показателите</w:t>
      </w:r>
      <w:r w:rsidR="0023333C" w:rsidRPr="00D83669">
        <w:rPr>
          <w:rFonts w:ascii="Times New Roman" w:hAnsi="Times New Roman" w:cs="Times New Roman"/>
          <w:sz w:val="24"/>
          <w:szCs w:val="24"/>
        </w:rPr>
        <w:t xml:space="preserve"> за краен продукт</w:t>
      </w:r>
      <w:r w:rsidR="00EF1C6A" w:rsidRPr="00D83669">
        <w:rPr>
          <w:rFonts w:ascii="Times New Roman" w:hAnsi="Times New Roman" w:cs="Times New Roman"/>
          <w:sz w:val="24"/>
          <w:szCs w:val="24"/>
        </w:rPr>
        <w:t xml:space="preserve">, които са свързани с </w:t>
      </w:r>
      <w:r w:rsidR="0023333C" w:rsidRPr="00D83669">
        <w:rPr>
          <w:rFonts w:ascii="Times New Roman" w:hAnsi="Times New Roman" w:cs="Times New Roman"/>
          <w:sz w:val="24"/>
          <w:szCs w:val="24"/>
        </w:rPr>
        <w:t>показателя</w:t>
      </w:r>
      <w:r w:rsidR="00EF1C6A" w:rsidRPr="00D83669">
        <w:rPr>
          <w:rFonts w:ascii="Times New Roman" w:hAnsi="Times New Roman" w:cs="Times New Roman"/>
          <w:sz w:val="24"/>
          <w:szCs w:val="24"/>
        </w:rPr>
        <w:t xml:space="preserve"> за резултат</w:t>
      </w:r>
      <w:r w:rsidR="00B82F5C" w:rsidRPr="00D83669">
        <w:rPr>
          <w:rFonts w:ascii="Times New Roman" w:hAnsi="Times New Roman" w:cs="Times New Roman"/>
          <w:sz w:val="24"/>
          <w:szCs w:val="24"/>
        </w:rPr>
        <w:t>,</w:t>
      </w:r>
      <w:r w:rsidR="00E17DF7" w:rsidRPr="00D83669">
        <w:rPr>
          <w:rFonts w:ascii="Times New Roman" w:hAnsi="Times New Roman" w:cs="Times New Roman"/>
          <w:sz w:val="24"/>
          <w:szCs w:val="24"/>
        </w:rPr>
        <w:t xml:space="preserve"> за </w:t>
      </w:r>
      <w:r w:rsidR="00B82F5C" w:rsidRPr="00D83669">
        <w:rPr>
          <w:rFonts w:ascii="Times New Roman" w:hAnsi="Times New Roman" w:cs="Times New Roman"/>
          <w:sz w:val="24"/>
          <w:szCs w:val="24"/>
        </w:rPr>
        <w:t>съответния</w:t>
      </w:r>
      <w:r w:rsidR="00E17DF7" w:rsidRPr="00D83669">
        <w:rPr>
          <w:rFonts w:ascii="Times New Roman" w:hAnsi="Times New Roman" w:cs="Times New Roman"/>
          <w:sz w:val="24"/>
          <w:szCs w:val="24"/>
        </w:rPr>
        <w:t xml:space="preserve"> регион</w:t>
      </w:r>
      <w:r w:rsidR="00EF1C6A" w:rsidRPr="00D83669">
        <w:rPr>
          <w:rFonts w:ascii="Times New Roman" w:hAnsi="Times New Roman" w:cs="Times New Roman"/>
          <w:sz w:val="24"/>
          <w:szCs w:val="24"/>
        </w:rPr>
        <w:t xml:space="preserve">. </w:t>
      </w:r>
    </w:p>
    <w:p w14:paraId="0A72EA0C" w14:textId="3E1A96D3" w:rsidR="00EF1C6A" w:rsidRPr="00D83669" w:rsidRDefault="00EF1C6A" w:rsidP="00D3288C">
      <w:pPr>
        <w:jc w:val="both"/>
        <w:rPr>
          <w:rFonts w:ascii="Times New Roman" w:hAnsi="Times New Roman" w:cs="Times New Roman"/>
          <w:sz w:val="24"/>
          <w:szCs w:val="24"/>
        </w:rPr>
      </w:pPr>
      <w:r w:rsidRPr="00D83669">
        <w:rPr>
          <w:rFonts w:ascii="Times New Roman" w:hAnsi="Times New Roman" w:cs="Times New Roman"/>
          <w:sz w:val="24"/>
          <w:szCs w:val="24"/>
        </w:rPr>
        <w:t>Например</w:t>
      </w:r>
      <w:r w:rsidR="00E60D5C" w:rsidRPr="00D83669">
        <w:rPr>
          <w:rFonts w:ascii="Times New Roman" w:hAnsi="Times New Roman" w:cs="Times New Roman"/>
          <w:sz w:val="24"/>
          <w:szCs w:val="24"/>
        </w:rPr>
        <w:t>:</w:t>
      </w:r>
      <w:r w:rsidRPr="00D83669">
        <w:rPr>
          <w:rFonts w:ascii="Times New Roman" w:hAnsi="Times New Roman" w:cs="Times New Roman"/>
          <w:sz w:val="24"/>
          <w:szCs w:val="24"/>
        </w:rPr>
        <w:t xml:space="preserve"> </w:t>
      </w:r>
      <w:r w:rsidR="00E60D5C" w:rsidRPr="00D83669">
        <w:rPr>
          <w:rFonts w:ascii="Times New Roman" w:hAnsi="Times New Roman" w:cs="Times New Roman"/>
          <w:sz w:val="24"/>
          <w:szCs w:val="24"/>
        </w:rPr>
        <w:t xml:space="preserve">В Приоритет 1 </w:t>
      </w:r>
      <w:r w:rsidR="0023333C" w:rsidRPr="00D83669">
        <w:rPr>
          <w:rFonts w:ascii="Times New Roman" w:hAnsi="Times New Roman" w:cs="Times New Roman"/>
          <w:sz w:val="24"/>
          <w:szCs w:val="24"/>
        </w:rPr>
        <w:t>показател</w:t>
      </w:r>
      <w:r w:rsidR="00E60D5C" w:rsidRPr="00D83669">
        <w:rPr>
          <w:rFonts w:ascii="Times New Roman" w:hAnsi="Times New Roman" w:cs="Times New Roman"/>
          <w:sz w:val="24"/>
          <w:szCs w:val="24"/>
        </w:rPr>
        <w:t xml:space="preserve"> за резултат SRI 1.2.</w:t>
      </w:r>
      <w:r w:rsidR="00E60D5C" w:rsidRPr="00D83669">
        <w:rPr>
          <w:rFonts w:ascii="Times New Roman" w:hAnsi="Times New Roman" w:cs="Times New Roman"/>
          <w:i/>
          <w:iCs/>
          <w:sz w:val="24"/>
          <w:szCs w:val="24"/>
        </w:rPr>
        <w:t>Брой деца и ученици от уязвими групи с подобрени образователни резултати след 1 година  участие в операцията</w:t>
      </w:r>
      <w:r w:rsidR="00E60D5C" w:rsidRPr="00D83669">
        <w:rPr>
          <w:rFonts w:ascii="Times New Roman" w:hAnsi="Times New Roman" w:cs="Times New Roman"/>
          <w:sz w:val="24"/>
          <w:szCs w:val="24"/>
        </w:rPr>
        <w:t xml:space="preserve"> е </w:t>
      </w:r>
      <w:r w:rsidR="005A3381" w:rsidRPr="00D83669">
        <w:rPr>
          <w:rFonts w:ascii="Times New Roman" w:hAnsi="Times New Roman" w:cs="Times New Roman"/>
          <w:sz w:val="24"/>
          <w:szCs w:val="24"/>
        </w:rPr>
        <w:t>пряко</w:t>
      </w:r>
      <w:r w:rsidR="00E60D5C" w:rsidRPr="00D83669">
        <w:rPr>
          <w:rFonts w:ascii="Times New Roman" w:hAnsi="Times New Roman" w:cs="Times New Roman"/>
          <w:sz w:val="24"/>
          <w:szCs w:val="24"/>
        </w:rPr>
        <w:t xml:space="preserve"> свързан с </w:t>
      </w:r>
      <w:r w:rsidR="0023333C" w:rsidRPr="00D83669">
        <w:rPr>
          <w:rFonts w:ascii="Times New Roman" w:hAnsi="Times New Roman" w:cs="Times New Roman"/>
          <w:sz w:val="24"/>
          <w:szCs w:val="24"/>
        </w:rPr>
        <w:t>показатели за краен продукт</w:t>
      </w:r>
      <w:r w:rsidR="00E60D5C" w:rsidRPr="00D83669">
        <w:rPr>
          <w:rFonts w:ascii="Times New Roman" w:hAnsi="Times New Roman" w:cs="Times New Roman"/>
          <w:sz w:val="24"/>
          <w:szCs w:val="24"/>
        </w:rPr>
        <w:t xml:space="preserve"> SOI 1.2.</w:t>
      </w:r>
      <w:r w:rsidR="00E60D5C" w:rsidRPr="00D83669">
        <w:rPr>
          <w:rFonts w:ascii="Times New Roman" w:hAnsi="Times New Roman" w:cs="Times New Roman"/>
          <w:i/>
          <w:iCs/>
          <w:sz w:val="24"/>
          <w:szCs w:val="24"/>
        </w:rPr>
        <w:t>Брой деца и ученици  със специални образователни потребности (СОП), в риск, с хронични заболявания и с изявени дарби</w:t>
      </w:r>
      <w:r w:rsidR="00E60D5C" w:rsidRPr="00D83669">
        <w:rPr>
          <w:rFonts w:ascii="Times New Roman" w:hAnsi="Times New Roman" w:cs="Times New Roman"/>
          <w:sz w:val="24"/>
          <w:szCs w:val="24"/>
        </w:rPr>
        <w:t xml:space="preserve"> и SOI 1.4. </w:t>
      </w:r>
      <w:r w:rsidR="00E60D5C" w:rsidRPr="00D83669">
        <w:rPr>
          <w:rFonts w:ascii="Times New Roman" w:hAnsi="Times New Roman" w:cs="Times New Roman"/>
          <w:i/>
          <w:iCs/>
          <w:sz w:val="24"/>
          <w:szCs w:val="24"/>
        </w:rPr>
        <w:t>Брой деца и ученици от предучилищното и училищното образование от уязвими групи, получили подкрепа</w:t>
      </w:r>
      <w:r w:rsidR="008A1000" w:rsidRPr="00D83669">
        <w:rPr>
          <w:rFonts w:ascii="Times New Roman" w:hAnsi="Times New Roman" w:cs="Times New Roman"/>
          <w:i/>
          <w:iCs/>
          <w:sz w:val="24"/>
          <w:szCs w:val="24"/>
        </w:rPr>
        <w:t>.</w:t>
      </w:r>
      <w:r w:rsidR="00E60D5C" w:rsidRPr="00D83669">
        <w:rPr>
          <w:rFonts w:ascii="Times New Roman" w:hAnsi="Times New Roman" w:cs="Times New Roman"/>
          <w:i/>
          <w:iCs/>
          <w:sz w:val="24"/>
          <w:szCs w:val="24"/>
        </w:rPr>
        <w:t xml:space="preserve"> </w:t>
      </w:r>
      <w:r w:rsidR="008A1000" w:rsidRPr="00D83669">
        <w:rPr>
          <w:rFonts w:ascii="Times New Roman" w:hAnsi="Times New Roman" w:cs="Times New Roman"/>
          <w:sz w:val="24"/>
          <w:szCs w:val="24"/>
        </w:rPr>
        <w:t xml:space="preserve">В </w:t>
      </w:r>
      <w:r w:rsidR="00E60D5C" w:rsidRPr="00D83669">
        <w:rPr>
          <w:rFonts w:ascii="Times New Roman" w:hAnsi="Times New Roman" w:cs="Times New Roman"/>
          <w:sz w:val="24"/>
          <w:szCs w:val="24"/>
          <w:lang w:val="en-GB"/>
        </w:rPr>
        <w:t>SFC</w:t>
      </w:r>
      <w:r w:rsidR="00E60D5C" w:rsidRPr="00D83669">
        <w:rPr>
          <w:rFonts w:ascii="Times New Roman" w:hAnsi="Times New Roman" w:cs="Times New Roman"/>
          <w:sz w:val="24"/>
          <w:szCs w:val="24"/>
        </w:rPr>
        <w:t xml:space="preserve">2021 </w:t>
      </w:r>
      <w:r w:rsidR="0023333C" w:rsidRPr="00D83669">
        <w:rPr>
          <w:rFonts w:ascii="Times New Roman" w:hAnsi="Times New Roman" w:cs="Times New Roman"/>
          <w:sz w:val="24"/>
          <w:szCs w:val="24"/>
        </w:rPr>
        <w:t>показателя</w:t>
      </w:r>
      <w:r w:rsidR="00A0718C" w:rsidRPr="00D83669">
        <w:rPr>
          <w:rFonts w:ascii="Times New Roman" w:hAnsi="Times New Roman" w:cs="Times New Roman"/>
          <w:sz w:val="24"/>
          <w:szCs w:val="24"/>
        </w:rPr>
        <w:t>т</w:t>
      </w:r>
      <w:r w:rsidR="00E60D5C" w:rsidRPr="00D83669">
        <w:rPr>
          <w:rFonts w:ascii="Times New Roman" w:hAnsi="Times New Roman" w:cs="Times New Roman"/>
          <w:sz w:val="24"/>
          <w:szCs w:val="24"/>
        </w:rPr>
        <w:t xml:space="preserve"> за резултат</w:t>
      </w:r>
      <w:r w:rsidR="00A0718C" w:rsidRPr="00D83669">
        <w:rPr>
          <w:rFonts w:ascii="Times New Roman" w:hAnsi="Times New Roman" w:cs="Times New Roman"/>
          <w:sz w:val="24"/>
          <w:szCs w:val="24"/>
        </w:rPr>
        <w:t xml:space="preserve"> е въведен</w:t>
      </w:r>
      <w:r w:rsidR="00E60D5C" w:rsidRPr="00D83669">
        <w:rPr>
          <w:rFonts w:ascii="Times New Roman" w:hAnsi="Times New Roman" w:cs="Times New Roman"/>
          <w:sz w:val="24"/>
          <w:szCs w:val="24"/>
        </w:rPr>
        <w:t xml:space="preserve"> </w:t>
      </w:r>
      <w:r w:rsidR="005C6B87" w:rsidRPr="00D83669">
        <w:rPr>
          <w:rFonts w:ascii="Times New Roman" w:hAnsi="Times New Roman" w:cs="Times New Roman"/>
          <w:sz w:val="24"/>
          <w:szCs w:val="24"/>
        </w:rPr>
        <w:t>четири</w:t>
      </w:r>
      <w:r w:rsidR="00E60D5C" w:rsidRPr="00D83669">
        <w:rPr>
          <w:rFonts w:ascii="Times New Roman" w:hAnsi="Times New Roman" w:cs="Times New Roman"/>
          <w:sz w:val="24"/>
          <w:szCs w:val="24"/>
        </w:rPr>
        <w:t xml:space="preserve"> пъти като се показва връзката към всеки от </w:t>
      </w:r>
      <w:r w:rsidR="0023333C" w:rsidRPr="00D83669">
        <w:rPr>
          <w:rFonts w:ascii="Times New Roman" w:hAnsi="Times New Roman" w:cs="Times New Roman"/>
          <w:sz w:val="24"/>
          <w:szCs w:val="24"/>
        </w:rPr>
        <w:t>показателите за краен продукт</w:t>
      </w:r>
      <w:r w:rsidR="00E60D5C" w:rsidRPr="00D83669">
        <w:rPr>
          <w:rFonts w:ascii="Times New Roman" w:hAnsi="Times New Roman" w:cs="Times New Roman"/>
          <w:sz w:val="24"/>
          <w:szCs w:val="24"/>
        </w:rPr>
        <w:t xml:space="preserve"> </w:t>
      </w:r>
      <w:r w:rsidR="005C6B87" w:rsidRPr="00D83669">
        <w:rPr>
          <w:rFonts w:ascii="Times New Roman" w:hAnsi="Times New Roman" w:cs="Times New Roman"/>
          <w:sz w:val="24"/>
          <w:szCs w:val="24"/>
        </w:rPr>
        <w:t>за съответния</w:t>
      </w:r>
      <w:r w:rsidR="00E60D5C" w:rsidRPr="00D83669">
        <w:rPr>
          <w:rFonts w:ascii="Times New Roman" w:hAnsi="Times New Roman" w:cs="Times New Roman"/>
          <w:sz w:val="24"/>
          <w:szCs w:val="24"/>
        </w:rPr>
        <w:t xml:space="preserve"> регион </w:t>
      </w:r>
      <w:r w:rsidR="005C6B87" w:rsidRPr="00D83669">
        <w:rPr>
          <w:rFonts w:ascii="Times New Roman" w:hAnsi="Times New Roman" w:cs="Times New Roman"/>
          <w:sz w:val="24"/>
          <w:szCs w:val="24"/>
        </w:rPr>
        <w:t>(регион</w:t>
      </w:r>
      <w:r w:rsidR="00B82F5C" w:rsidRPr="00D83669">
        <w:rPr>
          <w:rFonts w:ascii="Times New Roman" w:hAnsi="Times New Roman" w:cs="Times New Roman"/>
          <w:sz w:val="24"/>
          <w:szCs w:val="24"/>
        </w:rPr>
        <w:t>и</w:t>
      </w:r>
      <w:r w:rsidR="005C6B87" w:rsidRPr="00D83669">
        <w:rPr>
          <w:rFonts w:ascii="Times New Roman" w:hAnsi="Times New Roman" w:cs="Times New Roman"/>
          <w:sz w:val="24"/>
          <w:szCs w:val="24"/>
        </w:rPr>
        <w:t xml:space="preserve"> </w:t>
      </w:r>
      <w:r w:rsidR="00E60D5C" w:rsidRPr="00D83669">
        <w:rPr>
          <w:rFonts w:ascii="Times New Roman" w:hAnsi="Times New Roman" w:cs="Times New Roman"/>
          <w:sz w:val="24"/>
          <w:szCs w:val="24"/>
        </w:rPr>
        <w:t>в „Преход“ и „По-слабо развити региони“</w:t>
      </w:r>
      <w:r w:rsidR="005C6B87" w:rsidRPr="00D83669">
        <w:rPr>
          <w:rFonts w:ascii="Times New Roman" w:hAnsi="Times New Roman" w:cs="Times New Roman"/>
          <w:sz w:val="24"/>
          <w:szCs w:val="24"/>
        </w:rPr>
        <w:t>)</w:t>
      </w:r>
      <w:r w:rsidR="00E60D5C" w:rsidRPr="00D83669">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2268"/>
        <w:gridCol w:w="2268"/>
        <w:gridCol w:w="2269"/>
        <w:gridCol w:w="2269"/>
      </w:tblGrid>
      <w:tr w:rsidR="00E60D5C" w:rsidRPr="00D83669" w14:paraId="638E2507" w14:textId="77777777" w:rsidTr="00E60D5C">
        <w:tc>
          <w:tcPr>
            <w:tcW w:w="2268" w:type="dxa"/>
          </w:tcPr>
          <w:p w14:paraId="4AEA05CE" w14:textId="1D18E8EF" w:rsidR="00E60D5C" w:rsidRPr="00D83669" w:rsidRDefault="0023333C" w:rsidP="00D3288C">
            <w:pPr>
              <w:jc w:val="both"/>
              <w:rPr>
                <w:rFonts w:ascii="Times New Roman" w:hAnsi="Times New Roman" w:cs="Times New Roman"/>
                <w:sz w:val="24"/>
                <w:szCs w:val="24"/>
              </w:rPr>
            </w:pPr>
            <w:r w:rsidRPr="00D83669">
              <w:rPr>
                <w:rFonts w:ascii="Times New Roman" w:hAnsi="Times New Roman" w:cs="Times New Roman"/>
                <w:sz w:val="24"/>
                <w:szCs w:val="24"/>
              </w:rPr>
              <w:t>Показател за краен продукт</w:t>
            </w:r>
          </w:p>
        </w:tc>
        <w:tc>
          <w:tcPr>
            <w:tcW w:w="2268" w:type="dxa"/>
          </w:tcPr>
          <w:p w14:paraId="0EED95E4" w14:textId="5FACC8DA" w:rsidR="00E60D5C" w:rsidRPr="00D83669" w:rsidRDefault="0023333C" w:rsidP="00D3288C">
            <w:pPr>
              <w:jc w:val="both"/>
              <w:rPr>
                <w:rFonts w:ascii="Times New Roman" w:hAnsi="Times New Roman" w:cs="Times New Roman"/>
                <w:sz w:val="24"/>
                <w:szCs w:val="24"/>
              </w:rPr>
            </w:pPr>
            <w:r w:rsidRPr="00D83669">
              <w:rPr>
                <w:rFonts w:ascii="Times New Roman" w:hAnsi="Times New Roman" w:cs="Times New Roman"/>
                <w:sz w:val="24"/>
                <w:szCs w:val="24"/>
              </w:rPr>
              <w:t>Показател</w:t>
            </w:r>
            <w:r w:rsidR="00E60D5C" w:rsidRPr="00D83669">
              <w:rPr>
                <w:rFonts w:ascii="Times New Roman" w:hAnsi="Times New Roman" w:cs="Times New Roman"/>
                <w:sz w:val="24"/>
                <w:szCs w:val="24"/>
              </w:rPr>
              <w:t xml:space="preserve"> за резултат</w:t>
            </w:r>
          </w:p>
        </w:tc>
        <w:tc>
          <w:tcPr>
            <w:tcW w:w="2269" w:type="dxa"/>
          </w:tcPr>
          <w:p w14:paraId="4B9C0E70" w14:textId="3028FE3E" w:rsidR="00E60D5C"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Региони</w:t>
            </w:r>
          </w:p>
        </w:tc>
        <w:tc>
          <w:tcPr>
            <w:tcW w:w="2269" w:type="dxa"/>
          </w:tcPr>
          <w:p w14:paraId="3CE2CAE2" w14:textId="27F9E2F2" w:rsidR="00E60D5C"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Коментар:</w:t>
            </w:r>
          </w:p>
        </w:tc>
      </w:tr>
      <w:tr w:rsidR="00612F97" w:rsidRPr="00D83669" w14:paraId="10E3A346" w14:textId="77777777" w:rsidTr="00E60D5C">
        <w:tc>
          <w:tcPr>
            <w:tcW w:w="2268" w:type="dxa"/>
          </w:tcPr>
          <w:p w14:paraId="5F2F7115" w14:textId="622C51EC"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SOI 1.2.</w:t>
            </w:r>
          </w:p>
        </w:tc>
        <w:tc>
          <w:tcPr>
            <w:tcW w:w="2268" w:type="dxa"/>
          </w:tcPr>
          <w:p w14:paraId="3A120FEA" w14:textId="280ECD49"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SRI 1.2</w:t>
            </w:r>
          </w:p>
        </w:tc>
        <w:tc>
          <w:tcPr>
            <w:tcW w:w="2269" w:type="dxa"/>
          </w:tcPr>
          <w:p w14:paraId="61F96351" w14:textId="378C2520"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Преход</w:t>
            </w:r>
          </w:p>
        </w:tc>
        <w:tc>
          <w:tcPr>
            <w:tcW w:w="2269" w:type="dxa"/>
            <w:vMerge w:val="restart"/>
          </w:tcPr>
          <w:p w14:paraId="3763F610" w14:textId="1BE9F7C8"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0"/>
                <w:szCs w:val="20"/>
              </w:rPr>
              <w:t xml:space="preserve">Целевата стойност на </w:t>
            </w:r>
            <w:r w:rsidR="0023333C" w:rsidRPr="00D83669">
              <w:rPr>
                <w:rFonts w:ascii="Times New Roman" w:hAnsi="Times New Roman" w:cs="Times New Roman"/>
                <w:sz w:val="20"/>
                <w:szCs w:val="20"/>
              </w:rPr>
              <w:t>показателя</w:t>
            </w:r>
            <w:r w:rsidRPr="00D83669">
              <w:rPr>
                <w:rFonts w:ascii="Times New Roman" w:hAnsi="Times New Roman" w:cs="Times New Roman"/>
                <w:sz w:val="20"/>
                <w:szCs w:val="20"/>
              </w:rPr>
              <w:t xml:space="preserve"> за резултат се разделя пропорционално за съответния </w:t>
            </w:r>
            <w:r w:rsidR="0023333C" w:rsidRPr="00D83669">
              <w:rPr>
                <w:rFonts w:ascii="Times New Roman" w:hAnsi="Times New Roman" w:cs="Times New Roman"/>
                <w:sz w:val="20"/>
                <w:szCs w:val="20"/>
              </w:rPr>
              <w:t>показател</w:t>
            </w:r>
            <w:r w:rsidRPr="00D83669">
              <w:rPr>
                <w:rFonts w:ascii="Times New Roman" w:hAnsi="Times New Roman" w:cs="Times New Roman"/>
                <w:sz w:val="20"/>
                <w:szCs w:val="20"/>
              </w:rPr>
              <w:t xml:space="preserve"> за </w:t>
            </w:r>
            <w:r w:rsidR="00475A8F" w:rsidRPr="00D83669">
              <w:rPr>
                <w:rFonts w:ascii="Times New Roman" w:hAnsi="Times New Roman" w:cs="Times New Roman"/>
                <w:sz w:val="20"/>
                <w:szCs w:val="20"/>
              </w:rPr>
              <w:t>краен продукт</w:t>
            </w:r>
            <w:r w:rsidRPr="00D83669">
              <w:rPr>
                <w:rFonts w:ascii="Times New Roman" w:hAnsi="Times New Roman" w:cs="Times New Roman"/>
                <w:sz w:val="20"/>
                <w:szCs w:val="20"/>
              </w:rPr>
              <w:t xml:space="preserve"> и регион в „Преход“ и „По-слабо развити региони“.</w:t>
            </w:r>
          </w:p>
        </w:tc>
      </w:tr>
      <w:tr w:rsidR="00612F97" w:rsidRPr="00D83669" w14:paraId="6C532697" w14:textId="77777777" w:rsidTr="00E60D5C">
        <w:tc>
          <w:tcPr>
            <w:tcW w:w="2268" w:type="dxa"/>
          </w:tcPr>
          <w:p w14:paraId="07FB77A5" w14:textId="61C2320B"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SOI 1.2.</w:t>
            </w:r>
          </w:p>
        </w:tc>
        <w:tc>
          <w:tcPr>
            <w:tcW w:w="2268" w:type="dxa"/>
          </w:tcPr>
          <w:p w14:paraId="5529A5CB" w14:textId="5AE6222A"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SRI 1.2</w:t>
            </w:r>
          </w:p>
        </w:tc>
        <w:tc>
          <w:tcPr>
            <w:tcW w:w="2269" w:type="dxa"/>
          </w:tcPr>
          <w:p w14:paraId="39CA4712" w14:textId="257A2397"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По-слабо развити региони</w:t>
            </w:r>
          </w:p>
        </w:tc>
        <w:tc>
          <w:tcPr>
            <w:tcW w:w="2269" w:type="dxa"/>
            <w:vMerge/>
          </w:tcPr>
          <w:p w14:paraId="20154DB7" w14:textId="77777777" w:rsidR="00612F97" w:rsidRPr="00D83669" w:rsidRDefault="00612F97" w:rsidP="00D3288C">
            <w:pPr>
              <w:jc w:val="both"/>
              <w:rPr>
                <w:rFonts w:ascii="Times New Roman" w:hAnsi="Times New Roman" w:cs="Times New Roman"/>
                <w:sz w:val="24"/>
                <w:szCs w:val="24"/>
              </w:rPr>
            </w:pPr>
          </w:p>
        </w:tc>
      </w:tr>
      <w:tr w:rsidR="00612F97" w:rsidRPr="00D83669" w14:paraId="50D78CCB" w14:textId="77777777" w:rsidTr="00E60D5C">
        <w:tc>
          <w:tcPr>
            <w:tcW w:w="2268" w:type="dxa"/>
          </w:tcPr>
          <w:p w14:paraId="4CFC6923" w14:textId="22C0A3E8"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SOI 1.4.</w:t>
            </w:r>
          </w:p>
        </w:tc>
        <w:tc>
          <w:tcPr>
            <w:tcW w:w="2268" w:type="dxa"/>
          </w:tcPr>
          <w:p w14:paraId="0A5A4E57" w14:textId="49B98B63"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SRI 1.2</w:t>
            </w:r>
          </w:p>
        </w:tc>
        <w:tc>
          <w:tcPr>
            <w:tcW w:w="2269" w:type="dxa"/>
          </w:tcPr>
          <w:p w14:paraId="457C254A" w14:textId="6EE5AA36"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Преход</w:t>
            </w:r>
          </w:p>
        </w:tc>
        <w:tc>
          <w:tcPr>
            <w:tcW w:w="2269" w:type="dxa"/>
            <w:vMerge/>
          </w:tcPr>
          <w:p w14:paraId="46AF5EE0" w14:textId="77777777" w:rsidR="00612F97" w:rsidRPr="00D83669" w:rsidRDefault="00612F97" w:rsidP="00D3288C">
            <w:pPr>
              <w:jc w:val="both"/>
              <w:rPr>
                <w:rFonts w:ascii="Times New Roman" w:hAnsi="Times New Roman" w:cs="Times New Roman"/>
                <w:sz w:val="24"/>
                <w:szCs w:val="24"/>
              </w:rPr>
            </w:pPr>
          </w:p>
        </w:tc>
      </w:tr>
      <w:tr w:rsidR="00612F97" w:rsidRPr="00D83669" w14:paraId="222B4A36" w14:textId="77777777" w:rsidTr="00E60D5C">
        <w:tc>
          <w:tcPr>
            <w:tcW w:w="2268" w:type="dxa"/>
          </w:tcPr>
          <w:p w14:paraId="633441B2" w14:textId="28E7D4C6"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SOI 1.4.</w:t>
            </w:r>
          </w:p>
        </w:tc>
        <w:tc>
          <w:tcPr>
            <w:tcW w:w="2268" w:type="dxa"/>
          </w:tcPr>
          <w:p w14:paraId="66C92B4B" w14:textId="71CAB063"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SRI 1.2</w:t>
            </w:r>
          </w:p>
        </w:tc>
        <w:tc>
          <w:tcPr>
            <w:tcW w:w="2269" w:type="dxa"/>
          </w:tcPr>
          <w:p w14:paraId="4E8ED016" w14:textId="5576A6C2" w:rsidR="00612F97" w:rsidRPr="00D83669" w:rsidRDefault="00612F97" w:rsidP="00D3288C">
            <w:pPr>
              <w:jc w:val="both"/>
              <w:rPr>
                <w:rFonts w:ascii="Times New Roman" w:hAnsi="Times New Roman" w:cs="Times New Roman"/>
                <w:sz w:val="24"/>
                <w:szCs w:val="24"/>
              </w:rPr>
            </w:pPr>
            <w:r w:rsidRPr="00D83669">
              <w:rPr>
                <w:rFonts w:ascii="Times New Roman" w:hAnsi="Times New Roman" w:cs="Times New Roman"/>
                <w:sz w:val="24"/>
                <w:szCs w:val="24"/>
              </w:rPr>
              <w:t>По-слабо развити региони</w:t>
            </w:r>
          </w:p>
        </w:tc>
        <w:tc>
          <w:tcPr>
            <w:tcW w:w="2269" w:type="dxa"/>
            <w:vMerge/>
          </w:tcPr>
          <w:p w14:paraId="57D1AEC9" w14:textId="77777777" w:rsidR="00612F97" w:rsidRPr="00D83669" w:rsidRDefault="00612F97" w:rsidP="00D3288C">
            <w:pPr>
              <w:jc w:val="both"/>
              <w:rPr>
                <w:rFonts w:ascii="Times New Roman" w:hAnsi="Times New Roman" w:cs="Times New Roman"/>
                <w:sz w:val="24"/>
                <w:szCs w:val="24"/>
              </w:rPr>
            </w:pPr>
          </w:p>
        </w:tc>
      </w:tr>
    </w:tbl>
    <w:p w14:paraId="39E34846" w14:textId="77777777" w:rsidR="00E60D5C" w:rsidRPr="00D83669" w:rsidRDefault="00E60D5C" w:rsidP="00D3288C">
      <w:pPr>
        <w:jc w:val="both"/>
        <w:rPr>
          <w:rFonts w:ascii="Times New Roman" w:hAnsi="Times New Roman" w:cs="Times New Roman"/>
          <w:sz w:val="24"/>
          <w:szCs w:val="24"/>
        </w:rPr>
      </w:pPr>
    </w:p>
    <w:p w14:paraId="2E5A03C3" w14:textId="2C930657" w:rsidR="00C2755C" w:rsidRPr="00D83669" w:rsidRDefault="00EF1C6A" w:rsidP="00C2755C">
      <w:pPr>
        <w:jc w:val="both"/>
        <w:rPr>
          <w:rFonts w:ascii="Times New Roman" w:hAnsi="Times New Roman" w:cs="Times New Roman"/>
          <w:sz w:val="24"/>
          <w:szCs w:val="24"/>
        </w:rPr>
      </w:pPr>
      <w:r w:rsidRPr="00D83669">
        <w:rPr>
          <w:rFonts w:ascii="Times New Roman" w:hAnsi="Times New Roman" w:cs="Times New Roman"/>
          <w:sz w:val="24"/>
          <w:szCs w:val="24"/>
        </w:rPr>
        <w:t>Аналогично</w:t>
      </w:r>
      <w:r w:rsidR="00FC49DE" w:rsidRPr="00D83669">
        <w:rPr>
          <w:rFonts w:ascii="Times New Roman" w:hAnsi="Times New Roman" w:cs="Times New Roman"/>
          <w:sz w:val="24"/>
          <w:szCs w:val="24"/>
        </w:rPr>
        <w:t>, когато</w:t>
      </w:r>
      <w:r w:rsidR="00B82F5C" w:rsidRPr="00D83669">
        <w:rPr>
          <w:rFonts w:ascii="Times New Roman" w:hAnsi="Times New Roman" w:cs="Times New Roman"/>
          <w:sz w:val="24"/>
          <w:szCs w:val="24"/>
        </w:rPr>
        <w:t xml:space="preserve"> </w:t>
      </w:r>
      <w:r w:rsidRPr="00D83669">
        <w:rPr>
          <w:rFonts w:ascii="Times New Roman" w:hAnsi="Times New Roman" w:cs="Times New Roman"/>
          <w:sz w:val="24"/>
          <w:szCs w:val="24"/>
        </w:rPr>
        <w:t xml:space="preserve">един </w:t>
      </w:r>
      <w:r w:rsidR="0023333C" w:rsidRPr="00D83669">
        <w:rPr>
          <w:rFonts w:ascii="Times New Roman" w:hAnsi="Times New Roman" w:cs="Times New Roman"/>
          <w:sz w:val="24"/>
          <w:szCs w:val="24"/>
        </w:rPr>
        <w:t>показател за краен продукт</w:t>
      </w:r>
      <w:r w:rsidRPr="00D83669">
        <w:rPr>
          <w:rFonts w:ascii="Times New Roman" w:hAnsi="Times New Roman" w:cs="Times New Roman"/>
          <w:sz w:val="24"/>
          <w:szCs w:val="24"/>
        </w:rPr>
        <w:t xml:space="preserve"> </w:t>
      </w:r>
      <w:r w:rsidR="00B82F5C" w:rsidRPr="00D83669">
        <w:rPr>
          <w:rFonts w:ascii="Times New Roman" w:hAnsi="Times New Roman" w:cs="Times New Roman"/>
          <w:sz w:val="24"/>
          <w:szCs w:val="24"/>
        </w:rPr>
        <w:t xml:space="preserve"> </w:t>
      </w:r>
      <w:r w:rsidR="00FC49DE" w:rsidRPr="00D83669">
        <w:rPr>
          <w:rFonts w:ascii="Times New Roman" w:hAnsi="Times New Roman" w:cs="Times New Roman"/>
          <w:sz w:val="24"/>
          <w:szCs w:val="24"/>
        </w:rPr>
        <w:t>е пряко свързан</w:t>
      </w:r>
      <w:r w:rsidRPr="00D83669">
        <w:rPr>
          <w:rFonts w:ascii="Times New Roman" w:hAnsi="Times New Roman" w:cs="Times New Roman"/>
          <w:sz w:val="24"/>
          <w:szCs w:val="24"/>
        </w:rPr>
        <w:t xml:space="preserve"> с повече от един </w:t>
      </w:r>
      <w:r w:rsidR="0023333C" w:rsidRPr="00D83669">
        <w:rPr>
          <w:rFonts w:ascii="Times New Roman" w:hAnsi="Times New Roman" w:cs="Times New Roman"/>
          <w:sz w:val="24"/>
          <w:szCs w:val="24"/>
        </w:rPr>
        <w:t>показател</w:t>
      </w:r>
      <w:r w:rsidRPr="00D83669">
        <w:rPr>
          <w:rFonts w:ascii="Times New Roman" w:hAnsi="Times New Roman" w:cs="Times New Roman"/>
          <w:sz w:val="24"/>
          <w:szCs w:val="24"/>
        </w:rPr>
        <w:t xml:space="preserve"> за ре</w:t>
      </w:r>
      <w:r w:rsidR="00E60D5C" w:rsidRPr="00D83669">
        <w:rPr>
          <w:rFonts w:ascii="Times New Roman" w:hAnsi="Times New Roman" w:cs="Times New Roman"/>
          <w:sz w:val="24"/>
          <w:szCs w:val="24"/>
        </w:rPr>
        <w:t>зултат</w:t>
      </w:r>
      <w:r w:rsidR="00FC49DE" w:rsidRPr="00D83669">
        <w:rPr>
          <w:rFonts w:ascii="Times New Roman" w:hAnsi="Times New Roman" w:cs="Times New Roman"/>
          <w:sz w:val="24"/>
          <w:szCs w:val="24"/>
        </w:rPr>
        <w:t>,</w:t>
      </w:r>
      <w:r w:rsidR="00E60D5C" w:rsidRPr="00D83669">
        <w:rPr>
          <w:rFonts w:ascii="Times New Roman" w:hAnsi="Times New Roman" w:cs="Times New Roman"/>
          <w:sz w:val="24"/>
          <w:szCs w:val="24"/>
        </w:rPr>
        <w:t xml:space="preserve"> в </w:t>
      </w:r>
      <w:r w:rsidRPr="00D83669">
        <w:rPr>
          <w:rFonts w:ascii="Times New Roman" w:hAnsi="Times New Roman" w:cs="Times New Roman"/>
          <w:sz w:val="24"/>
          <w:szCs w:val="24"/>
        </w:rPr>
        <w:t xml:space="preserve"> </w:t>
      </w:r>
      <w:r w:rsidR="00E60D5C" w:rsidRPr="00D83669">
        <w:rPr>
          <w:rFonts w:ascii="Times New Roman" w:hAnsi="Times New Roman" w:cs="Times New Roman"/>
          <w:sz w:val="24"/>
          <w:szCs w:val="24"/>
          <w:lang w:val="en-GB"/>
        </w:rPr>
        <w:t>SFC</w:t>
      </w:r>
      <w:r w:rsidR="00E60D5C" w:rsidRPr="00D83669">
        <w:rPr>
          <w:rFonts w:ascii="Times New Roman" w:hAnsi="Times New Roman" w:cs="Times New Roman"/>
          <w:sz w:val="24"/>
          <w:szCs w:val="24"/>
        </w:rPr>
        <w:t xml:space="preserve">2021 се създават отделни записи, за всеки един от </w:t>
      </w:r>
      <w:r w:rsidR="00446ED3" w:rsidRPr="00D83669">
        <w:rPr>
          <w:rFonts w:ascii="Times New Roman" w:hAnsi="Times New Roman" w:cs="Times New Roman"/>
          <w:sz w:val="24"/>
          <w:szCs w:val="24"/>
        </w:rPr>
        <w:t>показателите</w:t>
      </w:r>
      <w:r w:rsidR="00E60D5C" w:rsidRPr="00D83669">
        <w:rPr>
          <w:rFonts w:ascii="Times New Roman" w:hAnsi="Times New Roman" w:cs="Times New Roman"/>
          <w:sz w:val="24"/>
          <w:szCs w:val="24"/>
        </w:rPr>
        <w:t xml:space="preserve"> за резултат, които са свързани с</w:t>
      </w:r>
      <w:r w:rsidR="00B82F5C" w:rsidRPr="00D83669">
        <w:rPr>
          <w:rFonts w:ascii="Times New Roman" w:hAnsi="Times New Roman" w:cs="Times New Roman"/>
          <w:sz w:val="24"/>
          <w:szCs w:val="24"/>
        </w:rPr>
        <w:t>ъс съответния</w:t>
      </w:r>
      <w:r w:rsidR="00E60D5C" w:rsidRPr="00D83669">
        <w:rPr>
          <w:rFonts w:ascii="Times New Roman" w:hAnsi="Times New Roman" w:cs="Times New Roman"/>
          <w:sz w:val="24"/>
          <w:szCs w:val="24"/>
        </w:rPr>
        <w:t xml:space="preserve"> </w:t>
      </w:r>
      <w:r w:rsidR="00446ED3" w:rsidRPr="00D83669">
        <w:rPr>
          <w:rFonts w:ascii="Times New Roman" w:hAnsi="Times New Roman" w:cs="Times New Roman"/>
          <w:sz w:val="24"/>
          <w:szCs w:val="24"/>
        </w:rPr>
        <w:t>показател за краен продукт</w:t>
      </w:r>
      <w:r w:rsidR="008A1000" w:rsidRPr="00D83669">
        <w:rPr>
          <w:rFonts w:ascii="Times New Roman" w:hAnsi="Times New Roman" w:cs="Times New Roman"/>
          <w:sz w:val="24"/>
          <w:szCs w:val="24"/>
        </w:rPr>
        <w:t>, включително и по региони</w:t>
      </w:r>
      <w:r w:rsidR="00151925" w:rsidRPr="00D83669">
        <w:rPr>
          <w:rFonts w:ascii="Times New Roman" w:hAnsi="Times New Roman" w:cs="Times New Roman"/>
          <w:sz w:val="24"/>
          <w:szCs w:val="24"/>
        </w:rPr>
        <w:t xml:space="preserve">. </w:t>
      </w:r>
      <w:r w:rsidR="00C2755C" w:rsidRPr="00D83669">
        <w:rPr>
          <w:rFonts w:ascii="Times New Roman" w:hAnsi="Times New Roman" w:cs="Times New Roman"/>
          <w:sz w:val="24"/>
          <w:szCs w:val="24"/>
        </w:rPr>
        <w:t>Например</w:t>
      </w:r>
      <w:r w:rsidR="00E60D5C" w:rsidRPr="00D83669">
        <w:rPr>
          <w:rFonts w:ascii="Times New Roman" w:hAnsi="Times New Roman" w:cs="Times New Roman"/>
          <w:sz w:val="24"/>
          <w:szCs w:val="24"/>
        </w:rPr>
        <w:t>:</w:t>
      </w:r>
      <w:r w:rsidR="00C2755C" w:rsidRPr="00D83669">
        <w:rPr>
          <w:rFonts w:ascii="Times New Roman" w:hAnsi="Times New Roman" w:cs="Times New Roman"/>
          <w:sz w:val="24"/>
          <w:szCs w:val="24"/>
        </w:rPr>
        <w:t xml:space="preserve"> В Приоритет 2 </w:t>
      </w:r>
      <w:r w:rsidR="00446ED3" w:rsidRPr="00D83669">
        <w:rPr>
          <w:rFonts w:ascii="Times New Roman" w:hAnsi="Times New Roman" w:cs="Times New Roman"/>
          <w:sz w:val="24"/>
          <w:szCs w:val="24"/>
        </w:rPr>
        <w:t>показател за краен продукт</w:t>
      </w:r>
      <w:r w:rsidR="00C2755C" w:rsidRPr="00D83669">
        <w:rPr>
          <w:rFonts w:ascii="Times New Roman" w:hAnsi="Times New Roman" w:cs="Times New Roman"/>
          <w:sz w:val="24"/>
          <w:szCs w:val="24"/>
        </w:rPr>
        <w:t xml:space="preserve"> SOI 2.7 </w:t>
      </w:r>
      <w:r w:rsidR="00C2755C" w:rsidRPr="00D83669">
        <w:rPr>
          <w:rFonts w:ascii="Times New Roman" w:hAnsi="Times New Roman" w:cs="Times New Roman"/>
          <w:i/>
          <w:iCs/>
          <w:sz w:val="24"/>
          <w:szCs w:val="24"/>
        </w:rPr>
        <w:t>Брой подкрепени деца и ученици</w:t>
      </w:r>
      <w:r w:rsidR="00C2755C" w:rsidRPr="00D83669">
        <w:rPr>
          <w:rFonts w:ascii="Times New Roman" w:hAnsi="Times New Roman" w:cs="Times New Roman"/>
          <w:sz w:val="24"/>
          <w:szCs w:val="24"/>
        </w:rPr>
        <w:t xml:space="preserve"> е </w:t>
      </w:r>
      <w:r w:rsidR="008A1000" w:rsidRPr="00D83669">
        <w:rPr>
          <w:rFonts w:ascii="Times New Roman" w:hAnsi="Times New Roman" w:cs="Times New Roman"/>
          <w:sz w:val="24"/>
          <w:szCs w:val="24"/>
        </w:rPr>
        <w:t>пряко</w:t>
      </w:r>
      <w:r w:rsidR="00C2755C" w:rsidRPr="00D83669">
        <w:rPr>
          <w:rFonts w:ascii="Times New Roman" w:hAnsi="Times New Roman" w:cs="Times New Roman"/>
          <w:sz w:val="24"/>
          <w:szCs w:val="24"/>
        </w:rPr>
        <w:t xml:space="preserve"> свързан с </w:t>
      </w:r>
      <w:r w:rsidR="00446ED3" w:rsidRPr="00D83669">
        <w:rPr>
          <w:rFonts w:ascii="Times New Roman" w:hAnsi="Times New Roman" w:cs="Times New Roman"/>
          <w:sz w:val="24"/>
          <w:szCs w:val="24"/>
        </w:rPr>
        <w:t>показатели</w:t>
      </w:r>
      <w:r w:rsidR="00C2755C" w:rsidRPr="00D83669">
        <w:rPr>
          <w:rFonts w:ascii="Times New Roman" w:hAnsi="Times New Roman" w:cs="Times New Roman"/>
          <w:sz w:val="24"/>
          <w:szCs w:val="24"/>
        </w:rPr>
        <w:t xml:space="preserve"> за резултат SRI 2.1. </w:t>
      </w:r>
      <w:r w:rsidR="00C2755C" w:rsidRPr="00D83669">
        <w:rPr>
          <w:rFonts w:ascii="Times New Roman" w:hAnsi="Times New Roman" w:cs="Times New Roman"/>
          <w:i/>
          <w:iCs/>
          <w:sz w:val="24"/>
          <w:szCs w:val="24"/>
        </w:rPr>
        <w:t>Подобрени образователни резултати на подкрепените деца и ученици</w:t>
      </w:r>
      <w:r w:rsidR="00C2755C" w:rsidRPr="00D83669">
        <w:rPr>
          <w:rFonts w:ascii="Times New Roman" w:hAnsi="Times New Roman" w:cs="Times New Roman"/>
          <w:sz w:val="24"/>
          <w:szCs w:val="24"/>
        </w:rPr>
        <w:t xml:space="preserve"> и SRI 2.3 </w:t>
      </w:r>
      <w:r w:rsidR="00C2755C" w:rsidRPr="00D83669">
        <w:rPr>
          <w:rFonts w:ascii="Times New Roman" w:hAnsi="Times New Roman" w:cs="Times New Roman"/>
          <w:i/>
          <w:iCs/>
          <w:sz w:val="24"/>
          <w:szCs w:val="24"/>
        </w:rPr>
        <w:t>Брой потребители на разработените иновативни обучителни пакети</w:t>
      </w:r>
      <w:r w:rsidR="008A1000" w:rsidRPr="00D83669">
        <w:rPr>
          <w:rFonts w:ascii="Times New Roman" w:hAnsi="Times New Roman" w:cs="Times New Roman"/>
          <w:i/>
          <w:iCs/>
          <w:sz w:val="24"/>
          <w:szCs w:val="24"/>
        </w:rPr>
        <w:t>.</w:t>
      </w:r>
      <w:r w:rsidR="00C2755C" w:rsidRPr="00D83669">
        <w:rPr>
          <w:rFonts w:ascii="Times New Roman" w:hAnsi="Times New Roman" w:cs="Times New Roman"/>
          <w:i/>
          <w:iCs/>
          <w:sz w:val="24"/>
          <w:szCs w:val="24"/>
        </w:rPr>
        <w:t xml:space="preserve"> </w:t>
      </w:r>
      <w:r w:rsidR="008A1000" w:rsidRPr="00D83669">
        <w:rPr>
          <w:rFonts w:ascii="Times New Roman" w:hAnsi="Times New Roman" w:cs="Times New Roman"/>
          <w:sz w:val="24"/>
          <w:szCs w:val="24"/>
        </w:rPr>
        <w:t xml:space="preserve">В </w:t>
      </w:r>
      <w:r w:rsidR="00C2755C" w:rsidRPr="00D83669">
        <w:rPr>
          <w:rFonts w:ascii="Times New Roman" w:hAnsi="Times New Roman" w:cs="Times New Roman"/>
          <w:sz w:val="24"/>
          <w:szCs w:val="24"/>
          <w:lang w:val="en-GB"/>
        </w:rPr>
        <w:t>SFC</w:t>
      </w:r>
      <w:r w:rsidR="00C2755C" w:rsidRPr="00D83669">
        <w:rPr>
          <w:rFonts w:ascii="Times New Roman" w:hAnsi="Times New Roman" w:cs="Times New Roman"/>
          <w:sz w:val="24"/>
          <w:szCs w:val="24"/>
        </w:rPr>
        <w:t xml:space="preserve">2021 се въвежда </w:t>
      </w:r>
      <w:r w:rsidR="00446ED3" w:rsidRPr="00D83669">
        <w:rPr>
          <w:rFonts w:ascii="Times New Roman" w:hAnsi="Times New Roman" w:cs="Times New Roman"/>
          <w:sz w:val="24"/>
          <w:szCs w:val="24"/>
        </w:rPr>
        <w:t>показателя за краен продукт</w:t>
      </w:r>
      <w:r w:rsidR="00C2755C" w:rsidRPr="00D83669">
        <w:rPr>
          <w:rFonts w:ascii="Times New Roman" w:hAnsi="Times New Roman" w:cs="Times New Roman"/>
          <w:sz w:val="24"/>
          <w:szCs w:val="24"/>
        </w:rPr>
        <w:t xml:space="preserve"> </w:t>
      </w:r>
      <w:r w:rsidR="008A1000" w:rsidRPr="00D83669">
        <w:rPr>
          <w:rFonts w:ascii="Times New Roman" w:hAnsi="Times New Roman" w:cs="Times New Roman"/>
          <w:sz w:val="24"/>
          <w:szCs w:val="24"/>
        </w:rPr>
        <w:t>четири</w:t>
      </w:r>
      <w:r w:rsidR="00C2755C" w:rsidRPr="00D83669">
        <w:rPr>
          <w:rFonts w:ascii="Times New Roman" w:hAnsi="Times New Roman" w:cs="Times New Roman"/>
          <w:sz w:val="24"/>
          <w:szCs w:val="24"/>
        </w:rPr>
        <w:t xml:space="preserve"> пъти, като се показва връзката </w:t>
      </w:r>
      <w:r w:rsidR="008A1000" w:rsidRPr="00D83669">
        <w:rPr>
          <w:rFonts w:ascii="Times New Roman" w:hAnsi="Times New Roman" w:cs="Times New Roman"/>
          <w:sz w:val="24"/>
          <w:szCs w:val="24"/>
        </w:rPr>
        <w:t xml:space="preserve"> на показателя за краен продукт </w:t>
      </w:r>
      <w:r w:rsidR="00C2755C" w:rsidRPr="00D83669">
        <w:rPr>
          <w:rFonts w:ascii="Times New Roman" w:hAnsi="Times New Roman" w:cs="Times New Roman"/>
          <w:sz w:val="24"/>
          <w:szCs w:val="24"/>
        </w:rPr>
        <w:t xml:space="preserve">към всеки от </w:t>
      </w:r>
      <w:r w:rsidR="00446ED3" w:rsidRPr="00D83669">
        <w:rPr>
          <w:rFonts w:ascii="Times New Roman" w:hAnsi="Times New Roman" w:cs="Times New Roman"/>
          <w:sz w:val="24"/>
          <w:szCs w:val="24"/>
        </w:rPr>
        <w:t>показателите</w:t>
      </w:r>
      <w:r w:rsidR="00C2755C" w:rsidRPr="00D83669">
        <w:rPr>
          <w:rFonts w:ascii="Times New Roman" w:hAnsi="Times New Roman" w:cs="Times New Roman"/>
          <w:sz w:val="24"/>
          <w:szCs w:val="24"/>
        </w:rPr>
        <w:t xml:space="preserve"> за резултат</w:t>
      </w:r>
      <w:r w:rsidR="00995DB7" w:rsidRPr="00D83669">
        <w:rPr>
          <w:rFonts w:ascii="Times New Roman" w:hAnsi="Times New Roman" w:cs="Times New Roman"/>
          <w:sz w:val="24"/>
          <w:szCs w:val="24"/>
        </w:rPr>
        <w:t xml:space="preserve">,включително </w:t>
      </w:r>
      <w:r w:rsidR="00C2755C" w:rsidRPr="00D83669">
        <w:rPr>
          <w:rFonts w:ascii="Times New Roman" w:hAnsi="Times New Roman" w:cs="Times New Roman"/>
          <w:sz w:val="24"/>
          <w:szCs w:val="24"/>
        </w:rPr>
        <w:t>по региони в „Преход“ и „По-слабо развити региони“.</w:t>
      </w:r>
    </w:p>
    <w:tbl>
      <w:tblPr>
        <w:tblStyle w:val="TableGrid"/>
        <w:tblW w:w="0" w:type="auto"/>
        <w:tblLook w:val="04A0" w:firstRow="1" w:lastRow="0" w:firstColumn="1" w:lastColumn="0" w:noHBand="0" w:noVBand="1"/>
      </w:tblPr>
      <w:tblGrid>
        <w:gridCol w:w="2268"/>
        <w:gridCol w:w="2268"/>
        <w:gridCol w:w="2269"/>
        <w:gridCol w:w="2269"/>
      </w:tblGrid>
      <w:tr w:rsidR="00C2755C" w:rsidRPr="00D83669" w14:paraId="4BF73A1A" w14:textId="77777777" w:rsidTr="00E214C0">
        <w:tc>
          <w:tcPr>
            <w:tcW w:w="2268" w:type="dxa"/>
          </w:tcPr>
          <w:p w14:paraId="4E4F129A" w14:textId="1F66F8A5" w:rsidR="00C2755C" w:rsidRPr="00D83669" w:rsidRDefault="00446ED3" w:rsidP="00E214C0">
            <w:pPr>
              <w:jc w:val="both"/>
              <w:rPr>
                <w:rFonts w:ascii="Times New Roman" w:hAnsi="Times New Roman" w:cs="Times New Roman"/>
                <w:sz w:val="24"/>
                <w:szCs w:val="24"/>
              </w:rPr>
            </w:pPr>
            <w:r w:rsidRPr="00D83669">
              <w:rPr>
                <w:rFonts w:ascii="Times New Roman" w:hAnsi="Times New Roman" w:cs="Times New Roman"/>
                <w:sz w:val="24"/>
                <w:szCs w:val="24"/>
              </w:rPr>
              <w:t>Показател за краен продукт</w:t>
            </w:r>
          </w:p>
        </w:tc>
        <w:tc>
          <w:tcPr>
            <w:tcW w:w="2268" w:type="dxa"/>
          </w:tcPr>
          <w:p w14:paraId="4A8971B7" w14:textId="4C5D9EE4" w:rsidR="00C2755C" w:rsidRPr="00D83669" w:rsidRDefault="00446ED3" w:rsidP="00E214C0">
            <w:pPr>
              <w:jc w:val="both"/>
              <w:rPr>
                <w:rFonts w:ascii="Times New Roman" w:hAnsi="Times New Roman" w:cs="Times New Roman"/>
                <w:sz w:val="24"/>
                <w:szCs w:val="24"/>
              </w:rPr>
            </w:pPr>
            <w:r w:rsidRPr="00D83669">
              <w:rPr>
                <w:rFonts w:ascii="Times New Roman" w:hAnsi="Times New Roman" w:cs="Times New Roman"/>
                <w:sz w:val="24"/>
                <w:szCs w:val="24"/>
              </w:rPr>
              <w:t>Показател</w:t>
            </w:r>
            <w:r w:rsidR="00C2755C" w:rsidRPr="00D83669">
              <w:rPr>
                <w:rFonts w:ascii="Times New Roman" w:hAnsi="Times New Roman" w:cs="Times New Roman"/>
                <w:sz w:val="24"/>
                <w:szCs w:val="24"/>
              </w:rPr>
              <w:t xml:space="preserve"> за резултат</w:t>
            </w:r>
          </w:p>
        </w:tc>
        <w:tc>
          <w:tcPr>
            <w:tcW w:w="2269" w:type="dxa"/>
          </w:tcPr>
          <w:p w14:paraId="15DC562B" w14:textId="77777777" w:rsidR="00C2755C" w:rsidRPr="00D83669" w:rsidRDefault="00C2755C" w:rsidP="00E214C0">
            <w:pPr>
              <w:jc w:val="both"/>
              <w:rPr>
                <w:rFonts w:ascii="Times New Roman" w:hAnsi="Times New Roman" w:cs="Times New Roman"/>
                <w:sz w:val="24"/>
                <w:szCs w:val="24"/>
              </w:rPr>
            </w:pPr>
            <w:r w:rsidRPr="00D83669">
              <w:rPr>
                <w:rFonts w:ascii="Times New Roman" w:hAnsi="Times New Roman" w:cs="Times New Roman"/>
                <w:sz w:val="24"/>
                <w:szCs w:val="24"/>
              </w:rPr>
              <w:t>Региони</w:t>
            </w:r>
          </w:p>
        </w:tc>
        <w:tc>
          <w:tcPr>
            <w:tcW w:w="2269" w:type="dxa"/>
          </w:tcPr>
          <w:p w14:paraId="40E27D8C" w14:textId="77777777" w:rsidR="00C2755C" w:rsidRPr="00D83669" w:rsidRDefault="00C2755C" w:rsidP="00E214C0">
            <w:pPr>
              <w:jc w:val="both"/>
              <w:rPr>
                <w:rFonts w:ascii="Times New Roman" w:hAnsi="Times New Roman" w:cs="Times New Roman"/>
                <w:sz w:val="24"/>
                <w:szCs w:val="24"/>
              </w:rPr>
            </w:pPr>
            <w:r w:rsidRPr="00D83669">
              <w:rPr>
                <w:rFonts w:ascii="Times New Roman" w:hAnsi="Times New Roman" w:cs="Times New Roman"/>
                <w:sz w:val="24"/>
                <w:szCs w:val="24"/>
              </w:rPr>
              <w:t>Коментар:</w:t>
            </w:r>
          </w:p>
        </w:tc>
      </w:tr>
      <w:tr w:rsidR="00C2755C" w:rsidRPr="00D83669" w14:paraId="120CFC37" w14:textId="77777777" w:rsidTr="00E214C0">
        <w:tc>
          <w:tcPr>
            <w:tcW w:w="2268" w:type="dxa"/>
          </w:tcPr>
          <w:p w14:paraId="667CD3E8" w14:textId="1E941B48"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SOI 2.7</w:t>
            </w:r>
          </w:p>
        </w:tc>
        <w:tc>
          <w:tcPr>
            <w:tcW w:w="2268" w:type="dxa"/>
          </w:tcPr>
          <w:p w14:paraId="5DDA4AAA" w14:textId="51D0CF6E"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 xml:space="preserve">SRI 2.1. </w:t>
            </w:r>
          </w:p>
        </w:tc>
        <w:tc>
          <w:tcPr>
            <w:tcW w:w="2269" w:type="dxa"/>
          </w:tcPr>
          <w:p w14:paraId="1A6F3E5E" w14:textId="77777777"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Преход</w:t>
            </w:r>
          </w:p>
        </w:tc>
        <w:tc>
          <w:tcPr>
            <w:tcW w:w="2269" w:type="dxa"/>
            <w:vMerge w:val="restart"/>
          </w:tcPr>
          <w:p w14:paraId="38B85120" w14:textId="51DA5183"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0"/>
                <w:szCs w:val="20"/>
              </w:rPr>
              <w:t xml:space="preserve">Целевата стойност на </w:t>
            </w:r>
            <w:r w:rsidR="00446ED3" w:rsidRPr="00D83669">
              <w:rPr>
                <w:rFonts w:ascii="Times New Roman" w:hAnsi="Times New Roman" w:cs="Times New Roman"/>
                <w:sz w:val="20"/>
                <w:szCs w:val="20"/>
              </w:rPr>
              <w:t>показателя</w:t>
            </w:r>
            <w:r w:rsidRPr="00D83669">
              <w:rPr>
                <w:rFonts w:ascii="Times New Roman" w:hAnsi="Times New Roman" w:cs="Times New Roman"/>
                <w:sz w:val="20"/>
                <w:szCs w:val="20"/>
              </w:rPr>
              <w:t xml:space="preserve"> за </w:t>
            </w:r>
            <w:r w:rsidR="00446ED3" w:rsidRPr="00D83669">
              <w:rPr>
                <w:rFonts w:ascii="Times New Roman" w:hAnsi="Times New Roman" w:cs="Times New Roman"/>
                <w:sz w:val="20"/>
                <w:szCs w:val="20"/>
              </w:rPr>
              <w:t>краен продукт</w:t>
            </w:r>
            <w:r w:rsidRPr="00D83669">
              <w:rPr>
                <w:rFonts w:ascii="Times New Roman" w:hAnsi="Times New Roman" w:cs="Times New Roman"/>
                <w:sz w:val="20"/>
                <w:szCs w:val="20"/>
              </w:rPr>
              <w:t xml:space="preserve"> се разделя пропорционално за съответните </w:t>
            </w:r>
            <w:r w:rsidR="00446ED3" w:rsidRPr="00D83669">
              <w:rPr>
                <w:rFonts w:ascii="Times New Roman" w:hAnsi="Times New Roman" w:cs="Times New Roman"/>
                <w:sz w:val="20"/>
                <w:szCs w:val="20"/>
              </w:rPr>
              <w:t>показатели</w:t>
            </w:r>
            <w:r w:rsidRPr="00D83669">
              <w:rPr>
                <w:rFonts w:ascii="Times New Roman" w:hAnsi="Times New Roman" w:cs="Times New Roman"/>
                <w:sz w:val="20"/>
                <w:szCs w:val="20"/>
              </w:rPr>
              <w:t xml:space="preserve"> за резултат и регион в „Преход“ и „По-слабо развити региони“.</w:t>
            </w:r>
          </w:p>
        </w:tc>
      </w:tr>
      <w:tr w:rsidR="00C2755C" w:rsidRPr="00D83669" w14:paraId="7243D1F5" w14:textId="77777777" w:rsidTr="00E214C0">
        <w:tc>
          <w:tcPr>
            <w:tcW w:w="2268" w:type="dxa"/>
          </w:tcPr>
          <w:p w14:paraId="17347751" w14:textId="173A4B1A"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SOI 2.7</w:t>
            </w:r>
          </w:p>
        </w:tc>
        <w:tc>
          <w:tcPr>
            <w:tcW w:w="2268" w:type="dxa"/>
          </w:tcPr>
          <w:p w14:paraId="52D20DC8" w14:textId="260BD416"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 xml:space="preserve">SRI 2.1. </w:t>
            </w:r>
          </w:p>
        </w:tc>
        <w:tc>
          <w:tcPr>
            <w:tcW w:w="2269" w:type="dxa"/>
          </w:tcPr>
          <w:p w14:paraId="5F6783B3" w14:textId="77777777"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По-слабо развити региони</w:t>
            </w:r>
          </w:p>
        </w:tc>
        <w:tc>
          <w:tcPr>
            <w:tcW w:w="2269" w:type="dxa"/>
            <w:vMerge/>
          </w:tcPr>
          <w:p w14:paraId="21346643" w14:textId="77777777" w:rsidR="00C2755C" w:rsidRPr="00D83669" w:rsidRDefault="00C2755C" w:rsidP="00C2755C">
            <w:pPr>
              <w:jc w:val="both"/>
              <w:rPr>
                <w:rFonts w:ascii="Times New Roman" w:hAnsi="Times New Roman" w:cs="Times New Roman"/>
                <w:sz w:val="24"/>
                <w:szCs w:val="24"/>
              </w:rPr>
            </w:pPr>
          </w:p>
        </w:tc>
      </w:tr>
      <w:tr w:rsidR="00C2755C" w:rsidRPr="00D83669" w14:paraId="399C8FD2" w14:textId="77777777" w:rsidTr="00E214C0">
        <w:tc>
          <w:tcPr>
            <w:tcW w:w="2268" w:type="dxa"/>
          </w:tcPr>
          <w:p w14:paraId="2EDA97FF" w14:textId="6068ED29"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SOI 2.7</w:t>
            </w:r>
          </w:p>
        </w:tc>
        <w:tc>
          <w:tcPr>
            <w:tcW w:w="2268" w:type="dxa"/>
          </w:tcPr>
          <w:p w14:paraId="1305CC02" w14:textId="00A58A8A"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 xml:space="preserve">SRI 2.3 </w:t>
            </w:r>
          </w:p>
        </w:tc>
        <w:tc>
          <w:tcPr>
            <w:tcW w:w="2269" w:type="dxa"/>
          </w:tcPr>
          <w:p w14:paraId="60702F4F" w14:textId="77777777"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Преход</w:t>
            </w:r>
          </w:p>
        </w:tc>
        <w:tc>
          <w:tcPr>
            <w:tcW w:w="2269" w:type="dxa"/>
            <w:vMerge/>
          </w:tcPr>
          <w:p w14:paraId="4AD3C796" w14:textId="77777777" w:rsidR="00C2755C" w:rsidRPr="00D83669" w:rsidRDefault="00C2755C" w:rsidP="00C2755C">
            <w:pPr>
              <w:jc w:val="both"/>
              <w:rPr>
                <w:rFonts w:ascii="Times New Roman" w:hAnsi="Times New Roman" w:cs="Times New Roman"/>
                <w:sz w:val="24"/>
                <w:szCs w:val="24"/>
              </w:rPr>
            </w:pPr>
          </w:p>
        </w:tc>
      </w:tr>
      <w:tr w:rsidR="00C2755C" w:rsidRPr="00D83669" w14:paraId="0E73C911" w14:textId="77777777" w:rsidTr="00E214C0">
        <w:tc>
          <w:tcPr>
            <w:tcW w:w="2268" w:type="dxa"/>
          </w:tcPr>
          <w:p w14:paraId="46464C52" w14:textId="59452DEC"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SOI 2.7</w:t>
            </w:r>
          </w:p>
        </w:tc>
        <w:tc>
          <w:tcPr>
            <w:tcW w:w="2268" w:type="dxa"/>
          </w:tcPr>
          <w:p w14:paraId="11EAC83F" w14:textId="16A5EA75"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 xml:space="preserve">SRI 2.3 </w:t>
            </w:r>
          </w:p>
        </w:tc>
        <w:tc>
          <w:tcPr>
            <w:tcW w:w="2269" w:type="dxa"/>
          </w:tcPr>
          <w:p w14:paraId="7710E649" w14:textId="77777777" w:rsidR="00C2755C" w:rsidRPr="00D83669" w:rsidRDefault="00C2755C" w:rsidP="00C2755C">
            <w:pPr>
              <w:jc w:val="both"/>
              <w:rPr>
                <w:rFonts w:ascii="Times New Roman" w:hAnsi="Times New Roman" w:cs="Times New Roman"/>
                <w:sz w:val="24"/>
                <w:szCs w:val="24"/>
              </w:rPr>
            </w:pPr>
            <w:r w:rsidRPr="00D83669">
              <w:rPr>
                <w:rFonts w:ascii="Times New Roman" w:hAnsi="Times New Roman" w:cs="Times New Roman"/>
                <w:sz w:val="24"/>
                <w:szCs w:val="24"/>
              </w:rPr>
              <w:t>По-слабо развити региони</w:t>
            </w:r>
          </w:p>
        </w:tc>
        <w:tc>
          <w:tcPr>
            <w:tcW w:w="2269" w:type="dxa"/>
            <w:vMerge/>
          </w:tcPr>
          <w:p w14:paraId="5E5F70B5" w14:textId="77777777" w:rsidR="00C2755C" w:rsidRPr="00D83669" w:rsidRDefault="00C2755C" w:rsidP="00C2755C">
            <w:pPr>
              <w:jc w:val="both"/>
              <w:rPr>
                <w:rFonts w:ascii="Times New Roman" w:hAnsi="Times New Roman" w:cs="Times New Roman"/>
                <w:sz w:val="24"/>
                <w:szCs w:val="24"/>
              </w:rPr>
            </w:pPr>
          </w:p>
        </w:tc>
      </w:tr>
    </w:tbl>
    <w:p w14:paraId="1C5EAFBC" w14:textId="0AF54794" w:rsidR="00E60D5C" w:rsidRPr="00D83669" w:rsidRDefault="00E60D5C" w:rsidP="00D3288C">
      <w:pPr>
        <w:jc w:val="both"/>
        <w:rPr>
          <w:rFonts w:ascii="Times New Roman" w:hAnsi="Times New Roman" w:cs="Times New Roman"/>
          <w:sz w:val="24"/>
          <w:szCs w:val="24"/>
        </w:rPr>
      </w:pPr>
    </w:p>
    <w:p w14:paraId="2783615E" w14:textId="77777777" w:rsidR="00EF1C6A" w:rsidRPr="00D83669" w:rsidRDefault="00EF1C6A" w:rsidP="00D3288C">
      <w:pPr>
        <w:jc w:val="both"/>
        <w:rPr>
          <w:rFonts w:ascii="Times New Roman" w:hAnsi="Times New Roman" w:cs="Times New Roman"/>
          <w:sz w:val="24"/>
          <w:szCs w:val="24"/>
        </w:rPr>
      </w:pPr>
    </w:p>
    <w:p w14:paraId="076E32F7" w14:textId="77777777" w:rsidR="00D3288C" w:rsidRPr="00D83669" w:rsidRDefault="00D3288C" w:rsidP="00D3288C">
      <w:pPr>
        <w:jc w:val="both"/>
        <w:rPr>
          <w:rFonts w:ascii="Times New Roman" w:hAnsi="Times New Roman" w:cs="Times New Roman"/>
          <w:sz w:val="24"/>
          <w:szCs w:val="24"/>
        </w:rPr>
      </w:pPr>
    </w:p>
    <w:p w14:paraId="550EA15B" w14:textId="3F75E941" w:rsidR="00CE35C2" w:rsidRPr="00D83669" w:rsidRDefault="00C63818" w:rsidP="000632B9">
      <w:pPr>
        <w:pStyle w:val="Heading1"/>
        <w:numPr>
          <w:ilvl w:val="0"/>
          <w:numId w:val="19"/>
        </w:numPr>
        <w:spacing w:after="240" w:line="360" w:lineRule="auto"/>
        <w:ind w:left="0" w:firstLine="0"/>
        <w:jc w:val="both"/>
        <w:rPr>
          <w:rFonts w:ascii="Times New Roman" w:hAnsi="Times New Roman" w:cs="Times New Roman"/>
          <w:b/>
          <w:color w:val="auto"/>
          <w:sz w:val="28"/>
          <w:szCs w:val="28"/>
          <w:lang w:val="bg-BG"/>
        </w:rPr>
      </w:pPr>
      <w:bookmarkStart w:id="9" w:name="_Toc103586637"/>
      <w:r w:rsidRPr="00D83669">
        <w:rPr>
          <w:rFonts w:ascii="Times New Roman" w:hAnsi="Times New Roman" w:cs="Times New Roman"/>
          <w:b/>
          <w:color w:val="auto"/>
          <w:sz w:val="28"/>
          <w:szCs w:val="28"/>
          <w:lang w:val="bg-BG"/>
        </w:rPr>
        <w:lastRenderedPageBreak/>
        <w:t>Фактори, които могат да повлияят върху постигането на цел</w:t>
      </w:r>
      <w:r w:rsidR="00C50690" w:rsidRPr="00D83669">
        <w:rPr>
          <w:rFonts w:ascii="Times New Roman" w:hAnsi="Times New Roman" w:cs="Times New Roman"/>
          <w:b/>
          <w:color w:val="auto"/>
          <w:sz w:val="28"/>
          <w:szCs w:val="28"/>
          <w:lang w:val="bg-BG"/>
        </w:rPr>
        <w:t xml:space="preserve">евите стойности на </w:t>
      </w:r>
      <w:r w:rsidR="006B570F" w:rsidRPr="00D83669">
        <w:rPr>
          <w:rFonts w:ascii="Times New Roman" w:hAnsi="Times New Roman" w:cs="Times New Roman"/>
          <w:b/>
          <w:color w:val="auto"/>
          <w:sz w:val="28"/>
          <w:szCs w:val="28"/>
          <w:lang w:val="bg-BG"/>
        </w:rPr>
        <w:t>показателите</w:t>
      </w:r>
      <w:bookmarkStart w:id="10" w:name="_Hlk100147738"/>
      <w:bookmarkEnd w:id="9"/>
    </w:p>
    <w:bookmarkEnd w:id="10"/>
    <w:p w14:paraId="69F61778" w14:textId="77777777" w:rsidR="00BF4F21" w:rsidRPr="00D83669" w:rsidRDefault="00C70E1D" w:rsidP="00C70E1D">
      <w:pPr>
        <w:ind w:firstLine="708"/>
        <w:jc w:val="both"/>
        <w:rPr>
          <w:rFonts w:ascii="Times New Roman" w:hAnsi="Times New Roman" w:cs="Times New Roman"/>
          <w:bCs/>
          <w:sz w:val="24"/>
          <w:szCs w:val="24"/>
        </w:rPr>
      </w:pPr>
      <w:r w:rsidRPr="00D83669">
        <w:rPr>
          <w:rFonts w:ascii="Times New Roman" w:hAnsi="Times New Roman" w:cs="Times New Roman"/>
          <w:bCs/>
          <w:sz w:val="24"/>
          <w:szCs w:val="24"/>
        </w:rPr>
        <w:t>Факторите, които могат да повлияят върху постигането на целевите стойности на показателите условно са разделени в следните две групи:</w:t>
      </w:r>
    </w:p>
    <w:p w14:paraId="672D8187" w14:textId="3E739B04" w:rsidR="00525D9E" w:rsidRPr="00D83669" w:rsidRDefault="00525D9E" w:rsidP="000632B9">
      <w:pPr>
        <w:ind w:firstLine="708"/>
        <w:jc w:val="both"/>
        <w:rPr>
          <w:rFonts w:ascii="Times New Roman" w:hAnsi="Times New Roman" w:cs="Times New Roman"/>
          <w:bCs/>
          <w:sz w:val="24"/>
          <w:szCs w:val="24"/>
        </w:rPr>
      </w:pPr>
    </w:p>
    <w:p w14:paraId="4A7BBFA6" w14:textId="1522633C" w:rsidR="00525D9E" w:rsidRPr="00D83669" w:rsidRDefault="00525D9E" w:rsidP="0071265B">
      <w:pPr>
        <w:pStyle w:val="ListParagraph"/>
        <w:numPr>
          <w:ilvl w:val="0"/>
          <w:numId w:val="20"/>
        </w:numPr>
        <w:jc w:val="both"/>
        <w:rPr>
          <w:rFonts w:ascii="Times New Roman" w:hAnsi="Times New Roman" w:cs="Times New Roman"/>
          <w:sz w:val="24"/>
          <w:szCs w:val="24"/>
        </w:rPr>
      </w:pPr>
      <w:r w:rsidRPr="00D83669">
        <w:rPr>
          <w:rFonts w:ascii="Times New Roman" w:hAnsi="Times New Roman" w:cs="Times New Roman"/>
          <w:i/>
          <w:iCs/>
          <w:sz w:val="24"/>
          <w:szCs w:val="24"/>
        </w:rPr>
        <w:t>Фактори, които са взети предвид при определяне на целевите стойности</w:t>
      </w:r>
      <w:r w:rsidR="006B570F" w:rsidRPr="00D83669">
        <w:rPr>
          <w:rFonts w:ascii="Times New Roman" w:hAnsi="Times New Roman" w:cs="Times New Roman"/>
          <w:i/>
          <w:iCs/>
          <w:sz w:val="24"/>
          <w:szCs w:val="24"/>
        </w:rPr>
        <w:t xml:space="preserve"> на показателите</w:t>
      </w:r>
      <w:r w:rsidR="0071265B" w:rsidRPr="00D83669">
        <w:rPr>
          <w:rFonts w:ascii="Times New Roman" w:hAnsi="Times New Roman" w:cs="Times New Roman"/>
          <w:sz w:val="24"/>
          <w:szCs w:val="24"/>
        </w:rPr>
        <w:t xml:space="preserve"> </w:t>
      </w:r>
      <w:r w:rsidR="001668CB" w:rsidRPr="00D83669">
        <w:rPr>
          <w:rFonts w:ascii="Times New Roman" w:hAnsi="Times New Roman" w:cs="Times New Roman"/>
          <w:sz w:val="24"/>
          <w:szCs w:val="24"/>
        </w:rPr>
        <w:t xml:space="preserve">– това </w:t>
      </w:r>
      <w:r w:rsidR="0071265B" w:rsidRPr="00D83669">
        <w:rPr>
          <w:rFonts w:ascii="Times New Roman" w:hAnsi="Times New Roman" w:cs="Times New Roman"/>
          <w:sz w:val="24"/>
          <w:szCs w:val="24"/>
        </w:rPr>
        <w:t>са фактори</w:t>
      </w:r>
      <w:r w:rsidR="00BF4F21" w:rsidRPr="00D83669">
        <w:rPr>
          <w:rFonts w:ascii="Times New Roman" w:hAnsi="Times New Roman" w:cs="Times New Roman"/>
          <w:sz w:val="24"/>
          <w:szCs w:val="24"/>
        </w:rPr>
        <w:t>те</w:t>
      </w:r>
      <w:r w:rsidR="0071265B" w:rsidRPr="00D83669">
        <w:rPr>
          <w:rFonts w:ascii="Times New Roman" w:hAnsi="Times New Roman" w:cs="Times New Roman"/>
          <w:sz w:val="24"/>
          <w:szCs w:val="24"/>
        </w:rPr>
        <w:t xml:space="preserve">, които в процеса на подготовка на </w:t>
      </w:r>
      <w:r w:rsidR="006B570F" w:rsidRPr="00D83669">
        <w:rPr>
          <w:rFonts w:ascii="Times New Roman" w:hAnsi="Times New Roman" w:cs="Times New Roman"/>
          <w:sz w:val="24"/>
          <w:szCs w:val="24"/>
        </w:rPr>
        <w:t xml:space="preserve">Програма „Образование“ </w:t>
      </w:r>
      <w:r w:rsidR="0071265B" w:rsidRPr="00D83669">
        <w:rPr>
          <w:rFonts w:ascii="Times New Roman" w:hAnsi="Times New Roman" w:cs="Times New Roman"/>
          <w:sz w:val="24"/>
          <w:szCs w:val="24"/>
        </w:rPr>
        <w:t xml:space="preserve">са </w:t>
      </w:r>
      <w:r w:rsidR="00995DB7" w:rsidRPr="00D83669">
        <w:rPr>
          <w:rFonts w:ascii="Times New Roman" w:hAnsi="Times New Roman" w:cs="Times New Roman"/>
          <w:sz w:val="24"/>
          <w:szCs w:val="24"/>
        </w:rPr>
        <w:t>взети предвид при</w:t>
      </w:r>
      <w:r w:rsidR="0071265B" w:rsidRPr="00D83669">
        <w:rPr>
          <w:rFonts w:ascii="Times New Roman" w:hAnsi="Times New Roman" w:cs="Times New Roman"/>
          <w:sz w:val="24"/>
          <w:szCs w:val="24"/>
        </w:rPr>
        <w:t xml:space="preserve"> определяне на целевите стойности</w:t>
      </w:r>
      <w:r w:rsidR="00BF4F21" w:rsidRPr="00D83669">
        <w:rPr>
          <w:rFonts w:ascii="Times New Roman" w:hAnsi="Times New Roman" w:cs="Times New Roman"/>
          <w:sz w:val="24"/>
          <w:szCs w:val="24"/>
        </w:rPr>
        <w:t xml:space="preserve"> на показателите</w:t>
      </w:r>
      <w:r w:rsidR="00995DB7" w:rsidRPr="00D83669">
        <w:rPr>
          <w:rFonts w:ascii="Times New Roman" w:hAnsi="Times New Roman" w:cs="Times New Roman"/>
          <w:sz w:val="24"/>
          <w:szCs w:val="24"/>
        </w:rPr>
        <w:t>, но е възможно</w:t>
      </w:r>
      <w:r w:rsidR="00F5159B" w:rsidRPr="00D83669">
        <w:rPr>
          <w:rFonts w:ascii="Times New Roman" w:hAnsi="Times New Roman" w:cs="Times New Roman"/>
          <w:sz w:val="24"/>
          <w:szCs w:val="24"/>
        </w:rPr>
        <w:t xml:space="preserve"> в хода на изпълнение на Програмата</w:t>
      </w:r>
      <w:r w:rsidR="00995DB7" w:rsidRPr="00D83669">
        <w:rPr>
          <w:rFonts w:ascii="Times New Roman" w:hAnsi="Times New Roman" w:cs="Times New Roman"/>
          <w:sz w:val="24"/>
          <w:szCs w:val="24"/>
        </w:rPr>
        <w:t xml:space="preserve"> да окажат допълнително </w:t>
      </w:r>
      <w:r w:rsidR="001668CB" w:rsidRPr="00D83669">
        <w:rPr>
          <w:rFonts w:ascii="Times New Roman" w:hAnsi="Times New Roman" w:cs="Times New Roman"/>
          <w:sz w:val="24"/>
          <w:szCs w:val="24"/>
        </w:rPr>
        <w:t>въздействие</w:t>
      </w:r>
      <w:r w:rsidR="00895AC9" w:rsidRPr="00D83669">
        <w:rPr>
          <w:rStyle w:val="FootnoteReference"/>
          <w:rFonts w:ascii="Times New Roman" w:hAnsi="Times New Roman" w:cs="Times New Roman"/>
          <w:sz w:val="24"/>
          <w:szCs w:val="24"/>
        </w:rPr>
        <w:footnoteReference w:id="6"/>
      </w:r>
      <w:r w:rsidR="001668CB" w:rsidRPr="00D83669">
        <w:rPr>
          <w:rFonts w:ascii="Times New Roman" w:hAnsi="Times New Roman" w:cs="Times New Roman"/>
          <w:sz w:val="24"/>
          <w:szCs w:val="24"/>
        </w:rPr>
        <w:t>,</w:t>
      </w:r>
      <w:r w:rsidR="00903D33" w:rsidRPr="00D83669">
        <w:rPr>
          <w:rFonts w:ascii="Times New Roman" w:hAnsi="Times New Roman" w:cs="Times New Roman"/>
          <w:sz w:val="24"/>
          <w:szCs w:val="24"/>
        </w:rPr>
        <w:t xml:space="preserve"> </w:t>
      </w:r>
      <w:r w:rsidR="00895AC9" w:rsidRPr="00D83669">
        <w:rPr>
          <w:rFonts w:ascii="Times New Roman" w:hAnsi="Times New Roman" w:cs="Times New Roman"/>
          <w:sz w:val="24"/>
          <w:szCs w:val="24"/>
        </w:rPr>
        <w:t>което да</w:t>
      </w:r>
      <w:r w:rsidR="00903D33" w:rsidRPr="00D83669">
        <w:rPr>
          <w:rFonts w:ascii="Times New Roman" w:hAnsi="Times New Roman" w:cs="Times New Roman"/>
          <w:sz w:val="24"/>
          <w:szCs w:val="24"/>
        </w:rPr>
        <w:t xml:space="preserve">  </w:t>
      </w:r>
      <w:r w:rsidR="0071265B" w:rsidRPr="00D83669">
        <w:rPr>
          <w:rFonts w:ascii="Times New Roman" w:hAnsi="Times New Roman" w:cs="Times New Roman"/>
          <w:sz w:val="24"/>
          <w:szCs w:val="24"/>
        </w:rPr>
        <w:t xml:space="preserve"> наложи </w:t>
      </w:r>
      <w:r w:rsidR="00903D33" w:rsidRPr="00D83669">
        <w:rPr>
          <w:rFonts w:ascii="Times New Roman" w:hAnsi="Times New Roman" w:cs="Times New Roman"/>
          <w:sz w:val="24"/>
          <w:szCs w:val="24"/>
        </w:rPr>
        <w:t xml:space="preserve">необходимост от </w:t>
      </w:r>
      <w:r w:rsidR="0002596F" w:rsidRPr="00D83669">
        <w:rPr>
          <w:rFonts w:ascii="Times New Roman" w:hAnsi="Times New Roman" w:cs="Times New Roman"/>
          <w:sz w:val="24"/>
          <w:szCs w:val="24"/>
        </w:rPr>
        <w:t xml:space="preserve"> преразглеждане</w:t>
      </w:r>
      <w:r w:rsidR="0071265B" w:rsidRPr="00D83669">
        <w:rPr>
          <w:rFonts w:ascii="Times New Roman" w:hAnsi="Times New Roman" w:cs="Times New Roman"/>
          <w:sz w:val="24"/>
          <w:szCs w:val="24"/>
        </w:rPr>
        <w:t xml:space="preserve"> на целевите стойности</w:t>
      </w:r>
      <w:r w:rsidR="00903D33" w:rsidRPr="00D83669">
        <w:rPr>
          <w:rFonts w:ascii="Times New Roman" w:hAnsi="Times New Roman" w:cs="Times New Roman"/>
          <w:sz w:val="24"/>
          <w:szCs w:val="24"/>
        </w:rPr>
        <w:t xml:space="preserve"> на показателите</w:t>
      </w:r>
      <w:r w:rsidR="004740D7" w:rsidRPr="00D83669">
        <w:rPr>
          <w:rFonts w:ascii="Times New Roman" w:hAnsi="Times New Roman" w:cs="Times New Roman"/>
          <w:sz w:val="24"/>
          <w:szCs w:val="24"/>
        </w:rPr>
        <w:t xml:space="preserve"> в периода на изпълнение на Програмата</w:t>
      </w:r>
      <w:r w:rsidR="0071265B" w:rsidRPr="00D83669">
        <w:rPr>
          <w:rFonts w:ascii="Times New Roman" w:hAnsi="Times New Roman" w:cs="Times New Roman"/>
          <w:sz w:val="24"/>
          <w:szCs w:val="24"/>
        </w:rPr>
        <w:t>;</w:t>
      </w:r>
    </w:p>
    <w:p w14:paraId="56126DD1" w14:textId="1377EAFC" w:rsidR="00025276" w:rsidRPr="00D83669" w:rsidRDefault="00525D9E" w:rsidP="00025276">
      <w:pPr>
        <w:pStyle w:val="ListParagraph"/>
        <w:numPr>
          <w:ilvl w:val="0"/>
          <w:numId w:val="20"/>
        </w:numPr>
        <w:jc w:val="both"/>
        <w:rPr>
          <w:rFonts w:ascii="Times New Roman" w:hAnsi="Times New Roman" w:cs="Times New Roman"/>
          <w:b/>
          <w:sz w:val="28"/>
          <w:szCs w:val="28"/>
        </w:rPr>
      </w:pPr>
      <w:r w:rsidRPr="00D83669">
        <w:rPr>
          <w:rFonts w:ascii="Times New Roman" w:hAnsi="Times New Roman" w:cs="Times New Roman"/>
          <w:i/>
          <w:iCs/>
          <w:sz w:val="24"/>
          <w:szCs w:val="24"/>
        </w:rPr>
        <w:t>Фактори, които са изключени при определяне на целевите стойности</w:t>
      </w:r>
      <w:r w:rsidR="0071265B" w:rsidRPr="00D83669">
        <w:rPr>
          <w:rFonts w:ascii="Times New Roman" w:hAnsi="Times New Roman" w:cs="Times New Roman"/>
          <w:sz w:val="24"/>
          <w:szCs w:val="24"/>
        </w:rPr>
        <w:t xml:space="preserve"> </w:t>
      </w:r>
      <w:r w:rsidR="006B570F" w:rsidRPr="00D83669">
        <w:rPr>
          <w:rFonts w:ascii="Times New Roman" w:hAnsi="Times New Roman" w:cs="Times New Roman"/>
          <w:sz w:val="24"/>
          <w:szCs w:val="24"/>
        </w:rPr>
        <w:t xml:space="preserve">на показателите </w:t>
      </w:r>
      <w:r w:rsidR="004740D7" w:rsidRPr="00D83669">
        <w:rPr>
          <w:rFonts w:ascii="Times New Roman" w:hAnsi="Times New Roman" w:cs="Times New Roman"/>
          <w:sz w:val="24"/>
          <w:szCs w:val="24"/>
        </w:rPr>
        <w:t xml:space="preserve"> - това </w:t>
      </w:r>
      <w:r w:rsidR="0071265B" w:rsidRPr="00D83669">
        <w:rPr>
          <w:rFonts w:ascii="Times New Roman" w:hAnsi="Times New Roman" w:cs="Times New Roman"/>
          <w:sz w:val="24"/>
          <w:szCs w:val="24"/>
        </w:rPr>
        <w:t>са фактори, които в хода на подготовка</w:t>
      </w:r>
      <w:r w:rsidR="0002596F" w:rsidRPr="00D83669">
        <w:rPr>
          <w:rFonts w:ascii="Times New Roman" w:hAnsi="Times New Roman" w:cs="Times New Roman"/>
          <w:sz w:val="24"/>
          <w:szCs w:val="24"/>
        </w:rPr>
        <w:t>та</w:t>
      </w:r>
      <w:r w:rsidR="0071265B" w:rsidRPr="00D83669">
        <w:rPr>
          <w:rFonts w:ascii="Times New Roman" w:hAnsi="Times New Roman" w:cs="Times New Roman"/>
          <w:sz w:val="24"/>
          <w:szCs w:val="24"/>
        </w:rPr>
        <w:t xml:space="preserve"> на Програма „Образование“ </w:t>
      </w:r>
      <w:r w:rsidR="0002596F" w:rsidRPr="00D83669">
        <w:rPr>
          <w:rFonts w:ascii="Times New Roman" w:hAnsi="Times New Roman" w:cs="Times New Roman"/>
          <w:sz w:val="24"/>
          <w:szCs w:val="24"/>
        </w:rPr>
        <w:t xml:space="preserve"> </w:t>
      </w:r>
      <w:r w:rsidR="004740D7" w:rsidRPr="00D83669">
        <w:rPr>
          <w:rFonts w:ascii="Times New Roman" w:hAnsi="Times New Roman" w:cs="Times New Roman"/>
          <w:sz w:val="24"/>
          <w:szCs w:val="24"/>
        </w:rPr>
        <w:t>не са взети предвид при определянето на целевите стойности на показателите, но съществува обективна възможност</w:t>
      </w:r>
      <w:r w:rsidR="0071265B" w:rsidRPr="00D83669">
        <w:rPr>
          <w:rFonts w:ascii="Times New Roman" w:hAnsi="Times New Roman" w:cs="Times New Roman"/>
          <w:sz w:val="24"/>
          <w:szCs w:val="24"/>
        </w:rPr>
        <w:t xml:space="preserve"> </w:t>
      </w:r>
      <w:r w:rsidR="00AA3602" w:rsidRPr="00D83669">
        <w:rPr>
          <w:rFonts w:ascii="Times New Roman" w:hAnsi="Times New Roman" w:cs="Times New Roman"/>
          <w:sz w:val="24"/>
          <w:szCs w:val="24"/>
        </w:rPr>
        <w:t xml:space="preserve">те да </w:t>
      </w:r>
      <w:r w:rsidR="00895AC9" w:rsidRPr="00D83669">
        <w:rPr>
          <w:rFonts w:ascii="Times New Roman" w:hAnsi="Times New Roman" w:cs="Times New Roman"/>
          <w:sz w:val="24"/>
          <w:szCs w:val="24"/>
        </w:rPr>
        <w:t>възникнат в</w:t>
      </w:r>
      <w:r w:rsidR="00A37D42" w:rsidRPr="00D83669">
        <w:rPr>
          <w:rFonts w:ascii="Times New Roman" w:hAnsi="Times New Roman" w:cs="Times New Roman"/>
          <w:sz w:val="24"/>
          <w:szCs w:val="24"/>
        </w:rPr>
        <w:t xml:space="preserve"> периода на изпълнение на Програмата и да </w:t>
      </w:r>
      <w:r w:rsidR="00AA3602" w:rsidRPr="00D83669">
        <w:rPr>
          <w:rFonts w:ascii="Times New Roman" w:hAnsi="Times New Roman" w:cs="Times New Roman"/>
          <w:sz w:val="24"/>
          <w:szCs w:val="24"/>
        </w:rPr>
        <w:t>повлияят върху постигането на целевите стойности</w:t>
      </w:r>
      <w:r w:rsidR="00A37D42" w:rsidRPr="00D83669">
        <w:rPr>
          <w:rFonts w:ascii="Times New Roman" w:hAnsi="Times New Roman" w:cs="Times New Roman"/>
          <w:sz w:val="24"/>
          <w:szCs w:val="24"/>
        </w:rPr>
        <w:t>, в резултат на което</w:t>
      </w:r>
      <w:r w:rsidR="00BF4F21" w:rsidRPr="00D83669">
        <w:rPr>
          <w:rFonts w:ascii="Times New Roman" w:hAnsi="Times New Roman" w:cs="Times New Roman"/>
          <w:sz w:val="24"/>
          <w:szCs w:val="24"/>
        </w:rPr>
        <w:t xml:space="preserve"> да се наложи необходимост от преразглеждане на целевите стойности</w:t>
      </w:r>
      <w:r w:rsidR="00A37D42" w:rsidRPr="00D83669">
        <w:rPr>
          <w:rFonts w:ascii="Times New Roman" w:hAnsi="Times New Roman" w:cs="Times New Roman"/>
          <w:sz w:val="24"/>
          <w:szCs w:val="24"/>
        </w:rPr>
        <w:t xml:space="preserve"> на показателите.</w:t>
      </w:r>
    </w:p>
    <w:p w14:paraId="5051DCF0" w14:textId="702BC1A5" w:rsidR="00A37D42" w:rsidRPr="00D83669" w:rsidRDefault="00A37D42" w:rsidP="00025276">
      <w:pPr>
        <w:ind w:firstLine="708"/>
        <w:jc w:val="both"/>
        <w:rPr>
          <w:rFonts w:ascii="Times New Roman" w:hAnsi="Times New Roman" w:cs="Times New Roman"/>
          <w:b/>
          <w:sz w:val="28"/>
          <w:szCs w:val="28"/>
        </w:rPr>
      </w:pPr>
      <w:r w:rsidRPr="00D83669">
        <w:rPr>
          <w:rFonts w:ascii="Times New Roman" w:hAnsi="Times New Roman" w:cs="Times New Roman"/>
          <w:bCs/>
          <w:sz w:val="24"/>
          <w:szCs w:val="24"/>
        </w:rPr>
        <w:t xml:space="preserve">В таблицата по-долу са показани </w:t>
      </w:r>
      <w:r w:rsidR="00B83346" w:rsidRPr="00D83669">
        <w:rPr>
          <w:rFonts w:ascii="Times New Roman" w:hAnsi="Times New Roman" w:cs="Times New Roman"/>
          <w:bCs/>
          <w:sz w:val="24"/>
          <w:szCs w:val="24"/>
        </w:rPr>
        <w:t xml:space="preserve">факторите, </w:t>
      </w:r>
      <w:r w:rsidR="00025276" w:rsidRPr="00D83669">
        <w:rPr>
          <w:rFonts w:ascii="Times New Roman" w:hAnsi="Times New Roman" w:cs="Times New Roman"/>
          <w:sz w:val="24"/>
          <w:szCs w:val="24"/>
        </w:rPr>
        <w:t>които</w:t>
      </w:r>
      <w:r w:rsidR="003B49DA" w:rsidRPr="00D83669">
        <w:rPr>
          <w:rFonts w:ascii="Times New Roman" w:hAnsi="Times New Roman" w:cs="Times New Roman"/>
          <w:sz w:val="24"/>
          <w:szCs w:val="24"/>
        </w:rPr>
        <w:t xml:space="preserve"> са идентифицирани за Програма „Образ</w:t>
      </w:r>
      <w:r w:rsidR="007013E5" w:rsidRPr="00D83669">
        <w:rPr>
          <w:rFonts w:ascii="Times New Roman" w:hAnsi="Times New Roman" w:cs="Times New Roman"/>
          <w:sz w:val="24"/>
          <w:szCs w:val="24"/>
        </w:rPr>
        <w:t>ование“ като такива, които</w:t>
      </w:r>
      <w:r w:rsidR="00025276" w:rsidRPr="00D83669">
        <w:rPr>
          <w:rFonts w:ascii="Times New Roman" w:hAnsi="Times New Roman" w:cs="Times New Roman"/>
          <w:sz w:val="24"/>
          <w:szCs w:val="24"/>
        </w:rPr>
        <w:t xml:space="preserve"> могат да повлияят върху постигане на целевите стойности на показателите:</w:t>
      </w:r>
    </w:p>
    <w:tbl>
      <w:tblPr>
        <w:tblStyle w:val="TableGrid"/>
        <w:tblW w:w="0" w:type="auto"/>
        <w:tblLook w:val="04A0" w:firstRow="1" w:lastRow="0" w:firstColumn="1" w:lastColumn="0" w:noHBand="0" w:noVBand="1"/>
      </w:tblPr>
      <w:tblGrid>
        <w:gridCol w:w="4252"/>
        <w:gridCol w:w="2411"/>
        <w:gridCol w:w="2411"/>
      </w:tblGrid>
      <w:tr w:rsidR="00525D9E" w:rsidRPr="00D83669" w14:paraId="4232D05A" w14:textId="77777777" w:rsidTr="006F3E6A">
        <w:tc>
          <w:tcPr>
            <w:tcW w:w="4252" w:type="dxa"/>
            <w:shd w:val="clear" w:color="auto" w:fill="D0CECE" w:themeFill="background2" w:themeFillShade="E6"/>
          </w:tcPr>
          <w:p w14:paraId="53765324" w14:textId="7A7E7CC4" w:rsidR="00525D9E" w:rsidRPr="00D83669" w:rsidRDefault="00525D9E" w:rsidP="00525D9E">
            <w:pPr>
              <w:jc w:val="both"/>
              <w:rPr>
                <w:rFonts w:ascii="Times New Roman" w:hAnsi="Times New Roman" w:cs="Times New Roman"/>
                <w:b/>
                <w:bCs/>
                <w:sz w:val="24"/>
                <w:szCs w:val="24"/>
              </w:rPr>
            </w:pPr>
            <w:r w:rsidRPr="00D83669">
              <w:rPr>
                <w:rFonts w:ascii="Times New Roman" w:hAnsi="Times New Roman" w:cs="Times New Roman"/>
                <w:b/>
                <w:bCs/>
                <w:sz w:val="24"/>
                <w:szCs w:val="24"/>
              </w:rPr>
              <w:t>Фактори</w:t>
            </w:r>
            <w:bookmarkStart w:id="11" w:name="_Hlk100148375"/>
            <w:r w:rsidR="00025276" w:rsidRPr="00D83669">
              <w:rPr>
                <w:rFonts w:ascii="Times New Roman" w:hAnsi="Times New Roman" w:cs="Times New Roman"/>
                <w:b/>
                <w:bCs/>
                <w:sz w:val="24"/>
                <w:szCs w:val="24"/>
              </w:rPr>
              <w:t>,</w:t>
            </w:r>
            <w:r w:rsidRPr="00D83669">
              <w:rPr>
                <w:rFonts w:ascii="Times New Roman" w:hAnsi="Times New Roman" w:cs="Times New Roman"/>
                <w:b/>
                <w:bCs/>
                <w:sz w:val="24"/>
                <w:szCs w:val="24"/>
              </w:rPr>
              <w:t xml:space="preserve"> които могат да повлияят върху постигане на целевите стойности на </w:t>
            </w:r>
            <w:r w:rsidR="006B570F" w:rsidRPr="00D83669">
              <w:rPr>
                <w:rFonts w:ascii="Times New Roman" w:hAnsi="Times New Roman" w:cs="Times New Roman"/>
                <w:b/>
                <w:bCs/>
                <w:sz w:val="24"/>
                <w:szCs w:val="24"/>
              </w:rPr>
              <w:t>показателите</w:t>
            </w:r>
            <w:bookmarkEnd w:id="11"/>
          </w:p>
        </w:tc>
        <w:tc>
          <w:tcPr>
            <w:tcW w:w="2411" w:type="dxa"/>
            <w:shd w:val="clear" w:color="auto" w:fill="D0CECE" w:themeFill="background2" w:themeFillShade="E6"/>
          </w:tcPr>
          <w:p w14:paraId="7D606C35" w14:textId="4A1D269D" w:rsidR="00525D9E" w:rsidRPr="00D83669" w:rsidRDefault="00525D9E" w:rsidP="00525D9E">
            <w:pPr>
              <w:jc w:val="both"/>
              <w:rPr>
                <w:rFonts w:ascii="Times New Roman" w:hAnsi="Times New Roman" w:cs="Times New Roman"/>
                <w:b/>
                <w:bCs/>
                <w:sz w:val="24"/>
                <w:szCs w:val="24"/>
              </w:rPr>
            </w:pPr>
            <w:r w:rsidRPr="00D83669">
              <w:rPr>
                <w:rFonts w:ascii="Times New Roman" w:hAnsi="Times New Roman" w:cs="Times New Roman"/>
                <w:b/>
                <w:bCs/>
                <w:sz w:val="24"/>
                <w:szCs w:val="24"/>
              </w:rPr>
              <w:t>Фактори, които са взети предвид при определяне на целевите стойности</w:t>
            </w:r>
          </w:p>
        </w:tc>
        <w:tc>
          <w:tcPr>
            <w:tcW w:w="2411" w:type="dxa"/>
            <w:shd w:val="clear" w:color="auto" w:fill="D0CECE" w:themeFill="background2" w:themeFillShade="E6"/>
          </w:tcPr>
          <w:p w14:paraId="77242F2D" w14:textId="37D22AF9" w:rsidR="00525D9E" w:rsidRPr="00D83669" w:rsidRDefault="00525D9E" w:rsidP="00525D9E">
            <w:pPr>
              <w:jc w:val="both"/>
              <w:rPr>
                <w:rFonts w:ascii="Times New Roman" w:hAnsi="Times New Roman" w:cs="Times New Roman"/>
                <w:b/>
                <w:bCs/>
                <w:sz w:val="24"/>
                <w:szCs w:val="24"/>
              </w:rPr>
            </w:pPr>
            <w:r w:rsidRPr="00D83669">
              <w:rPr>
                <w:rFonts w:ascii="Times New Roman" w:hAnsi="Times New Roman" w:cs="Times New Roman"/>
                <w:b/>
                <w:bCs/>
                <w:sz w:val="24"/>
                <w:szCs w:val="24"/>
              </w:rPr>
              <w:t>Фактори, които са изключени при определяне на целевите стойности</w:t>
            </w:r>
          </w:p>
        </w:tc>
      </w:tr>
      <w:tr w:rsidR="00525D9E" w:rsidRPr="00D83669" w14:paraId="3561512F" w14:textId="6F9A3B30" w:rsidTr="00525D9E">
        <w:tc>
          <w:tcPr>
            <w:tcW w:w="4252" w:type="dxa"/>
          </w:tcPr>
          <w:p w14:paraId="37683FB8" w14:textId="77777777" w:rsidR="00525D9E" w:rsidRPr="00D83669" w:rsidRDefault="00525D9E" w:rsidP="002C69B8">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Ускоряване на процеса на дигитализацията, при което потребностите на целевите групи се променят;</w:t>
            </w:r>
          </w:p>
        </w:tc>
        <w:tc>
          <w:tcPr>
            <w:tcW w:w="2411" w:type="dxa"/>
            <w:vAlign w:val="center"/>
          </w:tcPr>
          <w:p w14:paraId="6A1A709B" w14:textId="179FC58A" w:rsidR="00525D9E" w:rsidRPr="00D83669" w:rsidRDefault="00525D9E" w:rsidP="00525D9E">
            <w:pPr>
              <w:jc w:val="center"/>
              <w:rPr>
                <w:rFonts w:ascii="Times New Roman" w:hAnsi="Times New Roman" w:cs="Times New Roman"/>
                <w:b/>
                <w:bCs/>
                <w:sz w:val="36"/>
                <w:szCs w:val="36"/>
              </w:rPr>
            </w:pPr>
            <w:r w:rsidRPr="00D83669">
              <w:rPr>
                <w:rFonts w:ascii="Times New Roman" w:hAnsi="Times New Roman" w:cs="Times New Roman"/>
                <w:b/>
                <w:bCs/>
                <w:sz w:val="36"/>
                <w:szCs w:val="36"/>
              </w:rPr>
              <w:sym w:font="Wingdings" w:char="F0FE"/>
            </w:r>
          </w:p>
        </w:tc>
        <w:tc>
          <w:tcPr>
            <w:tcW w:w="2411" w:type="dxa"/>
            <w:vAlign w:val="center"/>
          </w:tcPr>
          <w:p w14:paraId="0ADDA5AA" w14:textId="77777777" w:rsidR="00525D9E" w:rsidRPr="00D83669" w:rsidRDefault="00525D9E" w:rsidP="00525D9E">
            <w:pPr>
              <w:jc w:val="both"/>
              <w:rPr>
                <w:rFonts w:ascii="Times New Roman" w:hAnsi="Times New Roman" w:cs="Times New Roman"/>
                <w:sz w:val="24"/>
                <w:szCs w:val="24"/>
              </w:rPr>
            </w:pPr>
          </w:p>
        </w:tc>
      </w:tr>
      <w:tr w:rsidR="00525D9E" w:rsidRPr="00D83669" w14:paraId="13219618" w14:textId="74291CBB" w:rsidTr="00525D9E">
        <w:tc>
          <w:tcPr>
            <w:tcW w:w="4252" w:type="dxa"/>
          </w:tcPr>
          <w:p w14:paraId="71743BA8" w14:textId="77777777" w:rsidR="00525D9E" w:rsidRPr="00D83669" w:rsidRDefault="00525D9E" w:rsidP="002C69B8">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 xml:space="preserve">Специфична необходимост от допълнителна квалификация в определени области; </w:t>
            </w:r>
          </w:p>
        </w:tc>
        <w:tc>
          <w:tcPr>
            <w:tcW w:w="2411" w:type="dxa"/>
            <w:vAlign w:val="center"/>
          </w:tcPr>
          <w:p w14:paraId="376682A8" w14:textId="5CF381E5" w:rsidR="00525D9E" w:rsidRPr="00D83669" w:rsidRDefault="00525D9E" w:rsidP="00525D9E">
            <w:pPr>
              <w:jc w:val="center"/>
              <w:rPr>
                <w:rFonts w:ascii="Times New Roman" w:hAnsi="Times New Roman" w:cs="Times New Roman"/>
                <w:sz w:val="24"/>
                <w:szCs w:val="24"/>
              </w:rPr>
            </w:pPr>
            <w:r w:rsidRPr="00D83669">
              <w:rPr>
                <w:rFonts w:ascii="Times New Roman" w:hAnsi="Times New Roman" w:cs="Times New Roman"/>
                <w:b/>
                <w:bCs/>
                <w:sz w:val="36"/>
                <w:szCs w:val="36"/>
              </w:rPr>
              <w:sym w:font="Wingdings" w:char="F0FE"/>
            </w:r>
          </w:p>
        </w:tc>
        <w:tc>
          <w:tcPr>
            <w:tcW w:w="2411" w:type="dxa"/>
            <w:vAlign w:val="center"/>
          </w:tcPr>
          <w:p w14:paraId="6840380E" w14:textId="77777777" w:rsidR="00525D9E" w:rsidRPr="00D83669" w:rsidRDefault="00525D9E" w:rsidP="00525D9E">
            <w:pPr>
              <w:jc w:val="both"/>
              <w:rPr>
                <w:rFonts w:ascii="Times New Roman" w:hAnsi="Times New Roman" w:cs="Times New Roman"/>
                <w:sz w:val="24"/>
                <w:szCs w:val="24"/>
              </w:rPr>
            </w:pPr>
          </w:p>
        </w:tc>
      </w:tr>
      <w:tr w:rsidR="00525D9E" w:rsidRPr="00D83669" w14:paraId="15C978D3" w14:textId="02B35053" w:rsidTr="00525D9E">
        <w:tc>
          <w:tcPr>
            <w:tcW w:w="4252" w:type="dxa"/>
          </w:tcPr>
          <w:p w14:paraId="0A87C627" w14:textId="77777777" w:rsidR="00525D9E" w:rsidRPr="00D83669" w:rsidRDefault="00525D9E" w:rsidP="002C69B8">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 xml:space="preserve">Припокриване на подкрепата между различните инструменти (национални програми, ЕСФ +, Плана за възстановяване и устойчивост, </w:t>
            </w:r>
            <w:r w:rsidRPr="00D83669">
              <w:rPr>
                <w:rFonts w:ascii="Times New Roman" w:hAnsi="Times New Roman" w:cs="Times New Roman"/>
                <w:sz w:val="24"/>
                <w:szCs w:val="24"/>
                <w:lang w:val="en-US"/>
              </w:rPr>
              <w:t>REACT</w:t>
            </w:r>
            <w:r w:rsidRPr="00D83669">
              <w:rPr>
                <w:rFonts w:ascii="Times New Roman" w:hAnsi="Times New Roman" w:cs="Times New Roman"/>
                <w:sz w:val="24"/>
                <w:szCs w:val="24"/>
              </w:rPr>
              <w:t>-</w:t>
            </w:r>
            <w:r w:rsidRPr="00D83669">
              <w:rPr>
                <w:rFonts w:ascii="Times New Roman" w:hAnsi="Times New Roman" w:cs="Times New Roman"/>
                <w:sz w:val="24"/>
                <w:szCs w:val="24"/>
                <w:lang w:val="en-US"/>
              </w:rPr>
              <w:t>EU</w:t>
            </w:r>
            <w:r w:rsidRPr="00D83669">
              <w:rPr>
                <w:rFonts w:ascii="Times New Roman" w:hAnsi="Times New Roman" w:cs="Times New Roman"/>
                <w:sz w:val="24"/>
                <w:szCs w:val="24"/>
              </w:rPr>
              <w:t xml:space="preserve"> и др.), което налага промяна в обхвата на целевите групи;</w:t>
            </w:r>
          </w:p>
        </w:tc>
        <w:tc>
          <w:tcPr>
            <w:tcW w:w="2411" w:type="dxa"/>
            <w:vAlign w:val="center"/>
          </w:tcPr>
          <w:p w14:paraId="469530FD" w14:textId="4FF11F6A" w:rsidR="00525D9E" w:rsidRPr="00D83669" w:rsidRDefault="00E82A3C" w:rsidP="00525D9E">
            <w:pPr>
              <w:jc w:val="center"/>
              <w:rPr>
                <w:rFonts w:ascii="Times New Roman" w:hAnsi="Times New Roman" w:cs="Times New Roman"/>
                <w:sz w:val="24"/>
                <w:szCs w:val="24"/>
              </w:rPr>
            </w:pPr>
            <w:r w:rsidRPr="00D83669">
              <w:rPr>
                <w:rFonts w:ascii="Times New Roman" w:hAnsi="Times New Roman" w:cs="Times New Roman"/>
                <w:b/>
                <w:bCs/>
                <w:sz w:val="36"/>
                <w:szCs w:val="36"/>
              </w:rPr>
              <w:sym w:font="Wingdings" w:char="F0FE"/>
            </w:r>
          </w:p>
        </w:tc>
        <w:tc>
          <w:tcPr>
            <w:tcW w:w="2411" w:type="dxa"/>
            <w:vAlign w:val="center"/>
          </w:tcPr>
          <w:p w14:paraId="341D2E76" w14:textId="446B3A6C" w:rsidR="00525D9E" w:rsidRPr="00D83669" w:rsidRDefault="00525D9E" w:rsidP="00525D9E">
            <w:pPr>
              <w:jc w:val="center"/>
              <w:rPr>
                <w:rFonts w:ascii="Times New Roman" w:hAnsi="Times New Roman" w:cs="Times New Roman"/>
                <w:sz w:val="24"/>
                <w:szCs w:val="24"/>
              </w:rPr>
            </w:pPr>
          </w:p>
        </w:tc>
      </w:tr>
      <w:tr w:rsidR="00525D9E" w:rsidRPr="00D83669" w14:paraId="6DE853A0" w14:textId="5E8C2216" w:rsidTr="00525D9E">
        <w:tc>
          <w:tcPr>
            <w:tcW w:w="4252" w:type="dxa"/>
          </w:tcPr>
          <w:p w14:paraId="6D2CE209" w14:textId="77777777" w:rsidR="00525D9E" w:rsidRPr="00D83669" w:rsidRDefault="00525D9E" w:rsidP="002C69B8">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 xml:space="preserve">Промени в националната нормативна уредба в областта на </w:t>
            </w:r>
            <w:r w:rsidRPr="00D83669">
              <w:rPr>
                <w:rFonts w:ascii="Times New Roman" w:hAnsi="Times New Roman" w:cs="Times New Roman"/>
                <w:sz w:val="24"/>
                <w:szCs w:val="24"/>
              </w:rPr>
              <w:lastRenderedPageBreak/>
              <w:t>образованието, което води до промяна във фокуса на подкрепата;</w:t>
            </w:r>
          </w:p>
        </w:tc>
        <w:tc>
          <w:tcPr>
            <w:tcW w:w="2411" w:type="dxa"/>
            <w:vAlign w:val="center"/>
          </w:tcPr>
          <w:p w14:paraId="644A67FD" w14:textId="7DA9596F" w:rsidR="00525D9E" w:rsidRPr="00D83669" w:rsidRDefault="00525D9E" w:rsidP="00525D9E">
            <w:pPr>
              <w:jc w:val="center"/>
              <w:rPr>
                <w:rFonts w:ascii="Times New Roman" w:hAnsi="Times New Roman" w:cs="Times New Roman"/>
                <w:sz w:val="24"/>
                <w:szCs w:val="24"/>
              </w:rPr>
            </w:pPr>
            <w:r w:rsidRPr="00D83669">
              <w:rPr>
                <w:rFonts w:ascii="Times New Roman" w:hAnsi="Times New Roman" w:cs="Times New Roman"/>
                <w:b/>
                <w:bCs/>
                <w:sz w:val="36"/>
                <w:szCs w:val="36"/>
              </w:rPr>
              <w:lastRenderedPageBreak/>
              <w:sym w:font="Wingdings" w:char="F0FE"/>
            </w:r>
          </w:p>
        </w:tc>
        <w:tc>
          <w:tcPr>
            <w:tcW w:w="2411" w:type="dxa"/>
            <w:vAlign w:val="center"/>
          </w:tcPr>
          <w:p w14:paraId="41047FD5" w14:textId="77777777" w:rsidR="00525D9E" w:rsidRPr="00D83669" w:rsidRDefault="00525D9E" w:rsidP="00525D9E">
            <w:pPr>
              <w:jc w:val="center"/>
              <w:rPr>
                <w:rFonts w:ascii="Times New Roman" w:hAnsi="Times New Roman" w:cs="Times New Roman"/>
                <w:sz w:val="24"/>
                <w:szCs w:val="24"/>
              </w:rPr>
            </w:pPr>
          </w:p>
        </w:tc>
      </w:tr>
      <w:tr w:rsidR="00525D9E" w:rsidRPr="00D83669" w14:paraId="2FFE802A" w14:textId="64A8E00D" w:rsidTr="00525D9E">
        <w:tc>
          <w:tcPr>
            <w:tcW w:w="4252" w:type="dxa"/>
          </w:tcPr>
          <w:p w14:paraId="04DD11BF" w14:textId="77777777" w:rsidR="00525D9E" w:rsidRPr="00D83669" w:rsidRDefault="00525D9E" w:rsidP="00525D9E">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 xml:space="preserve">Късно одобрение на Програмата и закъснение в стартирането на операциите; </w:t>
            </w:r>
          </w:p>
        </w:tc>
        <w:tc>
          <w:tcPr>
            <w:tcW w:w="2411" w:type="dxa"/>
            <w:vAlign w:val="center"/>
          </w:tcPr>
          <w:p w14:paraId="10660F59" w14:textId="77777777" w:rsidR="00525D9E" w:rsidRPr="00D83669" w:rsidRDefault="00525D9E" w:rsidP="00525D9E">
            <w:pPr>
              <w:jc w:val="center"/>
              <w:rPr>
                <w:rFonts w:ascii="Times New Roman" w:hAnsi="Times New Roman" w:cs="Times New Roman"/>
                <w:sz w:val="24"/>
                <w:szCs w:val="24"/>
              </w:rPr>
            </w:pPr>
          </w:p>
        </w:tc>
        <w:tc>
          <w:tcPr>
            <w:tcW w:w="2411" w:type="dxa"/>
            <w:vAlign w:val="center"/>
          </w:tcPr>
          <w:p w14:paraId="3DA82C1D" w14:textId="59769841" w:rsidR="00525D9E" w:rsidRPr="00D83669" w:rsidRDefault="001476A7" w:rsidP="00525D9E">
            <w:pPr>
              <w:jc w:val="center"/>
              <w:rPr>
                <w:rFonts w:ascii="Times New Roman" w:hAnsi="Times New Roman" w:cs="Times New Roman"/>
                <w:sz w:val="24"/>
                <w:szCs w:val="24"/>
              </w:rPr>
            </w:pPr>
            <w:r w:rsidRPr="00D83669">
              <w:rPr>
                <w:rFonts w:ascii="Times New Roman" w:hAnsi="Times New Roman" w:cs="Times New Roman"/>
                <w:b/>
                <w:bCs/>
                <w:sz w:val="36"/>
                <w:szCs w:val="36"/>
              </w:rPr>
              <w:sym w:font="Wingdings" w:char="F0FE"/>
            </w:r>
          </w:p>
        </w:tc>
      </w:tr>
      <w:tr w:rsidR="00525D9E" w:rsidRPr="00D83669" w14:paraId="5909C1F4" w14:textId="77B122C2" w:rsidTr="00525D9E">
        <w:tc>
          <w:tcPr>
            <w:tcW w:w="4252" w:type="dxa"/>
          </w:tcPr>
          <w:p w14:paraId="51879270" w14:textId="704F05DD" w:rsidR="00525D9E" w:rsidRPr="00D83669" w:rsidRDefault="00525D9E" w:rsidP="00525D9E">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Необходимост от придобиване на нови компетентности и квалификации, породени от зеления</w:t>
            </w:r>
            <w:r w:rsidR="00E82A3C" w:rsidRPr="00D83669">
              <w:rPr>
                <w:rFonts w:ascii="Times New Roman" w:hAnsi="Times New Roman" w:cs="Times New Roman"/>
                <w:sz w:val="24"/>
                <w:szCs w:val="24"/>
              </w:rPr>
              <w:t xml:space="preserve"> </w:t>
            </w:r>
            <w:r w:rsidRPr="00D83669">
              <w:rPr>
                <w:rFonts w:ascii="Times New Roman" w:hAnsi="Times New Roman" w:cs="Times New Roman"/>
                <w:sz w:val="24"/>
                <w:szCs w:val="24"/>
              </w:rPr>
              <w:t>и цифровия преход;</w:t>
            </w:r>
          </w:p>
        </w:tc>
        <w:tc>
          <w:tcPr>
            <w:tcW w:w="2411" w:type="dxa"/>
            <w:vAlign w:val="center"/>
          </w:tcPr>
          <w:p w14:paraId="3D9E86AE" w14:textId="64D8FAF9" w:rsidR="00525D9E" w:rsidRPr="00D83669" w:rsidRDefault="00525D9E" w:rsidP="00525D9E">
            <w:pPr>
              <w:jc w:val="center"/>
              <w:rPr>
                <w:rFonts w:ascii="Times New Roman" w:hAnsi="Times New Roman" w:cs="Times New Roman"/>
                <w:sz w:val="24"/>
                <w:szCs w:val="24"/>
              </w:rPr>
            </w:pPr>
            <w:r w:rsidRPr="00D83669">
              <w:rPr>
                <w:rFonts w:ascii="Times New Roman" w:hAnsi="Times New Roman" w:cs="Times New Roman"/>
                <w:b/>
                <w:bCs/>
                <w:sz w:val="36"/>
                <w:szCs w:val="36"/>
              </w:rPr>
              <w:sym w:font="Wingdings" w:char="F0FE"/>
            </w:r>
          </w:p>
        </w:tc>
        <w:tc>
          <w:tcPr>
            <w:tcW w:w="2411" w:type="dxa"/>
            <w:vAlign w:val="center"/>
          </w:tcPr>
          <w:p w14:paraId="618F5E97" w14:textId="77777777" w:rsidR="00525D9E" w:rsidRPr="00D83669" w:rsidRDefault="00525D9E" w:rsidP="00525D9E">
            <w:pPr>
              <w:jc w:val="center"/>
              <w:rPr>
                <w:rFonts w:ascii="Times New Roman" w:hAnsi="Times New Roman" w:cs="Times New Roman"/>
                <w:sz w:val="24"/>
                <w:szCs w:val="24"/>
              </w:rPr>
            </w:pPr>
          </w:p>
        </w:tc>
      </w:tr>
      <w:tr w:rsidR="00525D9E" w:rsidRPr="00D83669" w14:paraId="712FFA99" w14:textId="542CB945" w:rsidTr="00525D9E">
        <w:tc>
          <w:tcPr>
            <w:tcW w:w="4252" w:type="dxa"/>
          </w:tcPr>
          <w:p w14:paraId="6662A3BA" w14:textId="77777777" w:rsidR="00525D9E" w:rsidRPr="00D83669" w:rsidRDefault="00525D9E" w:rsidP="00525D9E">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 xml:space="preserve">Кризи като </w:t>
            </w:r>
            <w:r w:rsidRPr="00D83669">
              <w:rPr>
                <w:rFonts w:ascii="Times New Roman" w:hAnsi="Times New Roman" w:cs="Times New Roman"/>
                <w:sz w:val="24"/>
                <w:szCs w:val="24"/>
                <w:lang w:val="en-US"/>
              </w:rPr>
              <w:t>COVID</w:t>
            </w:r>
            <w:r w:rsidRPr="00D83669">
              <w:rPr>
                <w:rFonts w:ascii="Times New Roman" w:hAnsi="Times New Roman" w:cs="Times New Roman"/>
                <w:sz w:val="24"/>
                <w:szCs w:val="24"/>
              </w:rPr>
              <w:t xml:space="preserve"> -19, които изискват по-специфичен фокус на подкрепата;</w:t>
            </w:r>
          </w:p>
        </w:tc>
        <w:tc>
          <w:tcPr>
            <w:tcW w:w="2411" w:type="dxa"/>
            <w:vAlign w:val="center"/>
          </w:tcPr>
          <w:p w14:paraId="214DAFD9" w14:textId="732101D7" w:rsidR="00525D9E" w:rsidRPr="00D83669" w:rsidRDefault="00525D9E" w:rsidP="00525D9E">
            <w:pPr>
              <w:jc w:val="center"/>
              <w:rPr>
                <w:rFonts w:ascii="Times New Roman" w:hAnsi="Times New Roman" w:cs="Times New Roman"/>
                <w:sz w:val="24"/>
                <w:szCs w:val="24"/>
              </w:rPr>
            </w:pPr>
            <w:r w:rsidRPr="00D83669">
              <w:rPr>
                <w:rFonts w:ascii="Times New Roman" w:hAnsi="Times New Roman" w:cs="Times New Roman"/>
                <w:b/>
                <w:bCs/>
                <w:sz w:val="36"/>
                <w:szCs w:val="36"/>
              </w:rPr>
              <w:sym w:font="Wingdings" w:char="F0FE"/>
            </w:r>
          </w:p>
        </w:tc>
        <w:tc>
          <w:tcPr>
            <w:tcW w:w="2411" w:type="dxa"/>
            <w:vAlign w:val="center"/>
          </w:tcPr>
          <w:p w14:paraId="52CC73EB" w14:textId="77777777" w:rsidR="00525D9E" w:rsidRPr="00D83669" w:rsidRDefault="00525D9E" w:rsidP="00525D9E">
            <w:pPr>
              <w:jc w:val="center"/>
              <w:rPr>
                <w:rFonts w:ascii="Times New Roman" w:hAnsi="Times New Roman" w:cs="Times New Roman"/>
                <w:sz w:val="24"/>
                <w:szCs w:val="24"/>
              </w:rPr>
            </w:pPr>
          </w:p>
        </w:tc>
      </w:tr>
      <w:tr w:rsidR="00525D9E" w:rsidRPr="00D83669" w14:paraId="19B51599" w14:textId="0887CEC6" w:rsidTr="00525D9E">
        <w:tc>
          <w:tcPr>
            <w:tcW w:w="4252" w:type="dxa"/>
          </w:tcPr>
          <w:p w14:paraId="58ADAC3A" w14:textId="77777777" w:rsidR="00525D9E" w:rsidRPr="00D83669" w:rsidRDefault="00525D9E" w:rsidP="00525D9E">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Промени в целевите групи;</w:t>
            </w:r>
          </w:p>
        </w:tc>
        <w:tc>
          <w:tcPr>
            <w:tcW w:w="2411" w:type="dxa"/>
            <w:vAlign w:val="center"/>
          </w:tcPr>
          <w:p w14:paraId="45997E3F" w14:textId="77777777" w:rsidR="00525D9E" w:rsidRPr="00D83669" w:rsidRDefault="00525D9E" w:rsidP="00525D9E">
            <w:pPr>
              <w:jc w:val="center"/>
              <w:rPr>
                <w:rFonts w:ascii="Times New Roman" w:hAnsi="Times New Roman" w:cs="Times New Roman"/>
                <w:sz w:val="24"/>
                <w:szCs w:val="24"/>
              </w:rPr>
            </w:pPr>
          </w:p>
        </w:tc>
        <w:tc>
          <w:tcPr>
            <w:tcW w:w="2411" w:type="dxa"/>
            <w:vAlign w:val="center"/>
          </w:tcPr>
          <w:p w14:paraId="5D143195" w14:textId="3271F0FF" w:rsidR="00525D9E" w:rsidRPr="00D83669" w:rsidRDefault="00525D9E" w:rsidP="00525D9E">
            <w:pPr>
              <w:jc w:val="center"/>
              <w:rPr>
                <w:rFonts w:ascii="Times New Roman" w:hAnsi="Times New Roman" w:cs="Times New Roman"/>
                <w:sz w:val="24"/>
                <w:szCs w:val="24"/>
              </w:rPr>
            </w:pPr>
            <w:r w:rsidRPr="00D83669">
              <w:rPr>
                <w:rFonts w:ascii="Times New Roman" w:hAnsi="Times New Roman" w:cs="Times New Roman"/>
                <w:b/>
                <w:bCs/>
                <w:sz w:val="36"/>
                <w:szCs w:val="36"/>
              </w:rPr>
              <w:sym w:font="Wingdings" w:char="F0FE"/>
            </w:r>
          </w:p>
        </w:tc>
      </w:tr>
      <w:tr w:rsidR="00525D9E" w:rsidRPr="00D83669" w14:paraId="4DD11162" w14:textId="6ABF0F0C" w:rsidTr="00525D9E">
        <w:tc>
          <w:tcPr>
            <w:tcW w:w="4252" w:type="dxa"/>
          </w:tcPr>
          <w:p w14:paraId="530A50F8" w14:textId="77777777" w:rsidR="00525D9E" w:rsidRPr="00D83669" w:rsidRDefault="00525D9E" w:rsidP="00525D9E">
            <w:pPr>
              <w:pStyle w:val="ListParagraph"/>
              <w:numPr>
                <w:ilvl w:val="0"/>
                <w:numId w:val="11"/>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Високи темпове на инфлация, при които равнищата на цените на стоките и услугите се променят с темпове, които</w:t>
            </w:r>
            <w:r w:rsidRPr="00D83669">
              <w:t xml:space="preserve"> </w:t>
            </w:r>
            <w:r w:rsidRPr="00D83669">
              <w:rPr>
                <w:rFonts w:ascii="Times New Roman" w:hAnsi="Times New Roman" w:cs="Times New Roman"/>
                <w:sz w:val="24"/>
                <w:szCs w:val="24"/>
              </w:rPr>
              <w:t>надвишават очакванията в официалните прогнози на местните и международните институции;</w:t>
            </w:r>
          </w:p>
        </w:tc>
        <w:tc>
          <w:tcPr>
            <w:tcW w:w="2411" w:type="dxa"/>
            <w:vAlign w:val="center"/>
          </w:tcPr>
          <w:p w14:paraId="39CA8CA0" w14:textId="60AD0AAA" w:rsidR="00525D9E" w:rsidRPr="00D83669" w:rsidRDefault="00525D9E" w:rsidP="00525D9E">
            <w:pPr>
              <w:jc w:val="center"/>
              <w:rPr>
                <w:rFonts w:ascii="Times New Roman" w:hAnsi="Times New Roman" w:cs="Times New Roman"/>
                <w:sz w:val="24"/>
                <w:szCs w:val="24"/>
              </w:rPr>
            </w:pPr>
          </w:p>
        </w:tc>
        <w:tc>
          <w:tcPr>
            <w:tcW w:w="2411" w:type="dxa"/>
            <w:vAlign w:val="center"/>
          </w:tcPr>
          <w:p w14:paraId="3EB12B1B" w14:textId="6107AF70" w:rsidR="00525D9E" w:rsidRPr="00D83669" w:rsidRDefault="0034220E" w:rsidP="00525D9E">
            <w:pPr>
              <w:jc w:val="center"/>
              <w:rPr>
                <w:rFonts w:ascii="Times New Roman" w:hAnsi="Times New Roman" w:cs="Times New Roman"/>
                <w:sz w:val="24"/>
                <w:szCs w:val="24"/>
              </w:rPr>
            </w:pPr>
            <w:r w:rsidRPr="00D83669">
              <w:rPr>
                <w:rFonts w:ascii="Times New Roman" w:hAnsi="Times New Roman" w:cs="Times New Roman"/>
                <w:b/>
                <w:bCs/>
                <w:sz w:val="36"/>
                <w:szCs w:val="36"/>
              </w:rPr>
              <w:sym w:font="Wingdings" w:char="F0FE"/>
            </w:r>
          </w:p>
        </w:tc>
      </w:tr>
      <w:tr w:rsidR="00525D9E" w:rsidRPr="00D83669" w14:paraId="2FAB963F" w14:textId="280DF821" w:rsidTr="00525D9E">
        <w:tc>
          <w:tcPr>
            <w:tcW w:w="4252" w:type="dxa"/>
          </w:tcPr>
          <w:p w14:paraId="6894CDE4" w14:textId="04BD14E2" w:rsidR="00525D9E" w:rsidRPr="00D83669" w:rsidRDefault="00525D9E" w:rsidP="002C69B8">
            <w:pPr>
              <w:pStyle w:val="ListParagraph"/>
              <w:numPr>
                <w:ilvl w:val="0"/>
                <w:numId w:val="11"/>
              </w:numPr>
              <w:jc w:val="both"/>
              <w:rPr>
                <w:rFonts w:ascii="Times New Roman" w:hAnsi="Times New Roman" w:cs="Times New Roman"/>
                <w:sz w:val="24"/>
                <w:szCs w:val="24"/>
              </w:rPr>
            </w:pPr>
            <w:r w:rsidRPr="00D83669">
              <w:rPr>
                <w:rFonts w:ascii="Times New Roman" w:hAnsi="Times New Roman" w:cs="Times New Roman"/>
                <w:sz w:val="24"/>
                <w:szCs w:val="24"/>
              </w:rPr>
              <w:t>Други</w:t>
            </w:r>
            <w:r w:rsidR="00025276" w:rsidRPr="00D83669">
              <w:rPr>
                <w:rFonts w:ascii="Times New Roman" w:hAnsi="Times New Roman" w:cs="Times New Roman"/>
                <w:sz w:val="24"/>
                <w:szCs w:val="24"/>
              </w:rPr>
              <w:t xml:space="preserve"> непредвидени фактори</w:t>
            </w:r>
            <w:r w:rsidRPr="00D83669">
              <w:rPr>
                <w:rFonts w:ascii="Times New Roman" w:hAnsi="Times New Roman" w:cs="Times New Roman"/>
                <w:sz w:val="24"/>
                <w:szCs w:val="24"/>
              </w:rPr>
              <w:t>.</w:t>
            </w:r>
          </w:p>
        </w:tc>
        <w:tc>
          <w:tcPr>
            <w:tcW w:w="2411" w:type="dxa"/>
            <w:vAlign w:val="center"/>
          </w:tcPr>
          <w:p w14:paraId="49124D64" w14:textId="1F64AAF6" w:rsidR="00525D9E" w:rsidRPr="00D83669" w:rsidRDefault="00525D9E" w:rsidP="00525D9E">
            <w:pPr>
              <w:jc w:val="both"/>
              <w:rPr>
                <w:rFonts w:ascii="Times New Roman" w:hAnsi="Times New Roman" w:cs="Times New Roman"/>
                <w:sz w:val="24"/>
                <w:szCs w:val="24"/>
              </w:rPr>
            </w:pPr>
          </w:p>
        </w:tc>
        <w:tc>
          <w:tcPr>
            <w:tcW w:w="2411" w:type="dxa"/>
            <w:vAlign w:val="center"/>
          </w:tcPr>
          <w:p w14:paraId="0E45D8CA" w14:textId="21EF40D2" w:rsidR="00525D9E" w:rsidRPr="00D83669" w:rsidRDefault="003B49DA" w:rsidP="000632B9">
            <w:pPr>
              <w:jc w:val="center"/>
              <w:rPr>
                <w:rFonts w:ascii="Times New Roman" w:hAnsi="Times New Roman" w:cs="Times New Roman"/>
                <w:sz w:val="24"/>
                <w:szCs w:val="24"/>
              </w:rPr>
            </w:pPr>
            <w:r w:rsidRPr="00D83669">
              <w:rPr>
                <w:rFonts w:ascii="Times New Roman" w:hAnsi="Times New Roman" w:cs="Times New Roman"/>
                <w:b/>
                <w:bCs/>
                <w:sz w:val="36"/>
                <w:szCs w:val="36"/>
              </w:rPr>
              <w:sym w:font="Wingdings" w:char="F0FE"/>
            </w:r>
          </w:p>
        </w:tc>
      </w:tr>
    </w:tbl>
    <w:p w14:paraId="20D4DF3E" w14:textId="77777777" w:rsidR="00843055" w:rsidRPr="00D83669" w:rsidRDefault="00843055" w:rsidP="00843055">
      <w:pPr>
        <w:pStyle w:val="ListParagraph"/>
        <w:jc w:val="both"/>
        <w:rPr>
          <w:rFonts w:ascii="Times New Roman" w:hAnsi="Times New Roman" w:cs="Times New Roman"/>
          <w:sz w:val="24"/>
          <w:szCs w:val="24"/>
        </w:rPr>
      </w:pPr>
    </w:p>
    <w:p w14:paraId="1FBA033D" w14:textId="46AC3FBD" w:rsidR="00C63818" w:rsidRPr="00D83669" w:rsidRDefault="00EE4A6B" w:rsidP="000632B9">
      <w:pPr>
        <w:pStyle w:val="Heading1"/>
        <w:numPr>
          <w:ilvl w:val="0"/>
          <w:numId w:val="19"/>
        </w:numPr>
        <w:spacing w:after="240" w:line="360" w:lineRule="auto"/>
        <w:ind w:left="0" w:firstLine="0"/>
        <w:jc w:val="both"/>
        <w:rPr>
          <w:rFonts w:ascii="Times New Roman" w:hAnsi="Times New Roman" w:cs="Times New Roman"/>
          <w:b/>
          <w:color w:val="auto"/>
          <w:sz w:val="28"/>
          <w:szCs w:val="28"/>
          <w:lang w:val="bg-BG"/>
        </w:rPr>
      </w:pPr>
      <w:bookmarkStart w:id="12" w:name="_Toc100732199"/>
      <w:bookmarkStart w:id="13" w:name="_Toc100732360"/>
      <w:bookmarkStart w:id="14" w:name="_Toc100732514"/>
      <w:bookmarkStart w:id="15" w:name="_Toc100732943"/>
      <w:bookmarkStart w:id="16" w:name="_Toc100733012"/>
      <w:bookmarkStart w:id="17" w:name="_Toc100733662"/>
      <w:bookmarkStart w:id="18" w:name="_Toc100838587"/>
      <w:bookmarkStart w:id="19" w:name="_Toc100838974"/>
      <w:bookmarkStart w:id="20" w:name="_Toc100839044"/>
      <w:bookmarkStart w:id="21" w:name="_Toc100839079"/>
      <w:bookmarkStart w:id="22" w:name="_Toc100839155"/>
      <w:bookmarkStart w:id="23" w:name="_Toc100839191"/>
      <w:bookmarkStart w:id="24" w:name="_Toc100839227"/>
      <w:bookmarkStart w:id="25" w:name="_Toc100839263"/>
      <w:bookmarkStart w:id="26" w:name="_Toc100839299"/>
      <w:bookmarkStart w:id="27" w:name="_Toc100839334"/>
      <w:bookmarkStart w:id="28" w:name="_Toc100839368"/>
      <w:bookmarkStart w:id="29" w:name="_Toc100839405"/>
      <w:bookmarkStart w:id="30" w:name="_Toc100842613"/>
      <w:bookmarkStart w:id="31" w:name="_Toc101355741"/>
      <w:bookmarkStart w:id="32" w:name="_Toc101355783"/>
      <w:bookmarkStart w:id="33" w:name="_Toc101356410"/>
      <w:bookmarkStart w:id="34" w:name="_Toc100732200"/>
      <w:bookmarkStart w:id="35" w:name="_Toc100732361"/>
      <w:bookmarkStart w:id="36" w:name="_Toc100732515"/>
      <w:bookmarkStart w:id="37" w:name="_Toc100732944"/>
      <w:bookmarkStart w:id="38" w:name="_Toc100733013"/>
      <w:bookmarkStart w:id="39" w:name="_Toc100733663"/>
      <w:bookmarkStart w:id="40" w:name="_Toc100838588"/>
      <w:bookmarkStart w:id="41" w:name="_Toc100838975"/>
      <w:bookmarkStart w:id="42" w:name="_Toc100839045"/>
      <w:bookmarkStart w:id="43" w:name="_Toc100839080"/>
      <w:bookmarkStart w:id="44" w:name="_Toc100839156"/>
      <w:bookmarkStart w:id="45" w:name="_Toc100839192"/>
      <w:bookmarkStart w:id="46" w:name="_Toc100839228"/>
      <w:bookmarkStart w:id="47" w:name="_Toc100839264"/>
      <w:bookmarkStart w:id="48" w:name="_Toc100839300"/>
      <w:bookmarkStart w:id="49" w:name="_Toc100839335"/>
      <w:bookmarkStart w:id="50" w:name="_Toc100839369"/>
      <w:bookmarkStart w:id="51" w:name="_Toc100839406"/>
      <w:bookmarkStart w:id="52" w:name="_Toc100842614"/>
      <w:bookmarkStart w:id="53" w:name="_Toc101355742"/>
      <w:bookmarkStart w:id="54" w:name="_Toc101355784"/>
      <w:bookmarkStart w:id="55" w:name="_Toc101356411"/>
      <w:bookmarkStart w:id="56" w:name="_Toc103586638"/>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r w:rsidRPr="00D83669">
        <w:rPr>
          <w:rFonts w:ascii="Times New Roman" w:hAnsi="Times New Roman" w:cs="Times New Roman"/>
          <w:b/>
          <w:color w:val="auto"/>
          <w:sz w:val="28"/>
          <w:szCs w:val="28"/>
          <w:lang w:val="bg-BG"/>
        </w:rPr>
        <w:t>Преразглеждане</w:t>
      </w:r>
      <w:r w:rsidR="00050ABB" w:rsidRPr="00D83669">
        <w:rPr>
          <w:rFonts w:ascii="Times New Roman" w:hAnsi="Times New Roman" w:cs="Times New Roman"/>
          <w:b/>
          <w:color w:val="auto"/>
          <w:sz w:val="28"/>
          <w:szCs w:val="28"/>
          <w:lang w:val="bg-BG"/>
        </w:rPr>
        <w:t xml:space="preserve"> на целевите стойности на </w:t>
      </w:r>
      <w:r w:rsidR="0034220E" w:rsidRPr="00D83669">
        <w:rPr>
          <w:rFonts w:ascii="Times New Roman" w:hAnsi="Times New Roman" w:cs="Times New Roman"/>
          <w:b/>
          <w:color w:val="auto"/>
          <w:sz w:val="28"/>
          <w:szCs w:val="28"/>
          <w:lang w:val="bg-BG"/>
        </w:rPr>
        <w:t xml:space="preserve">показателите </w:t>
      </w:r>
      <w:r w:rsidR="007161D7" w:rsidRPr="00D83669">
        <w:rPr>
          <w:rFonts w:ascii="Times New Roman" w:hAnsi="Times New Roman" w:cs="Times New Roman"/>
          <w:b/>
          <w:color w:val="auto"/>
          <w:sz w:val="28"/>
          <w:szCs w:val="28"/>
          <w:lang w:val="bg-BG"/>
        </w:rPr>
        <w:t>в процеса на изпълнение на ПО</w:t>
      </w:r>
      <w:bookmarkEnd w:id="56"/>
    </w:p>
    <w:p w14:paraId="2CF395DA" w14:textId="1ED0383F" w:rsidR="0081144A" w:rsidRPr="00D83669" w:rsidRDefault="0081144A" w:rsidP="003E4E02">
      <w:pPr>
        <w:pStyle w:val="ListParagraph"/>
        <w:numPr>
          <w:ilvl w:val="0"/>
          <w:numId w:val="12"/>
        </w:numPr>
        <w:jc w:val="both"/>
        <w:rPr>
          <w:rFonts w:ascii="Times New Roman" w:hAnsi="Times New Roman" w:cs="Times New Roman"/>
          <w:sz w:val="24"/>
          <w:szCs w:val="24"/>
        </w:rPr>
      </w:pPr>
      <w:r w:rsidRPr="00D83669">
        <w:rPr>
          <w:rFonts w:ascii="Times New Roman" w:hAnsi="Times New Roman" w:cs="Times New Roman"/>
          <w:sz w:val="24"/>
          <w:szCs w:val="24"/>
        </w:rPr>
        <w:t xml:space="preserve">В случай на големи закъснения в стартирането/изпълнението на </w:t>
      </w:r>
      <w:r w:rsidR="00CD3FCA" w:rsidRPr="00D83669">
        <w:rPr>
          <w:rFonts w:ascii="Times New Roman" w:hAnsi="Times New Roman" w:cs="Times New Roman"/>
          <w:sz w:val="24"/>
          <w:szCs w:val="24"/>
        </w:rPr>
        <w:t>Програмата</w:t>
      </w:r>
      <w:r w:rsidRPr="00D83669">
        <w:rPr>
          <w:rFonts w:ascii="Times New Roman" w:hAnsi="Times New Roman" w:cs="Times New Roman"/>
          <w:sz w:val="24"/>
          <w:szCs w:val="24"/>
        </w:rPr>
        <w:t>;</w:t>
      </w:r>
    </w:p>
    <w:p w14:paraId="17C8879E" w14:textId="3DE49DA5" w:rsidR="00A40F3C" w:rsidRPr="00D83669" w:rsidRDefault="00A40F3C" w:rsidP="009D0842">
      <w:pPr>
        <w:pStyle w:val="ListParagraph"/>
        <w:numPr>
          <w:ilvl w:val="0"/>
          <w:numId w:val="12"/>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При</w:t>
      </w:r>
      <w:r w:rsidR="00050ABB" w:rsidRPr="00D83669">
        <w:rPr>
          <w:rFonts w:ascii="Times New Roman" w:hAnsi="Times New Roman" w:cs="Times New Roman"/>
          <w:sz w:val="24"/>
          <w:szCs w:val="24"/>
        </w:rPr>
        <w:t xml:space="preserve"> установено системно неизпълнение/ преизпълнение на планираните целевите стойности на </w:t>
      </w:r>
      <w:r w:rsidR="0034220E" w:rsidRPr="00D83669">
        <w:rPr>
          <w:rFonts w:ascii="Times New Roman" w:hAnsi="Times New Roman" w:cs="Times New Roman"/>
          <w:sz w:val="24"/>
          <w:szCs w:val="24"/>
        </w:rPr>
        <w:t>показатели</w:t>
      </w:r>
      <w:r w:rsidRPr="00D83669">
        <w:rPr>
          <w:rFonts w:ascii="Times New Roman" w:hAnsi="Times New Roman" w:cs="Times New Roman"/>
          <w:sz w:val="24"/>
          <w:szCs w:val="24"/>
        </w:rPr>
        <w:t>;</w:t>
      </w:r>
    </w:p>
    <w:p w14:paraId="03076D74" w14:textId="7AA134B9" w:rsidR="00662492" w:rsidRPr="00D83669" w:rsidRDefault="00662492" w:rsidP="003E4E02">
      <w:pPr>
        <w:pStyle w:val="ListParagraph"/>
        <w:numPr>
          <w:ilvl w:val="0"/>
          <w:numId w:val="12"/>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 xml:space="preserve">При изменение на </w:t>
      </w:r>
      <w:r w:rsidR="00CD3FCA" w:rsidRPr="00D83669">
        <w:rPr>
          <w:rFonts w:ascii="Times New Roman" w:hAnsi="Times New Roman" w:cs="Times New Roman"/>
          <w:sz w:val="24"/>
          <w:szCs w:val="24"/>
        </w:rPr>
        <w:t>Програмата</w:t>
      </w:r>
      <w:r w:rsidRPr="00D83669">
        <w:rPr>
          <w:rFonts w:ascii="Times New Roman" w:hAnsi="Times New Roman" w:cs="Times New Roman"/>
          <w:sz w:val="24"/>
          <w:szCs w:val="24"/>
        </w:rPr>
        <w:t>, което води до промени във фокуса на подкрепата</w:t>
      </w:r>
      <w:r w:rsidR="00B568F1" w:rsidRPr="00D83669">
        <w:rPr>
          <w:rFonts w:ascii="Times New Roman" w:hAnsi="Times New Roman" w:cs="Times New Roman"/>
          <w:sz w:val="24"/>
          <w:szCs w:val="24"/>
        </w:rPr>
        <w:t xml:space="preserve"> и др.</w:t>
      </w:r>
      <w:r w:rsidRPr="00D83669">
        <w:rPr>
          <w:rFonts w:ascii="Times New Roman" w:hAnsi="Times New Roman" w:cs="Times New Roman"/>
          <w:sz w:val="24"/>
          <w:szCs w:val="24"/>
        </w:rPr>
        <w:t>;</w:t>
      </w:r>
    </w:p>
    <w:p w14:paraId="4EFE9F55" w14:textId="77EE6B56" w:rsidR="009C609D" w:rsidRPr="00D83669" w:rsidRDefault="0081144A" w:rsidP="003E4E02">
      <w:pPr>
        <w:pStyle w:val="ListParagraph"/>
        <w:numPr>
          <w:ilvl w:val="0"/>
          <w:numId w:val="12"/>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К</w:t>
      </w:r>
      <w:r w:rsidR="00C63818" w:rsidRPr="00D83669">
        <w:rPr>
          <w:rFonts w:ascii="Times New Roman" w:hAnsi="Times New Roman" w:cs="Times New Roman"/>
          <w:sz w:val="24"/>
          <w:szCs w:val="24"/>
        </w:rPr>
        <w:t>ато част от междинния преглед</w:t>
      </w:r>
      <w:r w:rsidR="00E03033" w:rsidRPr="00D83669">
        <w:rPr>
          <w:rFonts w:ascii="Times New Roman" w:hAnsi="Times New Roman" w:cs="Times New Roman"/>
          <w:sz w:val="24"/>
          <w:szCs w:val="24"/>
        </w:rPr>
        <w:t xml:space="preserve"> на </w:t>
      </w:r>
      <w:r w:rsidR="00CD3FCA" w:rsidRPr="00D83669">
        <w:rPr>
          <w:rFonts w:ascii="Times New Roman" w:hAnsi="Times New Roman" w:cs="Times New Roman"/>
          <w:sz w:val="24"/>
          <w:szCs w:val="24"/>
        </w:rPr>
        <w:t>Програмата</w:t>
      </w:r>
      <w:r w:rsidR="00C63818" w:rsidRPr="00D83669">
        <w:rPr>
          <w:rFonts w:ascii="Times New Roman" w:hAnsi="Times New Roman" w:cs="Times New Roman"/>
          <w:sz w:val="24"/>
          <w:szCs w:val="24"/>
        </w:rPr>
        <w:t xml:space="preserve">, както е </w:t>
      </w:r>
      <w:r w:rsidR="0047574A" w:rsidRPr="00D83669">
        <w:rPr>
          <w:rFonts w:ascii="Times New Roman" w:hAnsi="Times New Roman" w:cs="Times New Roman"/>
          <w:sz w:val="24"/>
          <w:szCs w:val="24"/>
        </w:rPr>
        <w:t>описано в</w:t>
      </w:r>
      <w:r w:rsidR="00C63818" w:rsidRPr="00D83669">
        <w:rPr>
          <w:rFonts w:ascii="Times New Roman" w:hAnsi="Times New Roman" w:cs="Times New Roman"/>
          <w:sz w:val="24"/>
          <w:szCs w:val="24"/>
        </w:rPr>
        <w:t xml:space="preserve"> чл. 18 </w:t>
      </w:r>
      <w:r w:rsidR="0047574A" w:rsidRPr="00D83669">
        <w:rPr>
          <w:rFonts w:ascii="Times New Roman" w:hAnsi="Times New Roman" w:cs="Times New Roman"/>
          <w:sz w:val="24"/>
          <w:szCs w:val="24"/>
        </w:rPr>
        <w:t>на Регламент (ЕС) 2021/1060</w:t>
      </w:r>
      <w:r w:rsidR="00843055" w:rsidRPr="00D83669">
        <w:rPr>
          <w:rFonts w:ascii="Times New Roman" w:hAnsi="Times New Roman" w:cs="Times New Roman"/>
          <w:sz w:val="24"/>
          <w:szCs w:val="24"/>
        </w:rPr>
        <w:t>;</w:t>
      </w:r>
    </w:p>
    <w:p w14:paraId="7F87CCD8" w14:textId="50BCAA79" w:rsidR="00C63818" w:rsidRPr="00D83669" w:rsidRDefault="00843055" w:rsidP="007750A6">
      <w:pPr>
        <w:pStyle w:val="ListParagraph"/>
        <w:numPr>
          <w:ilvl w:val="0"/>
          <w:numId w:val="12"/>
        </w:numPr>
        <w:ind w:left="0" w:firstLine="360"/>
        <w:jc w:val="both"/>
        <w:rPr>
          <w:rFonts w:ascii="Times New Roman" w:hAnsi="Times New Roman" w:cs="Times New Roman"/>
          <w:sz w:val="24"/>
          <w:szCs w:val="24"/>
        </w:rPr>
      </w:pPr>
      <w:r w:rsidRPr="00D83669">
        <w:rPr>
          <w:rFonts w:ascii="Times New Roman" w:hAnsi="Times New Roman" w:cs="Times New Roman"/>
          <w:sz w:val="24"/>
          <w:szCs w:val="24"/>
        </w:rPr>
        <w:t xml:space="preserve">Други </w:t>
      </w:r>
      <w:r w:rsidR="003A42DF" w:rsidRPr="00D83669">
        <w:rPr>
          <w:rFonts w:ascii="Times New Roman" w:hAnsi="Times New Roman" w:cs="Times New Roman"/>
          <w:sz w:val="24"/>
          <w:szCs w:val="24"/>
        </w:rPr>
        <w:t>непредвидени</w:t>
      </w:r>
      <w:r w:rsidRPr="00D83669">
        <w:rPr>
          <w:rFonts w:ascii="Times New Roman" w:hAnsi="Times New Roman" w:cs="Times New Roman"/>
          <w:sz w:val="24"/>
          <w:szCs w:val="24"/>
        </w:rPr>
        <w:t xml:space="preserve"> обстоятелства.</w:t>
      </w:r>
    </w:p>
    <w:p w14:paraId="70E4CA15" w14:textId="14297793" w:rsidR="00D857FE" w:rsidRPr="00D83669" w:rsidRDefault="00D857FE" w:rsidP="00D857FE">
      <w:pPr>
        <w:pStyle w:val="ListParagraph"/>
        <w:ind w:left="360"/>
        <w:jc w:val="both"/>
        <w:rPr>
          <w:rFonts w:ascii="Times New Roman" w:hAnsi="Times New Roman" w:cs="Times New Roman"/>
          <w:sz w:val="24"/>
          <w:szCs w:val="24"/>
        </w:rPr>
      </w:pPr>
    </w:p>
    <w:p w14:paraId="15DD0444" w14:textId="5AF97194" w:rsidR="00D857FE" w:rsidRPr="00D83669" w:rsidRDefault="00D857FE" w:rsidP="00D857FE">
      <w:pPr>
        <w:pStyle w:val="ListParagraph"/>
        <w:ind w:left="360"/>
        <w:jc w:val="both"/>
        <w:rPr>
          <w:rFonts w:ascii="Times New Roman" w:hAnsi="Times New Roman" w:cs="Times New Roman"/>
          <w:sz w:val="24"/>
          <w:szCs w:val="24"/>
        </w:rPr>
      </w:pPr>
    </w:p>
    <w:p w14:paraId="2E87228B" w14:textId="1144F7EE" w:rsidR="00D857FE" w:rsidRPr="00D83669" w:rsidRDefault="00D857FE" w:rsidP="00D857FE">
      <w:pPr>
        <w:pStyle w:val="ListParagraph"/>
        <w:ind w:left="360"/>
        <w:jc w:val="both"/>
        <w:rPr>
          <w:rFonts w:ascii="Times New Roman" w:hAnsi="Times New Roman" w:cs="Times New Roman"/>
          <w:sz w:val="24"/>
          <w:szCs w:val="24"/>
        </w:rPr>
      </w:pPr>
    </w:p>
    <w:p w14:paraId="1DE8193D" w14:textId="6C1D0057" w:rsidR="00D857FE" w:rsidRPr="00D83669" w:rsidRDefault="00D857FE" w:rsidP="00D857FE">
      <w:pPr>
        <w:pStyle w:val="ListParagraph"/>
        <w:ind w:left="360"/>
        <w:jc w:val="both"/>
        <w:rPr>
          <w:rFonts w:ascii="Times New Roman" w:hAnsi="Times New Roman" w:cs="Times New Roman"/>
          <w:sz w:val="24"/>
          <w:szCs w:val="24"/>
        </w:rPr>
      </w:pPr>
    </w:p>
    <w:p w14:paraId="2FA2F8E0" w14:textId="1A32792D" w:rsidR="00D857FE" w:rsidRPr="00D83669" w:rsidRDefault="00D857FE" w:rsidP="00D857FE">
      <w:pPr>
        <w:pStyle w:val="ListParagraph"/>
        <w:ind w:left="360"/>
        <w:jc w:val="both"/>
        <w:rPr>
          <w:rFonts w:ascii="Times New Roman" w:hAnsi="Times New Roman" w:cs="Times New Roman"/>
          <w:sz w:val="24"/>
          <w:szCs w:val="24"/>
        </w:rPr>
      </w:pPr>
    </w:p>
    <w:p w14:paraId="1D5F77FC" w14:textId="728AC0B5" w:rsidR="00D857FE" w:rsidRPr="00D83669" w:rsidRDefault="00D857FE" w:rsidP="00D857FE">
      <w:pPr>
        <w:pStyle w:val="ListParagraph"/>
        <w:ind w:left="360"/>
        <w:jc w:val="both"/>
        <w:rPr>
          <w:rFonts w:ascii="Times New Roman" w:hAnsi="Times New Roman" w:cs="Times New Roman"/>
          <w:sz w:val="24"/>
          <w:szCs w:val="24"/>
        </w:rPr>
      </w:pPr>
    </w:p>
    <w:p w14:paraId="500FC881" w14:textId="088BD44F" w:rsidR="00D857FE" w:rsidRPr="00D83669" w:rsidRDefault="00D857FE" w:rsidP="00D857FE">
      <w:pPr>
        <w:pStyle w:val="ListParagraph"/>
        <w:ind w:left="360"/>
        <w:jc w:val="both"/>
        <w:rPr>
          <w:rFonts w:ascii="Times New Roman" w:hAnsi="Times New Roman" w:cs="Times New Roman"/>
          <w:sz w:val="24"/>
          <w:szCs w:val="24"/>
        </w:rPr>
      </w:pPr>
    </w:p>
    <w:p w14:paraId="775C8D33" w14:textId="34A1C7B4" w:rsidR="00D857FE" w:rsidRPr="00D83669" w:rsidRDefault="00D857FE" w:rsidP="00D857FE">
      <w:pPr>
        <w:pStyle w:val="ListParagraph"/>
        <w:ind w:left="360"/>
        <w:jc w:val="both"/>
        <w:rPr>
          <w:rFonts w:ascii="Times New Roman" w:hAnsi="Times New Roman" w:cs="Times New Roman"/>
          <w:sz w:val="24"/>
          <w:szCs w:val="24"/>
        </w:rPr>
      </w:pPr>
    </w:p>
    <w:p w14:paraId="3D7706B4" w14:textId="1A48F7B7" w:rsidR="00D857FE" w:rsidRPr="00D83669" w:rsidRDefault="00D857FE" w:rsidP="00D857FE">
      <w:pPr>
        <w:pStyle w:val="ListParagraph"/>
        <w:ind w:left="360"/>
        <w:jc w:val="both"/>
        <w:rPr>
          <w:rFonts w:ascii="Times New Roman" w:hAnsi="Times New Roman" w:cs="Times New Roman"/>
          <w:sz w:val="24"/>
          <w:szCs w:val="24"/>
        </w:rPr>
      </w:pPr>
    </w:p>
    <w:p w14:paraId="7C53F687" w14:textId="3C258B16" w:rsidR="00D857FE" w:rsidRPr="00D83669" w:rsidRDefault="00D857FE" w:rsidP="00D857FE">
      <w:pPr>
        <w:pStyle w:val="ListParagraph"/>
        <w:ind w:left="360"/>
        <w:jc w:val="both"/>
        <w:rPr>
          <w:rFonts w:ascii="Times New Roman" w:hAnsi="Times New Roman" w:cs="Times New Roman"/>
          <w:sz w:val="24"/>
          <w:szCs w:val="24"/>
        </w:rPr>
      </w:pPr>
    </w:p>
    <w:p w14:paraId="07559028" w14:textId="7887F4BE" w:rsidR="00D857FE" w:rsidRPr="00D83669" w:rsidRDefault="00D857FE" w:rsidP="00D857FE">
      <w:pPr>
        <w:pStyle w:val="ListParagraph"/>
        <w:ind w:left="360"/>
        <w:jc w:val="both"/>
        <w:rPr>
          <w:rFonts w:ascii="Times New Roman" w:hAnsi="Times New Roman" w:cs="Times New Roman"/>
          <w:sz w:val="24"/>
          <w:szCs w:val="24"/>
        </w:rPr>
      </w:pPr>
    </w:p>
    <w:p w14:paraId="12C50F4B" w14:textId="2CE863E0" w:rsidR="00D857FE" w:rsidRPr="00D83669" w:rsidRDefault="00D857FE" w:rsidP="00D857FE">
      <w:pPr>
        <w:pStyle w:val="ListParagraph"/>
        <w:ind w:left="360"/>
        <w:jc w:val="both"/>
        <w:rPr>
          <w:rFonts w:ascii="Times New Roman" w:hAnsi="Times New Roman" w:cs="Times New Roman"/>
          <w:sz w:val="24"/>
          <w:szCs w:val="24"/>
        </w:rPr>
      </w:pPr>
    </w:p>
    <w:p w14:paraId="3D9BC285" w14:textId="77777777" w:rsidR="00C01026" w:rsidRPr="00D83669" w:rsidRDefault="00C01026" w:rsidP="00D857FE">
      <w:pPr>
        <w:pStyle w:val="ListParagraph"/>
        <w:ind w:left="360"/>
        <w:jc w:val="both"/>
        <w:rPr>
          <w:rFonts w:ascii="Times New Roman" w:hAnsi="Times New Roman" w:cs="Times New Roman"/>
          <w:sz w:val="24"/>
          <w:szCs w:val="24"/>
        </w:rPr>
        <w:sectPr w:rsidR="00C01026" w:rsidRPr="00D83669" w:rsidSect="00C01026">
          <w:pgSz w:w="11906" w:h="16838"/>
          <w:pgMar w:top="1411" w:right="1411" w:bottom="993" w:left="1411" w:header="706" w:footer="706" w:gutter="0"/>
          <w:cols w:space="708"/>
          <w:docGrid w:linePitch="360"/>
        </w:sectPr>
      </w:pPr>
    </w:p>
    <w:p w14:paraId="2E32E35F" w14:textId="6D39945D" w:rsidR="00D857FE" w:rsidRPr="00D83669" w:rsidRDefault="00D857FE" w:rsidP="000742C2">
      <w:pPr>
        <w:pStyle w:val="Heading1"/>
        <w:numPr>
          <w:ilvl w:val="0"/>
          <w:numId w:val="19"/>
        </w:numPr>
        <w:spacing w:after="240" w:line="360" w:lineRule="auto"/>
        <w:ind w:left="0" w:firstLine="0"/>
        <w:rPr>
          <w:rFonts w:ascii="Times New Roman" w:hAnsi="Times New Roman" w:cs="Times New Roman"/>
          <w:b/>
          <w:color w:val="auto"/>
          <w:sz w:val="28"/>
          <w:szCs w:val="28"/>
          <w:lang w:val="bg-BG"/>
        </w:rPr>
      </w:pPr>
      <w:bookmarkStart w:id="57" w:name="_Toc103586639"/>
      <w:r w:rsidRPr="00D83669">
        <w:rPr>
          <w:rFonts w:ascii="Times New Roman" w:hAnsi="Times New Roman" w:cs="Times New Roman"/>
          <w:b/>
          <w:color w:val="auto"/>
          <w:sz w:val="28"/>
          <w:szCs w:val="28"/>
          <w:lang w:val="bg-BG"/>
        </w:rPr>
        <w:lastRenderedPageBreak/>
        <w:t>Фишове на показателите от Програма „Образование“ 2021 – 2027</w:t>
      </w:r>
      <w:bookmarkEnd w:id="57"/>
    </w:p>
    <w:p w14:paraId="5D768B05" w14:textId="120FB220" w:rsidR="00D857FE" w:rsidRPr="00D83669" w:rsidRDefault="00D857FE" w:rsidP="008D1CDD">
      <w:pPr>
        <w:pStyle w:val="Heading1"/>
        <w:jc w:val="both"/>
        <w:rPr>
          <w:rFonts w:ascii="Times New Roman" w:hAnsi="Times New Roman" w:cs="Times New Roman"/>
          <w:lang w:val="bg-BG"/>
        </w:rPr>
      </w:pPr>
      <w:bookmarkStart w:id="58" w:name="_Toc98778782"/>
      <w:bookmarkStart w:id="59" w:name="_Toc100152964"/>
      <w:bookmarkStart w:id="60" w:name="_Toc103586640"/>
      <w:r w:rsidRPr="00D83669">
        <w:rPr>
          <w:rFonts w:ascii="Times New Roman" w:hAnsi="Times New Roman" w:cs="Times New Roman"/>
          <w:lang w:val="bg-BG"/>
        </w:rPr>
        <w:t>ПРИОРИТЕТ 1 – ПРИОБЩАВАЩО ОБРАЗОВАНИЕ И ОБРАЗОВАТЕЛНА ИНТЕГРАЦИЯ</w:t>
      </w:r>
      <w:bookmarkEnd w:id="58"/>
      <w:bookmarkEnd w:id="59"/>
      <w:bookmarkEnd w:id="60"/>
    </w:p>
    <w:p w14:paraId="79F0A07C" w14:textId="1F49B421" w:rsidR="004826FF" w:rsidRPr="00D83669" w:rsidRDefault="00D857FE" w:rsidP="00D337FC">
      <w:pPr>
        <w:pStyle w:val="Heading1"/>
        <w:rPr>
          <w:rFonts w:ascii="Times New Roman" w:hAnsi="Times New Roman" w:cs="Times New Roman"/>
          <w:b/>
          <w:bCs/>
          <w:sz w:val="28"/>
          <w:szCs w:val="28"/>
          <w:lang w:val="bg-BG"/>
        </w:rPr>
      </w:pPr>
      <w:bookmarkStart w:id="61" w:name="_Toc103586641"/>
      <w:bookmarkStart w:id="62" w:name="_Toc98778783"/>
      <w:bookmarkStart w:id="63" w:name="_Toc100152965"/>
      <w:r w:rsidRPr="00D83669">
        <w:rPr>
          <w:rFonts w:ascii="Times New Roman" w:hAnsi="Times New Roman" w:cs="Times New Roman"/>
          <w:b/>
          <w:bCs/>
          <w:sz w:val="28"/>
          <w:szCs w:val="28"/>
          <w:lang w:val="bg-BG"/>
        </w:rPr>
        <w:t>СЦ по Чл. 4, пар. 1, буква е)</w:t>
      </w:r>
      <w:bookmarkEnd w:id="61"/>
      <w:r w:rsidRPr="00D83669">
        <w:rPr>
          <w:rFonts w:ascii="Times New Roman" w:hAnsi="Times New Roman" w:cs="Times New Roman"/>
          <w:b/>
          <w:bCs/>
          <w:sz w:val="28"/>
          <w:szCs w:val="28"/>
          <w:lang w:val="bg-BG"/>
        </w:rPr>
        <w:t xml:space="preserve"> </w:t>
      </w:r>
    </w:p>
    <w:p w14:paraId="27C02086" w14:textId="7A7F7307" w:rsidR="00D857FE" w:rsidRPr="00D83669" w:rsidRDefault="00D857FE" w:rsidP="004826FF">
      <w:pPr>
        <w:jc w:val="both"/>
        <w:rPr>
          <w:rFonts w:ascii="Times New Roman" w:hAnsi="Times New Roman" w:cs="Times New Roman"/>
          <w:color w:val="2E74B5" w:themeColor="accent1" w:themeShade="BF"/>
          <w:sz w:val="24"/>
          <w:szCs w:val="24"/>
        </w:rPr>
      </w:pPr>
      <w:r w:rsidRPr="00D83669">
        <w:rPr>
          <w:rFonts w:ascii="Times New Roman" w:hAnsi="Times New Roman" w:cs="Times New Roman"/>
          <w:color w:val="2E74B5" w:themeColor="accent1" w:themeShade="BF"/>
          <w:sz w:val="24"/>
          <w:szCs w:val="24"/>
        </w:rPr>
        <w:t>Насърчаване на равния достъп до качествено и приобщаващо образование и обучение, както и на неговото завършване, по-специално за групите в неравностойно положение –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 и достъпността за хората с увреждания</w:t>
      </w:r>
      <w:bookmarkEnd w:id="62"/>
      <w:bookmarkEnd w:id="63"/>
    </w:p>
    <w:p w14:paraId="10AC8921" w14:textId="2C14A3B2" w:rsidR="00D857FE" w:rsidRPr="00D83669" w:rsidRDefault="00D857FE" w:rsidP="0010156D">
      <w:pPr>
        <w:pStyle w:val="Heading3"/>
        <w:ind w:left="567"/>
        <w:jc w:val="both"/>
        <w:rPr>
          <w:rFonts w:ascii="Times New Roman" w:hAnsi="Times New Roman" w:cs="Times New Roman"/>
          <w:color w:val="000000" w:themeColor="text1"/>
        </w:rPr>
      </w:pPr>
      <w:bookmarkStart w:id="64" w:name="_Toc98778784"/>
      <w:bookmarkStart w:id="65" w:name="_Toc100152966"/>
      <w:bookmarkStart w:id="66" w:name="_Toc103586642"/>
      <w:r w:rsidRPr="00D83669">
        <w:rPr>
          <w:rFonts w:ascii="Times New Roman" w:hAnsi="Times New Roman" w:cs="Times New Roman"/>
        </w:rPr>
        <w:t>Показатели за крайни продукти</w:t>
      </w:r>
      <w:bookmarkEnd w:id="64"/>
      <w:bookmarkEnd w:id="65"/>
      <w:bookmarkEnd w:id="66"/>
      <w:r w:rsidRPr="00D83669">
        <w:rPr>
          <w:rFonts w:ascii="Times New Roman" w:hAnsi="Times New Roman" w:cs="Times New Roman"/>
          <w:color w:val="000000" w:themeColor="text1"/>
        </w:rPr>
        <w:t xml:space="preserve"> </w:t>
      </w:r>
    </w:p>
    <w:p w14:paraId="46155F4D" w14:textId="280B8B04" w:rsidR="00D857FE" w:rsidRPr="00D83669" w:rsidRDefault="00D857FE" w:rsidP="008E38F5">
      <w:pPr>
        <w:pStyle w:val="Heading3"/>
        <w:rPr>
          <w:b/>
          <w:bCs/>
          <w:i/>
          <w:iCs/>
          <w:sz w:val="22"/>
          <w:szCs w:val="22"/>
        </w:rPr>
      </w:pPr>
      <w:bookmarkStart w:id="67" w:name="_Toc100152967"/>
      <w:bookmarkStart w:id="68" w:name="_Toc103586643"/>
      <w:r w:rsidRPr="00D83669">
        <w:rPr>
          <w:b/>
          <w:bCs/>
          <w:i/>
          <w:iCs/>
          <w:sz w:val="22"/>
          <w:szCs w:val="22"/>
        </w:rPr>
        <w:t>EECO06 брой на децата на възраст под 18 години</w:t>
      </w:r>
      <w:bookmarkEnd w:id="67"/>
      <w:bookmarkEnd w:id="68"/>
    </w:p>
    <w:tbl>
      <w:tblPr>
        <w:tblW w:w="97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519"/>
      </w:tblGrid>
      <w:tr w:rsidR="00D857FE" w:rsidRPr="00D83669" w14:paraId="586F99B6" w14:textId="77777777" w:rsidTr="0068160A">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CF5DC2C" w14:textId="5BECF7D1"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51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F0C5D9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6B2A46DA" w14:textId="77777777" w:rsidTr="0068160A">
        <w:tc>
          <w:tcPr>
            <w:tcW w:w="2263" w:type="dxa"/>
            <w:shd w:val="clear" w:color="auto" w:fill="auto"/>
            <w:vAlign w:val="center"/>
          </w:tcPr>
          <w:p w14:paraId="4C68C0DF" w14:textId="2CEBEEC9"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519" w:type="dxa"/>
            <w:shd w:val="clear" w:color="auto" w:fill="auto"/>
            <w:vAlign w:val="center"/>
          </w:tcPr>
          <w:p w14:paraId="69BBF81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EECO06 брой на децата на възраст под 18 години</w:t>
            </w:r>
          </w:p>
        </w:tc>
      </w:tr>
      <w:tr w:rsidR="00D857FE" w:rsidRPr="00D83669" w14:paraId="2A3BD5D1" w14:textId="77777777" w:rsidTr="0068160A">
        <w:tc>
          <w:tcPr>
            <w:tcW w:w="2263" w:type="dxa"/>
            <w:shd w:val="clear" w:color="auto" w:fill="auto"/>
            <w:vAlign w:val="center"/>
          </w:tcPr>
          <w:p w14:paraId="4FECFCA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519" w:type="dxa"/>
            <w:shd w:val="clear" w:color="auto" w:fill="auto"/>
            <w:vAlign w:val="center"/>
          </w:tcPr>
          <w:p w14:paraId="51A46176" w14:textId="72345109"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1113DBBC" w14:textId="77777777" w:rsidTr="0068160A">
        <w:tc>
          <w:tcPr>
            <w:tcW w:w="2263" w:type="dxa"/>
            <w:shd w:val="clear" w:color="auto" w:fill="auto"/>
            <w:vAlign w:val="center"/>
          </w:tcPr>
          <w:p w14:paraId="5486869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519" w:type="dxa"/>
            <w:shd w:val="clear" w:color="auto" w:fill="auto"/>
            <w:vAlign w:val="center"/>
          </w:tcPr>
          <w:p w14:paraId="47E7577B"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0964D1CB" w14:textId="77777777" w:rsidTr="0068160A">
        <w:tc>
          <w:tcPr>
            <w:tcW w:w="2263" w:type="dxa"/>
            <w:shd w:val="clear" w:color="auto" w:fill="auto"/>
            <w:vAlign w:val="center"/>
          </w:tcPr>
          <w:p w14:paraId="41E16AC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519" w:type="dxa"/>
            <w:shd w:val="clear" w:color="auto" w:fill="auto"/>
            <w:vAlign w:val="center"/>
          </w:tcPr>
          <w:p w14:paraId="7FCB1A7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Разширяване обхвата в предучилищното и в училищното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w:t>
            </w:r>
          </w:p>
          <w:p w14:paraId="2DC2C82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Обща и допълнителна подкрепа за личностно развитие в предучилищното и училищното образование;</w:t>
            </w:r>
          </w:p>
          <w:p w14:paraId="24847AB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Превенция и предотвратяване на тормоза и насилието и намаляване агресията в училищата.</w:t>
            </w:r>
          </w:p>
        </w:tc>
      </w:tr>
      <w:tr w:rsidR="00D857FE" w:rsidRPr="00D83669" w14:paraId="615E90B9" w14:textId="77777777" w:rsidTr="0068160A">
        <w:tc>
          <w:tcPr>
            <w:tcW w:w="2263" w:type="dxa"/>
            <w:shd w:val="clear" w:color="auto" w:fill="auto"/>
            <w:vAlign w:val="center"/>
          </w:tcPr>
          <w:p w14:paraId="7BD1104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519" w:type="dxa"/>
            <w:shd w:val="clear" w:color="auto" w:fill="auto"/>
            <w:vAlign w:val="center"/>
          </w:tcPr>
          <w:p w14:paraId="1E69F166" w14:textId="5C15B310" w:rsidR="00D857FE" w:rsidRPr="00D83669" w:rsidRDefault="00D857FE" w:rsidP="00CC7BCB">
            <w:pPr>
              <w:pStyle w:val="Default"/>
              <w:jc w:val="both"/>
              <w:rPr>
                <w:color w:val="FF0000"/>
              </w:rPr>
            </w:pPr>
            <w:r w:rsidRPr="00D83669">
              <w:rPr>
                <w:color w:val="auto"/>
              </w:rPr>
              <w:t>Показателят измерва броя на децата и учениците в задължителна предучилищна и училищна възраст, включени в операции по СЦ</w:t>
            </w:r>
            <w:r w:rsidRPr="00D83669">
              <w:t xml:space="preserve"> по </w:t>
            </w:r>
            <w:r w:rsidRPr="00D83669">
              <w:rPr>
                <w:color w:val="auto"/>
              </w:rPr>
              <w:t xml:space="preserve">чл. 4, пар. 1, буква е); деца и ученици в предучилищното и училищното образование със специални образователни потребности (СОП), в риск, с хронични заболявания и с изявени дарби, получили допълнителна подкрепа за личностно развитие; деца и ученици от уязвими групи, с обучителни затруднения, в риск от отпадане от предучилищното и училищно образование, получили обща подкрепа за личностно развитие. </w:t>
            </w:r>
          </w:p>
        </w:tc>
      </w:tr>
      <w:tr w:rsidR="00D857FE" w:rsidRPr="00D83669" w14:paraId="102E3EBA" w14:textId="77777777" w:rsidTr="0068160A">
        <w:tc>
          <w:tcPr>
            <w:tcW w:w="2263" w:type="dxa"/>
            <w:shd w:val="clear" w:color="auto" w:fill="auto"/>
            <w:vAlign w:val="center"/>
          </w:tcPr>
          <w:p w14:paraId="03E2EBA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519" w:type="dxa"/>
            <w:shd w:val="clear" w:color="auto" w:fill="auto"/>
            <w:vAlign w:val="center"/>
          </w:tcPr>
          <w:p w14:paraId="3377A62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793D055A" w14:textId="77777777" w:rsidTr="0068160A">
        <w:tc>
          <w:tcPr>
            <w:tcW w:w="2263" w:type="dxa"/>
            <w:shd w:val="clear" w:color="auto" w:fill="auto"/>
            <w:vAlign w:val="center"/>
          </w:tcPr>
          <w:p w14:paraId="59291227" w14:textId="70B3897A"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Крайна </w:t>
            </w:r>
            <w:r w:rsidR="00302E0F" w:rsidRPr="00D83669">
              <w:rPr>
                <w:rFonts w:ascii="Times New Roman" w:hAnsi="Times New Roman"/>
                <w:b/>
                <w:bCs/>
                <w:sz w:val="24"/>
              </w:rPr>
              <w:t>ц</w:t>
            </w:r>
            <w:r w:rsidRPr="00D83669">
              <w:rPr>
                <w:rFonts w:ascii="Times New Roman" w:hAnsi="Times New Roman"/>
                <w:b/>
                <w:bCs/>
                <w:sz w:val="24"/>
              </w:rPr>
              <w:t>ел</w:t>
            </w:r>
          </w:p>
        </w:tc>
        <w:tc>
          <w:tcPr>
            <w:tcW w:w="7519" w:type="dxa"/>
            <w:shd w:val="clear" w:color="auto" w:fill="auto"/>
            <w:vAlign w:val="center"/>
          </w:tcPr>
          <w:p w14:paraId="17AA3EE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222 448</w:t>
            </w:r>
          </w:p>
        </w:tc>
      </w:tr>
      <w:tr w:rsidR="00D857FE" w:rsidRPr="00D83669" w14:paraId="5167CA77" w14:textId="77777777" w:rsidTr="0068160A">
        <w:tc>
          <w:tcPr>
            <w:tcW w:w="2263" w:type="dxa"/>
            <w:shd w:val="clear" w:color="auto" w:fill="auto"/>
            <w:vAlign w:val="center"/>
          </w:tcPr>
          <w:p w14:paraId="3503462E" w14:textId="4747D5C8" w:rsidR="00D857FE" w:rsidRPr="00D83669" w:rsidRDefault="004F7B30"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519" w:type="dxa"/>
            <w:shd w:val="clear" w:color="auto" w:fill="auto"/>
            <w:vAlign w:val="center"/>
          </w:tcPr>
          <w:p w14:paraId="59A82F8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се основава на единичните разходи за обучение на деца и ученици, прилагани в периода 2018 – 2020 г., за които се прилага процент на индексация въз основа на очакваното увеличение на разходите за труд в сектор „Образование“ за период до 2029 г., като се има предвид, че по-голямата част от единичните разходи за обучение на деца и ученици са свързани с разходите за възнаграждения зависят от нарастването на разходите за труд.</w:t>
            </w:r>
          </w:p>
          <w:p w14:paraId="2434E9B9" w14:textId="167E9533"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представлява обща стойност (сбор) от целевите стойности на децата и учениците, които ще бъдат обхванати по операция</w:t>
            </w:r>
            <w:r w:rsidRPr="00D83669">
              <w:t xml:space="preserve"> </w:t>
            </w:r>
            <w:r w:rsidRPr="00D83669">
              <w:rPr>
                <w:rFonts w:ascii="Times New Roman" w:hAnsi="Times New Roman"/>
                <w:sz w:val="24"/>
              </w:rPr>
              <w:t>„Обща и допълнителна подкрепа за личностно развитие в предучилищното и училищното образование“ и операция „Превенция и предотвратяване на тормоза и насилието и намаляване агресията в училищата“, където 160 632 са деца и ученици от уязвими групи, с обучителни затруднения, в риск от отпадане, 17 450 са деца и ученици в предучилищното и училищното образование със специални образователни потребности (СОП), в риск, с хронични заболявания и с изявени дарби, получават обща и допълнителна подкрепа за личностно развитие и 44 366 са ученици, участници в дейности срещу агресията, тормоза и насилието или 160 632</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17 450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44 366</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222 448.</w:t>
            </w:r>
            <w:r w:rsidRPr="00D83669">
              <w:t xml:space="preserve"> </w:t>
            </w:r>
            <w:r w:rsidRPr="00D83669">
              <w:rPr>
                <w:rFonts w:ascii="Times New Roman" w:hAnsi="Times New Roman"/>
                <w:sz w:val="24"/>
              </w:rPr>
              <w:t xml:space="preserve">Обхванатите деца и ученици по операция „Разширяване обхвата в предучилищното и в училищното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 са 32 702 и те </w:t>
            </w:r>
            <w:r w:rsidRPr="00D83669">
              <w:rPr>
                <w:rFonts w:ascii="Times New Roman" w:hAnsi="Times New Roman"/>
                <w:i/>
                <w:sz w:val="24"/>
              </w:rPr>
              <w:t>не са включени в стойността на този показател с цел избягване на препокриването и дублирането на стойности</w:t>
            </w:r>
            <w:r w:rsidRPr="00D83669">
              <w:rPr>
                <w:rFonts w:ascii="Times New Roman" w:hAnsi="Times New Roman"/>
                <w:sz w:val="24"/>
              </w:rPr>
              <w:t xml:space="preserve">. Тези деца и ученици в резултат на подкрепата за техните родители по операция „Разширяване обхвата в предучилищното и в училищното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 ще бъдат включени и записани в образование, където ще получат подкрепа по другите две операции на тази специфична цел. За обхванатите деца и ученици по операция „Разширяване обхвата в предучилищното и в училищното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 е определен специфичен за програмата показател SOI 1.1. Брой деца и ученици обхванати от механизма за съвместна работа на институциите. </w:t>
            </w:r>
          </w:p>
          <w:p w14:paraId="1CF72C3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представлява 24% от всички деца и ученици в предучилищното и училищно образование по данни на НСИ за учебната 2019/2020 г. са 926 125 (217 867 в предучилищното образование и 708 258 в училищното образование).</w:t>
            </w:r>
          </w:p>
        </w:tc>
      </w:tr>
      <w:tr w:rsidR="00D857FE" w:rsidRPr="00D83669" w14:paraId="4DF0F831" w14:textId="77777777" w:rsidTr="0068160A">
        <w:tc>
          <w:tcPr>
            <w:tcW w:w="2263" w:type="dxa"/>
            <w:shd w:val="clear" w:color="auto" w:fill="auto"/>
            <w:vAlign w:val="center"/>
          </w:tcPr>
          <w:p w14:paraId="15CF0F9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7519" w:type="dxa"/>
            <w:shd w:val="clear" w:color="auto" w:fill="auto"/>
            <w:vAlign w:val="center"/>
          </w:tcPr>
          <w:p w14:paraId="439533CC" w14:textId="53D0429E" w:rsidR="00D857FE" w:rsidRPr="00D83669" w:rsidRDefault="00453FEA" w:rsidP="00CC7BCB">
            <w:pPr>
              <w:jc w:val="both"/>
              <w:rPr>
                <w:rFonts w:ascii="Times New Roman" w:hAnsi="Times New Roman"/>
                <w:sz w:val="24"/>
              </w:rPr>
            </w:pPr>
            <w:r w:rsidRPr="00D83669">
              <w:rPr>
                <w:rFonts w:ascii="Times New Roman" w:hAnsi="Times New Roman"/>
                <w:sz w:val="24"/>
              </w:rPr>
              <w:t>45 968</w:t>
            </w:r>
          </w:p>
        </w:tc>
      </w:tr>
      <w:tr w:rsidR="00D857FE" w:rsidRPr="00D83669" w14:paraId="17F79F6C" w14:textId="77777777" w:rsidTr="0068160A">
        <w:tc>
          <w:tcPr>
            <w:tcW w:w="2263" w:type="dxa"/>
            <w:shd w:val="clear" w:color="auto" w:fill="auto"/>
            <w:vAlign w:val="center"/>
          </w:tcPr>
          <w:p w14:paraId="306E5CE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519" w:type="dxa"/>
            <w:shd w:val="clear" w:color="auto" w:fill="auto"/>
            <w:vAlign w:val="center"/>
          </w:tcPr>
          <w:p w14:paraId="23A54FEB" w14:textId="48690588" w:rsidR="00D857FE" w:rsidRPr="00D83669" w:rsidRDefault="00B72C7F" w:rsidP="00CC7BCB">
            <w:pPr>
              <w:jc w:val="both"/>
              <w:rPr>
                <w:rFonts w:ascii="Times New Roman" w:hAnsi="Times New Roman"/>
                <w:sz w:val="24"/>
              </w:rPr>
            </w:pPr>
            <w:r w:rsidRPr="00D83669">
              <w:rPr>
                <w:rFonts w:ascii="Times New Roman" w:hAnsi="Times New Roman"/>
                <w:sz w:val="24"/>
              </w:rPr>
              <w:t>За операциите от стратегическо значение, предвидени в програмата, предположението на Управляващия орган, което е взето предвид при изчисляването на етапните цели е, че тези операции ще бъдат  договорени първоначално за период от 5 години със 75% от общия предвиден финансов ресурс, а останалите 25 % ще бъдат разпределени за операции след оценка на постигнатия напредък в тяхното изпълнение.</w:t>
            </w:r>
            <w:r w:rsidR="00A1240A" w:rsidRPr="000E5835">
              <w:rPr>
                <w:rFonts w:ascii="Times New Roman" w:hAnsi="Times New Roman"/>
                <w:sz w:val="24"/>
              </w:rPr>
              <w:t xml:space="preserve"> </w:t>
            </w:r>
            <w:r w:rsidR="00402C4D" w:rsidRPr="00D83669">
              <w:rPr>
                <w:rFonts w:ascii="Times New Roman" w:hAnsi="Times New Roman"/>
                <w:sz w:val="24"/>
              </w:rPr>
              <w:t>Етапната цел се определя, като се взема предвид определения финансовия ресурс за операциите,  разделен на планирания брой години за изпълнението им и отчитането на стойности на индикаторите до края на 2024 г. Етапната цел представлява сбор от обхванатите деца в предучилищното образование от всички уязвими групи  в операция за обща и допълнителна подкрепа в предучилищното образование и стартираща в края на 2023 г. с продължителност 5 години  (6065*0,75*1/5+43645*0,75*1/5=7457) и обхванатите  ученици от всички уязвими групи в операция за обща и допълнителна подкрепа в училищното образование, която стартира в края на 2022 г. с продължителност от 5 години (11385*0,75*2/5+116987*0,75*2/5=</w:t>
            </w:r>
            <w:r w:rsidR="000F53EC" w:rsidRPr="00D83669">
              <w:rPr>
                <w:rFonts w:ascii="Times New Roman" w:hAnsi="Times New Roman"/>
                <w:sz w:val="24"/>
              </w:rPr>
              <w:t xml:space="preserve"> 38501</w:t>
            </w:r>
            <w:r w:rsidR="00402C4D" w:rsidRPr="00D83669">
              <w:rPr>
                <w:rFonts w:ascii="Times New Roman" w:hAnsi="Times New Roman"/>
                <w:sz w:val="24"/>
              </w:rPr>
              <w:t>). Етапната цел не включва операция за превенция на тормоза и агресията в училище по група дейности 3, която стартира в края на 2024 г. и няма възможност за отчитане на стойности на показателите за обхванатите деца и ученици  до края на 2024 г.  и избягва пр</w:t>
            </w:r>
            <w:r w:rsidR="00A10DD9" w:rsidRPr="00D83669">
              <w:rPr>
                <w:rFonts w:ascii="Times New Roman" w:hAnsi="Times New Roman"/>
                <w:sz w:val="24"/>
              </w:rPr>
              <w:t>и</w:t>
            </w:r>
            <w:r w:rsidR="00402C4D" w:rsidRPr="00D83669">
              <w:rPr>
                <w:rFonts w:ascii="Times New Roman" w:hAnsi="Times New Roman"/>
                <w:sz w:val="24"/>
              </w:rPr>
              <w:t>покриване на стойности на показателя по операция по група дейности 1 (7457+38501=45968).</w:t>
            </w:r>
          </w:p>
        </w:tc>
      </w:tr>
      <w:tr w:rsidR="00D857FE" w:rsidRPr="00D83669" w14:paraId="4C726D19" w14:textId="77777777" w:rsidTr="0068160A">
        <w:tc>
          <w:tcPr>
            <w:tcW w:w="2263" w:type="dxa"/>
            <w:shd w:val="clear" w:color="auto" w:fill="auto"/>
            <w:vAlign w:val="center"/>
          </w:tcPr>
          <w:p w14:paraId="11ABBCC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519" w:type="dxa"/>
            <w:shd w:val="clear" w:color="auto" w:fill="auto"/>
            <w:vAlign w:val="center"/>
          </w:tcPr>
          <w:p w14:paraId="047660F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39B285AE" w14:textId="77777777" w:rsidTr="0068160A">
        <w:tc>
          <w:tcPr>
            <w:tcW w:w="2263" w:type="dxa"/>
            <w:shd w:val="clear" w:color="auto" w:fill="auto"/>
            <w:vAlign w:val="center"/>
          </w:tcPr>
          <w:p w14:paraId="5CD0269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519" w:type="dxa"/>
            <w:shd w:val="clear" w:color="auto" w:fill="auto"/>
            <w:vAlign w:val="center"/>
          </w:tcPr>
          <w:p w14:paraId="3865EFE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децата и учениците по демографски, социални характеристики. </w:t>
            </w:r>
          </w:p>
        </w:tc>
      </w:tr>
      <w:tr w:rsidR="00D857FE" w:rsidRPr="00D83669" w14:paraId="54DA059E" w14:textId="77777777" w:rsidTr="0068160A">
        <w:tc>
          <w:tcPr>
            <w:tcW w:w="2263" w:type="dxa"/>
            <w:shd w:val="clear" w:color="auto" w:fill="auto"/>
            <w:vAlign w:val="center"/>
          </w:tcPr>
          <w:p w14:paraId="10BF469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519" w:type="dxa"/>
            <w:shd w:val="clear" w:color="auto" w:fill="auto"/>
            <w:vAlign w:val="center"/>
          </w:tcPr>
          <w:p w14:paraId="1503FBA7" w14:textId="3FDC21EA" w:rsidR="00D857FE" w:rsidRPr="00D83669" w:rsidRDefault="00D857FE" w:rsidP="00CC7BCB">
            <w:pPr>
              <w:jc w:val="both"/>
              <w:rPr>
                <w:rFonts w:ascii="Times New Roman" w:hAnsi="Times New Roman"/>
                <w:sz w:val="24"/>
              </w:rPr>
            </w:pPr>
            <w:r w:rsidRPr="00D83669">
              <w:rPr>
                <w:rFonts w:ascii="Times New Roman" w:hAnsi="Times New Roman"/>
                <w:sz w:val="24"/>
              </w:rPr>
              <w:t>Данните са необходими с оглед постигане на заложени цели в политиките за приобщаващо образование на деца и ученици в предучилищна и училищна възраст. Показателят е ориентиран към цели, заложени в стратегически документи като например Стратегическа рамка за развитие на образованието, обучението и ученето на Република България (2021 – 2030), Национална програма за развитие на Република България 2030, вкл. и Национална стратегия на Република България за равенство, приобщаване и участие на ромите 2021 – 2030 за предотвратяване на отпадането и намаляване дела на преждевременно напусналите училище деца и ученици.</w:t>
            </w:r>
            <w:r w:rsidRPr="00D83669">
              <w:t xml:space="preserve"> </w:t>
            </w:r>
            <w:r w:rsidRPr="00D83669">
              <w:rPr>
                <w:rFonts w:ascii="Times New Roman" w:hAnsi="Times New Roman"/>
                <w:sz w:val="24"/>
              </w:rPr>
              <w:t>Информацията служи за ориентир/коректив при определяне на политики за приобщаващото образование. Показателят е насочен и към изпълнение препоръки на ЕК от докладите по Европейския семестър за напредък и обхват на приобщаващото образование, прилагането на Препоръките на Съвета относно висококачествените системи за образование и грижи за ранна детска възраст (2019) и Европейския стълб на социалните права, и по-специално на принцип за Грижи и подкрепа за децата.</w:t>
            </w:r>
          </w:p>
        </w:tc>
      </w:tr>
      <w:tr w:rsidR="00D857FE" w:rsidRPr="00D83669" w14:paraId="18E93920" w14:textId="77777777" w:rsidTr="0068160A">
        <w:tc>
          <w:tcPr>
            <w:tcW w:w="2263" w:type="dxa"/>
            <w:shd w:val="clear" w:color="auto" w:fill="auto"/>
            <w:vAlign w:val="center"/>
          </w:tcPr>
          <w:p w14:paraId="4B1650F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p w14:paraId="322D1A61" w14:textId="77777777" w:rsidR="00D857FE" w:rsidRPr="00D83669" w:rsidRDefault="00D857FE" w:rsidP="00CC7BCB">
            <w:pPr>
              <w:rPr>
                <w:rFonts w:ascii="Times New Roman" w:hAnsi="Times New Roman"/>
                <w:sz w:val="24"/>
              </w:rPr>
            </w:pPr>
          </w:p>
        </w:tc>
        <w:tc>
          <w:tcPr>
            <w:tcW w:w="7519" w:type="dxa"/>
            <w:shd w:val="clear" w:color="auto" w:fill="auto"/>
            <w:vAlign w:val="center"/>
          </w:tcPr>
          <w:p w14:paraId="0759BE6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текущо на база информация от бенефициентите чрез техническите и финансови отчети за изпълнение на проектите. Информацията съдържа:</w:t>
            </w:r>
            <w:r w:rsidRPr="00D83669">
              <w:t xml:space="preserve"> </w:t>
            </w:r>
            <w:r w:rsidRPr="00D83669">
              <w:rPr>
                <w:rFonts w:ascii="Times New Roman" w:hAnsi="Times New Roman"/>
                <w:sz w:val="24"/>
              </w:rPr>
              <w:t xml:space="preserve">демографски данни – възраст, пол, ниво на образование, учебно заведение, община, район, и др., както и информация по вида на обхванатите деца и ученици със СОП, деца с хронични заболявания, деца в риск и деца с изявени дарби. </w:t>
            </w:r>
          </w:p>
        </w:tc>
      </w:tr>
      <w:tr w:rsidR="00D857FE" w:rsidRPr="00D83669" w14:paraId="79876738" w14:textId="77777777" w:rsidTr="0068160A">
        <w:tc>
          <w:tcPr>
            <w:tcW w:w="2263" w:type="dxa"/>
            <w:shd w:val="clear" w:color="auto" w:fill="auto"/>
            <w:vAlign w:val="center"/>
          </w:tcPr>
          <w:p w14:paraId="464148B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519" w:type="dxa"/>
            <w:shd w:val="clear" w:color="auto" w:fill="auto"/>
            <w:vAlign w:val="center"/>
          </w:tcPr>
          <w:p w14:paraId="518F178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2E83B458" w14:textId="77777777" w:rsidTr="0068160A">
        <w:tc>
          <w:tcPr>
            <w:tcW w:w="2263" w:type="dxa"/>
            <w:shd w:val="clear" w:color="auto" w:fill="auto"/>
            <w:vAlign w:val="center"/>
          </w:tcPr>
          <w:p w14:paraId="5A8FB7DE" w14:textId="7B0DDE41"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519" w:type="dxa"/>
            <w:shd w:val="clear" w:color="auto" w:fill="auto"/>
            <w:vAlign w:val="center"/>
          </w:tcPr>
          <w:p w14:paraId="568DA879"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13850838"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1.2. Брой деца и ученици в предучилищното и училищното образование със специални образователни потребности (СОП), в риск, с хронични заболявания и с изявени дарби;</w:t>
            </w:r>
          </w:p>
          <w:p w14:paraId="71991326"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rPr>
              <w:t>SOI 1.3. Брой родители, подкрепени в процеса на приобщаващото образование;</w:t>
            </w:r>
          </w:p>
          <w:p w14:paraId="18808B99"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16782A8D"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rPr>
              <w:t>SRI 1.1. Брой деца и ученици записани в предучилищно и училищно образование чрез механизма за съвместна работа на институциите;</w:t>
            </w:r>
          </w:p>
          <w:p w14:paraId="1B051F05"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1.2. Брой деца и ученици с подобрени образователни резултати</w:t>
            </w:r>
            <w:r w:rsidRPr="00D83669">
              <w:t xml:space="preserve"> </w:t>
            </w:r>
            <w:r w:rsidRPr="00D83669">
              <w:rPr>
                <w:rFonts w:ascii="Times New Roman" w:hAnsi="Times New Roman"/>
                <w:sz w:val="24"/>
              </w:rPr>
              <w:t>след 1 година участие в операцията.</w:t>
            </w:r>
          </w:p>
        </w:tc>
      </w:tr>
      <w:tr w:rsidR="00D857FE" w:rsidRPr="00D83669" w14:paraId="133B3DCC" w14:textId="77777777" w:rsidTr="0068160A">
        <w:tc>
          <w:tcPr>
            <w:tcW w:w="2263" w:type="dxa"/>
            <w:shd w:val="clear" w:color="auto" w:fill="auto"/>
            <w:vAlign w:val="center"/>
          </w:tcPr>
          <w:p w14:paraId="0DAA704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519" w:type="dxa"/>
            <w:shd w:val="clear" w:color="auto" w:fill="auto"/>
            <w:vAlign w:val="center"/>
          </w:tcPr>
          <w:p w14:paraId="5EA24B9A" w14:textId="5E14520E" w:rsidR="00D857FE" w:rsidRPr="00D83669" w:rsidRDefault="00D857FE" w:rsidP="00CC7BCB">
            <w:pPr>
              <w:pStyle w:val="ListParagrap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до 18 год. възраст в дейностите по СЦ по</w:t>
            </w:r>
            <w:r w:rsidRPr="00D83669">
              <w:t xml:space="preserve"> </w:t>
            </w:r>
            <w:r w:rsidRPr="00D83669">
              <w:rPr>
                <w:rFonts w:ascii="Times New Roman" w:hAnsi="Times New Roman"/>
                <w:sz w:val="24"/>
              </w:rPr>
              <w:t>чл. 4, пар. 1, буква е) на ПО 2021 – 2027 като избягва препокриването им и е по-малка от всички участници в дейности по тази специфична цел.</w:t>
            </w:r>
          </w:p>
        </w:tc>
      </w:tr>
    </w:tbl>
    <w:p w14:paraId="62BE6F55" w14:textId="77777777" w:rsidR="00D857FE" w:rsidRPr="00D83669" w:rsidRDefault="00D857FE" w:rsidP="00D857FE">
      <w:pPr>
        <w:rPr>
          <w:rFonts w:ascii="Times New Roman" w:hAnsi="Times New Roman" w:cs="Times New Roman"/>
          <w:color w:val="000000" w:themeColor="text1"/>
          <w:sz w:val="24"/>
          <w:szCs w:val="24"/>
        </w:rPr>
      </w:pPr>
    </w:p>
    <w:p w14:paraId="3EC200DF" w14:textId="77777777" w:rsidR="00D857FE" w:rsidRPr="00D83669" w:rsidRDefault="00D857FE" w:rsidP="00D857FE">
      <w:r w:rsidRPr="00D83669">
        <w:br w:type="page"/>
      </w:r>
    </w:p>
    <w:p w14:paraId="33A8418E" w14:textId="4357B758" w:rsidR="00D857FE" w:rsidRPr="00D83669" w:rsidRDefault="00D857FE" w:rsidP="008E38F5">
      <w:pPr>
        <w:pStyle w:val="Heading3"/>
        <w:rPr>
          <w:b/>
          <w:bCs/>
          <w:i/>
          <w:iCs/>
          <w:sz w:val="22"/>
          <w:szCs w:val="22"/>
        </w:rPr>
      </w:pPr>
      <w:bookmarkStart w:id="69" w:name="_Toc100152968"/>
      <w:bookmarkStart w:id="70" w:name="_Toc103586644"/>
      <w:r w:rsidRPr="00D83669">
        <w:rPr>
          <w:b/>
          <w:bCs/>
          <w:i/>
          <w:iCs/>
          <w:sz w:val="22"/>
          <w:szCs w:val="22"/>
        </w:rPr>
        <w:lastRenderedPageBreak/>
        <w:t>EECO15 малцинства (включително маргинализирани общности като ромите)</w:t>
      </w:r>
      <w:bookmarkEnd w:id="69"/>
      <w:bookmarkEnd w:id="70"/>
    </w:p>
    <w:tbl>
      <w:tblPr>
        <w:tblW w:w="97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519"/>
      </w:tblGrid>
      <w:tr w:rsidR="00D857FE" w:rsidRPr="00D83669" w14:paraId="34D11AF0" w14:textId="77777777" w:rsidTr="00491658">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8E7B68E" w14:textId="4C9CD966" w:rsidR="00D857FE" w:rsidRPr="00D83669" w:rsidRDefault="00D857FE" w:rsidP="00CC7BCB">
            <w:pPr>
              <w:jc w:val="both"/>
              <w:rPr>
                <w:rFonts w:ascii="Times New Roman" w:hAnsi="Times New Roman"/>
                <w:b/>
                <w:bCs/>
                <w:sz w:val="24"/>
              </w:rPr>
            </w:pPr>
            <w:r w:rsidRPr="00D83669">
              <w:rPr>
                <w:rFonts w:ascii="Times New Roman" w:hAnsi="Times New Roman"/>
                <w:b/>
                <w:bCs/>
                <w:sz w:val="24"/>
              </w:rPr>
              <w:t>Показателят SMART ли е?</w:t>
            </w:r>
          </w:p>
        </w:tc>
        <w:tc>
          <w:tcPr>
            <w:tcW w:w="751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C535AD9" w14:textId="77777777" w:rsidR="00D857FE" w:rsidRPr="00D83669" w:rsidRDefault="00D857FE" w:rsidP="00CC7BCB">
            <w:pPr>
              <w:rPr>
                <w:rFonts w:ascii="Times New Roman" w:hAnsi="Times New Roman"/>
                <w:color w:val="000000" w:themeColor="text1"/>
                <w:sz w:val="24"/>
              </w:rPr>
            </w:pPr>
            <w:r w:rsidRPr="00D83669">
              <w:rPr>
                <w:rFonts w:ascii="Times New Roman" w:hAnsi="Times New Roman"/>
                <w:color w:val="000000" w:themeColor="text1"/>
                <w:sz w:val="24"/>
              </w:rPr>
              <w:t xml:space="preserve">Да. </w:t>
            </w:r>
          </w:p>
        </w:tc>
      </w:tr>
      <w:tr w:rsidR="00D857FE" w:rsidRPr="00D83669" w14:paraId="44E3DABD" w14:textId="77777777" w:rsidTr="00491658">
        <w:tc>
          <w:tcPr>
            <w:tcW w:w="2263" w:type="dxa"/>
            <w:shd w:val="clear" w:color="auto" w:fill="auto"/>
            <w:vAlign w:val="center"/>
          </w:tcPr>
          <w:p w14:paraId="55033670" w14:textId="384CF0A0" w:rsidR="00D857FE" w:rsidRPr="00D83669" w:rsidRDefault="00D857FE" w:rsidP="00CC7BCB">
            <w:pPr>
              <w:jc w:val="both"/>
              <w:rPr>
                <w:rFonts w:ascii="Times New Roman" w:hAnsi="Times New Roman"/>
                <w:b/>
                <w:bCs/>
                <w:sz w:val="24"/>
              </w:rPr>
            </w:pPr>
            <w:r w:rsidRPr="00D83669">
              <w:rPr>
                <w:rFonts w:ascii="Times New Roman" w:hAnsi="Times New Roman"/>
                <w:b/>
                <w:bCs/>
                <w:sz w:val="24"/>
              </w:rPr>
              <w:t>Показател</w:t>
            </w:r>
          </w:p>
        </w:tc>
        <w:tc>
          <w:tcPr>
            <w:tcW w:w="7519" w:type="dxa"/>
            <w:shd w:val="clear" w:color="auto" w:fill="auto"/>
            <w:vAlign w:val="center"/>
          </w:tcPr>
          <w:p w14:paraId="774C4AF0" w14:textId="77777777" w:rsidR="00D857FE" w:rsidRPr="00D83669" w:rsidRDefault="00D857FE" w:rsidP="00CC7BCB">
            <w:pPr>
              <w:rPr>
                <w:rFonts w:ascii="Times New Roman" w:hAnsi="Times New Roman"/>
                <w:color w:val="000000" w:themeColor="text1"/>
                <w:sz w:val="24"/>
              </w:rPr>
            </w:pPr>
            <w:r w:rsidRPr="00D83669">
              <w:rPr>
                <w:rFonts w:ascii="Times New Roman" w:hAnsi="Times New Roman"/>
                <w:sz w:val="24"/>
                <w:lang w:val="en-US"/>
              </w:rPr>
              <w:t>EECO</w:t>
            </w:r>
            <w:r w:rsidRPr="00D83669">
              <w:rPr>
                <w:rFonts w:ascii="Times New Roman" w:hAnsi="Times New Roman"/>
                <w:sz w:val="24"/>
              </w:rPr>
              <w:t xml:space="preserve">15 малцинства </w:t>
            </w:r>
            <w:r w:rsidRPr="00D83669">
              <w:rPr>
                <w:rFonts w:ascii="Times New Roman" w:hAnsi="Times New Roman"/>
                <w:color w:val="000000" w:themeColor="text1"/>
                <w:sz w:val="24"/>
              </w:rPr>
              <w:t>(включително маргинализирани общности като ромите)</w:t>
            </w:r>
          </w:p>
        </w:tc>
      </w:tr>
      <w:tr w:rsidR="00D857FE" w:rsidRPr="00D83669" w14:paraId="3786A818" w14:textId="77777777" w:rsidTr="00491658">
        <w:tc>
          <w:tcPr>
            <w:tcW w:w="2263" w:type="dxa"/>
            <w:shd w:val="clear" w:color="auto" w:fill="auto"/>
            <w:vAlign w:val="center"/>
          </w:tcPr>
          <w:p w14:paraId="744B60BF"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Тип</w:t>
            </w:r>
          </w:p>
        </w:tc>
        <w:tc>
          <w:tcPr>
            <w:tcW w:w="7519" w:type="dxa"/>
            <w:shd w:val="clear" w:color="auto" w:fill="auto"/>
            <w:vAlign w:val="center"/>
          </w:tcPr>
          <w:p w14:paraId="0ACB624C" w14:textId="7AB80A68" w:rsidR="00D857FE" w:rsidRPr="00D83669" w:rsidRDefault="00D857FE" w:rsidP="00CC7BCB">
            <w:pPr>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178448B3" w14:textId="77777777" w:rsidTr="00491658">
        <w:tc>
          <w:tcPr>
            <w:tcW w:w="2263" w:type="dxa"/>
            <w:shd w:val="clear" w:color="auto" w:fill="auto"/>
            <w:vAlign w:val="center"/>
          </w:tcPr>
          <w:p w14:paraId="43EB7A2F"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Свързана СЦ</w:t>
            </w:r>
          </w:p>
        </w:tc>
        <w:tc>
          <w:tcPr>
            <w:tcW w:w="7519" w:type="dxa"/>
            <w:shd w:val="clear" w:color="auto" w:fill="auto"/>
            <w:vAlign w:val="center"/>
          </w:tcPr>
          <w:p w14:paraId="3BBB3245" w14:textId="77777777" w:rsidR="00D857FE" w:rsidRPr="00D83669" w:rsidRDefault="00D857FE" w:rsidP="001A4958">
            <w:pPr>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4E44FB85" w14:textId="77777777" w:rsidTr="00491658">
        <w:tc>
          <w:tcPr>
            <w:tcW w:w="2263" w:type="dxa"/>
            <w:shd w:val="clear" w:color="auto" w:fill="auto"/>
            <w:vAlign w:val="center"/>
          </w:tcPr>
          <w:p w14:paraId="48E5C761"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Свързана дейност</w:t>
            </w:r>
          </w:p>
        </w:tc>
        <w:tc>
          <w:tcPr>
            <w:tcW w:w="7519" w:type="dxa"/>
            <w:shd w:val="clear" w:color="auto" w:fill="auto"/>
            <w:vAlign w:val="center"/>
          </w:tcPr>
          <w:p w14:paraId="321EB19A" w14:textId="77777777" w:rsidR="00D857FE" w:rsidRPr="00D83669" w:rsidRDefault="00D857FE" w:rsidP="001A4958">
            <w:pPr>
              <w:jc w:val="both"/>
              <w:rPr>
                <w:rFonts w:ascii="Times New Roman" w:hAnsi="Times New Roman"/>
                <w:sz w:val="24"/>
              </w:rPr>
            </w:pPr>
            <w:r w:rsidRPr="00D83669">
              <w:rPr>
                <w:rFonts w:ascii="Times New Roman" w:hAnsi="Times New Roman"/>
                <w:sz w:val="24"/>
              </w:rPr>
              <w:t>- Разширяване обхвата в предучилищното и училищно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w:t>
            </w:r>
          </w:p>
          <w:p w14:paraId="5E9020DC" w14:textId="77777777" w:rsidR="00D857FE" w:rsidRPr="00D83669" w:rsidRDefault="00D857FE" w:rsidP="001A4958">
            <w:pPr>
              <w:jc w:val="both"/>
              <w:rPr>
                <w:rFonts w:ascii="Times New Roman" w:hAnsi="Times New Roman"/>
                <w:sz w:val="24"/>
              </w:rPr>
            </w:pPr>
            <w:r w:rsidRPr="00D83669">
              <w:rPr>
                <w:rFonts w:ascii="Times New Roman" w:hAnsi="Times New Roman"/>
                <w:sz w:val="24"/>
              </w:rPr>
              <w:t>- Обща и допълнителна подкрепа за личностно развитие в предучилищното и училищното образование;</w:t>
            </w:r>
          </w:p>
          <w:p w14:paraId="5A496F70" w14:textId="77777777" w:rsidR="00D857FE" w:rsidRPr="00D83669" w:rsidRDefault="00D857FE" w:rsidP="001A4958">
            <w:pPr>
              <w:jc w:val="both"/>
              <w:rPr>
                <w:rFonts w:ascii="Times New Roman" w:hAnsi="Times New Roman"/>
                <w:sz w:val="24"/>
              </w:rPr>
            </w:pPr>
            <w:r w:rsidRPr="00D83669">
              <w:rPr>
                <w:rFonts w:ascii="Times New Roman" w:hAnsi="Times New Roman"/>
                <w:sz w:val="24"/>
              </w:rPr>
              <w:t>-</w:t>
            </w:r>
            <w:r w:rsidRPr="00D83669">
              <w:t xml:space="preserve"> </w:t>
            </w:r>
            <w:r w:rsidRPr="00D83669">
              <w:rPr>
                <w:rFonts w:ascii="Times New Roman" w:hAnsi="Times New Roman"/>
                <w:sz w:val="24"/>
              </w:rPr>
              <w:t>Превенция и предотвратяване на тормоза и намаляване агресията в училищата.</w:t>
            </w:r>
          </w:p>
        </w:tc>
      </w:tr>
      <w:tr w:rsidR="00D857FE" w:rsidRPr="00D83669" w14:paraId="740D606E" w14:textId="77777777" w:rsidTr="00491658">
        <w:tc>
          <w:tcPr>
            <w:tcW w:w="2263" w:type="dxa"/>
            <w:shd w:val="clear" w:color="auto" w:fill="auto"/>
            <w:vAlign w:val="center"/>
          </w:tcPr>
          <w:p w14:paraId="4772035E"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 xml:space="preserve">Дефиниция </w:t>
            </w:r>
          </w:p>
        </w:tc>
        <w:tc>
          <w:tcPr>
            <w:tcW w:w="7519" w:type="dxa"/>
            <w:shd w:val="clear" w:color="auto" w:fill="auto"/>
            <w:vAlign w:val="center"/>
          </w:tcPr>
          <w:p w14:paraId="7BF8161F" w14:textId="01742149" w:rsidR="00D857FE" w:rsidRPr="00D83669" w:rsidRDefault="00D857FE" w:rsidP="001A4958">
            <w:pPr>
              <w:jc w:val="both"/>
              <w:rPr>
                <w:rFonts w:ascii="Times New Roman" w:hAnsi="Times New Roman"/>
                <w:sz w:val="24"/>
              </w:rPr>
            </w:pPr>
            <w:r w:rsidRPr="00D83669">
              <w:rPr>
                <w:rFonts w:ascii="Times New Roman" w:hAnsi="Times New Roman"/>
                <w:sz w:val="24"/>
              </w:rPr>
              <w:t>Показателят измерва броя на децата и ученици от малцинства (включително роми), когато е приложимо и брой на техните родители, реално участващи в процеса на приобщаващо образование в дейности по две системни операции, изпълнявани чрез директен бенефициент МОН:</w:t>
            </w:r>
            <w:r w:rsidRPr="00D83669">
              <w:t xml:space="preserve"> </w:t>
            </w:r>
            <w:r w:rsidRPr="00D83669">
              <w:rPr>
                <w:rFonts w:ascii="Times New Roman" w:hAnsi="Times New Roman"/>
                <w:sz w:val="24"/>
              </w:rPr>
              <w:t>деца, ученици и родители от малцинства, обхванати от механизма за съвместна работа на институциите; деца и ученици от малцинства в предучилищното и училищното образование със специални образователни потребности (СОП), в риск, с хронични заболявания и с изявени дарби; деца и ученици от малцинства, с обучителни затруднения, в риск от отпадане от предучилищното и училищно образование, получили обща и допълнителна подкрепа за личностно развитие и една операция за подбор – ученици от малцинствата и по 1 техен родител, участници в дейности срещу агресията, тормоза и насилието в училище.</w:t>
            </w:r>
          </w:p>
          <w:p w14:paraId="77758F75" w14:textId="5F2D9767" w:rsidR="00D857FE" w:rsidRPr="00D83669" w:rsidRDefault="00D857FE" w:rsidP="001A4958">
            <w:pPr>
              <w:jc w:val="both"/>
              <w:rPr>
                <w:rFonts w:ascii="Times New Roman" w:hAnsi="Times New Roman"/>
                <w:sz w:val="24"/>
              </w:rPr>
            </w:pPr>
            <w:r w:rsidRPr="00D83669">
              <w:rPr>
                <w:rFonts w:ascii="Times New Roman" w:hAnsi="Times New Roman"/>
                <w:sz w:val="24"/>
              </w:rPr>
              <w:t xml:space="preserve">Показател EECO15 обхваща децата и учениците от малцинствата по трите операции по СЦ по чл. 4, §1 буква е) – т.е. на ниво СЦ по чл. 4, §1 буква е) и по 1 техен родител, обхванати в трите операции по тази специфична цел – деца и ученици по две системни операции и по един техен родител, като броят на учениците и по 1 техен родител по третата операция не е включен в изчисленията, за да се избегне препокриване и да не се дублират стойностите, т.к. операцията за обща и допълнителна подкрепа (ОДП) – обхваща всички училища с </w:t>
            </w:r>
            <w:r w:rsidRPr="00D83669">
              <w:rPr>
                <w:rFonts w:ascii="Times New Roman" w:hAnsi="Times New Roman"/>
                <w:sz w:val="24"/>
              </w:rPr>
              <w:lastRenderedPageBreak/>
              <w:t>концентрация на уязвими групи, вкл. роми, а третата операция за превенция на насилието и агресията в училище ще обхване училища и ученици от малцинства от операция за ОДП, т.к. училища с концентрация на уязвими групи ще участват и в третата операция.</w:t>
            </w:r>
          </w:p>
        </w:tc>
      </w:tr>
      <w:tr w:rsidR="00D857FE" w:rsidRPr="00D83669" w14:paraId="530C4E17" w14:textId="77777777" w:rsidTr="00491658">
        <w:tc>
          <w:tcPr>
            <w:tcW w:w="2263" w:type="dxa"/>
            <w:shd w:val="clear" w:color="auto" w:fill="auto"/>
            <w:vAlign w:val="center"/>
          </w:tcPr>
          <w:p w14:paraId="40394F93"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lastRenderedPageBreak/>
              <w:t>Мерна единица</w:t>
            </w:r>
          </w:p>
        </w:tc>
        <w:tc>
          <w:tcPr>
            <w:tcW w:w="7519" w:type="dxa"/>
            <w:shd w:val="clear" w:color="auto" w:fill="auto"/>
            <w:vAlign w:val="center"/>
          </w:tcPr>
          <w:p w14:paraId="71AE9EBB" w14:textId="77777777" w:rsidR="00D857FE" w:rsidRPr="00D83669" w:rsidRDefault="00D857FE" w:rsidP="001A4958">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20C2E2C2" w14:textId="77777777" w:rsidTr="00491658">
        <w:tc>
          <w:tcPr>
            <w:tcW w:w="2263" w:type="dxa"/>
            <w:shd w:val="clear" w:color="auto" w:fill="auto"/>
            <w:vAlign w:val="center"/>
          </w:tcPr>
          <w:p w14:paraId="1A1CA066"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Крайна цел</w:t>
            </w:r>
          </w:p>
        </w:tc>
        <w:tc>
          <w:tcPr>
            <w:tcW w:w="7519" w:type="dxa"/>
            <w:shd w:val="clear" w:color="auto" w:fill="auto"/>
            <w:vAlign w:val="center"/>
          </w:tcPr>
          <w:p w14:paraId="57422CF0" w14:textId="77777777" w:rsidR="00D857FE" w:rsidRPr="00D83669" w:rsidRDefault="00D857FE" w:rsidP="001A4958">
            <w:pPr>
              <w:jc w:val="both"/>
              <w:rPr>
                <w:rFonts w:ascii="Times New Roman" w:hAnsi="Times New Roman"/>
                <w:sz w:val="24"/>
              </w:rPr>
            </w:pPr>
            <w:r w:rsidRPr="00D83669">
              <w:rPr>
                <w:rFonts w:ascii="Times New Roman" w:hAnsi="Times New Roman"/>
                <w:sz w:val="24"/>
              </w:rPr>
              <w:t>121 743</w:t>
            </w:r>
          </w:p>
        </w:tc>
      </w:tr>
      <w:tr w:rsidR="00D857FE" w:rsidRPr="00D83669" w14:paraId="5E5E5C1D" w14:textId="77777777" w:rsidTr="00491658">
        <w:tc>
          <w:tcPr>
            <w:tcW w:w="2263" w:type="dxa"/>
            <w:shd w:val="clear" w:color="auto" w:fill="auto"/>
            <w:vAlign w:val="center"/>
          </w:tcPr>
          <w:p w14:paraId="6F81F1B5" w14:textId="3E39AF8D" w:rsidR="00D857FE" w:rsidRPr="00D83669" w:rsidRDefault="004F7B30" w:rsidP="00CC7BCB">
            <w:pPr>
              <w:jc w:val="both"/>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519" w:type="dxa"/>
            <w:shd w:val="clear" w:color="auto" w:fill="auto"/>
            <w:vAlign w:val="center"/>
          </w:tcPr>
          <w:p w14:paraId="6722A6A9" w14:textId="77777777" w:rsidR="00D857FE" w:rsidRPr="00D83669" w:rsidRDefault="00D857FE" w:rsidP="001A4958">
            <w:pPr>
              <w:jc w:val="both"/>
              <w:rPr>
                <w:rFonts w:ascii="Times New Roman" w:hAnsi="Times New Roman"/>
                <w:sz w:val="24"/>
              </w:rPr>
            </w:pPr>
            <w:r w:rsidRPr="00D83669">
              <w:rPr>
                <w:rFonts w:ascii="Times New Roman" w:hAnsi="Times New Roman"/>
                <w:sz w:val="24"/>
              </w:rPr>
              <w:t>Целевата стойност се основава на единичните разходи за обучение на деца и ученици и родители, прилагани в периода 2018 – 2020 г., за които се прилага процент на индексация въз основа на очакваното увеличение на разходите за труд в сектор „Образование“ за период до 2029 г., като се има предвид, че по-голямата част от единичните разходи за обучение деца и ученици са свързани с разходите за възнаграждения зависят от нарастването на разходите за труд.</w:t>
            </w:r>
          </w:p>
          <w:p w14:paraId="37608F9D" w14:textId="3690518C" w:rsidR="00D857FE" w:rsidRPr="00D83669" w:rsidRDefault="00D857FE" w:rsidP="001A4958">
            <w:pPr>
              <w:jc w:val="both"/>
              <w:rPr>
                <w:rFonts w:ascii="Times New Roman" w:hAnsi="Times New Roman"/>
                <w:sz w:val="24"/>
              </w:rPr>
            </w:pPr>
            <w:r w:rsidRPr="00D83669">
              <w:rPr>
                <w:rFonts w:ascii="Times New Roman" w:hAnsi="Times New Roman"/>
                <w:sz w:val="24"/>
              </w:rPr>
              <w:t>За определяне целевата стойност на показателя се ползват данни от ОПНОИР, според които до края на 2020 г. поне 25% от обхванатите деца и ученици по ПО 2 и ПО 3 са от малцинства. Целевата стойност на показателя представлява обща стойност (сбор) от:</w:t>
            </w:r>
          </w:p>
          <w:p w14:paraId="0E725B4C" w14:textId="77777777" w:rsidR="00D857FE" w:rsidRPr="00D83669" w:rsidRDefault="00D857FE" w:rsidP="001A4958">
            <w:pPr>
              <w:jc w:val="both"/>
              <w:rPr>
                <w:rFonts w:ascii="Times New Roman" w:hAnsi="Times New Roman"/>
                <w:sz w:val="24"/>
              </w:rPr>
            </w:pPr>
            <w:r w:rsidRPr="00D83669">
              <w:rPr>
                <w:rFonts w:ascii="Times New Roman" w:hAnsi="Times New Roman"/>
                <w:sz w:val="24"/>
              </w:rPr>
              <w:t>- 16 351 бр. деца и ученици, от малцинства, които ще бъдат обхванати по операция „Разширяване обхвата в предучилищното и училищно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 и поне по един техен родител или 16 351 родители, което е половината от планирания брой деца и ученици и родители по тази операция. Определяният процент (50%) се базира на оперативните данни до края на 2020 по операции от ОПНОИР, директно насочени към включване в, преодоляване на отпадането от и задържането в образование на децата и учениците от уязвими групи, като „Подкрепа за успех“, където относителният дял на малцинствата от всички обхванати ученици е 51,08% и по операция „Активно приобщаване в системата на предучилищното образование“, където относителният дял на малцинствата от подкрепените деца от уязвими групи, вкл. с поемане на такси за детска градина е 51,38%.</w:t>
            </w:r>
          </w:p>
          <w:p w14:paraId="2EDFBAED" w14:textId="28D402D8" w:rsidR="00D857FE" w:rsidRPr="00D83669" w:rsidRDefault="00D857FE" w:rsidP="001A4958">
            <w:pPr>
              <w:jc w:val="both"/>
              <w:rPr>
                <w:rFonts w:ascii="Times New Roman" w:hAnsi="Times New Roman"/>
                <w:sz w:val="24"/>
              </w:rPr>
            </w:pPr>
            <w:r w:rsidRPr="00D83669">
              <w:rPr>
                <w:rFonts w:ascii="Times New Roman" w:hAnsi="Times New Roman"/>
                <w:sz w:val="24"/>
              </w:rPr>
              <w:t xml:space="preserve"> - 44 520 деца и ученици от малцинства по операция „Обща и допълнителна подкрепа за личностно развитие в предучилищното и училищното образование“ и поне по 1 техен родител или 44 520 родители, което е една четвърт от планирания брой деца, ученици и родители по тази операция. </w:t>
            </w:r>
          </w:p>
          <w:p w14:paraId="5812E30C" w14:textId="77777777" w:rsidR="00D857FE" w:rsidRPr="00D83669" w:rsidRDefault="00D857FE" w:rsidP="001A4958">
            <w:pPr>
              <w:jc w:val="both"/>
              <w:rPr>
                <w:rFonts w:ascii="Times New Roman" w:hAnsi="Times New Roman"/>
                <w:sz w:val="24"/>
              </w:rPr>
            </w:pPr>
            <w:r w:rsidRPr="00D83669">
              <w:rPr>
                <w:rFonts w:ascii="Times New Roman" w:hAnsi="Times New Roman"/>
                <w:sz w:val="24"/>
              </w:rPr>
              <w:t>Изчисленията са: (17 450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160 632)</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 xml:space="preserve">2 </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89 041.</w:t>
            </w:r>
          </w:p>
          <w:p w14:paraId="1497FB1F" w14:textId="77777777" w:rsidR="00D857FE" w:rsidRPr="00D83669" w:rsidRDefault="00D857FE" w:rsidP="001A4958">
            <w:pPr>
              <w:jc w:val="both"/>
              <w:rPr>
                <w:rFonts w:ascii="Times New Roman" w:hAnsi="Times New Roman"/>
                <w:sz w:val="24"/>
              </w:rPr>
            </w:pPr>
            <w:r w:rsidRPr="00D83669">
              <w:rPr>
                <w:rFonts w:ascii="Times New Roman" w:hAnsi="Times New Roman"/>
                <w:sz w:val="24"/>
              </w:rPr>
              <w:t>По данни от ОПНОИР до края на 2020 г. по Приоритетна ос 2 и Приоритетна ос 3 поне 25% от обхванатите деца и ученици са от малцинства.</w:t>
            </w:r>
          </w:p>
          <w:p w14:paraId="2589886A" w14:textId="59954AFD" w:rsidR="00D857FE" w:rsidRPr="00D83669" w:rsidRDefault="00D857FE" w:rsidP="001A4958">
            <w:pPr>
              <w:jc w:val="both"/>
              <w:rPr>
                <w:rFonts w:ascii="Times New Roman" w:hAnsi="Times New Roman"/>
                <w:sz w:val="24"/>
              </w:rPr>
            </w:pPr>
            <w:r w:rsidRPr="00D83669">
              <w:rPr>
                <w:rFonts w:ascii="Times New Roman" w:hAnsi="Times New Roman"/>
                <w:sz w:val="24"/>
              </w:rPr>
              <w:t>Изчислената целева стойност на показателя е 121 743 или</w:t>
            </w:r>
          </w:p>
          <w:p w14:paraId="28430E2B" w14:textId="77777777" w:rsidR="00D857FE" w:rsidRPr="00D83669" w:rsidRDefault="00D857FE" w:rsidP="001A4958">
            <w:pPr>
              <w:jc w:val="both"/>
              <w:rPr>
                <w:rFonts w:ascii="Times New Roman" w:hAnsi="Times New Roman"/>
                <w:sz w:val="24"/>
              </w:rPr>
            </w:pPr>
            <w:r w:rsidRPr="00D83669">
              <w:rPr>
                <w:rFonts w:ascii="Times New Roman" w:hAnsi="Times New Roman"/>
                <w:sz w:val="24"/>
              </w:rPr>
              <w:lastRenderedPageBreak/>
              <w:t>32 702 *</w:t>
            </w:r>
            <w:r w:rsidRPr="00D83669">
              <w:rPr>
                <w:rFonts w:ascii="Times New Roman" w:hAnsi="Times New Roman"/>
                <w:sz w:val="24"/>
                <w:lang w:val="en-US"/>
              </w:rPr>
              <w:t> </w:t>
            </w:r>
            <w:r w:rsidRPr="00D83669">
              <w:rPr>
                <w:rFonts w:ascii="Times New Roman" w:hAnsi="Times New Roman"/>
                <w:sz w:val="24"/>
              </w:rPr>
              <w:t>0,5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 + (17 450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160 632)</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 =</w:t>
            </w:r>
            <w:r w:rsidRPr="00D83669">
              <w:rPr>
                <w:rFonts w:ascii="Times New Roman" w:hAnsi="Times New Roman"/>
                <w:sz w:val="24"/>
                <w:lang w:val="en-US"/>
              </w:rPr>
              <w:t> </w:t>
            </w:r>
            <w:r w:rsidRPr="00D83669">
              <w:rPr>
                <w:rFonts w:ascii="Times New Roman" w:hAnsi="Times New Roman"/>
                <w:sz w:val="24"/>
              </w:rPr>
              <w:t>121 743</w:t>
            </w:r>
          </w:p>
          <w:p w14:paraId="2F836249" w14:textId="77777777" w:rsidR="00D857FE" w:rsidRPr="00D83669" w:rsidRDefault="00D857FE" w:rsidP="001A4958">
            <w:pPr>
              <w:jc w:val="both"/>
              <w:rPr>
                <w:rFonts w:ascii="Times New Roman" w:hAnsi="Times New Roman"/>
                <w:sz w:val="24"/>
              </w:rPr>
            </w:pPr>
            <w:r w:rsidRPr="00D83669">
              <w:rPr>
                <w:rFonts w:ascii="Times New Roman" w:hAnsi="Times New Roman"/>
                <w:sz w:val="24"/>
              </w:rPr>
              <w:t>Целевата стойност представлява над 13% от всички деца и ученици в предучилищното и училищно образование, които по данни на НСИ за учебната 2019/2020 г. са 926 125 (217 867 в предучилищното образование и 708 258 в училищното образование).</w:t>
            </w:r>
          </w:p>
        </w:tc>
      </w:tr>
      <w:tr w:rsidR="00D857FE" w:rsidRPr="00D83669" w14:paraId="09769B19" w14:textId="77777777" w:rsidTr="00491658">
        <w:tc>
          <w:tcPr>
            <w:tcW w:w="2263" w:type="dxa"/>
            <w:shd w:val="clear" w:color="auto" w:fill="auto"/>
            <w:vAlign w:val="center"/>
          </w:tcPr>
          <w:p w14:paraId="6500BD51"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lastRenderedPageBreak/>
              <w:t>Междинна цел</w:t>
            </w:r>
          </w:p>
        </w:tc>
        <w:tc>
          <w:tcPr>
            <w:tcW w:w="7519" w:type="dxa"/>
            <w:shd w:val="clear" w:color="auto" w:fill="auto"/>
            <w:vAlign w:val="center"/>
          </w:tcPr>
          <w:p w14:paraId="686BC522" w14:textId="56AA7EA3" w:rsidR="00D857FE" w:rsidRPr="00D83669" w:rsidRDefault="00D857FE" w:rsidP="001A4958">
            <w:pPr>
              <w:jc w:val="both"/>
              <w:rPr>
                <w:rFonts w:ascii="Times New Roman" w:hAnsi="Times New Roman"/>
                <w:sz w:val="24"/>
              </w:rPr>
            </w:pPr>
            <w:r w:rsidRPr="00D83669">
              <w:rPr>
                <w:rFonts w:ascii="Times New Roman" w:hAnsi="Times New Roman"/>
                <w:sz w:val="24"/>
              </w:rPr>
              <w:t xml:space="preserve"> </w:t>
            </w:r>
            <w:r w:rsidR="00D1182E" w:rsidRPr="00D83669">
              <w:rPr>
                <w:rFonts w:ascii="Times New Roman" w:hAnsi="Times New Roman"/>
                <w:sz w:val="24"/>
              </w:rPr>
              <w:t>29 524</w:t>
            </w:r>
          </w:p>
        </w:tc>
      </w:tr>
      <w:tr w:rsidR="00D857FE" w:rsidRPr="00D83669" w14:paraId="2577043E" w14:textId="77777777" w:rsidTr="00491658">
        <w:tc>
          <w:tcPr>
            <w:tcW w:w="2263" w:type="dxa"/>
            <w:shd w:val="clear" w:color="auto" w:fill="auto"/>
            <w:vAlign w:val="center"/>
          </w:tcPr>
          <w:p w14:paraId="2628B738"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519" w:type="dxa"/>
            <w:shd w:val="clear" w:color="auto" w:fill="auto"/>
            <w:vAlign w:val="center"/>
          </w:tcPr>
          <w:p w14:paraId="05878F54" w14:textId="43B2BEE8" w:rsidR="00943A70" w:rsidRPr="00D83669" w:rsidRDefault="00943A70" w:rsidP="00943A70">
            <w:pPr>
              <w:spacing w:line="256" w:lineRule="auto"/>
              <w:jc w:val="both"/>
              <w:rPr>
                <w:rFonts w:ascii="Times New Roman" w:hAnsi="Times New Roman" w:cs="Times New Roman"/>
                <w:sz w:val="24"/>
                <w:szCs w:val="24"/>
              </w:rPr>
            </w:pPr>
            <w:r w:rsidRPr="00D83669">
              <w:rPr>
                <w:rFonts w:ascii="Times New Roman" w:hAnsi="Times New Roman" w:cs="Times New Roman"/>
                <w:sz w:val="24"/>
                <w:szCs w:val="24"/>
              </w:rPr>
              <w:t>Етапната цел е съобразена с планирания график на операциите, които  стартират преди 2024 г.: група дейности 1 стартира със 100% от бюджета си, а група дейности 2 с две операции с по 75% от бюджета. Етапната цел се определя, като се взема предвид определения финансов ресурс за операциите,  разделен на планирания брой години за изпълнението им и отчитането на стойности на индикаторите до края на 2024 г. Етапната цел представлява сбор на деца, ученици и родители от маргинализирани групи като ромите, обхванати в: операция по група дейности 1, стартираща през 2023 г. със 100% от бюджета и продължителност 5 години (32702/5*2*0,5=6540), операция за обща и допълнителна подкрепа в предучилищното образование, стартираща в края на 2023 г. с продължителност 5 години (6065*0,75*1/5 + 43645*0,75*1/5)*0,25*2=3729 и в операция за обща и допълнителна подкрепа в училищното образование по група дейности 2, стартираща в края на 2022г. (11385*0,75*2/5+116987*</w:t>
            </w:r>
            <w:r w:rsidR="001E65E0" w:rsidRPr="00D83669">
              <w:rPr>
                <w:rFonts w:ascii="Times New Roman" w:hAnsi="Times New Roman" w:cs="Times New Roman"/>
                <w:sz w:val="24"/>
                <w:szCs w:val="24"/>
              </w:rPr>
              <w:t>0</w:t>
            </w:r>
            <w:r w:rsidRPr="00D83669">
              <w:rPr>
                <w:rFonts w:ascii="Times New Roman" w:hAnsi="Times New Roman" w:cs="Times New Roman"/>
                <w:sz w:val="24"/>
                <w:szCs w:val="24"/>
              </w:rPr>
              <w:t>,75*2/5)</w:t>
            </w:r>
            <w:r w:rsidR="001E65E0" w:rsidRPr="00D83669">
              <w:rPr>
                <w:rFonts w:ascii="Times New Roman" w:hAnsi="Times New Roman" w:cs="Times New Roman"/>
                <w:sz w:val="24"/>
                <w:szCs w:val="24"/>
              </w:rPr>
              <w:t>*</w:t>
            </w:r>
            <w:r w:rsidRPr="00D83669">
              <w:rPr>
                <w:rFonts w:ascii="Times New Roman" w:hAnsi="Times New Roman" w:cs="Times New Roman"/>
                <w:sz w:val="24"/>
                <w:szCs w:val="24"/>
              </w:rPr>
              <w:t>0,25*2=19255. Етапната цел не включва операция за превенция на тормоза и агресията в училище, която стартира в края на 2024 г. и няма възможност за отчитане на показателя или 6540+3729+19255=29524.</w:t>
            </w:r>
          </w:p>
          <w:p w14:paraId="0309AE79" w14:textId="4AB316AD" w:rsidR="00D857FE" w:rsidRPr="00D83669" w:rsidRDefault="00943A70" w:rsidP="00943A70">
            <w:pPr>
              <w:spacing w:line="256" w:lineRule="auto"/>
              <w:jc w:val="both"/>
              <w:rPr>
                <w:rFonts w:ascii="Times New Roman" w:hAnsi="Times New Roman"/>
                <w:sz w:val="24"/>
              </w:rPr>
            </w:pPr>
            <w:r w:rsidRPr="00D83669">
              <w:rPr>
                <w:rFonts w:ascii="Times New Roman" w:hAnsi="Times New Roman" w:cs="Times New Roman"/>
              </w:rPr>
              <w:t>Изчисления (C12+C17)*0,25*2+C5*0,25+C7*0,25</w:t>
            </w:r>
          </w:p>
        </w:tc>
      </w:tr>
      <w:tr w:rsidR="00D857FE" w:rsidRPr="00D83669" w14:paraId="79C09199" w14:textId="77777777" w:rsidTr="00491658">
        <w:tc>
          <w:tcPr>
            <w:tcW w:w="2263" w:type="dxa"/>
            <w:shd w:val="clear" w:color="auto" w:fill="auto"/>
            <w:vAlign w:val="center"/>
          </w:tcPr>
          <w:p w14:paraId="61EA7F69"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Базова стойност</w:t>
            </w:r>
          </w:p>
        </w:tc>
        <w:tc>
          <w:tcPr>
            <w:tcW w:w="7519" w:type="dxa"/>
            <w:shd w:val="clear" w:color="auto" w:fill="auto"/>
            <w:vAlign w:val="center"/>
          </w:tcPr>
          <w:p w14:paraId="7C26DB86" w14:textId="77777777" w:rsidR="00D857FE" w:rsidRPr="00D83669" w:rsidRDefault="00D857FE" w:rsidP="001A4958">
            <w:pPr>
              <w:jc w:val="both"/>
              <w:rPr>
                <w:rFonts w:ascii="Times New Roman" w:hAnsi="Times New Roman"/>
                <w:sz w:val="24"/>
              </w:rPr>
            </w:pPr>
            <w:r w:rsidRPr="00D83669">
              <w:rPr>
                <w:rFonts w:ascii="Times New Roman" w:hAnsi="Times New Roman"/>
                <w:sz w:val="24"/>
              </w:rPr>
              <w:t>0</w:t>
            </w:r>
          </w:p>
        </w:tc>
      </w:tr>
      <w:tr w:rsidR="00D857FE" w:rsidRPr="00D83669" w14:paraId="2BCBD761" w14:textId="77777777" w:rsidTr="00491658">
        <w:tc>
          <w:tcPr>
            <w:tcW w:w="2263" w:type="dxa"/>
            <w:shd w:val="clear" w:color="auto" w:fill="auto"/>
            <w:vAlign w:val="center"/>
          </w:tcPr>
          <w:p w14:paraId="6B9E8667"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 xml:space="preserve">Разбивка </w:t>
            </w:r>
          </w:p>
        </w:tc>
        <w:tc>
          <w:tcPr>
            <w:tcW w:w="7519" w:type="dxa"/>
            <w:shd w:val="clear" w:color="auto" w:fill="auto"/>
            <w:vAlign w:val="center"/>
          </w:tcPr>
          <w:p w14:paraId="3B9705F2" w14:textId="77777777" w:rsidR="00D857FE" w:rsidRPr="00D83669" w:rsidRDefault="00D857FE" w:rsidP="001A4958">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 други демографски фактори. На етапа на изпълнение ще бъдат представени данни за пол, ниво на образование, вид уязвима група, област и община и друга демографска информация за участниците.</w:t>
            </w:r>
          </w:p>
        </w:tc>
      </w:tr>
      <w:tr w:rsidR="00D857FE" w:rsidRPr="00D83669" w14:paraId="380A2EDF" w14:textId="77777777" w:rsidTr="00491658">
        <w:tc>
          <w:tcPr>
            <w:tcW w:w="2263" w:type="dxa"/>
            <w:shd w:val="clear" w:color="auto" w:fill="auto"/>
            <w:vAlign w:val="center"/>
          </w:tcPr>
          <w:p w14:paraId="46125C22"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 xml:space="preserve">Обосновка </w:t>
            </w:r>
          </w:p>
        </w:tc>
        <w:tc>
          <w:tcPr>
            <w:tcW w:w="7519" w:type="dxa"/>
            <w:shd w:val="clear" w:color="auto" w:fill="auto"/>
            <w:vAlign w:val="center"/>
          </w:tcPr>
          <w:p w14:paraId="49657186" w14:textId="4F6AB1AA" w:rsidR="00D857FE" w:rsidRPr="00D83669" w:rsidRDefault="00D857FE" w:rsidP="001A4958">
            <w:pPr>
              <w:jc w:val="both"/>
              <w:rPr>
                <w:rFonts w:ascii="Times New Roman" w:hAnsi="Times New Roman"/>
                <w:sz w:val="24"/>
              </w:rPr>
            </w:pPr>
            <w:r w:rsidRPr="00D83669">
              <w:rPr>
                <w:rFonts w:ascii="Times New Roman" w:hAnsi="Times New Roman"/>
                <w:sz w:val="24"/>
              </w:rPr>
              <w:t>Данните са необходими с оглед постигане на заложени цели в политиките за образование, в редица стратегически документи за уязвими групи.</w:t>
            </w:r>
            <w:r w:rsidR="00D372CB" w:rsidRPr="00D83669">
              <w:rPr>
                <w:rFonts w:ascii="Times New Roman" w:hAnsi="Times New Roman"/>
                <w:sz w:val="24"/>
              </w:rPr>
              <w:t xml:space="preserve"> </w:t>
            </w:r>
            <w:r w:rsidRPr="00D83669">
              <w:rPr>
                <w:rFonts w:ascii="Times New Roman" w:hAnsi="Times New Roman"/>
                <w:sz w:val="24"/>
              </w:rPr>
              <w:t>Показателят е ориентиран към цели, заложени в стратегически документи например като Стратегическа рамка за развитие на образованието, обучението и ученето на Република България 2021 – 2030 като Цел 5.6 „Образователна интеграция на деца и ученици от уязвими групи, включително роми, на търсещи или получили международна закрила и мигранти“ както и в проекта на Националната стратегия на Република България за приобщаване и участие на ромите 2021 – 2030 и др.</w:t>
            </w:r>
          </w:p>
          <w:p w14:paraId="53C0EE1B" w14:textId="77777777" w:rsidR="00D857FE" w:rsidRPr="00D83669" w:rsidRDefault="00D857FE" w:rsidP="001A4958">
            <w:pPr>
              <w:jc w:val="both"/>
              <w:rPr>
                <w:rFonts w:ascii="Times New Roman" w:hAnsi="Times New Roman"/>
                <w:sz w:val="24"/>
              </w:rPr>
            </w:pPr>
            <w:r w:rsidRPr="00D83669">
              <w:rPr>
                <w:rFonts w:ascii="Times New Roman" w:hAnsi="Times New Roman"/>
                <w:sz w:val="24"/>
              </w:rPr>
              <w:t xml:space="preserve">Данните ще се събират, за да се проследи броя на децата и учениците от малцинствата, включително и на техните родители, които участват в дейности по ПО, с цел осигуряване на достъп до качествено и приобщаващо образование. </w:t>
            </w:r>
          </w:p>
          <w:p w14:paraId="2B7B6624" w14:textId="4B2E93DC" w:rsidR="00D857FE" w:rsidRPr="00D83669" w:rsidRDefault="00D857FE" w:rsidP="001A4958">
            <w:pPr>
              <w:jc w:val="both"/>
              <w:rPr>
                <w:rFonts w:ascii="Times New Roman" w:hAnsi="Times New Roman"/>
                <w:sz w:val="24"/>
              </w:rPr>
            </w:pPr>
            <w:r w:rsidRPr="00D83669">
              <w:rPr>
                <w:rFonts w:ascii="Times New Roman" w:hAnsi="Times New Roman"/>
                <w:sz w:val="24"/>
              </w:rPr>
              <w:lastRenderedPageBreak/>
              <w:t>Информацията служи за ориентир/коректив при определяне на политики за приобщаващото образование, по специално за уязвими групи като малцинства, роми, мигранти, и др. Показателят е насочен и към решаване на демографски и социално-икономически проблеми.</w:t>
            </w:r>
          </w:p>
        </w:tc>
      </w:tr>
      <w:tr w:rsidR="00D857FE" w:rsidRPr="00D83669" w14:paraId="399FB2E2" w14:textId="77777777" w:rsidTr="00491658">
        <w:tc>
          <w:tcPr>
            <w:tcW w:w="2263" w:type="dxa"/>
            <w:shd w:val="clear" w:color="auto" w:fill="auto"/>
            <w:vAlign w:val="center"/>
          </w:tcPr>
          <w:p w14:paraId="79B4F8E6"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519" w:type="dxa"/>
            <w:shd w:val="clear" w:color="auto" w:fill="auto"/>
            <w:vAlign w:val="center"/>
          </w:tcPr>
          <w:p w14:paraId="2EBD923B" w14:textId="77777777" w:rsidR="00D857FE" w:rsidRPr="00D83669" w:rsidRDefault="00D857FE" w:rsidP="001A4958">
            <w:pPr>
              <w:jc w:val="both"/>
              <w:rPr>
                <w:rFonts w:ascii="Times New Roman" w:hAnsi="Times New Roman"/>
                <w:sz w:val="24"/>
              </w:rPr>
            </w:pPr>
            <w:r w:rsidRPr="00D83669">
              <w:rPr>
                <w:rFonts w:ascii="Times New Roman" w:hAnsi="Times New Roman"/>
                <w:sz w:val="24"/>
              </w:rPr>
              <w:t>Данните ще се събират текущо на база технически отчети</w:t>
            </w:r>
            <w:r w:rsidRPr="00D83669">
              <w:t xml:space="preserve"> </w:t>
            </w:r>
            <w:r w:rsidRPr="00D83669">
              <w:rPr>
                <w:rFonts w:ascii="Times New Roman" w:hAnsi="Times New Roman"/>
                <w:sz w:val="24"/>
              </w:rPr>
              <w:t>и ще съдържат видът и името на училището/детската градина; местоположение – област, населено място, район; брой и демографски данни на деца и ученици от малцинствата и техните родители, участвали в дейности по СЦ по чл. 4, ал. 1, буква е); демографски данни като пол, възраст, ниво на образование на родители, майчин език; др. Данните се събират и чрез анкетни карти от родителите, участници, самоопределящи своя майчин език и/или етническа принадлежност.</w:t>
            </w:r>
          </w:p>
        </w:tc>
      </w:tr>
      <w:tr w:rsidR="00D857FE" w:rsidRPr="00D83669" w14:paraId="71E97D41" w14:textId="77777777" w:rsidTr="00491658">
        <w:tc>
          <w:tcPr>
            <w:tcW w:w="2263" w:type="dxa"/>
            <w:shd w:val="clear" w:color="auto" w:fill="auto"/>
            <w:vAlign w:val="center"/>
          </w:tcPr>
          <w:p w14:paraId="3E9E4C96"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Честота на докладване</w:t>
            </w:r>
          </w:p>
        </w:tc>
        <w:tc>
          <w:tcPr>
            <w:tcW w:w="7519" w:type="dxa"/>
            <w:shd w:val="clear" w:color="auto" w:fill="auto"/>
            <w:vAlign w:val="center"/>
          </w:tcPr>
          <w:p w14:paraId="59ECF114" w14:textId="77777777" w:rsidR="00D857FE" w:rsidRPr="00D83669" w:rsidRDefault="00D857FE" w:rsidP="00CC7BCB">
            <w:pPr>
              <w:rPr>
                <w:rFonts w:ascii="Times New Roman" w:hAnsi="Times New Roman"/>
                <w:sz w:val="24"/>
              </w:rPr>
            </w:pPr>
            <w:r w:rsidRPr="00D83669">
              <w:rPr>
                <w:rFonts w:ascii="Times New Roman" w:hAnsi="Times New Roman"/>
                <w:sz w:val="24"/>
              </w:rPr>
              <w:t>Два пъти годишно</w:t>
            </w:r>
          </w:p>
        </w:tc>
      </w:tr>
      <w:tr w:rsidR="00D857FE" w:rsidRPr="00D83669" w14:paraId="46E491E2" w14:textId="77777777" w:rsidTr="00491658">
        <w:tc>
          <w:tcPr>
            <w:tcW w:w="2263" w:type="dxa"/>
            <w:shd w:val="clear" w:color="auto" w:fill="auto"/>
            <w:vAlign w:val="center"/>
          </w:tcPr>
          <w:p w14:paraId="25772385" w14:textId="54EB353D" w:rsidR="00D857FE" w:rsidRPr="00D83669" w:rsidRDefault="00D857FE" w:rsidP="00CC7BCB">
            <w:pPr>
              <w:jc w:val="both"/>
              <w:rPr>
                <w:rFonts w:ascii="Times New Roman" w:hAnsi="Times New Roman"/>
                <w:b/>
                <w:bCs/>
                <w:sz w:val="24"/>
              </w:rPr>
            </w:pPr>
            <w:r w:rsidRPr="00D83669">
              <w:rPr>
                <w:rFonts w:ascii="Times New Roman" w:hAnsi="Times New Roman"/>
                <w:b/>
                <w:bCs/>
                <w:sz w:val="24"/>
              </w:rPr>
              <w:t>Свързаност на показателите</w:t>
            </w:r>
          </w:p>
        </w:tc>
        <w:tc>
          <w:tcPr>
            <w:tcW w:w="7519" w:type="dxa"/>
            <w:shd w:val="clear" w:color="auto" w:fill="auto"/>
            <w:vAlign w:val="center"/>
          </w:tcPr>
          <w:p w14:paraId="669A775C"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EECO06 брой на децата на възраст под 18 години;</w:t>
            </w:r>
          </w:p>
          <w:p w14:paraId="4EE200A7"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EECR02 участници, които при напускане на операцията са ангажирани с образование или обучение;</w:t>
            </w:r>
          </w:p>
          <w:p w14:paraId="4F3FE6A7"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6180624B"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1.1. Брой деца и ученици обхванати от механизма за съвместна работа на институциите;</w:t>
            </w:r>
          </w:p>
          <w:p w14:paraId="1547B7FB"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1.2. Брой деца и ученици със специални образователни потребности (СОП), в риск, с хронични заболявания и с изявени дарби;</w:t>
            </w:r>
          </w:p>
          <w:p w14:paraId="7B69DEC3"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1.3. Брой родители, подкрепени в процеса на приобщаващото образование;</w:t>
            </w:r>
          </w:p>
          <w:p w14:paraId="2793E317"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6F7BB3C2"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1.5. Педагогически специалисти и непедагогически персонал, обучени за работа с деца и ученици от уязвими групи;</w:t>
            </w:r>
          </w:p>
          <w:p w14:paraId="77AC0179"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SRI 1.1. Брой деца и ученици записани в предучилищно и училищно образование чрез механизма за съвместна работа на институциите;</w:t>
            </w:r>
          </w:p>
          <w:p w14:paraId="1CC183A8"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SRI 1.2. Брой деца и ученици от уязвими групи с подобрени образователни резултати.</w:t>
            </w:r>
          </w:p>
        </w:tc>
      </w:tr>
      <w:tr w:rsidR="00D857FE" w:rsidRPr="00D83669" w14:paraId="57156883" w14:textId="77777777" w:rsidTr="00491658">
        <w:tc>
          <w:tcPr>
            <w:tcW w:w="2263" w:type="dxa"/>
            <w:shd w:val="clear" w:color="auto" w:fill="auto"/>
            <w:vAlign w:val="center"/>
          </w:tcPr>
          <w:p w14:paraId="49BD5A60"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Валидиране</w:t>
            </w:r>
          </w:p>
        </w:tc>
        <w:tc>
          <w:tcPr>
            <w:tcW w:w="7519" w:type="dxa"/>
            <w:shd w:val="clear" w:color="auto" w:fill="auto"/>
            <w:vAlign w:val="center"/>
          </w:tcPr>
          <w:p w14:paraId="0040F576" w14:textId="5E664897" w:rsidR="00D857FE" w:rsidRPr="00D83669" w:rsidRDefault="00D857FE" w:rsidP="00B7470C">
            <w:pPr>
              <w:pStyle w:val="ListParagraph"/>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от малцинства – деца, ученици, родители в дейностите по операции по СЦ по</w:t>
            </w:r>
            <w:r w:rsidRPr="00D83669">
              <w:t xml:space="preserve"> </w:t>
            </w:r>
            <w:r w:rsidRPr="00D83669">
              <w:rPr>
                <w:rFonts w:ascii="Times New Roman" w:hAnsi="Times New Roman"/>
                <w:sz w:val="24"/>
              </w:rPr>
              <w:t>чл. 4, пар. 1, буква е) на ПО 2021 – 2027, като избягва препокриване и дублиране на стойности и е по-малка от всички участници в дейности по тази специфична цел.</w:t>
            </w:r>
          </w:p>
        </w:tc>
      </w:tr>
    </w:tbl>
    <w:p w14:paraId="6B574FB7" w14:textId="77777777" w:rsidR="00D857FE" w:rsidRPr="00D83669" w:rsidRDefault="00D857FE" w:rsidP="00D857FE">
      <w:pPr>
        <w:rPr>
          <w:rFonts w:ascii="Times New Roman" w:eastAsia="Times New Roman" w:hAnsi="Times New Roman" w:cs="Times New Roman"/>
          <w:b/>
          <w:sz w:val="16"/>
          <w:szCs w:val="16"/>
          <w:lang w:eastAsia="bg-BG" w:bidi="bg-BG"/>
        </w:rPr>
      </w:pPr>
      <w:r w:rsidRPr="00D83669">
        <w:rPr>
          <w:b/>
        </w:rPr>
        <w:br w:type="page"/>
      </w:r>
    </w:p>
    <w:p w14:paraId="0F9A1DD0" w14:textId="75602615" w:rsidR="00D857FE" w:rsidRPr="00D83669" w:rsidRDefault="00D857FE" w:rsidP="008E38F5">
      <w:pPr>
        <w:pStyle w:val="Heading3"/>
        <w:rPr>
          <w:b/>
          <w:bCs/>
          <w:i/>
          <w:iCs/>
          <w:sz w:val="22"/>
          <w:szCs w:val="22"/>
        </w:rPr>
      </w:pPr>
      <w:bookmarkStart w:id="71" w:name="_Toc100152969"/>
      <w:bookmarkStart w:id="72" w:name="_Toc103586645"/>
      <w:r w:rsidRPr="00D83669">
        <w:rPr>
          <w:b/>
          <w:bCs/>
          <w:i/>
          <w:iCs/>
          <w:sz w:val="22"/>
          <w:szCs w:val="22"/>
        </w:rPr>
        <w:lastRenderedPageBreak/>
        <w:t>SOI1.1. Брой деца и ученици обхванати от механизма за съвместна работа на институциите</w:t>
      </w:r>
      <w:bookmarkEnd w:id="71"/>
      <w:bookmarkEnd w:id="72"/>
    </w:p>
    <w:tbl>
      <w:tblPr>
        <w:tblW w:w="5152"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7263"/>
      </w:tblGrid>
      <w:tr w:rsidR="00D857FE" w:rsidRPr="00D83669" w14:paraId="684690BA" w14:textId="77777777" w:rsidTr="00017A7E">
        <w:tc>
          <w:tcPr>
            <w:tcW w:w="128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67671A2" w14:textId="14FBA41F" w:rsidR="00D857FE" w:rsidRPr="00D83669" w:rsidRDefault="00D857FE" w:rsidP="00CC7BCB">
            <w:pPr>
              <w:jc w:val="both"/>
              <w:rPr>
                <w:rFonts w:ascii="Times New Roman" w:hAnsi="Times New Roman"/>
                <w:b/>
                <w:bCs/>
                <w:sz w:val="24"/>
              </w:rPr>
            </w:pPr>
            <w:r w:rsidRPr="00D83669">
              <w:rPr>
                <w:rFonts w:ascii="Times New Roman" w:hAnsi="Times New Roman"/>
                <w:b/>
                <w:bCs/>
                <w:sz w:val="24"/>
              </w:rPr>
              <w:t>Показателят SMART ли е?</w:t>
            </w:r>
          </w:p>
        </w:tc>
        <w:tc>
          <w:tcPr>
            <w:tcW w:w="3712"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8F208C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614F125C" w14:textId="77777777" w:rsidTr="00017A7E">
        <w:tc>
          <w:tcPr>
            <w:tcW w:w="1288" w:type="pct"/>
            <w:shd w:val="clear" w:color="auto" w:fill="auto"/>
            <w:vAlign w:val="center"/>
          </w:tcPr>
          <w:p w14:paraId="762B2DBF" w14:textId="14D3F5E2" w:rsidR="00D857FE" w:rsidRPr="00D83669" w:rsidRDefault="00D857FE" w:rsidP="00CC7BCB">
            <w:pPr>
              <w:jc w:val="both"/>
              <w:rPr>
                <w:rFonts w:ascii="Times New Roman" w:hAnsi="Times New Roman"/>
                <w:b/>
                <w:bCs/>
                <w:sz w:val="24"/>
              </w:rPr>
            </w:pPr>
            <w:r w:rsidRPr="00D83669">
              <w:rPr>
                <w:rFonts w:ascii="Times New Roman" w:hAnsi="Times New Roman"/>
                <w:b/>
                <w:bCs/>
                <w:sz w:val="24"/>
              </w:rPr>
              <w:t xml:space="preserve">Позакател </w:t>
            </w:r>
          </w:p>
        </w:tc>
        <w:tc>
          <w:tcPr>
            <w:tcW w:w="3712" w:type="pct"/>
            <w:shd w:val="clear" w:color="auto" w:fill="auto"/>
            <w:vAlign w:val="center"/>
          </w:tcPr>
          <w:p w14:paraId="7186F417" w14:textId="33A7823F" w:rsidR="00D857FE" w:rsidRPr="00D83669" w:rsidRDefault="00D857FE" w:rsidP="00CC7BCB">
            <w:pPr>
              <w:jc w:val="both"/>
              <w:rPr>
                <w:rFonts w:ascii="Times New Roman" w:hAnsi="Times New Roman"/>
                <w:sz w:val="24"/>
              </w:rPr>
            </w:pPr>
            <w:r w:rsidRPr="00D83669">
              <w:rPr>
                <w:rFonts w:ascii="Times New Roman" w:hAnsi="Times New Roman"/>
                <w:sz w:val="24"/>
                <w:lang w:val="en-US"/>
              </w:rPr>
              <w:t>SOI</w:t>
            </w:r>
            <w:r w:rsidR="00475334" w:rsidRPr="00D83669">
              <w:rPr>
                <w:rFonts w:ascii="Times New Roman" w:hAnsi="Times New Roman"/>
                <w:sz w:val="24"/>
              </w:rPr>
              <w:t xml:space="preserve"> </w:t>
            </w:r>
            <w:r w:rsidRPr="00D83669">
              <w:rPr>
                <w:rFonts w:ascii="Times New Roman" w:hAnsi="Times New Roman"/>
                <w:sz w:val="24"/>
              </w:rPr>
              <w:t xml:space="preserve">1.1. Брой деца и ученици обхванати от механизма за съвместна работа на институциите </w:t>
            </w:r>
          </w:p>
        </w:tc>
      </w:tr>
      <w:tr w:rsidR="00D857FE" w:rsidRPr="00D83669" w14:paraId="07CA42EF" w14:textId="77777777" w:rsidTr="00017A7E">
        <w:tc>
          <w:tcPr>
            <w:tcW w:w="1288" w:type="pct"/>
            <w:shd w:val="clear" w:color="auto" w:fill="auto"/>
            <w:vAlign w:val="center"/>
          </w:tcPr>
          <w:p w14:paraId="318044F0"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Тип</w:t>
            </w:r>
          </w:p>
        </w:tc>
        <w:tc>
          <w:tcPr>
            <w:tcW w:w="3712" w:type="pct"/>
            <w:shd w:val="clear" w:color="auto" w:fill="auto"/>
            <w:vAlign w:val="center"/>
          </w:tcPr>
          <w:p w14:paraId="20E18C26" w14:textId="228C908E"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7707A68A" w14:textId="77777777" w:rsidTr="00017A7E">
        <w:tc>
          <w:tcPr>
            <w:tcW w:w="1288" w:type="pct"/>
            <w:shd w:val="clear" w:color="auto" w:fill="auto"/>
            <w:vAlign w:val="center"/>
          </w:tcPr>
          <w:p w14:paraId="757675FB"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Свързана СЦ</w:t>
            </w:r>
          </w:p>
        </w:tc>
        <w:tc>
          <w:tcPr>
            <w:tcW w:w="3712" w:type="pct"/>
            <w:shd w:val="clear" w:color="auto" w:fill="auto"/>
            <w:vAlign w:val="center"/>
          </w:tcPr>
          <w:p w14:paraId="5C991000" w14:textId="77777777" w:rsidR="00D857FE" w:rsidRPr="00D83669" w:rsidRDefault="00D857FE" w:rsidP="00276218">
            <w:pPr>
              <w:ind w:right="-102"/>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25207BB2" w14:textId="77777777" w:rsidTr="00017A7E">
        <w:tc>
          <w:tcPr>
            <w:tcW w:w="1288" w:type="pct"/>
            <w:shd w:val="clear" w:color="auto" w:fill="auto"/>
            <w:vAlign w:val="center"/>
          </w:tcPr>
          <w:p w14:paraId="7B8CF477"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Свързана дейност</w:t>
            </w:r>
          </w:p>
        </w:tc>
        <w:tc>
          <w:tcPr>
            <w:tcW w:w="3712" w:type="pct"/>
            <w:shd w:val="clear" w:color="auto" w:fill="auto"/>
            <w:vAlign w:val="center"/>
          </w:tcPr>
          <w:p w14:paraId="698B6EA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Разширяване обхвата в предучилищното и училищно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w:t>
            </w:r>
          </w:p>
        </w:tc>
      </w:tr>
      <w:tr w:rsidR="00D857FE" w:rsidRPr="00D83669" w14:paraId="0636199D" w14:textId="77777777" w:rsidTr="00017A7E">
        <w:tc>
          <w:tcPr>
            <w:tcW w:w="1288" w:type="pct"/>
            <w:shd w:val="clear" w:color="auto" w:fill="auto"/>
            <w:vAlign w:val="center"/>
          </w:tcPr>
          <w:p w14:paraId="6A3627A4"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 xml:space="preserve">Дефиниция </w:t>
            </w:r>
          </w:p>
        </w:tc>
        <w:tc>
          <w:tcPr>
            <w:tcW w:w="3712" w:type="pct"/>
            <w:shd w:val="clear" w:color="auto" w:fill="auto"/>
            <w:vAlign w:val="center"/>
          </w:tcPr>
          <w:p w14:paraId="3A9B9F76" w14:textId="05926CEF" w:rsidR="00D857FE" w:rsidRPr="00D83669" w:rsidRDefault="00D857FE" w:rsidP="00CC7BCB">
            <w:pPr>
              <w:pStyle w:val="Default"/>
              <w:jc w:val="both"/>
              <w:rPr>
                <w:color w:val="auto"/>
              </w:rPr>
            </w:pPr>
            <w:r w:rsidRPr="00D83669">
              <w:rPr>
                <w:color w:val="auto"/>
              </w:rPr>
              <w:t>Показателят измерва броя на децата и учениците в задължителна предучилищна и училищна възраст, необхванати в образователната система, които са посещавани от екипите за обхват по механизма за съвместна работа на институциите</w:t>
            </w:r>
            <w:r w:rsidRPr="00D83669">
              <w:t xml:space="preserve"> и са обект на екипни или индивидуални мерки </w:t>
            </w:r>
            <w:r w:rsidRPr="00D83669">
              <w:rPr>
                <w:color w:val="auto"/>
              </w:rPr>
              <w:t xml:space="preserve">в рамките на периода на операцията по Програма „Образование“ 2021 – 2027 г. </w:t>
            </w:r>
            <w:r w:rsidRPr="00D83669">
              <w:rPr>
                <w:b/>
                <w:color w:val="auto"/>
              </w:rPr>
              <w:t xml:space="preserve">Необхванати деца и ученици в задължителна предучилищна и училищна възраст (съгласно чл. 8 от ЗПУО, </w:t>
            </w:r>
            <w:r w:rsidRPr="00D83669">
              <w:rPr>
                <w:color w:val="auto"/>
              </w:rPr>
              <w:t>изменение ДВ, бр. 82 от септември 2020 г.</w:t>
            </w:r>
            <w:r w:rsidRPr="00D83669">
              <w:rPr>
                <w:b/>
                <w:color w:val="auto"/>
              </w:rPr>
              <w:t>)</w:t>
            </w:r>
            <w:r w:rsidRPr="00D83669">
              <w:rPr>
                <w:color w:val="auto"/>
              </w:rPr>
              <w:t xml:space="preserve"> са незаписани и отпаднали деца и ученици на възраст от 4 до 16 години, които по данни на ГД ГРАО имат настоящ адрес в страната, за които екипите за обхват не са получили сведения за заминаването им в чужбина и въпреки това не фигурират в Националната електронна информационна система за предучилищното и училищното образование (НЕИСПУО).</w:t>
            </w:r>
          </w:p>
          <w:p w14:paraId="7F414662" w14:textId="77777777" w:rsidR="00D857FE" w:rsidRPr="00D83669" w:rsidRDefault="00D857FE" w:rsidP="00CC7BCB">
            <w:pPr>
              <w:pStyle w:val="Default"/>
              <w:jc w:val="both"/>
              <w:rPr>
                <w:color w:val="FF0000"/>
              </w:rPr>
            </w:pPr>
            <w:r w:rsidRPr="00D83669">
              <w:rPr>
                <w:color w:val="auto"/>
              </w:rPr>
              <w:t xml:space="preserve">За целите на операцията под </w:t>
            </w:r>
            <w:r w:rsidRPr="00D83669">
              <w:rPr>
                <w:b/>
                <w:color w:val="auto"/>
              </w:rPr>
              <w:t>обхванати деца и ученици</w:t>
            </w:r>
            <w:r w:rsidRPr="00D83669">
              <w:rPr>
                <w:color w:val="auto"/>
              </w:rPr>
              <w:t xml:space="preserve"> по механизма за съвместна работа на институциите са посещаваните от екипите за обхват необхванати в образование деца и ученици в задължителна предучилищна и училищна възраст, намерени на адресите им в рамките на периода на операцията и са обект на екипни или индивидуални мерки в рамките на периода на операцията, както и не намерените деца и ученици, за които се изясняват причините за отпадане и незаписване в образование.</w:t>
            </w:r>
          </w:p>
        </w:tc>
      </w:tr>
      <w:tr w:rsidR="00D857FE" w:rsidRPr="00D83669" w14:paraId="2AE39F29" w14:textId="77777777" w:rsidTr="00017A7E">
        <w:tc>
          <w:tcPr>
            <w:tcW w:w="1288" w:type="pct"/>
            <w:shd w:val="clear" w:color="auto" w:fill="auto"/>
            <w:vAlign w:val="center"/>
          </w:tcPr>
          <w:p w14:paraId="648140D3"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Мерна единица</w:t>
            </w:r>
          </w:p>
        </w:tc>
        <w:tc>
          <w:tcPr>
            <w:tcW w:w="3712" w:type="pct"/>
            <w:shd w:val="clear" w:color="auto" w:fill="auto"/>
            <w:vAlign w:val="center"/>
          </w:tcPr>
          <w:p w14:paraId="4DA0BF9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3F358BB2" w14:textId="77777777" w:rsidTr="00017A7E">
        <w:tc>
          <w:tcPr>
            <w:tcW w:w="1288" w:type="pct"/>
            <w:shd w:val="clear" w:color="auto" w:fill="auto"/>
            <w:vAlign w:val="center"/>
          </w:tcPr>
          <w:p w14:paraId="795DB96A" w14:textId="58DF6FB8" w:rsidR="00D857FE" w:rsidRPr="00D83669" w:rsidRDefault="00D857FE" w:rsidP="00CC7BCB">
            <w:pPr>
              <w:jc w:val="both"/>
              <w:rPr>
                <w:rFonts w:ascii="Times New Roman" w:hAnsi="Times New Roman"/>
                <w:b/>
                <w:bCs/>
                <w:sz w:val="24"/>
              </w:rPr>
            </w:pPr>
            <w:r w:rsidRPr="00D83669">
              <w:rPr>
                <w:rFonts w:ascii="Times New Roman" w:hAnsi="Times New Roman"/>
                <w:b/>
                <w:bCs/>
                <w:sz w:val="24"/>
              </w:rPr>
              <w:t xml:space="preserve">Крайна </w:t>
            </w:r>
            <w:r w:rsidR="00302E0F" w:rsidRPr="00D83669">
              <w:rPr>
                <w:rFonts w:ascii="Times New Roman" w:hAnsi="Times New Roman"/>
                <w:b/>
                <w:bCs/>
                <w:sz w:val="24"/>
              </w:rPr>
              <w:t>ц</w:t>
            </w:r>
            <w:r w:rsidRPr="00D83669">
              <w:rPr>
                <w:rFonts w:ascii="Times New Roman" w:hAnsi="Times New Roman"/>
                <w:b/>
                <w:bCs/>
                <w:sz w:val="24"/>
              </w:rPr>
              <w:t>ел</w:t>
            </w:r>
          </w:p>
        </w:tc>
        <w:tc>
          <w:tcPr>
            <w:tcW w:w="3712" w:type="pct"/>
            <w:shd w:val="clear" w:color="auto" w:fill="auto"/>
            <w:vAlign w:val="center"/>
          </w:tcPr>
          <w:p w14:paraId="1B9F095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32 702</w:t>
            </w:r>
          </w:p>
        </w:tc>
      </w:tr>
      <w:tr w:rsidR="00D857FE" w:rsidRPr="00D83669" w14:paraId="66A15841" w14:textId="77777777" w:rsidTr="00017A7E">
        <w:tc>
          <w:tcPr>
            <w:tcW w:w="1288" w:type="pct"/>
            <w:shd w:val="clear" w:color="auto" w:fill="auto"/>
            <w:vAlign w:val="center"/>
          </w:tcPr>
          <w:p w14:paraId="043CFDA4" w14:textId="057FBDF8" w:rsidR="00D857FE" w:rsidRPr="00D83669" w:rsidRDefault="004F7B30" w:rsidP="00CC7BCB">
            <w:pPr>
              <w:jc w:val="both"/>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3712" w:type="pct"/>
            <w:shd w:val="clear" w:color="auto" w:fill="auto"/>
            <w:vAlign w:val="center"/>
          </w:tcPr>
          <w:p w14:paraId="32DB251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Прогнозната целева стойност на децата и учениците в задължителна предучилищна и училищна възраст се определя от броя на необхванатите в образование деца и ученици в задължителна предучилищна и училищна възраст (4 – 16 години), които по данни на МОН към 15.09.2020 г. са 45 707. (Съгласно §16 и §17 от Преходни </w:t>
            </w:r>
            <w:r w:rsidRPr="00D83669">
              <w:rPr>
                <w:rFonts w:ascii="Times New Roman" w:hAnsi="Times New Roman"/>
                <w:sz w:val="24"/>
              </w:rPr>
              <w:lastRenderedPageBreak/>
              <w:t>и Заключителни разпоредби към Закона за изменение и допълнение на Закона за предучилищното и училищното образование задължителната предучилищна възраст от 4 години влиза в сила поетапно до 2023/2024 учебна година според готовността на общините и съгласието на родителите и към момента данните на МОН са към 15.09.2020 г.).</w:t>
            </w:r>
          </w:p>
          <w:p w14:paraId="1C2BADA4" w14:textId="5D69BC0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се определя чрез 71,</w:t>
            </w:r>
            <w:r w:rsidR="0004073A" w:rsidRPr="00D83669">
              <w:rPr>
                <w:rFonts w:ascii="Times New Roman" w:hAnsi="Times New Roman"/>
                <w:sz w:val="24"/>
              </w:rPr>
              <w:t>547</w:t>
            </w:r>
            <w:r w:rsidRPr="00D83669">
              <w:rPr>
                <w:rFonts w:ascii="Times New Roman" w:hAnsi="Times New Roman"/>
                <w:sz w:val="24"/>
              </w:rPr>
              <w:t xml:space="preserve">% от необхванатите деца и ученици, посещавани от екипите за обхват. Отчита се, че екипите за обхват ще посещават децата и учениците и семействата им по няколко пъти с цел да ги мотивират за включване в образование и че не всички ще бъдат намерени, за да бъдат обект на екипни или индивидуални дейности. Адресите на ненамерените деца и ученици също ще се посещават регулярно и с цел да бъдат открити или установени причините да не фигурират в Националната електронна информационна система за предучилищното и училищното образование (НЕИСПУО) – заминали в чужбина или др. причини. </w:t>
            </w:r>
          </w:p>
          <w:p w14:paraId="52B139D4" w14:textId="3C5F4304"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на показателя е определена чрез целевата стойност на микроиндикатор ИП 1.1., която е на база изчислените единични разходи за обучение на по 1 родител на необхванатите деца и ученици в задължителна предучилищна и училищна възраст, прилагани в периода 2018 – 2020 г., за които е предвиден процент на индексация, на база очаквано увеличение на разходи за труд в сектор „Образование“ за периода до 2029 г., имайки предвид че преобладаващата част от единичните разходи (над 90%) за обучения на родители са свързани с разходи за възнаграждения и са в пряка зависимост от ръста на разходите за труд. Изчисляването на микроиндикатор ИП 1.1 отчита разпоредбите на ЗПУО, че децата и учениците в задължителната училищна възраст 4 – 16 години се представляват от техните родители, които са участници в образователния процес. </w:t>
            </w:r>
          </w:p>
          <w:p w14:paraId="74045E44" w14:textId="2BF5FB04"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w:t>
            </w:r>
            <w:r w:rsidR="00F77095" w:rsidRPr="00D83669">
              <w:rPr>
                <w:rFonts w:ascii="Times New Roman" w:hAnsi="Times New Roman"/>
                <w:sz w:val="24"/>
              </w:rPr>
              <w:t xml:space="preserve"> на показателя се определя от представените от МОН и обработени исторически данни </w:t>
            </w:r>
            <w:r w:rsidRPr="00D83669">
              <w:rPr>
                <w:rFonts w:ascii="Times New Roman" w:hAnsi="Times New Roman"/>
                <w:sz w:val="24"/>
              </w:rPr>
              <w:t>на децата и учениците, обхванати от механизма за съвместна работа на институциите</w:t>
            </w:r>
            <w:r w:rsidR="00F77095" w:rsidRPr="00D83669">
              <w:t xml:space="preserve"> </w:t>
            </w:r>
            <w:r w:rsidR="00F77095" w:rsidRPr="00D83669">
              <w:rPr>
                <w:rFonts w:ascii="Times New Roman" w:hAnsi="Times New Roman"/>
                <w:sz w:val="24"/>
              </w:rPr>
              <w:t xml:space="preserve">за микроиндикатор ИП 1.1 </w:t>
            </w:r>
            <w:r w:rsidRPr="00D83669">
              <w:rPr>
                <w:rFonts w:ascii="Times New Roman" w:hAnsi="Times New Roman"/>
                <w:sz w:val="24"/>
              </w:rPr>
              <w:t xml:space="preserve"> </w:t>
            </w:r>
            <w:r w:rsidR="00F77095" w:rsidRPr="00D83669">
              <w:rPr>
                <w:rFonts w:ascii="Times New Roman" w:hAnsi="Times New Roman"/>
                <w:sz w:val="24"/>
              </w:rPr>
              <w:t xml:space="preserve">и представлява </w:t>
            </w:r>
            <w:r w:rsidRPr="00D83669">
              <w:rPr>
                <w:rFonts w:ascii="Times New Roman" w:hAnsi="Times New Roman"/>
                <w:sz w:val="24"/>
              </w:rPr>
              <w:t>71,</w:t>
            </w:r>
            <w:r w:rsidR="00AF0632" w:rsidRPr="00D83669">
              <w:rPr>
                <w:rFonts w:ascii="Times New Roman" w:hAnsi="Times New Roman"/>
                <w:sz w:val="24"/>
              </w:rPr>
              <w:t>547</w:t>
            </w:r>
            <w:r w:rsidRPr="00D83669">
              <w:rPr>
                <w:rFonts w:ascii="Times New Roman" w:hAnsi="Times New Roman"/>
                <w:sz w:val="24"/>
              </w:rPr>
              <w:t>% от необхванатите деца и ученици в задължителна предучилищна и училищна възраст (4 – 16 години), които по данни на МОН към 15.09.2020 г. са 45 707 или 71,</w:t>
            </w:r>
            <w:r w:rsidR="00AF0632" w:rsidRPr="00D83669">
              <w:rPr>
                <w:rFonts w:ascii="Times New Roman" w:hAnsi="Times New Roman"/>
                <w:sz w:val="24"/>
              </w:rPr>
              <w:t>547</w:t>
            </w:r>
            <w:r w:rsidRPr="00D83669">
              <w:rPr>
                <w:rFonts w:ascii="Times New Roman" w:hAnsi="Times New Roman"/>
                <w:sz w:val="24"/>
              </w:rPr>
              <w:t>% от 45 707 са 32 702 броя.</w:t>
            </w:r>
          </w:p>
        </w:tc>
      </w:tr>
      <w:tr w:rsidR="00D857FE" w:rsidRPr="00D83669" w14:paraId="0E153BAD" w14:textId="77777777" w:rsidTr="00017A7E">
        <w:tc>
          <w:tcPr>
            <w:tcW w:w="1288" w:type="pct"/>
            <w:shd w:val="clear" w:color="auto" w:fill="auto"/>
            <w:vAlign w:val="center"/>
          </w:tcPr>
          <w:p w14:paraId="56C391B3"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lastRenderedPageBreak/>
              <w:t>Междинна цел</w:t>
            </w:r>
          </w:p>
        </w:tc>
        <w:tc>
          <w:tcPr>
            <w:tcW w:w="3712" w:type="pct"/>
            <w:shd w:val="clear" w:color="auto" w:fill="auto"/>
            <w:vAlign w:val="center"/>
          </w:tcPr>
          <w:p w14:paraId="27B962EF" w14:textId="1D7519A0" w:rsidR="00D857FE" w:rsidRPr="00D83669" w:rsidRDefault="005F1F48" w:rsidP="00CC7BCB">
            <w:pPr>
              <w:jc w:val="both"/>
              <w:rPr>
                <w:rFonts w:ascii="Times New Roman" w:hAnsi="Times New Roman"/>
                <w:sz w:val="24"/>
              </w:rPr>
            </w:pPr>
            <w:r w:rsidRPr="00D83669">
              <w:rPr>
                <w:rFonts w:ascii="Times New Roman" w:hAnsi="Times New Roman"/>
                <w:sz w:val="24"/>
              </w:rPr>
              <w:t>6 540</w:t>
            </w:r>
          </w:p>
        </w:tc>
      </w:tr>
      <w:tr w:rsidR="00D857FE" w:rsidRPr="00D83669" w14:paraId="3E94CA97" w14:textId="77777777" w:rsidTr="00017A7E">
        <w:tc>
          <w:tcPr>
            <w:tcW w:w="1288" w:type="pct"/>
            <w:shd w:val="clear" w:color="auto" w:fill="auto"/>
            <w:vAlign w:val="center"/>
          </w:tcPr>
          <w:p w14:paraId="5F9F0EF2"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3712" w:type="pct"/>
            <w:shd w:val="clear" w:color="auto" w:fill="auto"/>
            <w:vAlign w:val="center"/>
          </w:tcPr>
          <w:p w14:paraId="740D5578" w14:textId="588CAB91" w:rsidR="00D857FE" w:rsidRPr="00D83669" w:rsidRDefault="00E01C1A" w:rsidP="00CC7BCB">
            <w:pPr>
              <w:jc w:val="both"/>
              <w:rPr>
                <w:rFonts w:ascii="Times New Roman" w:hAnsi="Times New Roman"/>
                <w:sz w:val="24"/>
              </w:rPr>
            </w:pPr>
            <w:r w:rsidRPr="00D83669">
              <w:rPr>
                <w:rFonts w:ascii="Times New Roman" w:hAnsi="Times New Roman"/>
                <w:sz w:val="24"/>
              </w:rPr>
              <w:t xml:space="preserve">Етапната цел е съобразена с планирания график на операция по група дейности 1, която стартира през 2023 г. с продължителност от 5 години за определения финансов ресурс по операцията.  Етапната цел се определя, като се взема предвид определения финансовия ресурс за операцията,  разделен на планирания брой години за изпълнението и отчитането на стойности на показателя до края на </w:t>
            </w:r>
            <w:r w:rsidRPr="00D83669">
              <w:rPr>
                <w:rFonts w:ascii="Times New Roman" w:hAnsi="Times New Roman"/>
                <w:sz w:val="24"/>
              </w:rPr>
              <w:lastRenderedPageBreak/>
              <w:t>2024 г. Етапната цел представлява децата и учениците, обхванати в група дейности 1 или 32702/5*1=6540.</w:t>
            </w:r>
          </w:p>
        </w:tc>
      </w:tr>
      <w:tr w:rsidR="00D857FE" w:rsidRPr="00D83669" w14:paraId="4648CA76" w14:textId="77777777" w:rsidTr="00017A7E">
        <w:tc>
          <w:tcPr>
            <w:tcW w:w="1288" w:type="pct"/>
            <w:shd w:val="clear" w:color="auto" w:fill="auto"/>
            <w:vAlign w:val="center"/>
          </w:tcPr>
          <w:p w14:paraId="6D2CCF34"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lastRenderedPageBreak/>
              <w:t>Базова стойност</w:t>
            </w:r>
          </w:p>
        </w:tc>
        <w:tc>
          <w:tcPr>
            <w:tcW w:w="3712" w:type="pct"/>
            <w:shd w:val="clear" w:color="auto" w:fill="auto"/>
            <w:vAlign w:val="center"/>
          </w:tcPr>
          <w:p w14:paraId="6B16019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0</w:t>
            </w:r>
          </w:p>
        </w:tc>
      </w:tr>
      <w:tr w:rsidR="00D857FE" w:rsidRPr="00D83669" w14:paraId="21EAFD15" w14:textId="77777777" w:rsidTr="00017A7E">
        <w:tc>
          <w:tcPr>
            <w:tcW w:w="1288" w:type="pct"/>
            <w:shd w:val="clear" w:color="auto" w:fill="auto"/>
            <w:vAlign w:val="center"/>
          </w:tcPr>
          <w:p w14:paraId="718BF664"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 xml:space="preserve">Разбивка </w:t>
            </w:r>
          </w:p>
        </w:tc>
        <w:tc>
          <w:tcPr>
            <w:tcW w:w="3712" w:type="pct"/>
            <w:shd w:val="clear" w:color="auto" w:fill="auto"/>
            <w:vAlign w:val="center"/>
          </w:tcPr>
          <w:p w14:paraId="21785F4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децата и ученици и техните родители по демографски, социални характеристики. </w:t>
            </w:r>
          </w:p>
        </w:tc>
      </w:tr>
      <w:tr w:rsidR="00D857FE" w:rsidRPr="00D83669" w14:paraId="5D309061" w14:textId="77777777" w:rsidTr="00017A7E">
        <w:tc>
          <w:tcPr>
            <w:tcW w:w="1288" w:type="pct"/>
            <w:shd w:val="clear" w:color="auto" w:fill="auto"/>
            <w:vAlign w:val="center"/>
          </w:tcPr>
          <w:p w14:paraId="4EFBD882"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 xml:space="preserve">Обосновка </w:t>
            </w:r>
          </w:p>
        </w:tc>
        <w:tc>
          <w:tcPr>
            <w:tcW w:w="3712" w:type="pct"/>
            <w:shd w:val="clear" w:color="auto" w:fill="auto"/>
            <w:vAlign w:val="center"/>
          </w:tcPr>
          <w:p w14:paraId="2EADD0D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събират, за да се проследи броят на обхванатите от екипите за обхват деца и ученици в задължителна предучилищна и училищна възраст чрез </w:t>
            </w:r>
            <w:r w:rsidRPr="00D83669">
              <w:rPr>
                <w:rFonts w:ascii="Times New Roman" w:hAnsi="Times New Roman"/>
                <w:i/>
                <w:sz w:val="24"/>
              </w:rPr>
              <w:t>Механизъм за съвместна работа на институциите по обхващане, включване и предотвратяване на отпадането от образователната система на деца и ученици в задължителна предучилищна и училищна възраст (4 – 16 години)</w:t>
            </w:r>
            <w:r w:rsidRPr="00D83669">
              <w:rPr>
                <w:rFonts w:ascii="Times New Roman" w:hAnsi="Times New Roman"/>
                <w:sz w:val="24"/>
              </w:rPr>
              <w:t>, които са необхванати (незаписани или са отпаднали от образование), имат настоящ адрес в страната, но не фигурират в Националната електронна информационна система за предучилищното и училищното образование (НЕИСПУО). Събирането на данни ще покаже приноса на програмата в подпомагане работата на екипите за обхват по горепосочения междуинституционален механизъм. Данните се събират, за да се изяснят причините за отпадане и незаписване на децата и учениците и насочване към мерки за преодоляване на причините, както и за оценка на постигнатото чрез операцията по Механизма.</w:t>
            </w:r>
          </w:p>
        </w:tc>
      </w:tr>
      <w:tr w:rsidR="00D857FE" w:rsidRPr="00D83669" w14:paraId="422DCBD3" w14:textId="77777777" w:rsidTr="00017A7E">
        <w:tc>
          <w:tcPr>
            <w:tcW w:w="1288" w:type="pct"/>
            <w:shd w:val="clear" w:color="auto" w:fill="auto"/>
            <w:vAlign w:val="center"/>
          </w:tcPr>
          <w:p w14:paraId="2B1FCAC2"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Методология за събиране на данните</w:t>
            </w:r>
          </w:p>
          <w:p w14:paraId="7DB22F11" w14:textId="77777777" w:rsidR="00D857FE" w:rsidRPr="00D83669" w:rsidRDefault="00D857FE" w:rsidP="00CC7BCB">
            <w:pPr>
              <w:jc w:val="both"/>
              <w:rPr>
                <w:rFonts w:ascii="Times New Roman" w:hAnsi="Times New Roman"/>
                <w:sz w:val="24"/>
              </w:rPr>
            </w:pPr>
          </w:p>
        </w:tc>
        <w:tc>
          <w:tcPr>
            <w:tcW w:w="3712" w:type="pct"/>
            <w:shd w:val="clear" w:color="auto" w:fill="auto"/>
            <w:vAlign w:val="center"/>
          </w:tcPr>
          <w:p w14:paraId="37C4A10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текущо на база информация от екипите за обхват в Информационната система за реализиране на Механизма (ИСРМ), представена от МОН към техническите отчети</w:t>
            </w:r>
            <w:r w:rsidRPr="00D83669">
              <w:t xml:space="preserve"> </w:t>
            </w:r>
            <w:r w:rsidRPr="00D83669">
              <w:rPr>
                <w:rFonts w:ascii="Times New Roman" w:hAnsi="Times New Roman"/>
                <w:sz w:val="24"/>
              </w:rPr>
              <w:t xml:space="preserve">и ще съдържат: </w:t>
            </w:r>
          </w:p>
          <w:p w14:paraId="0D625B2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брой посетени от екипите за обхват деца и ученици в задължителна предучилищна и училищна възраст, необхванати в системата на образование; </w:t>
            </w:r>
          </w:p>
          <w:p w14:paraId="114F468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брой намерени/открити деца и ученици от посетените от екипите за обхват;</w:t>
            </w:r>
          </w:p>
          <w:p w14:paraId="29506ED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брой не намерени/не открити деца и ученици от посещенията на екипите за обхват;</w:t>
            </w:r>
          </w:p>
          <w:p w14:paraId="0DB9463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данни за родителите на посетените деца и ученици: образователен статус, трудова заетост, мобилност в и извън страната, обхванат или не в системата на социално подпомагане, име и адрес на децата/учениците, възраст, пол, образователен статус преди обхвата по Механизма и др. </w:t>
            </w:r>
          </w:p>
          <w:p w14:paraId="17C7551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информация за и оценка на причините за отпадане и незаписване – заминали в чужбина, културологични – нежелание; семейни – материални затруднения, бедност; поради в затруднения в </w:t>
            </w:r>
            <w:r w:rsidRPr="00D83669">
              <w:rPr>
                <w:rFonts w:ascii="Times New Roman" w:hAnsi="Times New Roman"/>
                <w:sz w:val="24"/>
              </w:rPr>
              <w:lastRenderedPageBreak/>
              <w:t>обучението; поради отсъствия по неуважителни причини; поради дистанционна форма на обучение в електронна среда;</w:t>
            </w:r>
          </w:p>
          <w:p w14:paraId="55192F0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оценка на резултатите чрез провежданите от екипите за обхват срещи, интервюта с родители, деца и ученици, учители, директори, експерти от РУО, общини и други заинтересовани страни.</w:t>
            </w:r>
          </w:p>
        </w:tc>
      </w:tr>
      <w:tr w:rsidR="00D857FE" w:rsidRPr="00D83669" w14:paraId="5A6F2F4E" w14:textId="77777777" w:rsidTr="00017A7E">
        <w:tc>
          <w:tcPr>
            <w:tcW w:w="1288" w:type="pct"/>
            <w:shd w:val="clear" w:color="auto" w:fill="auto"/>
            <w:vAlign w:val="center"/>
          </w:tcPr>
          <w:p w14:paraId="71F144E7"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3712" w:type="pct"/>
            <w:shd w:val="clear" w:color="auto" w:fill="auto"/>
            <w:vAlign w:val="center"/>
          </w:tcPr>
          <w:p w14:paraId="4FED374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31B4B8D6" w14:textId="77777777" w:rsidTr="00017A7E">
        <w:tc>
          <w:tcPr>
            <w:tcW w:w="1288" w:type="pct"/>
            <w:shd w:val="clear" w:color="auto" w:fill="auto"/>
            <w:vAlign w:val="center"/>
          </w:tcPr>
          <w:p w14:paraId="7676B539" w14:textId="16AB86B9" w:rsidR="00D857FE" w:rsidRPr="00D83669" w:rsidRDefault="00D857FE" w:rsidP="00CC7BCB">
            <w:pPr>
              <w:jc w:val="both"/>
              <w:rPr>
                <w:rFonts w:ascii="Times New Roman" w:hAnsi="Times New Roman"/>
                <w:b/>
                <w:bCs/>
                <w:sz w:val="24"/>
              </w:rPr>
            </w:pPr>
            <w:r w:rsidRPr="00D83669">
              <w:rPr>
                <w:rFonts w:ascii="Times New Roman" w:hAnsi="Times New Roman"/>
                <w:b/>
                <w:bCs/>
                <w:sz w:val="24"/>
              </w:rPr>
              <w:t>Свързаност на показателите</w:t>
            </w:r>
          </w:p>
        </w:tc>
        <w:tc>
          <w:tcPr>
            <w:tcW w:w="3712" w:type="pct"/>
            <w:shd w:val="clear" w:color="auto" w:fill="auto"/>
            <w:vAlign w:val="center"/>
          </w:tcPr>
          <w:p w14:paraId="43134F82"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56DDF52F"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1.3. Брой родители, подкрепени в процеса на приобщаващото образование;</w:t>
            </w:r>
          </w:p>
          <w:p w14:paraId="1C13E671"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1.5. Педагогически специалисти и непедагогически персонал, обучени за работа с деца и ученици от уязвими групи;</w:t>
            </w:r>
          </w:p>
          <w:p w14:paraId="427C32C6"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SRI 1.1. Брой деца и ученици записани в предучилищно и училищно образование чрез механизма за съвместна работа на институциите.</w:t>
            </w:r>
          </w:p>
        </w:tc>
      </w:tr>
      <w:tr w:rsidR="00D857FE" w:rsidRPr="00D83669" w14:paraId="22777B22" w14:textId="77777777" w:rsidTr="00017A7E">
        <w:tc>
          <w:tcPr>
            <w:tcW w:w="1288" w:type="pct"/>
            <w:shd w:val="clear" w:color="auto" w:fill="auto"/>
            <w:vAlign w:val="center"/>
          </w:tcPr>
          <w:p w14:paraId="7D23BA96" w14:textId="77777777" w:rsidR="00D857FE" w:rsidRPr="00D83669" w:rsidRDefault="00D857FE" w:rsidP="00CC7BCB">
            <w:pPr>
              <w:jc w:val="both"/>
              <w:rPr>
                <w:rFonts w:ascii="Times New Roman" w:hAnsi="Times New Roman"/>
                <w:b/>
                <w:bCs/>
                <w:sz w:val="24"/>
              </w:rPr>
            </w:pPr>
            <w:r w:rsidRPr="00D83669">
              <w:rPr>
                <w:rFonts w:ascii="Times New Roman" w:hAnsi="Times New Roman"/>
                <w:b/>
                <w:bCs/>
                <w:sz w:val="24"/>
              </w:rPr>
              <w:t>Валидиране</w:t>
            </w:r>
          </w:p>
        </w:tc>
        <w:tc>
          <w:tcPr>
            <w:tcW w:w="3712" w:type="pct"/>
            <w:shd w:val="clear" w:color="auto" w:fill="auto"/>
            <w:vAlign w:val="center"/>
          </w:tcPr>
          <w:p w14:paraId="5EBA0C51" w14:textId="4D5C1882"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децата и учениците, обхванати в дейностите по разширяване на Механизма за обхват по СЦ по чл. 4, пар. 1, буква е) на ПО 2021 – 2027 и е по-малка от всички участници в дейности по тази специфична цел.</w:t>
            </w:r>
          </w:p>
        </w:tc>
      </w:tr>
    </w:tbl>
    <w:p w14:paraId="5CBB9CEB" w14:textId="77777777" w:rsidR="00D857FE" w:rsidRPr="00D83669" w:rsidRDefault="00D857FE" w:rsidP="00D857FE"/>
    <w:p w14:paraId="247FCDD9" w14:textId="77777777" w:rsidR="00D857FE" w:rsidRPr="00D83669" w:rsidRDefault="00D857FE" w:rsidP="00D857FE">
      <w:pPr>
        <w:rPr>
          <w:rFonts w:ascii="Times New Roman" w:eastAsia="Times New Roman" w:hAnsi="Times New Roman" w:cs="Times New Roman"/>
          <w:b/>
          <w:sz w:val="24"/>
          <w:szCs w:val="20"/>
          <w:lang w:eastAsia="bg-BG" w:bidi="bg-BG"/>
        </w:rPr>
      </w:pPr>
      <w:r w:rsidRPr="00D83669">
        <w:rPr>
          <w:b/>
        </w:rPr>
        <w:br w:type="page"/>
      </w:r>
    </w:p>
    <w:p w14:paraId="5608B594" w14:textId="73CA7FAF" w:rsidR="00D857FE" w:rsidRPr="00D83669" w:rsidRDefault="00D857FE" w:rsidP="008E38F5">
      <w:pPr>
        <w:pStyle w:val="Heading3"/>
        <w:rPr>
          <w:b/>
          <w:bCs/>
          <w:i/>
          <w:iCs/>
          <w:sz w:val="22"/>
          <w:szCs w:val="22"/>
        </w:rPr>
      </w:pPr>
      <w:bookmarkStart w:id="73" w:name="_Toc100152970"/>
      <w:bookmarkStart w:id="74" w:name="_Toc103586646"/>
      <w:r w:rsidRPr="00D83669">
        <w:rPr>
          <w:b/>
          <w:bCs/>
          <w:i/>
          <w:iCs/>
          <w:sz w:val="22"/>
          <w:szCs w:val="22"/>
        </w:rPr>
        <w:lastRenderedPageBreak/>
        <w:t>SOI1.2. Брой деца и ученици в предучилищното и училищното образование със специални образователни потребности (СОП), в риск, с хронични заболявания и с изявени дарби, получили допълнителна подкрепа за личностно развитие</w:t>
      </w:r>
      <w:bookmarkEnd w:id="73"/>
      <w:bookmarkEnd w:id="74"/>
    </w:p>
    <w:tbl>
      <w:tblPr>
        <w:tblW w:w="1020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1"/>
        <w:gridCol w:w="7797"/>
      </w:tblGrid>
      <w:tr w:rsidR="00D857FE" w:rsidRPr="00D83669" w14:paraId="62F945B3" w14:textId="77777777" w:rsidTr="000146D9">
        <w:trPr>
          <w:trHeight w:val="751"/>
        </w:trPr>
        <w:tc>
          <w:tcPr>
            <w:tcW w:w="241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72ACE00" w14:textId="612520FF" w:rsidR="00D857FE" w:rsidRPr="00D83669" w:rsidRDefault="00D857FE" w:rsidP="00CC7BCB">
            <w:pPr>
              <w:spacing w:after="120"/>
              <w:rPr>
                <w:rFonts w:ascii="Times New Roman" w:hAnsi="Times New Roman"/>
                <w:b/>
                <w:bCs/>
                <w:sz w:val="24"/>
              </w:rPr>
            </w:pPr>
            <w:bookmarkStart w:id="75" w:name="_Hlk64230284"/>
            <w:r w:rsidRPr="00D83669">
              <w:rPr>
                <w:rFonts w:ascii="Times New Roman" w:hAnsi="Times New Roman"/>
                <w:b/>
                <w:bCs/>
                <w:sz w:val="24"/>
              </w:rPr>
              <w:t>Показателят</w:t>
            </w:r>
            <w:r w:rsidR="00D372CB" w:rsidRPr="00D83669">
              <w:rPr>
                <w:rFonts w:ascii="Times New Roman" w:hAnsi="Times New Roman"/>
                <w:b/>
                <w:bCs/>
                <w:sz w:val="24"/>
              </w:rPr>
              <w:t xml:space="preserve"> </w:t>
            </w:r>
            <w:r w:rsidRPr="00D83669">
              <w:rPr>
                <w:rFonts w:ascii="Times New Roman" w:hAnsi="Times New Roman"/>
                <w:b/>
                <w:bCs/>
                <w:sz w:val="24"/>
              </w:rPr>
              <w:t>SMART ли е?</w:t>
            </w:r>
          </w:p>
        </w:tc>
        <w:tc>
          <w:tcPr>
            <w:tcW w:w="779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02DAAA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1C6651C4" w14:textId="77777777" w:rsidTr="000146D9">
        <w:tc>
          <w:tcPr>
            <w:tcW w:w="2411" w:type="dxa"/>
            <w:shd w:val="clear" w:color="auto" w:fill="auto"/>
            <w:vAlign w:val="center"/>
          </w:tcPr>
          <w:p w14:paraId="0FF3CD3B" w14:textId="686FB472"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w:t>
            </w:r>
          </w:p>
        </w:tc>
        <w:tc>
          <w:tcPr>
            <w:tcW w:w="7797" w:type="dxa"/>
            <w:shd w:val="clear" w:color="auto" w:fill="auto"/>
            <w:vAlign w:val="center"/>
          </w:tcPr>
          <w:p w14:paraId="171504D0" w14:textId="206A6324" w:rsidR="00D857FE" w:rsidRPr="00D83669" w:rsidRDefault="00D857FE" w:rsidP="00CC7BCB">
            <w:pPr>
              <w:spacing w:after="120"/>
              <w:jc w:val="both"/>
              <w:rPr>
                <w:rFonts w:ascii="Times New Roman" w:hAnsi="Times New Roman"/>
                <w:sz w:val="24"/>
              </w:rPr>
            </w:pPr>
            <w:r w:rsidRPr="00D83669">
              <w:rPr>
                <w:rFonts w:ascii="Times New Roman" w:hAnsi="Times New Roman"/>
                <w:sz w:val="24"/>
                <w:lang w:val="en-US"/>
              </w:rPr>
              <w:t>SOI</w:t>
            </w:r>
            <w:r w:rsidR="00475334" w:rsidRPr="00D83669">
              <w:rPr>
                <w:rFonts w:ascii="Times New Roman" w:hAnsi="Times New Roman"/>
                <w:sz w:val="24"/>
              </w:rPr>
              <w:t xml:space="preserve"> </w:t>
            </w:r>
            <w:r w:rsidRPr="00D83669">
              <w:rPr>
                <w:rFonts w:ascii="Times New Roman" w:hAnsi="Times New Roman"/>
                <w:sz w:val="24"/>
              </w:rPr>
              <w:t>1.2. Брой деца и ученици в предучилищното и училищното образование със специални образователни потребности (СОП), в риск, с хронични заболявания и с изявени дарби</w:t>
            </w:r>
          </w:p>
        </w:tc>
      </w:tr>
      <w:tr w:rsidR="00D857FE" w:rsidRPr="00D83669" w14:paraId="0639575A" w14:textId="77777777" w:rsidTr="000146D9">
        <w:tc>
          <w:tcPr>
            <w:tcW w:w="2411" w:type="dxa"/>
            <w:shd w:val="clear" w:color="auto" w:fill="auto"/>
            <w:vAlign w:val="center"/>
          </w:tcPr>
          <w:p w14:paraId="1C5B9A8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797" w:type="dxa"/>
            <w:shd w:val="clear" w:color="auto" w:fill="auto"/>
            <w:vAlign w:val="center"/>
          </w:tcPr>
          <w:p w14:paraId="01431997" w14:textId="2C6A1ADF"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Специфичен показател за краен продукт </w:t>
            </w:r>
          </w:p>
        </w:tc>
      </w:tr>
      <w:tr w:rsidR="00D857FE" w:rsidRPr="00D83669" w14:paraId="06D38FC8" w14:textId="77777777" w:rsidTr="000146D9">
        <w:tc>
          <w:tcPr>
            <w:tcW w:w="2411" w:type="dxa"/>
            <w:shd w:val="clear" w:color="auto" w:fill="auto"/>
            <w:vAlign w:val="center"/>
          </w:tcPr>
          <w:p w14:paraId="60D8D29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797" w:type="dxa"/>
            <w:shd w:val="clear" w:color="auto" w:fill="auto"/>
            <w:vAlign w:val="center"/>
          </w:tcPr>
          <w:p w14:paraId="7913C75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2D53FF27" w14:textId="77777777" w:rsidTr="000146D9">
        <w:tc>
          <w:tcPr>
            <w:tcW w:w="2411" w:type="dxa"/>
            <w:shd w:val="clear" w:color="auto" w:fill="auto"/>
            <w:vAlign w:val="center"/>
          </w:tcPr>
          <w:p w14:paraId="7D3F953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797" w:type="dxa"/>
            <w:shd w:val="clear" w:color="auto" w:fill="auto"/>
            <w:vAlign w:val="center"/>
          </w:tcPr>
          <w:p w14:paraId="0B4D3E1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Обща и допълнителна подкрепа за личностно развитие в предучилищното и училищното образование</w:t>
            </w:r>
          </w:p>
        </w:tc>
      </w:tr>
      <w:tr w:rsidR="00D857FE" w:rsidRPr="00D83669" w14:paraId="49592652" w14:textId="77777777" w:rsidTr="000146D9">
        <w:tc>
          <w:tcPr>
            <w:tcW w:w="2411" w:type="dxa"/>
            <w:shd w:val="clear" w:color="auto" w:fill="auto"/>
            <w:vAlign w:val="center"/>
          </w:tcPr>
          <w:p w14:paraId="0A704C3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797" w:type="dxa"/>
            <w:shd w:val="clear" w:color="auto" w:fill="auto"/>
            <w:vAlign w:val="center"/>
          </w:tcPr>
          <w:p w14:paraId="1129AE88" w14:textId="7D9598BA"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броя подкрепени деца и ученици със специални образователни потребности, в риск, с хронични заболявания и с изявени дарби, на които е предоставена допълнителна подкрепа за личностно развитие и осигуряване на подкрепяща среда – подходяща физическа, психологическа и социална среда за развитие на способностите и уменията им, съгласно нормативните изисквания и политиките за реформа в образованието. Съгласно Закона за предучилищно и училищно образование (ЗПУО) чл. 187, ал. 2 „Допълнителната подкрепа за личностно развитие се предоставя на деца и ученици:</w:t>
            </w:r>
          </w:p>
          <w:p w14:paraId="0719603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 със специални образователни потребности;</w:t>
            </w:r>
          </w:p>
          <w:p w14:paraId="738DCCE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в риск;</w:t>
            </w:r>
          </w:p>
          <w:p w14:paraId="21FB152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с изявени дарби;</w:t>
            </w:r>
          </w:p>
          <w:p w14:paraId="38678BF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4. с хронични заболявания.“</w:t>
            </w:r>
          </w:p>
          <w:p w14:paraId="7770E31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Съгласно §1, т. 6 от Допълнителните разпоредби на ЗПУО „Дете или ученик в риск“ е дете или ученик:</w:t>
            </w:r>
          </w:p>
          <w:p w14:paraId="40C5905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а) без родителска грижа или чиито родители са починали, неизвестни, лишени са от родителски права или родителските им права са ограничени;</w:t>
            </w:r>
          </w:p>
          <w:p w14:paraId="763F84D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б) жертва на злоупотреба, насилие, експлоатация или всякакво друго нехуманно или унизително отношение или наказание във или извън семейството му;</w:t>
            </w:r>
          </w:p>
          <w:p w14:paraId="7DD721A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в) в опасност от увреждане на неговото физическо, психическо, морално, интелектуално и социално развитие.“ Съгласно §1, т. 33 от Допълнителните разпоредби „Ученик с хронични заболявания“ е ученик със среднотежки, компенсирани и реконвалесцентни форми на съответното хронично заболяване. Съгласно §1, т 7. от Допълнителните </w:t>
            </w:r>
            <w:r w:rsidRPr="00D83669">
              <w:rPr>
                <w:rFonts w:ascii="Times New Roman" w:hAnsi="Times New Roman"/>
                <w:sz w:val="24"/>
              </w:rPr>
              <w:lastRenderedPageBreak/>
              <w:t>разпоредби „Дете или ученик с изявени дарби“ е дете или ученик с трайни способности и постижения в областта на науката, изкуството или спорта, надвишаващи постиженията на неговите връстници.</w:t>
            </w:r>
          </w:p>
          <w:p w14:paraId="413250A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Съгласно § 1, т. 27 от Допълнителните разпоредби на Закона за предучилищното и училищното образование (ЗПУО) „</w:t>
            </w:r>
            <w:r w:rsidRPr="00D83669">
              <w:rPr>
                <w:rFonts w:ascii="Times New Roman" w:hAnsi="Times New Roman"/>
                <w:b/>
                <w:bCs/>
                <w:sz w:val="24"/>
              </w:rPr>
              <w:t>Специални образователни потребности</w:t>
            </w:r>
            <w:r w:rsidRPr="00D83669">
              <w:rPr>
                <w:rFonts w:ascii="Times New Roman" w:hAnsi="Times New Roman"/>
                <w:sz w:val="24"/>
              </w:rPr>
              <w:t xml:space="preserve"> на дете са образователните потребности, които може да възникнат при сензорни увреждания, физически увреждания, множество увреждания, интелектуални затруднения, езиково-говорни нарушения, специфични нарушения на способността за учене, разстройства от аутистичния спектър, емоционални и поведенчески разстройства.“</w:t>
            </w:r>
          </w:p>
          <w:p w14:paraId="424C891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Съгласно § 1, т. 33 от Допълнителните разпоредби на ЗПУО „Ученик с хронични заболявания“ е ученик със среднотежки, компенсирани и реконвалесцентни форми на съответното хронично заболяване.</w:t>
            </w:r>
          </w:p>
          <w:p w14:paraId="0D34AF5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Съгласно §1, т. 7 от Допълнителните разпоредби на ЗПУО „Дете или ученик с изявени дарби“ е дете или ученик с трайни способности и постижения в областта на науката, изкуството или спорта, надвишаващи постиженията на неговите връстници.</w:t>
            </w:r>
          </w:p>
          <w:p w14:paraId="39388BD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Дейностите за допълнителна подкрепа на децата и учениците със специални образователни потребности, в риск, с хронични заболявания и с изявени дарби ще включват осигуряване на допълнителни занимания за личностното развитие на децата като част от процеса на приобщаващо образование.</w:t>
            </w:r>
          </w:p>
        </w:tc>
      </w:tr>
      <w:tr w:rsidR="00D857FE" w:rsidRPr="00D83669" w14:paraId="386E4FF1" w14:textId="77777777" w:rsidTr="000146D9">
        <w:tc>
          <w:tcPr>
            <w:tcW w:w="2411" w:type="dxa"/>
            <w:shd w:val="clear" w:color="auto" w:fill="auto"/>
            <w:vAlign w:val="center"/>
          </w:tcPr>
          <w:p w14:paraId="7C1FFD9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Мерна единица</w:t>
            </w:r>
          </w:p>
        </w:tc>
        <w:tc>
          <w:tcPr>
            <w:tcW w:w="7797" w:type="dxa"/>
            <w:shd w:val="clear" w:color="auto" w:fill="auto"/>
            <w:vAlign w:val="center"/>
          </w:tcPr>
          <w:p w14:paraId="72516A7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0D97BE89" w14:textId="77777777" w:rsidTr="000146D9">
        <w:tc>
          <w:tcPr>
            <w:tcW w:w="2411" w:type="dxa"/>
            <w:shd w:val="clear" w:color="auto" w:fill="auto"/>
            <w:vAlign w:val="center"/>
          </w:tcPr>
          <w:p w14:paraId="7AFD9C00" w14:textId="772B5DAC" w:rsidR="00D857FE" w:rsidRPr="00D83669" w:rsidRDefault="00302E0F" w:rsidP="00CC7BCB">
            <w:pPr>
              <w:spacing w:after="120"/>
              <w:rPr>
                <w:rFonts w:ascii="Times New Roman" w:hAnsi="Times New Roman"/>
                <w:b/>
                <w:bCs/>
                <w:sz w:val="24"/>
              </w:rPr>
            </w:pPr>
            <w:r w:rsidRPr="00D83669">
              <w:rPr>
                <w:rFonts w:ascii="Times New Roman" w:hAnsi="Times New Roman"/>
                <w:b/>
                <w:bCs/>
                <w:sz w:val="24"/>
              </w:rPr>
              <w:t>Крайна цел</w:t>
            </w:r>
          </w:p>
        </w:tc>
        <w:tc>
          <w:tcPr>
            <w:tcW w:w="7797" w:type="dxa"/>
            <w:shd w:val="clear" w:color="auto" w:fill="auto"/>
            <w:vAlign w:val="center"/>
          </w:tcPr>
          <w:p w14:paraId="6E56A8D4" w14:textId="77777777" w:rsidR="00D857FE" w:rsidRPr="00D83669" w:rsidRDefault="00D857FE" w:rsidP="00CC7BCB">
            <w:pPr>
              <w:spacing w:after="120"/>
              <w:jc w:val="both"/>
              <w:rPr>
                <w:rFonts w:ascii="Times New Roman" w:hAnsi="Times New Roman"/>
                <w:sz w:val="24"/>
                <w:lang w:val="en-US"/>
              </w:rPr>
            </w:pPr>
            <w:r w:rsidRPr="00D83669">
              <w:rPr>
                <w:rFonts w:ascii="Times New Roman" w:hAnsi="Times New Roman"/>
                <w:sz w:val="24"/>
                <w:lang w:val="en-US"/>
              </w:rPr>
              <w:t>17 450 (</w:t>
            </w:r>
            <w:r w:rsidRPr="00D83669">
              <w:rPr>
                <w:rFonts w:ascii="Times New Roman" w:hAnsi="Times New Roman"/>
                <w:sz w:val="24"/>
              </w:rPr>
              <w:t>6 065</w:t>
            </w:r>
            <w:r w:rsidRPr="00D83669">
              <w:rPr>
                <w:rFonts w:ascii="Times New Roman" w:hAnsi="Times New Roman"/>
                <w:sz w:val="24"/>
                <w:lang w:val="en-US"/>
              </w:rPr>
              <w:t xml:space="preserve"> </w:t>
            </w:r>
            <w:r w:rsidRPr="00D83669">
              <w:rPr>
                <w:rFonts w:ascii="Times New Roman" w:hAnsi="Times New Roman"/>
                <w:sz w:val="24"/>
              </w:rPr>
              <w:t>деца + 11 385 ученици</w:t>
            </w:r>
            <w:r w:rsidRPr="00D83669">
              <w:rPr>
                <w:rFonts w:ascii="Times New Roman" w:hAnsi="Times New Roman"/>
                <w:sz w:val="24"/>
                <w:lang w:val="en-US"/>
              </w:rPr>
              <w:t>)</w:t>
            </w:r>
          </w:p>
        </w:tc>
      </w:tr>
      <w:tr w:rsidR="00D857FE" w:rsidRPr="00D83669" w14:paraId="4365F559" w14:textId="77777777" w:rsidTr="000146D9">
        <w:tc>
          <w:tcPr>
            <w:tcW w:w="2411" w:type="dxa"/>
            <w:shd w:val="clear" w:color="auto" w:fill="auto"/>
            <w:vAlign w:val="center"/>
          </w:tcPr>
          <w:p w14:paraId="11754871" w14:textId="55B57769"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797" w:type="dxa"/>
            <w:shd w:val="clear" w:color="auto" w:fill="auto"/>
            <w:vAlign w:val="center"/>
          </w:tcPr>
          <w:p w14:paraId="5B68D32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е определена на база изчислените единични разходи за допълнителни занимания на деца и ученици със специални образователни потребности в предучилищно и училищното образование, в риск, с хронични заболявания и с изявени дарби прилагани в периода 2018 – 2020 г., за които е предвиден процент на индексация, на база очаквано увеличение на разходите за труд в сектор „Образование“ за периода до 2029 г., имайки предвид че преобладаващата част (70%) от единичните разходи за допълнителна подкрепа за личностно развитие на децата са свързани с разходи за възнаграждения и са в пряка зависимост от ръста на разходите за труд. Ефектът на единичния разход за допълнителна подкрепа на деца и ученици със СОП, с хронични заболявания, в риск, с изявени дарби обхваща всички обичайни разходи, свързани с издръжката на едно дете/ученик, но пряко свързани с провеждането на педагогически ситуации и допълнителни занимания, а именно възнаграждения на педагогическия персонал, учебни пособия, дидактически материали и консумативи и не включва разходи, които не са пряко свързани с провеждането на педагогически ситуации. Най-голям относителен дял (≥70%) в единичния разход е за възнаграждения на педагогическия персонал в съответствие с чл. 108 от Наредба за приобщаващото образование: „Детската градина, училището, центърът за подкрепа за личностно развитие и регионалният център за подкрепа на процеса на </w:t>
            </w:r>
            <w:r w:rsidRPr="00D83669">
              <w:rPr>
                <w:rFonts w:ascii="Times New Roman" w:hAnsi="Times New Roman"/>
                <w:sz w:val="24"/>
              </w:rPr>
              <w:lastRenderedPageBreak/>
              <w:t>приобщаващото образование в зависимост от индивидуалните потребности на децата и учениците осигуряват следните специалисти за допълнителна подкрепа за личностно развитие:</w:t>
            </w:r>
          </w:p>
          <w:p w14:paraId="5F78FFD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 при сензорни и/или неврологични увреждания и при множество увреждания – ресурсен учител, рехабилитатор на слуха и говора, учител на деца и ученици с нарушено зрение, логопед, психолог, помощник на учителя;</w:t>
            </w:r>
          </w:p>
          <w:p w14:paraId="3FFBCD4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при обучителни трудности – логопед, психолог, ресурсен учител;</w:t>
            </w:r>
          </w:p>
          <w:p w14:paraId="39FFAF8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при прояви от аутистичния спектър – ресурсен учител, логопед, психолог, а при необходимост – сензорен терапевт и помощник на учителя;</w:t>
            </w:r>
          </w:p>
          <w:p w14:paraId="20FEB75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4. при емоционални и/или поведенчески затруднения – психолог и/или педагогически съветник, а при необходимост – помощник на учителя и психотерапевт;</w:t>
            </w:r>
          </w:p>
          <w:p w14:paraId="66CCA63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5. при наличие на риск – психолог и/или педагогически съветник, а при необходимост – помощник на учителя и образователен медиатор от общността на детето или ученика или социален работник;</w:t>
            </w:r>
          </w:p>
          <w:p w14:paraId="5411D13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6. при изявени дарби и способности в различни области – учител и/или специалисти съобразно изявените дарби и способности на детето или ученика, а при необходимост – педагогически съветник и/или психолог;</w:t>
            </w:r>
          </w:p>
          <w:p w14:paraId="4A9321A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7. при хронични заболявания – болничен учител, ресурсен учител, психолог и/или педагогически съветник.“</w:t>
            </w:r>
          </w:p>
          <w:p w14:paraId="097E461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за децата от предучилищното образование се определя на 6 065 деца и представлява ръст от 51% спрямо целевата стойност по проект „Подкрепа за приобщаващо образование“, по който планираната подкрепа е за 1 394 деца със СОП и 2 618 деца с хронични заболявания, в риск и изявени дарби или 4012 от обхванатите 220 детски градини и на база заявени нужди от 471 или над 1/4 от всички детски градини 1 840 по данни на НСИ за 2019/2020 г. Изчислената целева стойност гарантира широк обхват на децата със СОП, с хронични заболявания, в риск и с изявени дарби за разгръщане потенциала за личностното им развитие чрез осигуряване на по-добро приобщаване в предучилищното образование и бъдеща успешна социализация и проходимост към училищно образование.</w:t>
            </w:r>
          </w:p>
          <w:p w14:paraId="4C533B4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учениците представлява увеличение с 46,2% на целевата стойност по проект „Подкрепа за приобщаващо образование“, по който планираната подкрепа за ученици в риск, с хронични заболявания, с дарби и със СОП е 7 788 (4</w:t>
            </w:r>
            <w:r w:rsidRPr="00D83669">
              <w:rPr>
                <w:rFonts w:ascii="Times New Roman" w:hAnsi="Times New Roman"/>
                <w:sz w:val="24"/>
                <w:lang w:val="en-US"/>
              </w:rPr>
              <w:t> </w:t>
            </w:r>
            <w:r w:rsidRPr="00D83669">
              <w:rPr>
                <w:rFonts w:ascii="Times New Roman" w:hAnsi="Times New Roman"/>
                <w:sz w:val="24"/>
              </w:rPr>
              <w:t>100 СОП</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7</w:t>
            </w:r>
            <w:r w:rsidRPr="00D83669">
              <w:rPr>
                <w:rFonts w:ascii="Times New Roman" w:hAnsi="Times New Roman"/>
                <w:sz w:val="24"/>
                <w:lang w:val="en-US"/>
              </w:rPr>
              <w:t> </w:t>
            </w:r>
            <w:r w:rsidRPr="00D83669">
              <w:rPr>
                <w:rFonts w:ascii="Times New Roman" w:hAnsi="Times New Roman"/>
                <w:sz w:val="24"/>
              </w:rPr>
              <w:t xml:space="preserve">700 в риск, с хронични заболявания и с изявени дарби = 11 800 * 66% от 430 училища спрямо 650 учебни заведения по проекта или 7 788 ученици) от обхванатите 430 училища, при заявени нужди от 884 училища или 1,473% от всички ученици. Изчислената целева стойност гарантира широк обхват на учениците с хронични заболявания, в риск, с изявени дарби и със СОП за разгръщане потенциала за личностното им развитие чрез осигуряване на </w:t>
            </w:r>
            <w:r w:rsidRPr="00D83669">
              <w:rPr>
                <w:rFonts w:ascii="Times New Roman" w:hAnsi="Times New Roman"/>
                <w:sz w:val="24"/>
              </w:rPr>
              <w:lastRenderedPageBreak/>
              <w:t>по-добро приобщаване в предучилищното образование и бъдеща социална реализация.</w:t>
            </w:r>
          </w:p>
          <w:p w14:paraId="30157CE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е сбор от целевите стойности на децата и учениците със СОП, с хронични заболявания, в риск, с изявени дарби.</w:t>
            </w:r>
          </w:p>
        </w:tc>
      </w:tr>
      <w:tr w:rsidR="00D857FE" w:rsidRPr="00D83669" w14:paraId="2EE951C9" w14:textId="77777777" w:rsidTr="000146D9">
        <w:tc>
          <w:tcPr>
            <w:tcW w:w="2411" w:type="dxa"/>
            <w:shd w:val="clear" w:color="auto" w:fill="auto"/>
            <w:vAlign w:val="center"/>
          </w:tcPr>
          <w:p w14:paraId="3982371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Междинна цел</w:t>
            </w:r>
          </w:p>
        </w:tc>
        <w:tc>
          <w:tcPr>
            <w:tcW w:w="7797" w:type="dxa"/>
            <w:shd w:val="clear" w:color="auto" w:fill="auto"/>
            <w:vAlign w:val="center"/>
          </w:tcPr>
          <w:p w14:paraId="53884C70" w14:textId="279ECA4B" w:rsidR="00D857FE" w:rsidRPr="00D83669" w:rsidRDefault="00D857FE" w:rsidP="00CC7BCB">
            <w:pPr>
              <w:spacing w:after="120"/>
              <w:jc w:val="both"/>
              <w:rPr>
                <w:rFonts w:ascii="Times New Roman" w:hAnsi="Times New Roman"/>
                <w:sz w:val="24"/>
                <w:lang w:val="en-US"/>
              </w:rPr>
            </w:pPr>
            <w:r w:rsidRPr="00D83669">
              <w:rPr>
                <w:rFonts w:ascii="Times New Roman" w:hAnsi="Times New Roman"/>
                <w:sz w:val="24"/>
              </w:rPr>
              <w:t>4</w:t>
            </w:r>
            <w:r w:rsidRPr="00D83669">
              <w:rPr>
                <w:rFonts w:ascii="Times New Roman" w:hAnsi="Times New Roman"/>
                <w:sz w:val="24"/>
                <w:lang w:val="en-US"/>
              </w:rPr>
              <w:t> </w:t>
            </w:r>
            <w:r w:rsidR="007C700C" w:rsidRPr="00D83669">
              <w:rPr>
                <w:rFonts w:ascii="Times New Roman" w:hAnsi="Times New Roman"/>
                <w:sz w:val="24"/>
              </w:rPr>
              <w:t xml:space="preserve">325 </w:t>
            </w:r>
          </w:p>
        </w:tc>
      </w:tr>
      <w:tr w:rsidR="00D857FE" w:rsidRPr="00D83669" w14:paraId="2676705A" w14:textId="77777777" w:rsidTr="000146D9">
        <w:tc>
          <w:tcPr>
            <w:tcW w:w="2411" w:type="dxa"/>
            <w:shd w:val="clear" w:color="auto" w:fill="auto"/>
            <w:vAlign w:val="center"/>
          </w:tcPr>
          <w:p w14:paraId="47F3517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797" w:type="dxa"/>
            <w:shd w:val="clear" w:color="auto" w:fill="auto"/>
            <w:vAlign w:val="center"/>
          </w:tcPr>
          <w:p w14:paraId="5C899DC5" w14:textId="370EDE3C" w:rsidR="00D857FE" w:rsidRPr="00D83669" w:rsidRDefault="001A3252" w:rsidP="00CC7BCB">
            <w:pPr>
              <w:spacing w:after="120"/>
              <w:jc w:val="both"/>
              <w:rPr>
                <w:rFonts w:ascii="Times New Roman" w:hAnsi="Times New Roman"/>
                <w:sz w:val="24"/>
              </w:rPr>
            </w:pPr>
            <w:r w:rsidRPr="00D83669">
              <w:rPr>
                <w:rFonts w:ascii="Times New Roman" w:hAnsi="Times New Roman"/>
                <w:sz w:val="24"/>
              </w:rPr>
              <w:t>Етапната цел е съобразена с планирания график на операциите по група дейности 2, които  стартират преди 2024 г. със 75% от предвидения финансов ресурс и продължителност на операциите от 5 години.  Етапната цел се определя, като се взема предвид определения финансовия ресурс за операциите,  разделен на планирания брой години за изпълнението им и отчитането на стойности на показателя до края на 2024 г. Етапната цел представлява  децата със СОП, в риск, с хронични заболявания и изявени дарби в предучилищното образование,  обхванати в операция за обща и допълнителна подкрепа в предучилищното образование, стартираща в края на 2023 г.(6065*0,75*1/5=910) и от учениците със СОП, в риск, с хронични заболявания и изявени дарби, обхванати в операция за обща и допълнителна подкрепа в училищното образование, която стартира в края на 2022 г. (11385*0,75*2/5= 3415). Етапната цел не включва операция за превенция на тормоза и агресията в училище, която стартира в края на 2024 г. и няма възможност за отчитане на показателя в края на 2024 г. и избягва препокриване на стойности на показателя по операция по група дейности 1 или 910+3415=4325.</w:t>
            </w:r>
          </w:p>
        </w:tc>
      </w:tr>
      <w:tr w:rsidR="00D857FE" w:rsidRPr="00D83669" w14:paraId="635FBB1F" w14:textId="77777777" w:rsidTr="000146D9">
        <w:tc>
          <w:tcPr>
            <w:tcW w:w="2411" w:type="dxa"/>
            <w:shd w:val="clear" w:color="auto" w:fill="auto"/>
            <w:vAlign w:val="center"/>
          </w:tcPr>
          <w:p w14:paraId="28C0E1B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Базова стойност</w:t>
            </w:r>
          </w:p>
        </w:tc>
        <w:tc>
          <w:tcPr>
            <w:tcW w:w="7797" w:type="dxa"/>
            <w:shd w:val="clear" w:color="auto" w:fill="auto"/>
            <w:vAlign w:val="center"/>
          </w:tcPr>
          <w:p w14:paraId="0AA126F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36D74AC6" w14:textId="77777777" w:rsidTr="000146D9">
        <w:tc>
          <w:tcPr>
            <w:tcW w:w="2411" w:type="dxa"/>
            <w:shd w:val="clear" w:color="auto" w:fill="auto"/>
            <w:vAlign w:val="center"/>
          </w:tcPr>
          <w:p w14:paraId="6A9A90B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797" w:type="dxa"/>
            <w:shd w:val="clear" w:color="auto" w:fill="auto"/>
            <w:vAlign w:val="center"/>
          </w:tcPr>
          <w:p w14:paraId="46AEB15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децата и ученици по демографски, социални характеристики, вкл. от коя категория са – СОП, с хронични заболявания, в риск или с изявени дарби.</w:t>
            </w:r>
          </w:p>
        </w:tc>
      </w:tr>
      <w:tr w:rsidR="00D857FE" w:rsidRPr="00D83669" w14:paraId="19549005" w14:textId="77777777" w:rsidTr="000146D9">
        <w:tc>
          <w:tcPr>
            <w:tcW w:w="2411" w:type="dxa"/>
            <w:shd w:val="clear" w:color="auto" w:fill="auto"/>
            <w:vAlign w:val="center"/>
          </w:tcPr>
          <w:p w14:paraId="7C5C6FC8"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797" w:type="dxa"/>
            <w:shd w:val="clear" w:color="auto" w:fill="auto"/>
            <w:vAlign w:val="center"/>
          </w:tcPr>
          <w:p w14:paraId="01395468" w14:textId="659E7585"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Данните са необходими с оглед постигане на заложени цели в политиките за приобщаващо образование на деца със специални образователни потребности и др. Показателят е ориентиран към цели, заложени в стратегически документи като например Стратегическа рамка за развитие на образованието, обучението и ученето на Република България (2021 – 2030).</w:t>
            </w:r>
          </w:p>
          <w:p w14:paraId="0F67B9EE" w14:textId="0B0F5632"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Информацията служи за ориентир/коректив при определяне на политики за приобщаващото образование, по специално за децата и учениците със специални образователни потребности. Показателят е насочен и към изпълнение препоръки на ЕК от докладите по Европейския семестър за напредък и обхват на приобщаващото образование. </w:t>
            </w:r>
          </w:p>
        </w:tc>
      </w:tr>
      <w:tr w:rsidR="00D857FE" w:rsidRPr="00D83669" w14:paraId="633EAC6F" w14:textId="77777777" w:rsidTr="000146D9">
        <w:tc>
          <w:tcPr>
            <w:tcW w:w="2411" w:type="dxa"/>
            <w:shd w:val="clear" w:color="auto" w:fill="auto"/>
            <w:vAlign w:val="center"/>
          </w:tcPr>
          <w:p w14:paraId="5C25C36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797" w:type="dxa"/>
            <w:shd w:val="clear" w:color="auto" w:fill="auto"/>
            <w:vAlign w:val="center"/>
          </w:tcPr>
          <w:p w14:paraId="2FC635B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бенефициента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6207E08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Информацията ще включва: демографски данни – пол, възраст, детска градина, училище, община, район, и др., както и информация по вида на </w:t>
            </w:r>
            <w:r w:rsidRPr="00D83669">
              <w:rPr>
                <w:rFonts w:ascii="Times New Roman" w:hAnsi="Times New Roman"/>
                <w:sz w:val="24"/>
              </w:rPr>
              <w:lastRenderedPageBreak/>
              <w:t>обхванатите деца и ученици със СОП, деца с хронични заболявания, деца в риск и деца с изявени дарби.</w:t>
            </w:r>
          </w:p>
        </w:tc>
      </w:tr>
      <w:tr w:rsidR="00D857FE" w:rsidRPr="00D83669" w14:paraId="4975BF31" w14:textId="77777777" w:rsidTr="000146D9">
        <w:tc>
          <w:tcPr>
            <w:tcW w:w="2411" w:type="dxa"/>
            <w:shd w:val="clear" w:color="auto" w:fill="auto"/>
            <w:vAlign w:val="center"/>
          </w:tcPr>
          <w:p w14:paraId="7669FA0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797" w:type="dxa"/>
            <w:shd w:val="clear" w:color="auto" w:fill="auto"/>
            <w:vAlign w:val="center"/>
          </w:tcPr>
          <w:p w14:paraId="5AAA11B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8D477F1" w14:textId="77777777" w:rsidTr="000146D9">
        <w:tc>
          <w:tcPr>
            <w:tcW w:w="2411" w:type="dxa"/>
            <w:shd w:val="clear" w:color="auto" w:fill="auto"/>
            <w:vAlign w:val="center"/>
          </w:tcPr>
          <w:p w14:paraId="4534995C" w14:textId="666A7EB3"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797" w:type="dxa"/>
            <w:shd w:val="clear" w:color="auto" w:fill="auto"/>
            <w:vAlign w:val="center"/>
          </w:tcPr>
          <w:p w14:paraId="0DEC411B"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EECO06 брой на децата на възраст под 18 години;</w:t>
            </w:r>
          </w:p>
          <w:p w14:paraId="3B8A64C0"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4747FF94"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1.3. Брой родители, подкрепени в процеса на приобщаващото образование;</w:t>
            </w:r>
          </w:p>
          <w:p w14:paraId="3024A4D6"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SRI 1.2. Брой деца и ученици от уязвими групи с подобрени образователни резултати след 1 година участие в операцията.</w:t>
            </w:r>
          </w:p>
        </w:tc>
      </w:tr>
      <w:tr w:rsidR="00D857FE" w:rsidRPr="00D83669" w14:paraId="59672CD4" w14:textId="77777777" w:rsidTr="000146D9">
        <w:tc>
          <w:tcPr>
            <w:tcW w:w="2411" w:type="dxa"/>
            <w:shd w:val="clear" w:color="auto" w:fill="auto"/>
            <w:vAlign w:val="center"/>
          </w:tcPr>
          <w:p w14:paraId="5A0A15F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Валидиране</w:t>
            </w:r>
          </w:p>
        </w:tc>
        <w:tc>
          <w:tcPr>
            <w:tcW w:w="7797" w:type="dxa"/>
            <w:shd w:val="clear" w:color="auto" w:fill="auto"/>
            <w:vAlign w:val="center"/>
          </w:tcPr>
          <w:p w14:paraId="4FFA8904" w14:textId="1E8B7E42" w:rsidR="00D857FE" w:rsidRPr="00D83669" w:rsidRDefault="00D857FE" w:rsidP="00354E8D">
            <w:pPr>
              <w:pStyle w:val="ListParagraph"/>
              <w:spacing w:after="120"/>
              <w:jc w:val="both"/>
              <w:rPr>
                <w:rFonts w:ascii="Times New Roman" w:hAnsi="Times New Roman"/>
                <w:sz w:val="24"/>
              </w:rPr>
            </w:pPr>
            <w:r w:rsidRPr="00D83669">
              <w:rPr>
                <w:rFonts w:ascii="Times New Roman" w:hAnsi="Times New Roman"/>
                <w:sz w:val="24"/>
              </w:rPr>
              <w:t>Целевата стойност на показателя обхваща броя на децата и учениците със СОП, в риск, с хронични заболявания и с изявени дарби, обхванати в дейностите за обща и допълнителна подкрепа по СЦ по чл. 4, пар. 1, буква е) на ПО 2021 – 2027 и е по-малка от всички участници в дейности по тази специфична цел.</w:t>
            </w:r>
          </w:p>
        </w:tc>
      </w:tr>
      <w:bookmarkEnd w:id="75"/>
    </w:tbl>
    <w:p w14:paraId="662F9AB4" w14:textId="77777777" w:rsidR="00D857FE" w:rsidRPr="00D83669" w:rsidRDefault="00D857FE" w:rsidP="00D857FE"/>
    <w:p w14:paraId="4B4ED57D" w14:textId="77777777" w:rsidR="00D857FE" w:rsidRPr="00D83669" w:rsidRDefault="00D857FE" w:rsidP="00D857FE">
      <w:pPr>
        <w:rPr>
          <w:rFonts w:ascii="Times New Roman" w:eastAsia="Times New Roman" w:hAnsi="Times New Roman" w:cs="Times New Roman"/>
          <w:b/>
          <w:sz w:val="24"/>
          <w:szCs w:val="20"/>
          <w:lang w:eastAsia="bg-BG" w:bidi="bg-BG"/>
        </w:rPr>
      </w:pPr>
      <w:r w:rsidRPr="00D83669">
        <w:rPr>
          <w:b/>
        </w:rPr>
        <w:br w:type="page"/>
      </w:r>
    </w:p>
    <w:p w14:paraId="2A60FE0B" w14:textId="3775A09D" w:rsidR="00D857FE" w:rsidRPr="00D83669" w:rsidRDefault="00D857FE" w:rsidP="00FC64DB">
      <w:pPr>
        <w:pStyle w:val="Heading3"/>
        <w:rPr>
          <w:b/>
          <w:bCs/>
          <w:i/>
          <w:iCs/>
          <w:sz w:val="22"/>
          <w:szCs w:val="22"/>
        </w:rPr>
      </w:pPr>
      <w:bookmarkStart w:id="76" w:name="_Toc100152971"/>
      <w:bookmarkStart w:id="77" w:name="_Toc103586647"/>
      <w:r w:rsidRPr="00D83669">
        <w:rPr>
          <w:b/>
          <w:bCs/>
          <w:i/>
          <w:iCs/>
          <w:sz w:val="22"/>
          <w:szCs w:val="22"/>
        </w:rPr>
        <w:lastRenderedPageBreak/>
        <w:t>SOI 1.3. Брой родители, подкрепени в процеса на приобщаващото образование</w:t>
      </w:r>
      <w:bookmarkEnd w:id="76"/>
      <w:bookmarkEnd w:id="77"/>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377"/>
      </w:tblGrid>
      <w:tr w:rsidR="00D857FE" w:rsidRPr="00D83669" w14:paraId="38349FF0" w14:textId="77777777" w:rsidTr="006D2152">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5FEB978" w14:textId="7A6C0E61"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81E29C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070D2490" w14:textId="77777777" w:rsidTr="006D2152">
        <w:tc>
          <w:tcPr>
            <w:tcW w:w="2405" w:type="dxa"/>
            <w:shd w:val="clear" w:color="auto" w:fill="auto"/>
            <w:vAlign w:val="center"/>
          </w:tcPr>
          <w:p w14:paraId="55E89753" w14:textId="1E70974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57021C8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SOI 1.3. Брой родители, подкрепени в процеса на приобщаващото образование</w:t>
            </w:r>
          </w:p>
        </w:tc>
      </w:tr>
      <w:tr w:rsidR="00D857FE" w:rsidRPr="00D83669" w14:paraId="07B7A35F" w14:textId="77777777" w:rsidTr="006D2152">
        <w:tc>
          <w:tcPr>
            <w:tcW w:w="2405" w:type="dxa"/>
            <w:shd w:val="clear" w:color="auto" w:fill="auto"/>
            <w:vAlign w:val="center"/>
          </w:tcPr>
          <w:p w14:paraId="1E4060A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26C8FDA6" w14:textId="606831F8"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319C43EF" w14:textId="77777777" w:rsidTr="006D2152">
        <w:tc>
          <w:tcPr>
            <w:tcW w:w="2405" w:type="dxa"/>
            <w:shd w:val="clear" w:color="auto" w:fill="auto"/>
            <w:vAlign w:val="center"/>
          </w:tcPr>
          <w:p w14:paraId="2B0333B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34E43399"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36234817" w14:textId="77777777" w:rsidTr="006D2152">
        <w:tc>
          <w:tcPr>
            <w:tcW w:w="2405" w:type="dxa"/>
            <w:shd w:val="clear" w:color="auto" w:fill="auto"/>
            <w:vAlign w:val="center"/>
          </w:tcPr>
          <w:p w14:paraId="52E6E90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7F85F2F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 Разширяване обхвата в предучилищното и в училищното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w:t>
            </w:r>
          </w:p>
          <w:p w14:paraId="50C7475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 Обща и допълнителна подкрепа за личностно развитие в предучилищното и училищното образование;</w:t>
            </w:r>
          </w:p>
          <w:p w14:paraId="0808013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 Превенция и предотвратяване на тормоза и насилието и намаляване агресията в училищата.</w:t>
            </w:r>
          </w:p>
        </w:tc>
      </w:tr>
      <w:tr w:rsidR="00D857FE" w:rsidRPr="00D83669" w14:paraId="08418AA8" w14:textId="77777777" w:rsidTr="006D2152">
        <w:tc>
          <w:tcPr>
            <w:tcW w:w="2405" w:type="dxa"/>
            <w:shd w:val="clear" w:color="auto" w:fill="auto"/>
            <w:vAlign w:val="center"/>
          </w:tcPr>
          <w:p w14:paraId="02915B2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377" w:type="dxa"/>
            <w:shd w:val="clear" w:color="auto" w:fill="auto"/>
            <w:vAlign w:val="center"/>
          </w:tcPr>
          <w:p w14:paraId="1D635F08" w14:textId="16224E7D" w:rsidR="00D857FE" w:rsidRPr="00D83669" w:rsidRDefault="00D857FE" w:rsidP="00CC7BCB">
            <w:pPr>
              <w:pStyle w:val="Default"/>
              <w:jc w:val="both"/>
              <w:rPr>
                <w:color w:val="FF0000"/>
              </w:rPr>
            </w:pPr>
            <w:r w:rsidRPr="00D83669">
              <w:rPr>
                <w:color w:val="auto"/>
              </w:rPr>
              <w:t>Показателят измерва броя на родителите на деца и ученици от уязвими групи, с обучителни трудности, в риск от отпадане от образование, със СОП, с хронични заболявания, в риск от социално изключване и с изявени дарби, които са включени в дейности за активното им участие в процеса на приобщаване в системата на предучилищното и училищно образование, обучения за повишаване на социалните и гражданските им компетенции относно приобщаващото образование, приемане на различието, и др. в рамките на трите операции по тази специфична цел по Програма „Образование“ 2021 – 2027 г. Показателят отчита, че родители, обхванати в дейности по механизма за съвместна работа на институциите по обхващане, включване и предотвратяване на отпадането от образователната система на деца и ученици след записване на децата им в образователната система, същите ще бъдат участници и в дейности по операция „Обща и допълнителна подкрепа за личностно развитие в предучилищното и училищното образование“ и операция „Превенция и предотвратяване на тормоза и насилието и намаляване агресията в училищата“. С оглед избягване на препокриването и дублирането от участието на родители един родител се брои еднократно, независимо в колко операции /дейности участва.</w:t>
            </w:r>
          </w:p>
        </w:tc>
      </w:tr>
      <w:tr w:rsidR="00D857FE" w:rsidRPr="00D83669" w14:paraId="045AF0FB" w14:textId="77777777" w:rsidTr="006D2152">
        <w:tc>
          <w:tcPr>
            <w:tcW w:w="2405" w:type="dxa"/>
            <w:shd w:val="clear" w:color="auto" w:fill="auto"/>
            <w:vAlign w:val="center"/>
          </w:tcPr>
          <w:p w14:paraId="557103D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7" w:type="dxa"/>
            <w:shd w:val="clear" w:color="auto" w:fill="auto"/>
            <w:vAlign w:val="center"/>
          </w:tcPr>
          <w:p w14:paraId="6BADC49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30A5DD90" w14:textId="77777777" w:rsidTr="006D2152">
        <w:tc>
          <w:tcPr>
            <w:tcW w:w="2405" w:type="dxa"/>
            <w:shd w:val="clear" w:color="auto" w:fill="auto"/>
            <w:vAlign w:val="center"/>
          </w:tcPr>
          <w:p w14:paraId="2FDB7BD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122BAD59"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lang w:val="en-US"/>
              </w:rPr>
              <w:t>222</w:t>
            </w:r>
            <w:r w:rsidRPr="00D83669">
              <w:rPr>
                <w:rFonts w:ascii="Times New Roman" w:hAnsi="Times New Roman"/>
                <w:sz w:val="24"/>
              </w:rPr>
              <w:t> </w:t>
            </w:r>
            <w:r w:rsidRPr="00D83669">
              <w:rPr>
                <w:rFonts w:ascii="Times New Roman" w:hAnsi="Times New Roman"/>
                <w:sz w:val="24"/>
                <w:lang w:val="en-US"/>
              </w:rPr>
              <w:t>448</w:t>
            </w:r>
          </w:p>
        </w:tc>
      </w:tr>
      <w:tr w:rsidR="00D857FE" w:rsidRPr="00D83669" w14:paraId="253AA731" w14:textId="77777777" w:rsidTr="006D2152">
        <w:tc>
          <w:tcPr>
            <w:tcW w:w="2405" w:type="dxa"/>
            <w:shd w:val="clear" w:color="auto" w:fill="auto"/>
            <w:vAlign w:val="center"/>
          </w:tcPr>
          <w:p w14:paraId="6631B9EC" w14:textId="3332C34C" w:rsidR="00D857FE" w:rsidRPr="00D83669" w:rsidRDefault="00522E94" w:rsidP="00CC7BCB">
            <w:pPr>
              <w:rPr>
                <w:rFonts w:ascii="Times New Roman" w:hAnsi="Times New Roman"/>
                <w:b/>
                <w:bCs/>
                <w:sz w:val="24"/>
              </w:rPr>
            </w:pPr>
            <w:r w:rsidRPr="00D83669">
              <w:rPr>
                <w:rFonts w:ascii="Times New Roman" w:hAnsi="Times New Roman"/>
                <w:b/>
                <w:bCs/>
                <w:sz w:val="24"/>
              </w:rPr>
              <w:lastRenderedPageBreak/>
              <w:t>Методология за определяне на крайната цел</w:t>
            </w:r>
          </w:p>
        </w:tc>
        <w:tc>
          <w:tcPr>
            <w:tcW w:w="7377" w:type="dxa"/>
            <w:shd w:val="clear" w:color="auto" w:fill="auto"/>
            <w:vAlign w:val="center"/>
          </w:tcPr>
          <w:p w14:paraId="1CB6800F" w14:textId="3D29DE23"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се определя като се приема, че поне по 1 родител на деца и ученици от уязвими групи, с обучителни трудности, в риск от отпадане от образование, със СОП, с хронични заболявания, в риск от социално изключване и с изявени дарби ще участва в дейности и обучения по операция „Обща и допълнителна подкрепа за личностно развитие в предучилищното и училищното образование“ и</w:t>
            </w:r>
            <w:r w:rsidRPr="00D83669">
              <w:t xml:space="preserve"> </w:t>
            </w:r>
            <w:r w:rsidRPr="00D83669">
              <w:rPr>
                <w:rFonts w:ascii="Times New Roman" w:hAnsi="Times New Roman" w:cs="Times New Roman"/>
              </w:rPr>
              <w:t>„</w:t>
            </w:r>
            <w:r w:rsidRPr="00D83669">
              <w:rPr>
                <w:rFonts w:ascii="Times New Roman" w:hAnsi="Times New Roman"/>
                <w:sz w:val="24"/>
              </w:rPr>
              <w:t>Разширяване обхвата в предучилищното и в училищното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 като се избягва припокриването между двете операции, както и в операция</w:t>
            </w:r>
            <w:r w:rsidRPr="00D83669">
              <w:t xml:space="preserve"> </w:t>
            </w:r>
            <w:r w:rsidRPr="00D83669">
              <w:rPr>
                <w:rFonts w:ascii="Times New Roman" w:hAnsi="Times New Roman" w:cs="Times New Roman"/>
              </w:rPr>
              <w:t>„</w:t>
            </w:r>
            <w:r w:rsidRPr="00D83669">
              <w:rPr>
                <w:rFonts w:ascii="Times New Roman" w:hAnsi="Times New Roman"/>
                <w:sz w:val="24"/>
              </w:rPr>
              <w:t xml:space="preserve">Превенция и предотвратяване на тормоза и насилието и намаляване агресията в училищата“. Целевата стойност се определя от целевата стойност на микроиндикатор ИП 1.2.2. Брой родители на деца и ученици от уязвими групи, с образователни трудности, в риск от отпадане от образование, подкрепени в процеса на приобщаващото образование и на микроиндикатор ИП 1.8.3. Брой родители, подкрепени за преодоляване на агресивно поведение на учениците в различните му форми след индексация. </w:t>
            </w:r>
          </w:p>
          <w:p w14:paraId="205B737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178 082</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44 366</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222 448.</w:t>
            </w:r>
          </w:p>
          <w:p w14:paraId="6F68DED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е определена на база изчислените единични разходи за обучение на родители, прилагани в периода 2018 – 2020 г., за които е предвиден процент на индексация, на база очаквано увеличение на разходи за труд в сектор „Образование“ за периода до 2029 г., имайки предвид че преобладаващата част от единичните разходи (70 – 90%) за обучения на родители са свързани с разходи за възнаграждения и са в пряка зависимост от ръста на разходите за труд.</w:t>
            </w:r>
          </w:p>
        </w:tc>
      </w:tr>
      <w:tr w:rsidR="00D857FE" w:rsidRPr="00D83669" w14:paraId="3F4D3AC3" w14:textId="77777777" w:rsidTr="006D2152">
        <w:tc>
          <w:tcPr>
            <w:tcW w:w="2405" w:type="dxa"/>
            <w:shd w:val="clear" w:color="auto" w:fill="auto"/>
            <w:vAlign w:val="center"/>
          </w:tcPr>
          <w:p w14:paraId="562CD3A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377" w:type="dxa"/>
            <w:shd w:val="clear" w:color="auto" w:fill="auto"/>
            <w:vAlign w:val="center"/>
          </w:tcPr>
          <w:p w14:paraId="10C060C6" w14:textId="74BE8B35" w:rsidR="00D857FE" w:rsidRPr="00D83669" w:rsidRDefault="00C05ADA" w:rsidP="00CC7BCB">
            <w:pPr>
              <w:jc w:val="both"/>
              <w:rPr>
                <w:rFonts w:ascii="Times New Roman" w:hAnsi="Times New Roman"/>
                <w:sz w:val="24"/>
              </w:rPr>
            </w:pPr>
            <w:r w:rsidRPr="00D83669">
              <w:rPr>
                <w:rFonts w:ascii="Times New Roman" w:hAnsi="Times New Roman"/>
                <w:sz w:val="24"/>
              </w:rPr>
              <w:t>45 968</w:t>
            </w:r>
          </w:p>
        </w:tc>
      </w:tr>
      <w:tr w:rsidR="00D857FE" w:rsidRPr="00D83669" w14:paraId="42754C0F" w14:textId="77777777" w:rsidTr="006D2152">
        <w:tc>
          <w:tcPr>
            <w:tcW w:w="2405" w:type="dxa"/>
            <w:shd w:val="clear" w:color="auto" w:fill="auto"/>
            <w:vAlign w:val="center"/>
          </w:tcPr>
          <w:p w14:paraId="10D4127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377" w:type="dxa"/>
            <w:shd w:val="clear" w:color="auto" w:fill="auto"/>
            <w:vAlign w:val="center"/>
          </w:tcPr>
          <w:p w14:paraId="32D5784F" w14:textId="559AE029" w:rsidR="00D857FE" w:rsidRPr="00D83669" w:rsidRDefault="00927D2E" w:rsidP="00CC7BCB">
            <w:pPr>
              <w:jc w:val="both"/>
              <w:rPr>
                <w:rFonts w:ascii="Times New Roman" w:hAnsi="Times New Roman"/>
                <w:sz w:val="24"/>
              </w:rPr>
            </w:pPr>
            <w:r w:rsidRPr="00D83669">
              <w:rPr>
                <w:rFonts w:ascii="Times New Roman" w:hAnsi="Times New Roman"/>
                <w:sz w:val="24"/>
              </w:rPr>
              <w:t>Етапната цел е съобразена с планирания график на операциите по група дейности 2, които  стартират преди 2024 г. със 75% от предвидения финансов ресурс.  Етапната цел не включва операция за превенция на тормоза и агресията в училище, която стартира в края на 2024 г. и избягва пр</w:t>
            </w:r>
            <w:r w:rsidR="00FE1755" w:rsidRPr="00D83669">
              <w:rPr>
                <w:rFonts w:ascii="Times New Roman" w:hAnsi="Times New Roman"/>
                <w:sz w:val="24"/>
              </w:rPr>
              <w:t>и</w:t>
            </w:r>
            <w:r w:rsidRPr="00D83669">
              <w:rPr>
                <w:rFonts w:ascii="Times New Roman" w:hAnsi="Times New Roman"/>
                <w:sz w:val="24"/>
              </w:rPr>
              <w:t>покриване на стойности на показателя по операция по група дейности 1.</w:t>
            </w:r>
            <w:r w:rsidR="00FE1755" w:rsidRPr="00D83669">
              <w:rPr>
                <w:rFonts w:ascii="Times New Roman" w:hAnsi="Times New Roman"/>
                <w:sz w:val="24"/>
              </w:rPr>
              <w:t xml:space="preserve"> </w:t>
            </w:r>
            <w:r w:rsidRPr="00D83669">
              <w:rPr>
                <w:rFonts w:ascii="Times New Roman" w:hAnsi="Times New Roman"/>
                <w:sz w:val="24"/>
              </w:rPr>
              <w:t>Етапната цел се определя, като се взема предвид определения финансовия ресурс за операциите,  разделен на планирания брой години за изпълнението им и отчитането на стойности на индикаторите до края на 2024 г. Етапната цел представлява  поне по 1 родител на децата в предучилищното образование от всички уязвимите групи,  обхванати в операция за обща и допълнителна подкрепа в предучилищното образование и стартираща в края на 2023 г. (6065*0,75*1/5+43645*0,75*1/5=7457) и поне по 1 родител на учениците от всички уязвими групи, обхванати в операция за обща и допълнителна подкрепа в училищното образование, която стартира в края на 2022 г. (11385*0,75*2/5+116987*0,75*2/5=38511</w:t>
            </w:r>
            <w:r w:rsidR="00D021EA" w:rsidRPr="00D83669">
              <w:rPr>
                <w:rFonts w:ascii="Times New Roman" w:hAnsi="Times New Roman"/>
                <w:sz w:val="24"/>
              </w:rPr>
              <w:t>)</w:t>
            </w:r>
            <w:r w:rsidRPr="00D83669">
              <w:rPr>
                <w:rFonts w:ascii="Times New Roman" w:hAnsi="Times New Roman"/>
                <w:sz w:val="24"/>
              </w:rPr>
              <w:t xml:space="preserve"> или 7457+38511=45</w:t>
            </w:r>
            <w:r w:rsidR="00D021EA" w:rsidRPr="00D83669">
              <w:rPr>
                <w:rFonts w:ascii="Times New Roman" w:hAnsi="Times New Roman"/>
                <w:sz w:val="24"/>
              </w:rPr>
              <w:t>968</w:t>
            </w:r>
            <w:r w:rsidRPr="00D83669">
              <w:rPr>
                <w:rFonts w:ascii="Times New Roman" w:hAnsi="Times New Roman"/>
                <w:sz w:val="24"/>
              </w:rPr>
              <w:t>.</w:t>
            </w:r>
          </w:p>
        </w:tc>
      </w:tr>
      <w:tr w:rsidR="00D857FE" w:rsidRPr="00D83669" w14:paraId="1FE42FD4" w14:textId="77777777" w:rsidTr="006D2152">
        <w:tc>
          <w:tcPr>
            <w:tcW w:w="2405" w:type="dxa"/>
            <w:shd w:val="clear" w:color="auto" w:fill="auto"/>
            <w:vAlign w:val="center"/>
          </w:tcPr>
          <w:p w14:paraId="28F3C1B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Базова стойност</w:t>
            </w:r>
          </w:p>
        </w:tc>
        <w:tc>
          <w:tcPr>
            <w:tcW w:w="7377" w:type="dxa"/>
            <w:shd w:val="clear" w:color="auto" w:fill="auto"/>
            <w:vAlign w:val="center"/>
          </w:tcPr>
          <w:p w14:paraId="2A5BD41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25D2761D" w14:textId="77777777" w:rsidTr="006D2152">
        <w:tc>
          <w:tcPr>
            <w:tcW w:w="2405" w:type="dxa"/>
            <w:shd w:val="clear" w:color="auto" w:fill="auto"/>
            <w:vAlign w:val="center"/>
          </w:tcPr>
          <w:p w14:paraId="100B97B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27C7BD5E" w14:textId="77777777" w:rsidR="00D857FE" w:rsidRPr="00D83669" w:rsidRDefault="00D857FE" w:rsidP="00CC7BCB">
            <w:pPr>
              <w:jc w:val="both"/>
              <w:rPr>
                <w:rFonts w:ascii="Times New Roman" w:hAnsi="Times New Roman"/>
                <w:sz w:val="24"/>
              </w:rPr>
            </w:pPr>
          </w:p>
          <w:p w14:paraId="34B884F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родителите и децата им по демографски, социални характеристики.</w:t>
            </w:r>
          </w:p>
        </w:tc>
      </w:tr>
      <w:tr w:rsidR="00D857FE" w:rsidRPr="00D83669" w14:paraId="5CF660BA" w14:textId="77777777" w:rsidTr="006D2152">
        <w:tc>
          <w:tcPr>
            <w:tcW w:w="2405" w:type="dxa"/>
            <w:shd w:val="clear" w:color="auto" w:fill="auto"/>
            <w:vAlign w:val="center"/>
          </w:tcPr>
          <w:p w14:paraId="160A03B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193D3A6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за да се проследи броят на подкрепените родители на деца и ученици от уязвими групи, с трудности в обучението, в риск от отпадане от образование, със СОП, с хронични заболявания, в риск от социално изключване и с изявени дарби, участвали в обучения за мотивиране и приобщаване към образование и предотвратяване отпадането от обучение на децата и учениците в задължителна училищна възраст – 4 – 16 години. Събирането на данни ще покаже приноса на програмата към стратегическите национални документи като Стратегическа рамка за развитие на образованието, обучението и ученето в Република България 2021 – 2030, вкл. Национална стратегия на Република България за равенство, приобщаване и участие на ромите (2021 – 2030).</w:t>
            </w:r>
          </w:p>
        </w:tc>
      </w:tr>
      <w:tr w:rsidR="00D857FE" w:rsidRPr="00D83669" w14:paraId="414F8742" w14:textId="77777777" w:rsidTr="006D2152">
        <w:tc>
          <w:tcPr>
            <w:tcW w:w="2405" w:type="dxa"/>
            <w:shd w:val="clear" w:color="auto" w:fill="auto"/>
            <w:vAlign w:val="center"/>
          </w:tcPr>
          <w:p w14:paraId="72E99B3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p w14:paraId="06F41FB7" w14:textId="77777777" w:rsidR="00D857FE" w:rsidRPr="00D83669" w:rsidRDefault="00D857FE" w:rsidP="00CC7BCB">
            <w:pPr>
              <w:rPr>
                <w:rFonts w:ascii="Times New Roman" w:hAnsi="Times New Roman"/>
                <w:sz w:val="24"/>
              </w:rPr>
            </w:pPr>
          </w:p>
        </w:tc>
        <w:tc>
          <w:tcPr>
            <w:tcW w:w="7377" w:type="dxa"/>
            <w:shd w:val="clear" w:color="auto" w:fill="auto"/>
            <w:vAlign w:val="center"/>
          </w:tcPr>
          <w:p w14:paraId="5E7172D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се събират от директния бенефициент МОН</w:t>
            </w:r>
            <w:r w:rsidRPr="00D83669">
              <w:t xml:space="preserve"> </w:t>
            </w:r>
            <w:r w:rsidRPr="00D83669">
              <w:rPr>
                <w:rFonts w:ascii="Times New Roman" w:hAnsi="Times New Roman"/>
                <w:sz w:val="24"/>
              </w:rPr>
              <w:t>на</w:t>
            </w:r>
            <w:r w:rsidRPr="00D83669">
              <w:t xml:space="preserve"> </w:t>
            </w:r>
            <w:r w:rsidRPr="00D83669">
              <w:rPr>
                <w:rFonts w:ascii="Times New Roman" w:hAnsi="Times New Roman"/>
                <w:sz w:val="24"/>
              </w:rPr>
              <w:t>база технически отчети с изчерпателен обхват на всички участници и информацията от обучаващата организация при регистрация на всеки участник и включва, пол, възраст, степен на завършено образование, социален статус и професия, регион, община, населено място, и др.</w:t>
            </w:r>
          </w:p>
        </w:tc>
      </w:tr>
      <w:tr w:rsidR="00D857FE" w:rsidRPr="00D83669" w14:paraId="280905F2" w14:textId="77777777" w:rsidTr="006D2152">
        <w:tc>
          <w:tcPr>
            <w:tcW w:w="2405" w:type="dxa"/>
            <w:shd w:val="clear" w:color="auto" w:fill="auto"/>
            <w:vAlign w:val="center"/>
          </w:tcPr>
          <w:p w14:paraId="2304D10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0AD4FD6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7C68D25" w14:textId="77777777" w:rsidTr="006D2152">
        <w:tc>
          <w:tcPr>
            <w:tcW w:w="2405" w:type="dxa"/>
            <w:shd w:val="clear" w:color="auto" w:fill="auto"/>
            <w:vAlign w:val="center"/>
          </w:tcPr>
          <w:p w14:paraId="7D35E5FC" w14:textId="0A3BBE8F"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17C4E2EB"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EECO06 брой на децата на възраст под 18 години;</w:t>
            </w:r>
          </w:p>
          <w:p w14:paraId="77421A46"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3DF6E584"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1.2. Брой деца и ученици в предучилищното и училищното образование със специални образователни потребности (СОП), в риск, с хронични заболявания и с изявени дарби;</w:t>
            </w:r>
          </w:p>
          <w:p w14:paraId="43CFDCFC"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185D75D5"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rPr>
              <w:t>SRI 1.1. Брой деца и ученици записани в предучилищно и училищно образование чрез механизма за съвместна работа на институциите;</w:t>
            </w:r>
          </w:p>
          <w:p w14:paraId="547E2E64" w14:textId="77777777" w:rsidR="00D857FE" w:rsidRPr="00D83669" w:rsidRDefault="00D857FE" w:rsidP="00D857FE">
            <w:pPr>
              <w:pStyle w:val="ListParagraph"/>
              <w:numPr>
                <w:ilvl w:val="0"/>
                <w:numId w:val="23"/>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1.2. Брой деца и ученици с подобрени образователни резултати</w:t>
            </w:r>
            <w:r w:rsidRPr="00D83669">
              <w:t xml:space="preserve"> </w:t>
            </w:r>
            <w:r w:rsidRPr="00D83669">
              <w:rPr>
                <w:rFonts w:ascii="Times New Roman" w:hAnsi="Times New Roman"/>
                <w:sz w:val="24"/>
              </w:rPr>
              <w:t>след 1 година участие в операцията.</w:t>
            </w:r>
          </w:p>
        </w:tc>
      </w:tr>
      <w:tr w:rsidR="00D857FE" w:rsidRPr="00D83669" w14:paraId="50E0A313" w14:textId="77777777" w:rsidTr="006D2152">
        <w:tc>
          <w:tcPr>
            <w:tcW w:w="2405" w:type="dxa"/>
            <w:shd w:val="clear" w:color="auto" w:fill="auto"/>
            <w:vAlign w:val="center"/>
          </w:tcPr>
          <w:p w14:paraId="67217D9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7" w:type="dxa"/>
            <w:shd w:val="clear" w:color="auto" w:fill="auto"/>
            <w:vAlign w:val="center"/>
          </w:tcPr>
          <w:p w14:paraId="0ADCBA38" w14:textId="310A1F42"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родителите в дейностите по СЦ по</w:t>
            </w:r>
            <w:r w:rsidRPr="00D83669">
              <w:t xml:space="preserve"> </w:t>
            </w:r>
            <w:r w:rsidRPr="00D83669">
              <w:rPr>
                <w:rFonts w:ascii="Times New Roman" w:hAnsi="Times New Roman"/>
                <w:sz w:val="24"/>
              </w:rPr>
              <w:t>чл. 4, пар. 1, буква е) на ПО 2021 – 2027 като избягва препокриването и дублирането им и е по-малка от всички участници в дейности по тази специфична цел.</w:t>
            </w:r>
          </w:p>
        </w:tc>
      </w:tr>
    </w:tbl>
    <w:p w14:paraId="54DCFA99" w14:textId="77777777" w:rsidR="00D857FE" w:rsidRPr="00D83669" w:rsidRDefault="00D857FE" w:rsidP="00D857FE">
      <w:pPr>
        <w:rPr>
          <w:rFonts w:ascii="Times New Roman" w:eastAsia="Times New Roman" w:hAnsi="Times New Roman" w:cs="Times New Roman"/>
          <w:b/>
          <w:sz w:val="16"/>
          <w:szCs w:val="16"/>
          <w:lang w:eastAsia="bg-BG" w:bidi="bg-BG"/>
        </w:rPr>
      </w:pPr>
      <w:r w:rsidRPr="00D83669">
        <w:rPr>
          <w:b/>
        </w:rPr>
        <w:br w:type="page"/>
      </w:r>
    </w:p>
    <w:p w14:paraId="3C86B299" w14:textId="5F3DD8D2" w:rsidR="00D857FE" w:rsidRPr="00D83669" w:rsidRDefault="00D857FE" w:rsidP="00FC64DB">
      <w:pPr>
        <w:pStyle w:val="Heading3"/>
        <w:rPr>
          <w:b/>
          <w:bCs/>
          <w:i/>
          <w:iCs/>
          <w:sz w:val="22"/>
          <w:szCs w:val="22"/>
        </w:rPr>
      </w:pPr>
      <w:bookmarkStart w:id="78" w:name="_Toc100152972"/>
      <w:bookmarkStart w:id="79" w:name="_Toc103586648"/>
      <w:r w:rsidRPr="00D83669">
        <w:rPr>
          <w:b/>
          <w:bCs/>
          <w:i/>
          <w:iCs/>
          <w:sz w:val="22"/>
          <w:szCs w:val="22"/>
        </w:rPr>
        <w:lastRenderedPageBreak/>
        <w:t>SOI 1.4 Брой деца и ученици от предучилищното и училищното образование от уязвими групи, получили подкрепа</w:t>
      </w:r>
      <w:bookmarkEnd w:id="78"/>
      <w:bookmarkEnd w:id="79"/>
    </w:p>
    <w:tbl>
      <w:tblPr>
        <w:tblW w:w="981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407"/>
      </w:tblGrid>
      <w:tr w:rsidR="00D857FE" w:rsidRPr="00D83669" w14:paraId="04D7DED8" w14:textId="77777777" w:rsidTr="00BE4642">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67E6A75" w14:textId="6C5E005D"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40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AC6B9F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41F7F7B1" w14:textId="77777777" w:rsidTr="00BE4642">
        <w:tc>
          <w:tcPr>
            <w:tcW w:w="2405" w:type="dxa"/>
            <w:shd w:val="clear" w:color="auto" w:fill="auto"/>
            <w:vAlign w:val="center"/>
          </w:tcPr>
          <w:p w14:paraId="688CAFDA" w14:textId="6D40E45F"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w:t>
            </w:r>
          </w:p>
        </w:tc>
        <w:tc>
          <w:tcPr>
            <w:tcW w:w="7407" w:type="dxa"/>
            <w:shd w:val="clear" w:color="auto" w:fill="auto"/>
            <w:vAlign w:val="center"/>
          </w:tcPr>
          <w:p w14:paraId="78431E8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1.4 Брой деца и ученици от предучилищното и училищното образование от уязвими групи, получили подкрепа </w:t>
            </w:r>
          </w:p>
        </w:tc>
      </w:tr>
      <w:tr w:rsidR="00D857FE" w:rsidRPr="00D83669" w14:paraId="5A56280A" w14:textId="77777777" w:rsidTr="00BE4642">
        <w:tc>
          <w:tcPr>
            <w:tcW w:w="2405" w:type="dxa"/>
            <w:shd w:val="clear" w:color="auto" w:fill="auto"/>
            <w:vAlign w:val="center"/>
          </w:tcPr>
          <w:p w14:paraId="60E60D8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407" w:type="dxa"/>
            <w:shd w:val="clear" w:color="auto" w:fill="auto"/>
            <w:vAlign w:val="center"/>
          </w:tcPr>
          <w:p w14:paraId="74A0DD49" w14:textId="6D8602A0"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1A5C5E41" w14:textId="77777777" w:rsidTr="00BE4642">
        <w:tc>
          <w:tcPr>
            <w:tcW w:w="2405" w:type="dxa"/>
            <w:shd w:val="clear" w:color="auto" w:fill="auto"/>
            <w:vAlign w:val="center"/>
          </w:tcPr>
          <w:p w14:paraId="364ADE7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407" w:type="dxa"/>
            <w:shd w:val="clear" w:color="auto" w:fill="auto"/>
            <w:vAlign w:val="center"/>
          </w:tcPr>
          <w:p w14:paraId="7145B5C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35CD83A8" w14:textId="77777777" w:rsidTr="00BE4642">
        <w:tc>
          <w:tcPr>
            <w:tcW w:w="2405" w:type="dxa"/>
            <w:shd w:val="clear" w:color="auto" w:fill="auto"/>
            <w:vAlign w:val="center"/>
          </w:tcPr>
          <w:p w14:paraId="6498A2E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407" w:type="dxa"/>
            <w:shd w:val="clear" w:color="auto" w:fill="auto"/>
            <w:vAlign w:val="center"/>
          </w:tcPr>
          <w:p w14:paraId="4EAF4A9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Обща и допълнителна подкрепа за личностно развитие в предучилищното и училищното образование</w:t>
            </w:r>
          </w:p>
        </w:tc>
      </w:tr>
      <w:tr w:rsidR="00D857FE" w:rsidRPr="00D83669" w14:paraId="3F605717" w14:textId="77777777" w:rsidTr="00BE4642">
        <w:tc>
          <w:tcPr>
            <w:tcW w:w="2405" w:type="dxa"/>
            <w:shd w:val="clear" w:color="auto" w:fill="auto"/>
            <w:vAlign w:val="center"/>
          </w:tcPr>
          <w:p w14:paraId="2840A71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p w14:paraId="5356D5C7" w14:textId="77777777" w:rsidR="00D857FE" w:rsidRPr="00D83669" w:rsidRDefault="00D857FE" w:rsidP="00CC7BCB">
            <w:pPr>
              <w:rPr>
                <w:rFonts w:ascii="Times New Roman" w:hAnsi="Times New Roman"/>
                <w:sz w:val="24"/>
              </w:rPr>
            </w:pPr>
          </w:p>
          <w:p w14:paraId="45540484" w14:textId="77777777" w:rsidR="00D857FE" w:rsidRPr="00D83669" w:rsidRDefault="00D857FE" w:rsidP="00CC7BCB">
            <w:pPr>
              <w:rPr>
                <w:rFonts w:ascii="Times New Roman" w:hAnsi="Times New Roman"/>
                <w:sz w:val="24"/>
              </w:rPr>
            </w:pPr>
          </w:p>
          <w:p w14:paraId="433E11E5" w14:textId="77777777" w:rsidR="00D857FE" w:rsidRPr="00D83669" w:rsidRDefault="00D857FE" w:rsidP="00CC7BCB">
            <w:pPr>
              <w:rPr>
                <w:rFonts w:ascii="Times New Roman" w:hAnsi="Times New Roman"/>
                <w:sz w:val="24"/>
              </w:rPr>
            </w:pPr>
          </w:p>
          <w:p w14:paraId="3F416525" w14:textId="77777777" w:rsidR="00D857FE" w:rsidRPr="00D83669" w:rsidRDefault="00D857FE" w:rsidP="00CC7BCB">
            <w:pPr>
              <w:rPr>
                <w:rFonts w:ascii="Times New Roman" w:hAnsi="Times New Roman"/>
                <w:sz w:val="24"/>
              </w:rPr>
            </w:pPr>
          </w:p>
          <w:p w14:paraId="4AD205F2" w14:textId="77777777" w:rsidR="00D857FE" w:rsidRPr="00D83669" w:rsidRDefault="00D857FE" w:rsidP="00CC7BCB">
            <w:pPr>
              <w:rPr>
                <w:rFonts w:ascii="Times New Roman" w:hAnsi="Times New Roman"/>
                <w:sz w:val="24"/>
              </w:rPr>
            </w:pPr>
          </w:p>
          <w:p w14:paraId="763AF605" w14:textId="77777777" w:rsidR="00D857FE" w:rsidRPr="00D83669" w:rsidRDefault="00D857FE" w:rsidP="00CC7BCB">
            <w:pPr>
              <w:rPr>
                <w:rFonts w:ascii="Times New Roman" w:hAnsi="Times New Roman"/>
                <w:sz w:val="24"/>
              </w:rPr>
            </w:pPr>
          </w:p>
          <w:p w14:paraId="4EFD073D" w14:textId="77777777" w:rsidR="00D857FE" w:rsidRPr="00D83669" w:rsidRDefault="00D857FE" w:rsidP="00CC7BCB">
            <w:pPr>
              <w:rPr>
                <w:rFonts w:ascii="Times New Roman" w:hAnsi="Times New Roman"/>
                <w:sz w:val="24"/>
              </w:rPr>
            </w:pPr>
          </w:p>
          <w:p w14:paraId="5C0B9EE0" w14:textId="77777777" w:rsidR="00D857FE" w:rsidRPr="00D83669" w:rsidRDefault="00D857FE" w:rsidP="00CC7BCB">
            <w:pPr>
              <w:rPr>
                <w:rFonts w:ascii="Times New Roman" w:hAnsi="Times New Roman"/>
                <w:sz w:val="24"/>
              </w:rPr>
            </w:pPr>
          </w:p>
          <w:p w14:paraId="44DAF0E9" w14:textId="77777777" w:rsidR="00D857FE" w:rsidRPr="00D83669" w:rsidRDefault="00D857FE" w:rsidP="00CC7BCB">
            <w:pPr>
              <w:rPr>
                <w:rFonts w:ascii="Times New Roman" w:hAnsi="Times New Roman"/>
                <w:sz w:val="24"/>
              </w:rPr>
            </w:pPr>
          </w:p>
          <w:p w14:paraId="1E58E5F3" w14:textId="77777777" w:rsidR="00D857FE" w:rsidRPr="00D83669" w:rsidRDefault="00D857FE" w:rsidP="00CC7BCB">
            <w:pPr>
              <w:rPr>
                <w:rFonts w:ascii="Times New Roman" w:hAnsi="Times New Roman"/>
                <w:sz w:val="24"/>
              </w:rPr>
            </w:pPr>
          </w:p>
          <w:p w14:paraId="537A63CF" w14:textId="77777777" w:rsidR="00D857FE" w:rsidRPr="00D83669" w:rsidRDefault="00D857FE" w:rsidP="00CC7BCB">
            <w:pPr>
              <w:rPr>
                <w:rFonts w:ascii="Times New Roman" w:hAnsi="Times New Roman"/>
                <w:sz w:val="24"/>
              </w:rPr>
            </w:pPr>
          </w:p>
          <w:p w14:paraId="1953CF72" w14:textId="77777777" w:rsidR="00D857FE" w:rsidRPr="00D83669" w:rsidRDefault="00D857FE" w:rsidP="00CC7BCB">
            <w:pPr>
              <w:rPr>
                <w:rFonts w:ascii="Times New Roman" w:hAnsi="Times New Roman"/>
                <w:sz w:val="24"/>
              </w:rPr>
            </w:pPr>
          </w:p>
          <w:p w14:paraId="3F4A1AB0" w14:textId="77777777" w:rsidR="00D857FE" w:rsidRPr="00D83669" w:rsidRDefault="00D857FE" w:rsidP="00CC7BCB">
            <w:pPr>
              <w:rPr>
                <w:rFonts w:ascii="Times New Roman" w:hAnsi="Times New Roman"/>
                <w:sz w:val="24"/>
              </w:rPr>
            </w:pPr>
          </w:p>
          <w:p w14:paraId="18EE965A" w14:textId="77777777" w:rsidR="00D857FE" w:rsidRPr="00D83669" w:rsidRDefault="00D857FE" w:rsidP="00CC7BCB">
            <w:pPr>
              <w:rPr>
                <w:rFonts w:ascii="Times New Roman" w:hAnsi="Times New Roman"/>
                <w:sz w:val="24"/>
              </w:rPr>
            </w:pPr>
          </w:p>
          <w:p w14:paraId="140AA7F4" w14:textId="77777777" w:rsidR="00D857FE" w:rsidRPr="00D83669" w:rsidRDefault="00D857FE" w:rsidP="00CC7BCB">
            <w:pPr>
              <w:rPr>
                <w:rFonts w:ascii="Times New Roman" w:hAnsi="Times New Roman"/>
                <w:sz w:val="24"/>
                <w:lang w:val="en-US"/>
              </w:rPr>
            </w:pPr>
          </w:p>
          <w:p w14:paraId="77DA0A63" w14:textId="77777777" w:rsidR="00D857FE" w:rsidRPr="00D83669" w:rsidRDefault="00D857FE" w:rsidP="00CC7BCB">
            <w:pPr>
              <w:rPr>
                <w:rFonts w:ascii="Times New Roman" w:hAnsi="Times New Roman"/>
                <w:sz w:val="24"/>
              </w:rPr>
            </w:pPr>
          </w:p>
        </w:tc>
        <w:tc>
          <w:tcPr>
            <w:tcW w:w="7407" w:type="dxa"/>
            <w:shd w:val="clear" w:color="auto" w:fill="auto"/>
            <w:vAlign w:val="center"/>
          </w:tcPr>
          <w:p w14:paraId="02CD7480" w14:textId="491FA68A"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Показателят измерва броя на подкрепените деца и ученици от уязвими групи, с обучителни затруднения, в риск от отпадане от предучилищното и училищно образование, вкл. със СОП, в риск, с хронични заболявания и/или с изявени дарби, на които е предоставена обща подкрепа за личностно развитие за осигуряване на достъп до и оставане образование. </w:t>
            </w:r>
          </w:p>
          <w:p w14:paraId="1EFB01C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Дейностите за осъществяване на обща подкрепа ще включват обучение чрез допълнителни модули за деца, ученици, които изпитват затруднения с ученето, вкл. и по български език, вкл. със СОП, в риск, с хронични заболявания и с изявени дарби; дейности за прилагане на програми за психомоторно, познавателно и езиково развитие; индивидуална и групова работа при установени езикови и/или емоционално-поведенчески, и/или сензорни затруднения и допълнителни модули за ученици със затруднения по български език и други учебни предмети и/или за преодоляване на системни пропуски при усвояването на учебното съдържание, както и към занимания по интереси, които са пряко насочени към мотивация за ученето.</w:t>
            </w:r>
          </w:p>
          <w:p w14:paraId="1E8020BD" w14:textId="77777777" w:rsidR="00D857FE" w:rsidRPr="00D83669" w:rsidRDefault="00D857FE" w:rsidP="00CC7BCB">
            <w:pPr>
              <w:spacing w:after="120"/>
              <w:jc w:val="both"/>
              <w:rPr>
                <w:rFonts w:ascii="Times New Roman" w:hAnsi="Times New Roman"/>
                <w:sz w:val="24"/>
                <w:u w:val="single"/>
              </w:rPr>
            </w:pPr>
            <w:r w:rsidRPr="00D83669">
              <w:rPr>
                <w:rFonts w:ascii="Times New Roman" w:hAnsi="Times New Roman"/>
                <w:sz w:val="24"/>
              </w:rPr>
              <w:t xml:space="preserve">Под </w:t>
            </w:r>
            <w:r w:rsidRPr="00D83669">
              <w:rPr>
                <w:rFonts w:ascii="Times New Roman" w:hAnsi="Times New Roman"/>
                <w:b/>
                <w:bCs/>
                <w:sz w:val="24"/>
              </w:rPr>
              <w:t>уязвими групи</w:t>
            </w:r>
            <w:r w:rsidRPr="00D83669">
              <w:rPr>
                <w:rFonts w:ascii="Times New Roman" w:hAnsi="Times New Roman"/>
                <w:sz w:val="24"/>
              </w:rPr>
              <w:t xml:space="preserve"> се имат предвид групи, които са в риск от социално изключване и маргинализиране поради </w:t>
            </w:r>
            <w:r w:rsidRPr="00D83669">
              <w:rPr>
                <w:rFonts w:ascii="Times New Roman" w:hAnsi="Times New Roman"/>
                <w:sz w:val="24"/>
                <w:u w:val="single"/>
              </w:rPr>
              <w:t>ограничен достъп до качествено образование</w:t>
            </w:r>
            <w:r w:rsidRPr="00D83669">
              <w:rPr>
                <w:rFonts w:ascii="Times New Roman" w:hAnsi="Times New Roman"/>
                <w:sz w:val="24"/>
              </w:rPr>
              <w:t xml:space="preserve"> и здравни услуги, до социални права, до възможностите на обществото и икономиката, с професионална квалификация и умения, възпрепятстващи участието на пазара на труда и с трудности в социализацията, като </w:t>
            </w:r>
            <w:r w:rsidRPr="00D83669">
              <w:rPr>
                <w:rFonts w:ascii="Times New Roman" w:hAnsi="Times New Roman"/>
                <w:sz w:val="24"/>
                <w:u w:val="single"/>
              </w:rPr>
              <w:t>роми, мигранти, търсещи или получили международна закрила, деца, за които българският език не е майчин, деца и ученици със специални образователни потребности, деца и ученици с трудности в обучението (затруднения в ученето), възпитанието и социализацията, деца и ученици от социално-слаби семейства, деца в неравностойно положение, деца в риск,</w:t>
            </w:r>
            <w:r w:rsidRPr="00D83669">
              <w:t xml:space="preserve"> </w:t>
            </w:r>
            <w:r w:rsidRPr="00D83669">
              <w:rPr>
                <w:rFonts w:ascii="Times New Roman" w:hAnsi="Times New Roman"/>
                <w:sz w:val="24"/>
                <w:u w:val="single"/>
              </w:rPr>
              <w:t xml:space="preserve">включително ученици в риск от отпадане от образование, </w:t>
            </w:r>
            <w:r w:rsidRPr="00D83669">
              <w:rPr>
                <w:rFonts w:ascii="Times New Roman" w:hAnsi="Times New Roman"/>
                <w:sz w:val="24"/>
                <w:u w:val="single"/>
              </w:rPr>
              <w:lastRenderedPageBreak/>
              <w:t>идентифицирани по инструментариумите, разработвани по проекти на ОПНОИР.</w:t>
            </w:r>
          </w:p>
          <w:p w14:paraId="3474BD4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bCs/>
                <w:sz w:val="24"/>
              </w:rPr>
              <w:t>„Ученик в риск от отпадане“</w:t>
            </w:r>
            <w:r w:rsidRPr="00D83669">
              <w:rPr>
                <w:rFonts w:ascii="Times New Roman" w:hAnsi="Times New Roman"/>
                <w:sz w:val="24"/>
              </w:rPr>
              <w:t xml:space="preserve"> е ученик: 1. чиито родители са починали, неизвестни, лишени са от родителски права или чиито родителски права са ограничени, или детето е останало без родителска грижа; 2. което е жертва на злоупотреба, насилие, експлоатация или всякакво друго нехуманно или унизително отношение в или извън семейството му; 3. за което съществува опасност от увреждане на неговото физическо, психическо, нравствено, интелектуално и социално развитие; 4. застрашен от отпадане поради трудности в ученето, слаби оценки, повтаряне на класа, преместване и загуба на учебно време; 5. застрашено от отпадане поради социално-икономически проблеми. 6. застрашено от отпадане поради поведенчески проблеми; 7. с голям брой отсъствия по неуважителни причини.</w:t>
            </w:r>
          </w:p>
          <w:p w14:paraId="7D8E966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Съгласно чл. 13 от Наредба за приобщаващо образование „Общата подкрепа за личностно развитие в детската градина, която е насочена към всички деца в групата и гарантира участието и изявата им в образователния процес и в дейността на детската градина, включва:</w:t>
            </w:r>
          </w:p>
          <w:p w14:paraId="622DA59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 екипна работа между учителите и другите педагогически специалисти;</w:t>
            </w:r>
          </w:p>
          <w:p w14:paraId="0C35A11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занимания по интереси;</w:t>
            </w:r>
          </w:p>
          <w:p w14:paraId="0071BB0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грижа за здравето въз основа на информация от родителя, представителя на детето или лицето, което полага грижи за детето, за здравословното състояние на детето и за проведени медицински изследвания и консултации и при взаимодействие с медицинския специалист в здравния кабинет в детската градина;</w:t>
            </w:r>
          </w:p>
          <w:p w14:paraId="26210D4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4. ранно оценяване на потребностите и превенция на обучителните затруднения.“</w:t>
            </w:r>
          </w:p>
          <w:p w14:paraId="5D0741C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Чл. 14. (1) Общата подкрепа за личностно развитие в детската градина, която е насочена към превенцията на обучителните затруднения, се изразява във включване на отделни деца в дейности според техните потребности, установени след ранното оценяване по чл. 8, ал. 3, т. 1 и 2, като:</w:t>
            </w:r>
          </w:p>
          <w:p w14:paraId="7A740EC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 обучение чрез допълнителни модули за деца, които не владеят български език;</w:t>
            </w:r>
          </w:p>
          <w:p w14:paraId="5166E9F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прилагане на програми за психомоторно, познавателно и езиково развитие;</w:t>
            </w:r>
          </w:p>
          <w:p w14:paraId="742A794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индивидуална и групова работа при установени езикови и/или емоционално-поведенчески, и/или сензорни затруднения.</w:t>
            </w:r>
          </w:p>
          <w:p w14:paraId="1C7B7CC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Дейността по ал. 1, т. 1 се извършва от учителите в групата в детската градина, а по т. 2 и 3 – от психолог, логопед или от друг педагогически специалист при необходимост – рехабилитатор на слуха и говора и др.</w:t>
            </w:r>
          </w:p>
          <w:p w14:paraId="486D913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lastRenderedPageBreak/>
              <w:t>(3) Учителите в групата установяват напредъка на всяко дете, което е включено в дейности по ал. 1, поне два пъти в рамките на учебната година въз основа на материали от дейността му – рисунки и други творчески работи на детето, както и в резултат на писмени становища от логопеда, психолога или от друг специалист за развитието на детето. За резултатите от напредъка на детето учителите изготвят доклад до директора. Материалите, становищата и докладът се съхраняват в детското портфолио и в личното образователно дело на детето.“</w:t>
            </w:r>
          </w:p>
          <w:p w14:paraId="2E68BF0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Чл. 15. Общата подкрепа за личностно развитие в училището, която е насочена към всички ученици в класа, гарантира участието и изявата им в образователния процес и в дейността на училището и включва:</w:t>
            </w:r>
          </w:p>
          <w:p w14:paraId="037627E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 екипна работа между учителите и другите педагогически специалисти;</w:t>
            </w:r>
          </w:p>
          <w:p w14:paraId="66E6462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допълнително обучение по учебни предмети;</w:t>
            </w:r>
          </w:p>
          <w:p w14:paraId="2B1F041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допълнително консултиране по учебни предмети;</w:t>
            </w:r>
          </w:p>
          <w:p w14:paraId="5FECB4B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4. кариерно ориентиране на учениците;</w:t>
            </w:r>
          </w:p>
          <w:p w14:paraId="16DE43A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5. занимания по интереси;</w:t>
            </w:r>
          </w:p>
          <w:p w14:paraId="67D514D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6. библиотечно-информационно обслужване;</w:t>
            </w:r>
          </w:p>
          <w:p w14:paraId="748E1D8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7. грижа за здравето;</w:t>
            </w:r>
          </w:p>
          <w:p w14:paraId="0B109E1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8. осигуряване на общежитие;</w:t>
            </w:r>
          </w:p>
          <w:p w14:paraId="178C9EC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9. поощряване с морални и материални награди;</w:t>
            </w:r>
          </w:p>
          <w:p w14:paraId="08B3553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10. дейности за превенция на насилието и преодоляване на проблемното поведение;</w:t>
            </w:r>
          </w:p>
          <w:p w14:paraId="62D9DA0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11. дейности за превенция на обучителните затруднения;</w:t>
            </w:r>
          </w:p>
          <w:p w14:paraId="5A8F1D3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12. логопедична работа.</w:t>
            </w:r>
          </w:p>
        </w:tc>
      </w:tr>
      <w:tr w:rsidR="00D857FE" w:rsidRPr="00D83669" w14:paraId="48762841" w14:textId="77777777" w:rsidTr="00BE4642">
        <w:tc>
          <w:tcPr>
            <w:tcW w:w="2405" w:type="dxa"/>
            <w:shd w:val="clear" w:color="auto" w:fill="auto"/>
            <w:vAlign w:val="center"/>
          </w:tcPr>
          <w:p w14:paraId="6DF9E93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Мерна единица</w:t>
            </w:r>
          </w:p>
        </w:tc>
        <w:tc>
          <w:tcPr>
            <w:tcW w:w="7407" w:type="dxa"/>
            <w:shd w:val="clear" w:color="auto" w:fill="auto"/>
            <w:vAlign w:val="center"/>
          </w:tcPr>
          <w:p w14:paraId="2774D75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2F91150C" w14:textId="77777777" w:rsidTr="00BE4642">
        <w:tc>
          <w:tcPr>
            <w:tcW w:w="2405" w:type="dxa"/>
            <w:shd w:val="clear" w:color="auto" w:fill="auto"/>
            <w:vAlign w:val="center"/>
          </w:tcPr>
          <w:p w14:paraId="77F324EB" w14:textId="1E1CDA6E" w:rsidR="00D857FE" w:rsidRPr="00D83669" w:rsidRDefault="009C30AE" w:rsidP="00CC7BCB">
            <w:pPr>
              <w:spacing w:after="120"/>
              <w:rPr>
                <w:rFonts w:ascii="Times New Roman" w:hAnsi="Times New Roman"/>
                <w:b/>
                <w:bCs/>
                <w:sz w:val="24"/>
              </w:rPr>
            </w:pPr>
            <w:r w:rsidRPr="00D83669">
              <w:rPr>
                <w:rFonts w:ascii="Times New Roman" w:hAnsi="Times New Roman"/>
                <w:b/>
                <w:bCs/>
                <w:sz w:val="24"/>
              </w:rPr>
              <w:t>Крайна цел</w:t>
            </w:r>
          </w:p>
        </w:tc>
        <w:tc>
          <w:tcPr>
            <w:tcW w:w="7407" w:type="dxa"/>
            <w:shd w:val="clear" w:color="auto" w:fill="auto"/>
            <w:vAlign w:val="center"/>
          </w:tcPr>
          <w:p w14:paraId="45DC4D5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160 632 (43 645 деца + 116 987 ученици)</w:t>
            </w:r>
          </w:p>
        </w:tc>
      </w:tr>
      <w:tr w:rsidR="00D857FE" w:rsidRPr="00D83669" w14:paraId="6ADB6350" w14:textId="77777777" w:rsidTr="00BE4642">
        <w:tc>
          <w:tcPr>
            <w:tcW w:w="2405" w:type="dxa"/>
            <w:shd w:val="clear" w:color="auto" w:fill="auto"/>
            <w:vAlign w:val="center"/>
          </w:tcPr>
          <w:p w14:paraId="6BE13789" w14:textId="53F466FB"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p w14:paraId="3A1C7C3B" w14:textId="77777777" w:rsidR="00D857FE" w:rsidRPr="00D83669" w:rsidRDefault="00D857FE" w:rsidP="00CC7BCB">
            <w:pPr>
              <w:rPr>
                <w:rFonts w:ascii="Times New Roman" w:hAnsi="Times New Roman"/>
                <w:sz w:val="24"/>
              </w:rPr>
            </w:pPr>
          </w:p>
        </w:tc>
        <w:tc>
          <w:tcPr>
            <w:tcW w:w="7407" w:type="dxa"/>
            <w:shd w:val="clear" w:color="auto" w:fill="auto"/>
            <w:vAlign w:val="center"/>
          </w:tcPr>
          <w:p w14:paraId="71D6A7D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е определена чрез целевата стойност на микроиндикатор ИП 1.5</w:t>
            </w:r>
            <w:r w:rsidRPr="00D83669">
              <w:t xml:space="preserve"> </w:t>
            </w:r>
            <w:r w:rsidRPr="00D83669">
              <w:rPr>
                <w:rFonts w:ascii="Times New Roman" w:hAnsi="Times New Roman"/>
                <w:i/>
                <w:sz w:val="24"/>
              </w:rPr>
              <w:t>Брой деца и ученици от уязвими групи, с обучителни затруднения, в риск от отпадане от образователната система, получили подкрепа за личностно развитие</w:t>
            </w:r>
            <w:r w:rsidRPr="00D83669">
              <w:rPr>
                <w:rFonts w:ascii="Times New Roman" w:hAnsi="Times New Roman"/>
                <w:sz w:val="24"/>
              </w:rPr>
              <w:t xml:space="preserve"> на база изчислените единични разходи за допълнителни занимания на деца в предучилищно образование и за ученици в училищното образование, прилагани в периода 2018 – 2020 г., за които е предвиден процент на индексация, на база очаквано увеличение на разходите за труд в сектор „Образование“ за периода до 2029 г., имайки предвид че преобладаващата част от единичните разходи за обща подкрепа за личностно развитие (допълнителни занимания и занимания по интереси) на децата са свързани с разходи за възнаграждения и са в пряка зависимост от ръста на разходите за труд.</w:t>
            </w:r>
            <w:r w:rsidRPr="00D83669">
              <w:t xml:space="preserve"> </w:t>
            </w:r>
            <w:r w:rsidRPr="00D83669">
              <w:rPr>
                <w:rFonts w:ascii="Times New Roman" w:hAnsi="Times New Roman"/>
                <w:sz w:val="24"/>
              </w:rPr>
              <w:t xml:space="preserve">Ефектът на единичния разход за обща подкрепа на деца/ученици от уязвими групи и със </w:t>
            </w:r>
            <w:r w:rsidRPr="00D83669">
              <w:rPr>
                <w:rFonts w:ascii="Times New Roman" w:hAnsi="Times New Roman"/>
                <w:sz w:val="24"/>
              </w:rPr>
              <w:lastRenderedPageBreak/>
              <w:t>затруднения в ученето отразява необходимо присъщите разходи като възнаграждения на педагогически специалисти – учители, логопеди, психолози, учебни пособия, дидактически материали и консумативи, т.е. разходи пряко свързани с провеждане на педагогически ситуации, от които най-голям относителен дял (над 70%) имат разходите за труд на педагогическите специалисти.</w:t>
            </w:r>
          </w:p>
          <w:p w14:paraId="52F1DD1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за децата от предучилищното образование представлява 20,033% от общия брой деца в предучилищно образование, които по данни на НСИ за учебната 2019/2020 г. са 217 867 (217 867</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20,033%</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43 645). Изчислената целева стойност 43 645 гарантира широк обхват на целевата група, отчитайки че по проект „Активно приобщаване в системата на предучилищното образование“ до юни 2021 г. 29</w:t>
            </w:r>
            <w:r w:rsidRPr="00D83669">
              <w:rPr>
                <w:rFonts w:ascii="Times New Roman" w:hAnsi="Times New Roman"/>
                <w:sz w:val="24"/>
                <w:lang w:val="en-US"/>
              </w:rPr>
              <w:t> </w:t>
            </w:r>
            <w:r w:rsidRPr="00D83669">
              <w:rPr>
                <w:rFonts w:ascii="Times New Roman" w:hAnsi="Times New Roman"/>
                <w:sz w:val="24"/>
              </w:rPr>
              <w:t xml:space="preserve">456 деца получават обща подкрепа чрез допълнителни занимания по български език. </w:t>
            </w:r>
          </w:p>
          <w:p w14:paraId="23BB8A1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за учениците от училищното образование представлява около 16,51 % от общия брой ученици в училищното образование, които по данни на НСИ за учебната 2019/2020 г. са 708 258 (708 258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16,51%</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116 987). Изчислената целева стойност 116 987 е съобразена с постигнатото по проект „Подкрепа за успех“, по който към края на учебната 2020/2021 г. са обхванати, 144 000 ученици в риск от отпадане от образование и така се гарантира широк обхват на целевата група, веднага след приключване на проекта най-късно през 2022 г.</w:t>
            </w:r>
          </w:p>
          <w:p w14:paraId="6CAE03F9" w14:textId="5E44E40F"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се определя от сбора на целевите стойности за децата и учениците или 160 632.</w:t>
            </w:r>
          </w:p>
        </w:tc>
      </w:tr>
      <w:tr w:rsidR="00D857FE" w:rsidRPr="00D83669" w14:paraId="60BC67FA" w14:textId="77777777" w:rsidTr="00BE4642">
        <w:tc>
          <w:tcPr>
            <w:tcW w:w="2405" w:type="dxa"/>
            <w:shd w:val="clear" w:color="auto" w:fill="auto"/>
            <w:vAlign w:val="center"/>
          </w:tcPr>
          <w:p w14:paraId="7D7DD7A4"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Междинна цел</w:t>
            </w:r>
          </w:p>
        </w:tc>
        <w:tc>
          <w:tcPr>
            <w:tcW w:w="7407" w:type="dxa"/>
            <w:shd w:val="clear" w:color="auto" w:fill="auto"/>
            <w:vAlign w:val="center"/>
          </w:tcPr>
          <w:p w14:paraId="5FC697DA" w14:textId="319658E4" w:rsidR="00D857FE" w:rsidRPr="00D83669" w:rsidRDefault="0056534C" w:rsidP="00CC7BCB">
            <w:pPr>
              <w:spacing w:after="120"/>
              <w:jc w:val="both"/>
              <w:rPr>
                <w:rFonts w:ascii="Times New Roman" w:hAnsi="Times New Roman"/>
                <w:sz w:val="24"/>
              </w:rPr>
            </w:pPr>
            <w:r w:rsidRPr="00D83669">
              <w:rPr>
                <w:rFonts w:ascii="Times New Roman" w:hAnsi="Times New Roman"/>
                <w:sz w:val="24"/>
              </w:rPr>
              <w:t>41 643</w:t>
            </w:r>
          </w:p>
        </w:tc>
      </w:tr>
      <w:tr w:rsidR="00D857FE" w:rsidRPr="00D83669" w14:paraId="55E65945" w14:textId="77777777" w:rsidTr="00BE4642">
        <w:tc>
          <w:tcPr>
            <w:tcW w:w="2405" w:type="dxa"/>
            <w:shd w:val="clear" w:color="auto" w:fill="auto"/>
            <w:vAlign w:val="center"/>
          </w:tcPr>
          <w:p w14:paraId="36EDBD3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407" w:type="dxa"/>
            <w:shd w:val="clear" w:color="auto" w:fill="auto"/>
            <w:vAlign w:val="center"/>
          </w:tcPr>
          <w:p w14:paraId="59817159" w14:textId="3A4AC736" w:rsidR="00D857FE" w:rsidRPr="00D83669" w:rsidRDefault="00AA0D44" w:rsidP="0056534C">
            <w:pPr>
              <w:spacing w:after="120"/>
              <w:jc w:val="both"/>
              <w:rPr>
                <w:rFonts w:ascii="Times New Roman" w:hAnsi="Times New Roman"/>
                <w:sz w:val="24"/>
              </w:rPr>
            </w:pPr>
            <w:r w:rsidRPr="00D83669">
              <w:rPr>
                <w:rFonts w:ascii="Times New Roman" w:hAnsi="Times New Roman"/>
                <w:sz w:val="24"/>
              </w:rPr>
              <w:t>Етапната цел е съобразена с планирания график на операциите, които  стартират преди 2024 г. със 75% от предвидения финансов ресурс.  Етапната цел се определя, като се взема предвид определения финансов ресурс за операциите,  разделен на планирания брой години за изпълнението им и отчитането на стойности на показателя до края на 2024 г. Етапната цел представлява  децата в предучилищното образование от уязвими групи - с обучителни затруднения,  в риск от отпадане от образователната система, обхванати в операция за обща и допълнителна подкрепа в предучилищното образование и стартираща в края на 2023 г. с продължителност от 5 години (43645*0,75*1/5=6547) и учениците от уязвими групи - с обучителни затруднения,  в риск от отпадане от образователната система, обхванати в операция за обща и допълнителна подкрепа в училищното образование, която стартира в края на 2022 г. с продължителност 5 години (116987*0,75*2/5=35096). Етапната цел не включва операция за превенция на тормоза и агресията в училище, която стартира в края на 2024 г. и няма възможност за отчитане на показателя и избягва препокриване на стойности на показателя в операция по група дейности 1 или 6547+35096=41643.</w:t>
            </w:r>
          </w:p>
        </w:tc>
      </w:tr>
      <w:tr w:rsidR="00D857FE" w:rsidRPr="00D83669" w14:paraId="33844980" w14:textId="77777777" w:rsidTr="00BE4642">
        <w:tc>
          <w:tcPr>
            <w:tcW w:w="2405" w:type="dxa"/>
            <w:shd w:val="clear" w:color="auto" w:fill="auto"/>
            <w:vAlign w:val="center"/>
          </w:tcPr>
          <w:p w14:paraId="00FB822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Базова стойност</w:t>
            </w:r>
          </w:p>
        </w:tc>
        <w:tc>
          <w:tcPr>
            <w:tcW w:w="7407" w:type="dxa"/>
            <w:shd w:val="clear" w:color="auto" w:fill="auto"/>
            <w:vAlign w:val="center"/>
          </w:tcPr>
          <w:p w14:paraId="4BBD2D6B" w14:textId="77777777" w:rsidR="00D857FE" w:rsidRPr="00D83669" w:rsidRDefault="00D857FE" w:rsidP="00CC7BCB">
            <w:pPr>
              <w:spacing w:after="120"/>
              <w:jc w:val="both"/>
              <w:rPr>
                <w:rFonts w:ascii="Times New Roman" w:hAnsi="Times New Roman"/>
                <w:sz w:val="24"/>
                <w:lang w:val="en-US"/>
              </w:rPr>
            </w:pPr>
            <w:r w:rsidRPr="00D83669">
              <w:rPr>
                <w:rFonts w:ascii="Times New Roman" w:hAnsi="Times New Roman"/>
                <w:sz w:val="24"/>
                <w:lang w:val="en-US"/>
              </w:rPr>
              <w:t>0</w:t>
            </w:r>
          </w:p>
        </w:tc>
      </w:tr>
      <w:tr w:rsidR="00D857FE" w:rsidRPr="00D83669" w14:paraId="2C5984E3" w14:textId="77777777" w:rsidTr="00BE4642">
        <w:tc>
          <w:tcPr>
            <w:tcW w:w="2405" w:type="dxa"/>
            <w:shd w:val="clear" w:color="auto" w:fill="auto"/>
            <w:vAlign w:val="center"/>
          </w:tcPr>
          <w:p w14:paraId="75047A74"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 xml:space="preserve">Разбивка </w:t>
            </w:r>
          </w:p>
        </w:tc>
        <w:tc>
          <w:tcPr>
            <w:tcW w:w="7407" w:type="dxa"/>
            <w:shd w:val="clear" w:color="auto" w:fill="auto"/>
            <w:vAlign w:val="center"/>
          </w:tcPr>
          <w:p w14:paraId="47DAB4D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децата и ученици по демографски, социални характеристики.</w:t>
            </w:r>
          </w:p>
        </w:tc>
      </w:tr>
      <w:tr w:rsidR="00D857FE" w:rsidRPr="00D83669" w14:paraId="73231905" w14:textId="77777777" w:rsidTr="00BE4642">
        <w:tc>
          <w:tcPr>
            <w:tcW w:w="2405" w:type="dxa"/>
            <w:shd w:val="clear" w:color="auto" w:fill="auto"/>
            <w:vAlign w:val="center"/>
          </w:tcPr>
          <w:p w14:paraId="014BC2F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407" w:type="dxa"/>
            <w:shd w:val="clear" w:color="auto" w:fill="auto"/>
            <w:vAlign w:val="center"/>
          </w:tcPr>
          <w:p w14:paraId="52828685" w14:textId="13EDEAD2"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е ориентиран към цели, заложени в стратегически документи например като Стратегическа рамка за развитие на образованието, обучението и ученето на Република България (2021 – 2030), Националната стратегия на Република България за равенство, приобщаване и участие на ромите 2021 – 2030 и др. Информацията проследява напредъка по заложените цели на национално ниво в политиките за образование и за уязвими групи като проследява подкрепата за децата и учениците от уязвимите групи, напредъка по заложените цели на национално ниво в политиките за образование, за изпълнение на политиките за намаляване на отпадането и преждевременното напускане на училище и за уязвими групи като проследява конкретната подкрепа за учениците.</w:t>
            </w:r>
          </w:p>
          <w:p w14:paraId="746F768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Информацията служи за ориентир/коректив при определяне на политики за приобщаващото образование, по специално за уязвимите групи. </w:t>
            </w:r>
          </w:p>
        </w:tc>
      </w:tr>
      <w:tr w:rsidR="00D857FE" w:rsidRPr="00D83669" w14:paraId="48E82811" w14:textId="77777777" w:rsidTr="00BE4642">
        <w:tc>
          <w:tcPr>
            <w:tcW w:w="2405" w:type="dxa"/>
            <w:shd w:val="clear" w:color="auto" w:fill="auto"/>
            <w:vAlign w:val="center"/>
          </w:tcPr>
          <w:p w14:paraId="2483B7F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407" w:type="dxa"/>
            <w:shd w:val="clear" w:color="auto" w:fill="auto"/>
            <w:vAlign w:val="center"/>
          </w:tcPr>
          <w:p w14:paraId="6C34A4B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бенефициента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3AA0E11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ниво на образование, и др.; учебно заведение, община, район, и др., както и информация по вида на обхванатите деца и ученици със СОП, деца с хронични заболявания, деца в риск и деца с изявени дарби, когато е приложимо.</w:t>
            </w:r>
          </w:p>
        </w:tc>
      </w:tr>
      <w:tr w:rsidR="00D857FE" w:rsidRPr="00D83669" w14:paraId="44EB8D1E" w14:textId="77777777" w:rsidTr="00BE4642">
        <w:tc>
          <w:tcPr>
            <w:tcW w:w="2405" w:type="dxa"/>
            <w:shd w:val="clear" w:color="auto" w:fill="auto"/>
            <w:vAlign w:val="center"/>
          </w:tcPr>
          <w:p w14:paraId="0D55DF8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407" w:type="dxa"/>
            <w:shd w:val="clear" w:color="auto" w:fill="auto"/>
            <w:vAlign w:val="center"/>
          </w:tcPr>
          <w:p w14:paraId="326E1A1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26DB7B3" w14:textId="77777777" w:rsidTr="00BE4642">
        <w:tc>
          <w:tcPr>
            <w:tcW w:w="2405" w:type="dxa"/>
            <w:shd w:val="clear" w:color="auto" w:fill="auto"/>
            <w:vAlign w:val="center"/>
          </w:tcPr>
          <w:p w14:paraId="1B918A8C" w14:textId="68F5D795"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407" w:type="dxa"/>
            <w:shd w:val="clear" w:color="auto" w:fill="auto"/>
            <w:vAlign w:val="center"/>
          </w:tcPr>
          <w:p w14:paraId="397CDDBF"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EECO06 брой на децата на възраст под 18 години</w:t>
            </w:r>
          </w:p>
          <w:p w14:paraId="0653CDC5"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5809A8D3"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1.1. Брой деца и ученици обхванати от механизма за съвместна работа на институциите</w:t>
            </w:r>
          </w:p>
          <w:p w14:paraId="059E9194"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1.2. Брой деца и ученици със специални образователни потребности (СОП), в риск, с хронични заболявания и с изявени дарби</w:t>
            </w:r>
          </w:p>
          <w:p w14:paraId="2F4395F6"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1.3. Брой родители, подкрепени в процеса на приобщаващото образование</w:t>
            </w:r>
          </w:p>
          <w:p w14:paraId="4EDCC4E0"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SRI 1.1. Брой деца и ученици записани в предучилищно и училищно образование чрез механизма за съвместна работа на институциите</w:t>
            </w:r>
          </w:p>
          <w:p w14:paraId="06799C4C"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lastRenderedPageBreak/>
              <w:t>SRI 1.2. Брой деца и ученици от уязвими групи с подобрени образователни резултати след 1 година участие в операцията</w:t>
            </w:r>
          </w:p>
        </w:tc>
      </w:tr>
      <w:tr w:rsidR="00D857FE" w:rsidRPr="00D83669" w14:paraId="008DB337" w14:textId="77777777" w:rsidTr="00BE4642">
        <w:tc>
          <w:tcPr>
            <w:tcW w:w="2405" w:type="dxa"/>
            <w:shd w:val="clear" w:color="auto" w:fill="auto"/>
            <w:vAlign w:val="center"/>
          </w:tcPr>
          <w:p w14:paraId="462D085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Валидиране</w:t>
            </w:r>
          </w:p>
        </w:tc>
        <w:tc>
          <w:tcPr>
            <w:tcW w:w="7407" w:type="dxa"/>
            <w:shd w:val="clear" w:color="auto" w:fill="auto"/>
            <w:vAlign w:val="center"/>
          </w:tcPr>
          <w:p w14:paraId="48A517C5" w14:textId="3A5C575B"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обхваща броя на децата и учениците от предучилищното и училищното образование от уязвими групи, получили подкрепа в дейностите по СЦ по</w:t>
            </w:r>
            <w:r w:rsidRPr="00D83669">
              <w:t xml:space="preserve"> </w:t>
            </w:r>
            <w:r w:rsidRPr="00D83669">
              <w:rPr>
                <w:rFonts w:ascii="Times New Roman" w:hAnsi="Times New Roman"/>
                <w:sz w:val="24"/>
              </w:rPr>
              <w:t>чл. 4, пар. 1, буква е) на ПО 2021 – 2027 като избягва препокриването и дублирането им и е по-малка от всички участници в дейности по тази специфична цел.</w:t>
            </w:r>
          </w:p>
        </w:tc>
      </w:tr>
    </w:tbl>
    <w:p w14:paraId="572105DE" w14:textId="77777777" w:rsidR="00D857FE" w:rsidRPr="00D83669" w:rsidRDefault="00D857FE" w:rsidP="00D857FE"/>
    <w:p w14:paraId="28EAFB08" w14:textId="77777777" w:rsidR="00D857FE" w:rsidRPr="00D83669" w:rsidRDefault="00D857FE" w:rsidP="00D857FE">
      <w:pPr>
        <w:rPr>
          <w:rFonts w:ascii="Times New Roman" w:eastAsia="Times New Roman" w:hAnsi="Times New Roman" w:cs="Times New Roman"/>
          <w:b/>
          <w:sz w:val="24"/>
          <w:szCs w:val="20"/>
          <w:lang w:eastAsia="bg-BG" w:bidi="bg-BG"/>
        </w:rPr>
      </w:pPr>
      <w:r w:rsidRPr="00D83669">
        <w:rPr>
          <w:b/>
        </w:rPr>
        <w:br w:type="page"/>
      </w:r>
    </w:p>
    <w:p w14:paraId="59AD17A1" w14:textId="1CCE8065" w:rsidR="00D857FE" w:rsidRPr="00D83669" w:rsidRDefault="00D857FE" w:rsidP="00FC64DB">
      <w:pPr>
        <w:pStyle w:val="Heading3"/>
        <w:rPr>
          <w:b/>
          <w:bCs/>
          <w:i/>
          <w:iCs/>
          <w:sz w:val="22"/>
          <w:szCs w:val="22"/>
        </w:rPr>
      </w:pPr>
      <w:bookmarkStart w:id="80" w:name="_Toc100152973"/>
      <w:bookmarkStart w:id="81" w:name="_Toc103586649"/>
      <w:r w:rsidRPr="00D83669">
        <w:rPr>
          <w:b/>
          <w:bCs/>
          <w:i/>
          <w:iCs/>
          <w:sz w:val="22"/>
          <w:szCs w:val="22"/>
        </w:rPr>
        <w:lastRenderedPageBreak/>
        <w:t>SOI 1.5. Педагогически специалисти и непедагогически персонал, обучени за работа с деца и ученици от уязвими групи</w:t>
      </w:r>
      <w:bookmarkEnd w:id="80"/>
      <w:bookmarkEnd w:id="81"/>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377"/>
      </w:tblGrid>
      <w:tr w:rsidR="00D857FE" w:rsidRPr="00D83669" w14:paraId="69FA9C98" w14:textId="77777777" w:rsidTr="00CE0156">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0705E64" w14:textId="03900AF0"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1E2198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2F724373" w14:textId="77777777" w:rsidTr="00CE0156">
        <w:tc>
          <w:tcPr>
            <w:tcW w:w="2405" w:type="dxa"/>
            <w:shd w:val="clear" w:color="auto" w:fill="auto"/>
            <w:vAlign w:val="center"/>
          </w:tcPr>
          <w:p w14:paraId="4E566EC6" w14:textId="48005A9A"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64E48FE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SOI 1.5. Педагогически специалисти и непедагогически персонал, обучени за работа с деца и ученици от уязвими групи</w:t>
            </w:r>
          </w:p>
        </w:tc>
      </w:tr>
      <w:tr w:rsidR="00D857FE" w:rsidRPr="00D83669" w14:paraId="36CBEBCA" w14:textId="77777777" w:rsidTr="00CE0156">
        <w:tc>
          <w:tcPr>
            <w:tcW w:w="2405" w:type="dxa"/>
            <w:shd w:val="clear" w:color="auto" w:fill="auto"/>
            <w:vAlign w:val="center"/>
          </w:tcPr>
          <w:p w14:paraId="4D92702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05E4D4FF" w14:textId="50A08F60"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71D8D3E1" w14:textId="77777777" w:rsidTr="00CE0156">
        <w:tc>
          <w:tcPr>
            <w:tcW w:w="2405" w:type="dxa"/>
            <w:shd w:val="clear" w:color="auto" w:fill="auto"/>
            <w:vAlign w:val="center"/>
          </w:tcPr>
          <w:p w14:paraId="4821843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48DA180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4D0928EE" w14:textId="77777777" w:rsidTr="00CE0156">
        <w:tc>
          <w:tcPr>
            <w:tcW w:w="2405" w:type="dxa"/>
            <w:shd w:val="clear" w:color="auto" w:fill="auto"/>
            <w:vAlign w:val="center"/>
          </w:tcPr>
          <w:p w14:paraId="26454AF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4B5897C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Разширяване обхвата в предучилищното и училищно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w:t>
            </w:r>
          </w:p>
          <w:p w14:paraId="20C2944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Обща и допълнителна подкрепа за личностно развитие в предучилищното и училищното образование</w:t>
            </w:r>
          </w:p>
          <w:p w14:paraId="63BFB82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Превенция и предотвратяване на тормоза и намаляване агресията в училищата</w:t>
            </w:r>
          </w:p>
        </w:tc>
      </w:tr>
      <w:tr w:rsidR="00D857FE" w:rsidRPr="00D83669" w14:paraId="3805AEB1" w14:textId="77777777" w:rsidTr="00CE0156">
        <w:tc>
          <w:tcPr>
            <w:tcW w:w="2405" w:type="dxa"/>
            <w:shd w:val="clear" w:color="auto" w:fill="auto"/>
            <w:vAlign w:val="center"/>
          </w:tcPr>
          <w:p w14:paraId="73740E18"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377" w:type="dxa"/>
            <w:shd w:val="clear" w:color="auto" w:fill="auto"/>
            <w:vAlign w:val="center"/>
          </w:tcPr>
          <w:p w14:paraId="464DB48A" w14:textId="3AA93004"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w:t>
            </w:r>
          </w:p>
          <w:p w14:paraId="2E13FBD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броя на обучените членове на екипите за обхват за работа по Механизма за обхват и идентифициране на деца и ученици в риск от отпадане; </w:t>
            </w:r>
          </w:p>
          <w:p w14:paraId="4FB1E5B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броя на обучени педагогически специалисти придобили или надградили умения за работа с деца и ученици със затруднения в ученето (поради проблеми с майчиния език, отсъствия, липса на мотивация, домашна среда и т.н., вкл. деца и ученици със СОП, с хронични заболявания, в риск и с изявени дарби), от уязвими групи, в риск от отпадане от образование; </w:t>
            </w:r>
          </w:p>
          <w:p w14:paraId="76C6593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брой на педагогически специалисти, обучени за прилагане на методи за противодействие на насилието с цел създаване на по-позитивна училищна и учебна среда;</w:t>
            </w:r>
          </w:p>
          <w:p w14:paraId="3258CA7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брой на обучени образователни медиатори и друг непедагогически персонал, повишили капацитета и уменията си за работа с деца и ученици от уязвими групи, със затруднения в ученето, в риск от отпадане от образование;</w:t>
            </w:r>
          </w:p>
          <w:p w14:paraId="135B7E3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Целта на обученията е повишаване на капацитета, квалификацията и уменията на членовете на екипите за обхват, на педагогическите специалисти и на непедагогическия персонал в процеса на осъществяване на обща и допълнителна подкрепа за личностно </w:t>
            </w:r>
            <w:r w:rsidRPr="00D83669">
              <w:rPr>
                <w:rFonts w:ascii="Times New Roman" w:hAnsi="Times New Roman"/>
                <w:sz w:val="24"/>
              </w:rPr>
              <w:lastRenderedPageBreak/>
              <w:t>развитие на деца и ученици от уязвими групи, вкл. за противодействие на насилието и агресията с цел предотвратяване на отпадането на децата/учениците от образование и осигуряване на приобщаващата образователна среда.</w:t>
            </w:r>
          </w:p>
        </w:tc>
      </w:tr>
      <w:tr w:rsidR="00D857FE" w:rsidRPr="00D83669" w14:paraId="152B912A" w14:textId="77777777" w:rsidTr="00CE0156">
        <w:tc>
          <w:tcPr>
            <w:tcW w:w="2405" w:type="dxa"/>
            <w:shd w:val="clear" w:color="auto" w:fill="auto"/>
            <w:vAlign w:val="center"/>
          </w:tcPr>
          <w:p w14:paraId="4D0B844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Мерна единица</w:t>
            </w:r>
          </w:p>
        </w:tc>
        <w:tc>
          <w:tcPr>
            <w:tcW w:w="7377" w:type="dxa"/>
            <w:shd w:val="clear" w:color="auto" w:fill="auto"/>
            <w:vAlign w:val="center"/>
          </w:tcPr>
          <w:p w14:paraId="4DDF938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14BE309A" w14:textId="77777777" w:rsidTr="00CE0156">
        <w:tc>
          <w:tcPr>
            <w:tcW w:w="2405" w:type="dxa"/>
            <w:shd w:val="clear" w:color="auto" w:fill="auto"/>
            <w:vAlign w:val="center"/>
          </w:tcPr>
          <w:p w14:paraId="436CBA0C" w14:textId="6A829208" w:rsidR="00D857FE" w:rsidRPr="00D83669" w:rsidRDefault="009C30AE" w:rsidP="00CC7BCB">
            <w:pPr>
              <w:spacing w:after="120"/>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3D2A244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26 115</w:t>
            </w:r>
          </w:p>
        </w:tc>
      </w:tr>
      <w:tr w:rsidR="00D857FE" w:rsidRPr="00D83669" w14:paraId="4628971E" w14:textId="77777777" w:rsidTr="00CE0156">
        <w:tc>
          <w:tcPr>
            <w:tcW w:w="2405" w:type="dxa"/>
            <w:shd w:val="clear" w:color="auto" w:fill="auto"/>
            <w:vAlign w:val="center"/>
          </w:tcPr>
          <w:p w14:paraId="5F5B4D00" w14:textId="3B3CC677"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4CA5D6A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е определена на база изчислените единични разходи за обучения на педагогически специалисти, непедагогически персонал като образователни медиатори, помощник на учителя, социални работници, прилагани през периода 2018 – 2020 г., за които е предвиден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обучения са свързани с разходи за възнаграждения и са в пряка зависимост от ръста на разходите за труд.</w:t>
            </w:r>
          </w:p>
          <w:p w14:paraId="1128ED2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Броят на членовете на екипите за обхват по Механизма за обхват представлява 71,54% от всички 14 578 участници в 1 335 екипи за обхват по Механизма по данни на МОН за учебната 2020/2021 г. или 14 578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71,54%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10 374.</w:t>
            </w:r>
          </w:p>
          <w:p w14:paraId="6A1FEB1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Броят за педагогически специалисти от предучилищното образование представлява 21,46% от педагогическия персонал в детските градини по данни на НСИ за 2019/2020 г. или 20</w:t>
            </w:r>
            <w:r w:rsidRPr="00D83669">
              <w:rPr>
                <w:rFonts w:ascii="Times New Roman" w:hAnsi="Times New Roman"/>
                <w:sz w:val="24"/>
                <w:lang w:val="en-US"/>
              </w:rPr>
              <w:t> </w:t>
            </w:r>
            <w:r w:rsidRPr="00D83669">
              <w:rPr>
                <w:rFonts w:ascii="Times New Roman" w:hAnsi="Times New Roman"/>
                <w:sz w:val="24"/>
              </w:rPr>
              <w:t>050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21,46%</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4 303 и броят на непедагогическите специалисти от предучилищното образование – 466, което е брой на назначените образователни медиатори и помощник-учители по данни на МОН към юни 2021 г. по проект „Активно приобщаване в системата на предучилищното образование“ или 4 769 (4 303</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 xml:space="preserve">466) (микроиндикатор ИП1.6.1). </w:t>
            </w:r>
          </w:p>
          <w:p w14:paraId="658B4C2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Стойността за педагогическите специалисти в училищното образование представлява близо 7,153% от педагогическия персонал в училищата по данни на НСИ за 2019/2020 г. – 65 417 или 65 417</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7,153%</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4 679 и броят на назначените образователни медиатори – 879 по данни на МОН към юни 2021 г. по проект „Подкрепа за успех“ или 5 558 (4 679</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879) (микроиндикатор ИП 1.6.2.).</w:t>
            </w:r>
          </w:p>
          <w:p w14:paraId="2BF4D90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Стойността на педагогическите специалисти от училищното образование, обучени за прилагане на методи за противодействие на насилието с цел създаване на по-позитивна училищна и учебна среда представлява 8,28% от общия брой педагогически специалисти според НСИ за учебната 2019/2020 г. или 65 417</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8,28%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5 414 бр.</w:t>
            </w:r>
          </w:p>
          <w:p w14:paraId="6B375E46" w14:textId="64151FDC"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се определя като сбор от целевите стойности на педагогическите специалисти,</w:t>
            </w:r>
            <w:r w:rsidR="00A21263" w:rsidRPr="000E5835">
              <w:rPr>
                <w:rFonts w:ascii="Times New Roman" w:hAnsi="Times New Roman"/>
                <w:sz w:val="24"/>
              </w:rPr>
              <w:t xml:space="preserve"> </w:t>
            </w:r>
            <w:r w:rsidRPr="00D83669">
              <w:rPr>
                <w:rFonts w:ascii="Times New Roman" w:hAnsi="Times New Roman"/>
                <w:sz w:val="24"/>
              </w:rPr>
              <w:t>образователните медиатори, помощник – учители, които да повишат квалификацията и уменията си от участието им в обучения по дейностите по СЦ по чл. 4, пар. 1, буква е) в предучилищното и училищното образование (10 374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4 769</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5 558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5 414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26 115).</w:t>
            </w:r>
          </w:p>
        </w:tc>
      </w:tr>
      <w:tr w:rsidR="00D857FE" w:rsidRPr="00D83669" w14:paraId="448CABE7" w14:textId="77777777" w:rsidTr="00CE0156">
        <w:tc>
          <w:tcPr>
            <w:tcW w:w="2405" w:type="dxa"/>
            <w:shd w:val="clear" w:color="auto" w:fill="auto"/>
            <w:vAlign w:val="center"/>
          </w:tcPr>
          <w:p w14:paraId="1E3A452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Междинна цел</w:t>
            </w:r>
          </w:p>
        </w:tc>
        <w:tc>
          <w:tcPr>
            <w:tcW w:w="7377" w:type="dxa"/>
            <w:shd w:val="clear" w:color="auto" w:fill="auto"/>
            <w:vAlign w:val="center"/>
          </w:tcPr>
          <w:p w14:paraId="3C7A8D54" w14:textId="61C9331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w:t>
            </w:r>
            <w:r w:rsidR="008E239F" w:rsidRPr="00D83669">
              <w:rPr>
                <w:rFonts w:ascii="Times New Roman" w:hAnsi="Times New Roman"/>
                <w:sz w:val="24"/>
              </w:rPr>
              <w:t xml:space="preserve"> </w:t>
            </w:r>
            <w:r w:rsidR="004D2296" w:rsidRPr="00D83669">
              <w:rPr>
                <w:rFonts w:ascii="Times New Roman" w:hAnsi="Times New Roman"/>
                <w:sz w:val="24"/>
              </w:rPr>
              <w:t>4 458</w:t>
            </w:r>
          </w:p>
        </w:tc>
      </w:tr>
      <w:tr w:rsidR="00D857FE" w:rsidRPr="00D83669" w14:paraId="5B5F4945" w14:textId="77777777" w:rsidTr="00CE0156">
        <w:tc>
          <w:tcPr>
            <w:tcW w:w="2405" w:type="dxa"/>
            <w:shd w:val="clear" w:color="auto" w:fill="auto"/>
            <w:vAlign w:val="center"/>
          </w:tcPr>
          <w:p w14:paraId="63AB955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377" w:type="dxa"/>
            <w:shd w:val="clear" w:color="auto" w:fill="auto"/>
            <w:vAlign w:val="center"/>
          </w:tcPr>
          <w:p w14:paraId="488CC49B" w14:textId="14DBFD41" w:rsidR="00D857FE" w:rsidRPr="00D83669" w:rsidRDefault="00223AD1" w:rsidP="00CC7BCB">
            <w:pPr>
              <w:spacing w:after="120"/>
              <w:jc w:val="both"/>
              <w:rPr>
                <w:rFonts w:ascii="Times New Roman" w:hAnsi="Times New Roman"/>
                <w:sz w:val="24"/>
              </w:rPr>
            </w:pPr>
            <w:r w:rsidRPr="00D83669">
              <w:rPr>
                <w:rFonts w:ascii="Times New Roman" w:hAnsi="Times New Roman"/>
                <w:sz w:val="24"/>
              </w:rPr>
              <w:t>Етапната цел е съобразена с планирания график на операциите, които  стартират преди 2024 г.: операция по група дейности 1 със 100% от бюджета и продължителност 5 години, операция по група дейности 2 за обща и допълнителна подкрепа в предучилищното образование със 75% бюджета и продължителност от 5 години и операция по група дейности 2 за обща и допълнителна подкрепа в училищното образование със 75% от бюджета и продължителност от 5 години. Етапната цел се определя, като се взема предвид определения финансовия ресурс за операциите,  разделен на планирания брой години за изпълнението им и отчитането на стойности на индикаторите до края на 2024 г. Етапната цел представлява сбор от обхванатите в обучения на: членове на екипите за обхват по операция по група дейност 1, която стартира в през 2023 г. (10374/5*1=2075), педагогическите специалисти и непедагогическия персонал, обучавани по операция за обща и допълнителна подкрепа в предучилищното образование, която стартира  в края на 2023 (4769*0,75*1/5=716 и педагозите и непедагогическия персонал, обучени по операция обща и допълнителна подкрепа в училищното образование, която стартира в края на 2022 г. (5558*0,75*2/5=1667) или 2075+716+1667=4458. Етапната цел не включва обучаваните педагогически специалисти и непедагогически персонал по група дейности 3, т.к. операцията за превенция на тормоза и агресията в училище стартира в края на 2024 г. и няма възможност за отчитане на показателя.</w:t>
            </w:r>
          </w:p>
        </w:tc>
      </w:tr>
      <w:tr w:rsidR="00D857FE" w:rsidRPr="00D83669" w14:paraId="00320763" w14:textId="77777777" w:rsidTr="00CE0156">
        <w:tc>
          <w:tcPr>
            <w:tcW w:w="2405" w:type="dxa"/>
            <w:shd w:val="clear" w:color="auto" w:fill="auto"/>
            <w:vAlign w:val="center"/>
          </w:tcPr>
          <w:p w14:paraId="718AC98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Базова стойност</w:t>
            </w:r>
          </w:p>
        </w:tc>
        <w:tc>
          <w:tcPr>
            <w:tcW w:w="7377" w:type="dxa"/>
            <w:shd w:val="clear" w:color="auto" w:fill="auto"/>
            <w:vAlign w:val="center"/>
          </w:tcPr>
          <w:p w14:paraId="7462751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6AFBAE87" w14:textId="77777777" w:rsidTr="00CE0156">
        <w:tc>
          <w:tcPr>
            <w:tcW w:w="2405" w:type="dxa"/>
            <w:shd w:val="clear" w:color="auto" w:fill="auto"/>
            <w:vAlign w:val="center"/>
          </w:tcPr>
          <w:p w14:paraId="1A521E5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5B6273A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ниво на образование и педагогически направления/степени. При отчитането ще бъдат представени данни съгласно методологията за събиране на данни за педагогическите специалисти и непедагогическия персонал, по направление от педагогическата им квалификация в предучилищно/училищно образование, възраст, пол, образователна институция, регион, община, тема на обучение, придобита квалификация (квалификационни кредити), и др. както и социални / демографски на родителите от уязвими групи – възраст, пол, образователна степен, заетост и т.н.</w:t>
            </w:r>
          </w:p>
        </w:tc>
      </w:tr>
      <w:tr w:rsidR="00D857FE" w:rsidRPr="00D83669" w14:paraId="55EDBA9D" w14:textId="77777777" w:rsidTr="00CE0156">
        <w:tc>
          <w:tcPr>
            <w:tcW w:w="2405" w:type="dxa"/>
            <w:shd w:val="clear" w:color="auto" w:fill="auto"/>
            <w:vAlign w:val="center"/>
          </w:tcPr>
          <w:p w14:paraId="546373C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065E0B3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Събирането на данни за броя на обучените педагогически специалисти и непедагогически персонал като образователни медиатори за работа с деца и ученици с трудности в ученето и от уязвими групи, в риск от отпадне от образование е необходимо за изграждане на база от данни относно ресурсното обезпечаване на приобщаващото образование и кариерното развитие на педагогическите специалисти, както и на непедагогическия персонал. Броят на извършените квалификационни и обучителни дейности по програмата ще послужи на национално ниво при разработване на стратегическа визия за провеждане на политика за професионално </w:t>
            </w:r>
            <w:r w:rsidRPr="00D83669">
              <w:rPr>
                <w:rFonts w:ascii="Times New Roman" w:hAnsi="Times New Roman"/>
                <w:sz w:val="24"/>
              </w:rPr>
              <w:lastRenderedPageBreak/>
              <w:t>развитие и квалификация на педагогическите специалисти, на непедагогическия персонал за подобряване на качеството на приобщаващото образованието и ефективното планиране на мерки. Данните ще предоставят информация за броя на педагогическите специалисти, на непедагогическия персонал и на членове на екипите за обхват, които са подготвени за нуждите на приобщаващото образование. Данните от обученията ще допринесат за реализиране препоръките от анализа на МОН за ОРЕС за качествена подкрепа на учениците от уязвими групи и за развитие на уменията на учителите и непедагогическия персонал за преодоляване на разширяващите се неравенства</w:t>
            </w:r>
            <w:r w:rsidRPr="00D83669">
              <w:t xml:space="preserve"> </w:t>
            </w:r>
            <w:r w:rsidRPr="00D83669">
              <w:rPr>
                <w:rFonts w:ascii="Times New Roman" w:hAnsi="Times New Roman"/>
                <w:sz w:val="24"/>
              </w:rPr>
              <w:t xml:space="preserve">сред учениците от уязвимите групи, които да им осигуряват възможност за пълноценно учене, повишаването на вътрешната им мотивация и постигане на удовлетворяващи постижения и по-добри образователни резултати. </w:t>
            </w:r>
          </w:p>
          <w:p w14:paraId="60E1EA7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Информацията допринася за оценка на ефекта върху целевите групи – доколко и как промяната в капацитета на педагогическите специалисти и непедагогическия персонал се отразява на децата и учениците от уязвими групи. </w:t>
            </w:r>
          </w:p>
        </w:tc>
      </w:tr>
      <w:tr w:rsidR="00D857FE" w:rsidRPr="00D83669" w14:paraId="1FB4A01E" w14:textId="77777777" w:rsidTr="00CE0156">
        <w:tc>
          <w:tcPr>
            <w:tcW w:w="2405" w:type="dxa"/>
            <w:shd w:val="clear" w:color="auto" w:fill="auto"/>
            <w:vAlign w:val="center"/>
          </w:tcPr>
          <w:p w14:paraId="1C1D06E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7" w:type="dxa"/>
            <w:shd w:val="clear" w:color="auto" w:fill="auto"/>
            <w:vAlign w:val="center"/>
          </w:tcPr>
          <w:p w14:paraId="209DCA8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606F0F8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детска градина, училище, и др. учебно заведение, община, район, тема на обучението, придобита квалификация, компетентности и умения, и др.</w:t>
            </w:r>
          </w:p>
        </w:tc>
      </w:tr>
      <w:tr w:rsidR="00D857FE" w:rsidRPr="00D83669" w14:paraId="7D01296F" w14:textId="77777777" w:rsidTr="00CE0156">
        <w:tc>
          <w:tcPr>
            <w:tcW w:w="2405" w:type="dxa"/>
            <w:shd w:val="clear" w:color="auto" w:fill="auto"/>
            <w:vAlign w:val="center"/>
          </w:tcPr>
          <w:p w14:paraId="6F6F5718"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1D6D166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22B88DAE" w14:textId="77777777" w:rsidTr="00CE0156">
        <w:trPr>
          <w:trHeight w:val="421"/>
        </w:trPr>
        <w:tc>
          <w:tcPr>
            <w:tcW w:w="2405" w:type="dxa"/>
            <w:shd w:val="clear" w:color="auto" w:fill="auto"/>
            <w:vAlign w:val="center"/>
          </w:tcPr>
          <w:p w14:paraId="309F741F" w14:textId="3287C61F"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70369935"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79A07F2F"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1.1. Брой деца и ученици обхванати от механизма за съвместна работа на институциите</w:t>
            </w:r>
          </w:p>
          <w:p w14:paraId="1D3C34DF"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1.2. Брой деца и ученици със специални образователни потребности (СОП), в риск, с хронични заболявания и с изявени дарби</w:t>
            </w:r>
          </w:p>
          <w:p w14:paraId="29C52029"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0A6F93DF"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EECR02 участници, които при напускане на операцията са ангажирани с образование или обучение</w:t>
            </w:r>
          </w:p>
          <w:p w14:paraId="758896B8"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SRI 1.1. Брой деца и ученици записани в предучилищно и училищно образование чрез механизма за съвместна работа на институциите</w:t>
            </w:r>
          </w:p>
          <w:p w14:paraId="140B0057"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SRI 1.2. Брой деца и ученици от уязвими групи с подобрени образователни резултати след 1 година участие в операцията</w:t>
            </w:r>
          </w:p>
          <w:p w14:paraId="0518C7E0"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lastRenderedPageBreak/>
              <w:t>EECR03 участници, които при напускане на операцията получават квалификация</w:t>
            </w:r>
          </w:p>
        </w:tc>
      </w:tr>
      <w:tr w:rsidR="00D857FE" w:rsidRPr="00D83669" w14:paraId="1D3344FB" w14:textId="77777777" w:rsidTr="00CE0156">
        <w:trPr>
          <w:trHeight w:val="421"/>
        </w:trPr>
        <w:tc>
          <w:tcPr>
            <w:tcW w:w="2405" w:type="dxa"/>
            <w:shd w:val="clear" w:color="auto" w:fill="auto"/>
            <w:vAlign w:val="center"/>
          </w:tcPr>
          <w:p w14:paraId="1D20139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Валидиране</w:t>
            </w:r>
          </w:p>
        </w:tc>
        <w:tc>
          <w:tcPr>
            <w:tcW w:w="7377" w:type="dxa"/>
            <w:shd w:val="clear" w:color="auto" w:fill="auto"/>
            <w:vAlign w:val="center"/>
          </w:tcPr>
          <w:p w14:paraId="729D7235" w14:textId="1DC862FD" w:rsidR="00D857FE" w:rsidRPr="00D83669" w:rsidRDefault="00D857FE" w:rsidP="00C41C22">
            <w:pPr>
              <w:pStyle w:val="ListParagraph"/>
              <w:spacing w:after="120"/>
              <w:jc w:val="both"/>
              <w:rPr>
                <w:rFonts w:ascii="Times New Roman" w:hAnsi="Times New Roman"/>
                <w:sz w:val="24"/>
                <w:szCs w:val="32"/>
              </w:rPr>
            </w:pPr>
            <w:r w:rsidRPr="00D83669">
              <w:rPr>
                <w:rFonts w:ascii="Times New Roman" w:hAnsi="Times New Roman"/>
                <w:sz w:val="24"/>
                <w:szCs w:val="32"/>
              </w:rPr>
              <w:t>Целевата стойност на показателя обхваща броя на назначените в образователната система педагогически специалисти и непедагогически персонал, както и членовете на екипите за обхват, участници в дейностите по СЦ по чл. 4, пар. 1, буква е) на ПО 2021 – 2027 и е по-малка от броя на всички участници в дейности по тази специфична цел.</w:t>
            </w:r>
          </w:p>
        </w:tc>
      </w:tr>
    </w:tbl>
    <w:p w14:paraId="52EA100C" w14:textId="77777777" w:rsidR="00D857FE" w:rsidRPr="00D83669" w:rsidRDefault="00D857FE" w:rsidP="00D857FE"/>
    <w:p w14:paraId="78768568" w14:textId="77777777" w:rsidR="00D857FE" w:rsidRPr="00D83669" w:rsidRDefault="00D857FE" w:rsidP="00D857FE">
      <w:pPr>
        <w:rPr>
          <w:rFonts w:ascii="Times New Roman" w:eastAsia="Times New Roman" w:hAnsi="Times New Roman" w:cs="Times New Roman"/>
          <w:i/>
          <w:sz w:val="24"/>
          <w:szCs w:val="20"/>
          <w:lang w:eastAsia="bg-BG" w:bidi="bg-BG"/>
        </w:rPr>
      </w:pPr>
      <w:r w:rsidRPr="00D83669">
        <w:br w:type="page"/>
      </w:r>
    </w:p>
    <w:p w14:paraId="75E8D9F1" w14:textId="63DF027F" w:rsidR="00D857FE" w:rsidRPr="00D83669" w:rsidRDefault="00D857FE" w:rsidP="00D857FE">
      <w:pPr>
        <w:pStyle w:val="Heading3"/>
        <w:ind w:left="567"/>
        <w:rPr>
          <w:rFonts w:ascii="Times New Roman" w:hAnsi="Times New Roman" w:cs="Times New Roman"/>
          <w:color w:val="000000" w:themeColor="text1"/>
        </w:rPr>
      </w:pPr>
      <w:bookmarkStart w:id="82" w:name="_Toc98778785"/>
      <w:bookmarkStart w:id="83" w:name="_Toc100152974"/>
      <w:bookmarkStart w:id="84" w:name="_Toc103586650"/>
      <w:r w:rsidRPr="00D83669">
        <w:rPr>
          <w:rFonts w:ascii="Times New Roman" w:hAnsi="Times New Roman" w:cs="Times New Roman"/>
        </w:rPr>
        <w:lastRenderedPageBreak/>
        <w:t>Показатели за резултатите</w:t>
      </w:r>
      <w:bookmarkEnd w:id="82"/>
      <w:bookmarkEnd w:id="83"/>
      <w:bookmarkEnd w:id="84"/>
      <w:r w:rsidRPr="00D83669">
        <w:rPr>
          <w:rFonts w:ascii="Times New Roman" w:hAnsi="Times New Roman" w:cs="Times New Roman"/>
          <w:color w:val="000000" w:themeColor="text1"/>
        </w:rPr>
        <w:t xml:space="preserve"> </w:t>
      </w:r>
    </w:p>
    <w:p w14:paraId="00FDF9CD" w14:textId="7FB685C2" w:rsidR="00D857FE" w:rsidRPr="00D83669" w:rsidRDefault="00D857FE" w:rsidP="00FC64DB">
      <w:pPr>
        <w:pStyle w:val="Heading3"/>
        <w:rPr>
          <w:b/>
          <w:bCs/>
          <w:i/>
          <w:iCs/>
          <w:sz w:val="22"/>
          <w:szCs w:val="22"/>
        </w:rPr>
      </w:pPr>
      <w:bookmarkStart w:id="85" w:name="_Toc100152975"/>
      <w:bookmarkStart w:id="86" w:name="_Toc103586651"/>
      <w:r w:rsidRPr="00D83669">
        <w:rPr>
          <w:b/>
          <w:bCs/>
          <w:i/>
          <w:iCs/>
          <w:sz w:val="22"/>
          <w:szCs w:val="22"/>
        </w:rPr>
        <w:t>EECR03 участници, които при напускане на операцията получават квалификация</w:t>
      </w:r>
      <w:bookmarkEnd w:id="85"/>
      <w:bookmarkEnd w:id="86"/>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377"/>
      </w:tblGrid>
      <w:tr w:rsidR="00D857FE" w:rsidRPr="00D83669" w14:paraId="0628A9D3" w14:textId="77777777" w:rsidTr="00AB12A2">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A64DBB4" w14:textId="2B8A4194"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A4D650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5DD2147A" w14:textId="77777777" w:rsidTr="00AB12A2">
        <w:tc>
          <w:tcPr>
            <w:tcW w:w="2405" w:type="dxa"/>
            <w:shd w:val="clear" w:color="auto" w:fill="auto"/>
            <w:vAlign w:val="center"/>
          </w:tcPr>
          <w:p w14:paraId="6107C669" w14:textId="7202910C"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0253A44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6A5A83C4" w14:textId="77777777" w:rsidTr="00AB12A2">
        <w:tc>
          <w:tcPr>
            <w:tcW w:w="2405" w:type="dxa"/>
            <w:shd w:val="clear" w:color="auto" w:fill="auto"/>
            <w:vAlign w:val="center"/>
          </w:tcPr>
          <w:p w14:paraId="5F68809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471ACDEB" w14:textId="678361BB"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Общ показател за резултат</w:t>
            </w:r>
          </w:p>
        </w:tc>
      </w:tr>
      <w:tr w:rsidR="00D857FE" w:rsidRPr="00D83669" w14:paraId="7CCB2D37" w14:textId="77777777" w:rsidTr="00AB12A2">
        <w:tc>
          <w:tcPr>
            <w:tcW w:w="2405" w:type="dxa"/>
            <w:shd w:val="clear" w:color="auto" w:fill="auto"/>
            <w:vAlign w:val="center"/>
          </w:tcPr>
          <w:p w14:paraId="2D7DD66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4F975CA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20765DFA" w14:textId="77777777" w:rsidTr="00AB12A2">
        <w:tc>
          <w:tcPr>
            <w:tcW w:w="2405" w:type="dxa"/>
            <w:shd w:val="clear" w:color="auto" w:fill="auto"/>
            <w:vAlign w:val="center"/>
          </w:tcPr>
          <w:p w14:paraId="1992850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2507171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Разширяване обхвата в предучилищното и в училищното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w:t>
            </w:r>
          </w:p>
          <w:p w14:paraId="1C0EBA1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Обща и допълнителна подкрепа за личностно развитие в предучилищното и училищното образование</w:t>
            </w:r>
          </w:p>
          <w:p w14:paraId="7C06805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Превенция и предотвратяване на тормоза и намаляване агресията в училищата</w:t>
            </w:r>
          </w:p>
        </w:tc>
      </w:tr>
      <w:tr w:rsidR="00D857FE" w:rsidRPr="00D83669" w14:paraId="2349636B" w14:textId="77777777" w:rsidTr="00AB12A2">
        <w:tc>
          <w:tcPr>
            <w:tcW w:w="2405" w:type="dxa"/>
            <w:shd w:val="clear" w:color="auto" w:fill="auto"/>
            <w:vAlign w:val="center"/>
          </w:tcPr>
          <w:p w14:paraId="780007A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377" w:type="dxa"/>
            <w:shd w:val="clear" w:color="auto" w:fill="auto"/>
            <w:vAlign w:val="center"/>
          </w:tcPr>
          <w:p w14:paraId="3433591B" w14:textId="36494430"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броя на обучените педагогически специалисти получили 1, 2 и/или 3 квалификационни кредита съгласно държавния образователен стандарт за статута и професионалното развитие на учителите, директорите и др. педагогически специалисти в системата на предучилищното и училищното образование – Наредба № 15 от 22 юли 2019 г. на министъра на образованието и науката и повишили уменията си за работа с уязвими групи, както следва:</w:t>
            </w:r>
          </w:p>
          <w:p w14:paraId="30EE31F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броя на обучените и останали на работа в учебните заведения/в сферата на образованието след приключване на дейностите педагогически специалисти, придобили квалификационни кредити – придобили и/или надградили умения за работа с деца и ученици със затруднения в ученето (поради проблеми с майчиния език, отсъствия, липса на мотивация, домашна среда и т.н., вкл. деца и ученици със СОП, с хронични заболявания, в риск и с изявени дарби), от уязвими групи, в риск от отпадане от образование; </w:t>
            </w:r>
          </w:p>
          <w:p w14:paraId="3CFF52F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броя на педагогически специалисти, обучени за прилагане на методи за противодействие на насилието с цел създаване на по-позитивна училищна и учебна среда и останали на работа в учебните заведения/в сферата на образованието след приключване на дейностите;</w:t>
            </w:r>
          </w:p>
          <w:p w14:paraId="2A1F2BE5" w14:textId="33C9A594"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С оглед избягване препокриване и дублиране на стойности на показателя броят на обучените педагогически специалисти – членове на екипите за обхват по операция „Разширяване обхвата в </w:t>
            </w:r>
            <w:r w:rsidRPr="00D83669">
              <w:rPr>
                <w:rFonts w:ascii="Times New Roman" w:hAnsi="Times New Roman"/>
                <w:sz w:val="24"/>
              </w:rPr>
              <w:lastRenderedPageBreak/>
              <w:t xml:space="preserve">предучилищното и в училищното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 </w:t>
            </w:r>
            <w:r w:rsidRPr="00D83669">
              <w:rPr>
                <w:rFonts w:ascii="Times New Roman" w:hAnsi="Times New Roman"/>
                <w:i/>
                <w:sz w:val="24"/>
              </w:rPr>
              <w:t>не е включен, т.к. същите педагогически специалисти се обучават по операция за обща и допълнителна подкрепа за личностно развитие на деца и ученици от целеви групи, както и за противодействие на насилието и агресията в училище.</w:t>
            </w:r>
          </w:p>
          <w:p w14:paraId="08E3B95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Целта на обученията е повишаване на капацитета, квалификацията и уменията на педагогическите специалисти за осъществяване на обща и допълнителна подкрепа за личностно развитие на деца и ученици, вкл. за противодействие на насилието и агресията и останали на работа в сферата на образованието след приключване на дейностите. </w:t>
            </w:r>
          </w:p>
        </w:tc>
      </w:tr>
      <w:tr w:rsidR="00D857FE" w:rsidRPr="00D83669" w14:paraId="4779DBF1" w14:textId="77777777" w:rsidTr="00AB12A2">
        <w:tc>
          <w:tcPr>
            <w:tcW w:w="2405" w:type="dxa"/>
            <w:shd w:val="clear" w:color="auto" w:fill="auto"/>
            <w:vAlign w:val="center"/>
          </w:tcPr>
          <w:p w14:paraId="5177D78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Мерна единица</w:t>
            </w:r>
          </w:p>
        </w:tc>
        <w:tc>
          <w:tcPr>
            <w:tcW w:w="7377" w:type="dxa"/>
            <w:shd w:val="clear" w:color="auto" w:fill="auto"/>
            <w:vAlign w:val="center"/>
          </w:tcPr>
          <w:p w14:paraId="7D94908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49509636" w14:textId="77777777" w:rsidTr="00AB12A2">
        <w:tc>
          <w:tcPr>
            <w:tcW w:w="2405" w:type="dxa"/>
            <w:shd w:val="clear" w:color="auto" w:fill="auto"/>
            <w:vAlign w:val="center"/>
          </w:tcPr>
          <w:p w14:paraId="28F79647" w14:textId="11CFF7BF" w:rsidR="00D857FE" w:rsidRPr="00D83669" w:rsidRDefault="0021137F" w:rsidP="00CC7BCB">
            <w:pPr>
              <w:spacing w:after="120"/>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3D4CE09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14 396 </w:t>
            </w:r>
          </w:p>
        </w:tc>
      </w:tr>
      <w:tr w:rsidR="00D857FE" w:rsidRPr="00D83669" w14:paraId="2E17A85E" w14:textId="77777777" w:rsidTr="00AB12A2">
        <w:tc>
          <w:tcPr>
            <w:tcW w:w="2405" w:type="dxa"/>
            <w:shd w:val="clear" w:color="auto" w:fill="auto"/>
            <w:vAlign w:val="center"/>
          </w:tcPr>
          <w:p w14:paraId="339F668A" w14:textId="726022EA"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052D9C9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е определена на база изчислените единични разходи за обучения с квалификационни кредити на педагогически специалисти, прилагани през периода 2018 – 2020 г., за които е предвиден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обучения са свързани с разходи за възнаграждения и са в пряка зависимост от ръста на разходите за труд. </w:t>
            </w:r>
          </w:p>
          <w:p w14:paraId="41DC37C0" w14:textId="59E1E4D3"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На база анализ за обучение от разстояние в електронна среда (ОРЕС) – </w:t>
            </w:r>
            <w:hyperlink r:id="rId21" w:history="1">
              <w:r w:rsidRPr="00D83669">
                <w:rPr>
                  <w:rStyle w:val="Hyperlink"/>
                  <w:rFonts w:ascii="Times New Roman" w:hAnsi="Times New Roman"/>
                  <w:sz w:val="24"/>
                </w:rPr>
                <w:t>https://mon.bg/bg/144</w:t>
              </w:r>
            </w:hyperlink>
            <w:r w:rsidRPr="00D83669">
              <w:rPr>
                <w:rFonts w:ascii="Times New Roman" w:hAnsi="Times New Roman"/>
                <w:sz w:val="24"/>
              </w:rPr>
              <w:t>, предоставените данни и препоръки, както и заложеното в Стратегическата рамка за развитие на образованието, обучението и ученето в Република България 2021 – 2030 целевата стойност на показателя за резултат се определя на 14 396.</w:t>
            </w:r>
          </w:p>
          <w:p w14:paraId="385388C2" w14:textId="7FD888D3"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е 14 396 и се изчислява от целевата стойност на показател за краен продукт SOI 1.5. Педагогически специалисти и непедагогически персонал, обучени за работа с деца и ученици от уязвими групи, която обхваща обучените по трите операции, педагогически специалисти, завършили обученията, получили сертификат за 1, 2 и/или 3 квалификационни кредити съгласно държавния образователен стандарт за статута и професионалното развитие на учителите, директорите и др. педагогически специалисти в системата на предучилищното и училищното образование – Наредба № 15 от 22 юли 2019 г. на министъра на образованието и науката. и съгласно методологиите за единица продукт за обучено лице и останали на работа в сферата на образованието след приключване на операциите. Изчисленията са: целевата стойност на показател SOI 1.5, която е 26 115, се намалява с броя на членовете на екипите за обхват и с броя на образователните медиатори, обучени по операциите по тази специфична цел или 26 115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10 374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1 345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14 396, където 10 374 е брой членове на екипите за обхват, а 1 345 е брой образователни медиатори.</w:t>
            </w:r>
          </w:p>
          <w:p w14:paraId="77B2434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lastRenderedPageBreak/>
              <w:t> </w:t>
            </w:r>
          </w:p>
          <w:p w14:paraId="0CCCF675" w14:textId="4C0316C1"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на обучените с квалификационни кредити и останали на и/или ангажирани с работа в сферата на образованието педагогически специалисти се определя на 100% от целевата стойност на участвалите в обучения за повишаване на квалификацията си педагогически специалисти (поради прилагането на разход за единица продукт за 1 обучаем учител, която завършва с резултат 1, 2 и/или 3 квалификационни кредита), които са съставна част от показател SOI 1.5. Педагогически специалисти и непедагогически персонал, обучени за работа с деца и ученици от уязвими групи – учители, повишили квалификацията и уменията си от участието им в обучения по дейностите по СЦ по чл. 4, пар. 1, буква е) в предучилищното и училищното образование са =</w:t>
            </w:r>
            <w:r w:rsidRPr="00D83669">
              <w:rPr>
                <w:rFonts w:ascii="Times New Roman" w:hAnsi="Times New Roman"/>
                <w:sz w:val="24"/>
                <w:lang w:val="en-US"/>
              </w:rPr>
              <w:t> </w:t>
            </w:r>
            <w:r w:rsidRPr="00D83669">
              <w:rPr>
                <w:rFonts w:ascii="Times New Roman" w:hAnsi="Times New Roman"/>
                <w:sz w:val="24"/>
              </w:rPr>
              <w:t>10 327</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1 345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5 414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 xml:space="preserve">14 396, където са подадени броя на образователните медиатори. </w:t>
            </w:r>
          </w:p>
        </w:tc>
      </w:tr>
      <w:tr w:rsidR="00D857FE" w:rsidRPr="00D83669" w14:paraId="540C7C6F" w14:textId="77777777" w:rsidTr="00AB12A2">
        <w:tc>
          <w:tcPr>
            <w:tcW w:w="2405" w:type="dxa"/>
            <w:shd w:val="clear" w:color="auto" w:fill="auto"/>
            <w:vAlign w:val="center"/>
          </w:tcPr>
          <w:p w14:paraId="5CA2EB0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Референтна стойност</w:t>
            </w:r>
          </w:p>
        </w:tc>
        <w:tc>
          <w:tcPr>
            <w:tcW w:w="7377" w:type="dxa"/>
            <w:shd w:val="clear" w:color="auto" w:fill="auto"/>
            <w:vAlign w:val="center"/>
          </w:tcPr>
          <w:p w14:paraId="711F2CF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10 500</w:t>
            </w:r>
          </w:p>
        </w:tc>
      </w:tr>
      <w:tr w:rsidR="00D857FE" w:rsidRPr="00D83669" w14:paraId="2C341F90" w14:textId="77777777" w:rsidTr="00AB12A2">
        <w:tc>
          <w:tcPr>
            <w:tcW w:w="2405" w:type="dxa"/>
            <w:shd w:val="clear" w:color="auto" w:fill="auto"/>
            <w:vAlign w:val="center"/>
          </w:tcPr>
          <w:p w14:paraId="7E0E887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референтна стойност</w:t>
            </w:r>
          </w:p>
        </w:tc>
        <w:tc>
          <w:tcPr>
            <w:tcW w:w="7377" w:type="dxa"/>
            <w:shd w:val="clear" w:color="auto" w:fill="auto"/>
            <w:vAlign w:val="center"/>
          </w:tcPr>
          <w:p w14:paraId="0E96046A" w14:textId="2D8CD32A"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Референтната стойност за показателя отразява данните от отчетите на МОН по ОПНОИР към 31.12.2021 г. на обучените 10 500 педагогически специалисти по изработения в рамките на проект „Подкрепа за успех“ инструментариум за определяне на учениците в риск от отпадане.</w:t>
            </w:r>
          </w:p>
        </w:tc>
      </w:tr>
      <w:tr w:rsidR="00D857FE" w:rsidRPr="00D83669" w14:paraId="1B8C87EC" w14:textId="77777777" w:rsidTr="00AB12A2">
        <w:tc>
          <w:tcPr>
            <w:tcW w:w="2405" w:type="dxa"/>
            <w:shd w:val="clear" w:color="auto" w:fill="auto"/>
            <w:vAlign w:val="center"/>
          </w:tcPr>
          <w:p w14:paraId="66ABB4F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644A903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педагогически направления/степени. При отчитането ще бъдат представени данни съгласно методологията за събиране на данни за педагогическите специалисти, завършили обучения с 1, 2 и/или 3 квалификационни кредита, останали в учебното заведение и/или в сферата на образованието по направление от педагогическата им квалификация в предучилищно/училищно образование, възраст, пол, училище, регион, община, институция, придобита квалификация (квалификационни кредити), и др.</w:t>
            </w:r>
          </w:p>
        </w:tc>
      </w:tr>
      <w:tr w:rsidR="00D857FE" w:rsidRPr="00D83669" w14:paraId="54F20CAC" w14:textId="77777777" w:rsidTr="00AB12A2">
        <w:tc>
          <w:tcPr>
            <w:tcW w:w="2405" w:type="dxa"/>
            <w:shd w:val="clear" w:color="auto" w:fill="auto"/>
            <w:vAlign w:val="center"/>
          </w:tcPr>
          <w:p w14:paraId="794723B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3931885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Събирането на данни за броя на останалите в сферата на образованието обучени педагогически специалисти за работа с деца и ученици от уязвими групи, с трудности в ученето, в риск от отпадне от образование и противодействие на агресията е необходимо за изграждане на база от данни относно ресурсното обезпечаване на приобщаващото образование и кариерното развитие на педагогическите специалисти. Броят на останалите в образование педагогически специалисти след приключване на извършените квалификационни дейности по програмата ще послужи на национално ниво при разработване на стратегическа визия за провеждане на политика за професионално развитие и квалификация на педагогическите специалисти, подобряване на качеството на приобщаващото образованието и ефективното планиране на мерки. Данните ще предоставят информация, която допринася за постигане на заложеното в Стратегическата рамка за развитие на образованието, обучението и ученето в Република България 2021 – 2030, че </w:t>
            </w:r>
            <w:r w:rsidRPr="00D83669">
              <w:rPr>
                <w:rFonts w:ascii="Times New Roman" w:hAnsi="Times New Roman"/>
                <w:sz w:val="24"/>
              </w:rPr>
              <w:lastRenderedPageBreak/>
              <w:t>учителите, работещи на пълно и непълно работно време в основното и средно образование са 2% от общото активно население за 2030 г.</w:t>
            </w:r>
          </w:p>
          <w:p w14:paraId="3C48EE7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допринася и за оценка на ефекта върху целевите групи – доколко и как промяната в капацитета на педагогическите специалисти се отразява на целевите групи.</w:t>
            </w:r>
          </w:p>
        </w:tc>
      </w:tr>
      <w:tr w:rsidR="00D857FE" w:rsidRPr="00D83669" w14:paraId="626639F5" w14:textId="77777777" w:rsidTr="00AB12A2">
        <w:tc>
          <w:tcPr>
            <w:tcW w:w="2405" w:type="dxa"/>
            <w:shd w:val="clear" w:color="auto" w:fill="auto"/>
            <w:vAlign w:val="center"/>
          </w:tcPr>
          <w:p w14:paraId="64DD057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7" w:type="dxa"/>
            <w:shd w:val="clear" w:color="auto" w:fill="auto"/>
            <w:vAlign w:val="center"/>
          </w:tcPr>
          <w:p w14:paraId="0E277E0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текущо на всеки 6 месеца, след проведени дейности за обучения, от бенефициенти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1C1B67B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детска градина, училище, и др. учебно заведение, община, район, тема на обучението, придобита квалификация, компетентности, време в образователната сфера след завършено обучение и в края на програмния период, и др.</w:t>
            </w:r>
          </w:p>
        </w:tc>
      </w:tr>
      <w:tr w:rsidR="00D857FE" w:rsidRPr="00D83669" w14:paraId="756DAF31" w14:textId="77777777" w:rsidTr="00AB12A2">
        <w:tc>
          <w:tcPr>
            <w:tcW w:w="2405" w:type="dxa"/>
            <w:shd w:val="clear" w:color="auto" w:fill="auto"/>
            <w:vAlign w:val="center"/>
          </w:tcPr>
          <w:p w14:paraId="06CA567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1B64646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 до края на програмния период</w:t>
            </w:r>
          </w:p>
        </w:tc>
      </w:tr>
      <w:tr w:rsidR="00D857FE" w:rsidRPr="00D83669" w14:paraId="3C0A8693" w14:textId="77777777" w:rsidTr="00AB12A2">
        <w:trPr>
          <w:trHeight w:val="421"/>
        </w:trPr>
        <w:tc>
          <w:tcPr>
            <w:tcW w:w="2405" w:type="dxa"/>
            <w:shd w:val="clear" w:color="auto" w:fill="auto"/>
            <w:vAlign w:val="center"/>
          </w:tcPr>
          <w:p w14:paraId="0BE6E5D6" w14:textId="0E8DBF10"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340C001C"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1.5. Педагогически специалисти и непедагогически персонал, обучени за работа с деца и ученици от уязвими групи;</w:t>
            </w:r>
          </w:p>
          <w:p w14:paraId="4B6D02F2"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EECO06 брой на децата на възраст под 18 години;</w:t>
            </w:r>
          </w:p>
          <w:p w14:paraId="3016D069"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76462575"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SRI 1.1. Брой деца и ученици записани в предучилищно и училищно образование чрез механизма за съвместна работа на институциите;</w:t>
            </w:r>
          </w:p>
          <w:p w14:paraId="7C17E71F"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SRI 1.2. Брой деца и ученици от уязвими групи с подобрени образователни резултати след 1 година участие в операцията.</w:t>
            </w:r>
          </w:p>
        </w:tc>
      </w:tr>
      <w:tr w:rsidR="00D857FE" w:rsidRPr="00D83669" w14:paraId="24411534" w14:textId="77777777" w:rsidTr="00AB12A2">
        <w:trPr>
          <w:trHeight w:val="421"/>
        </w:trPr>
        <w:tc>
          <w:tcPr>
            <w:tcW w:w="2405" w:type="dxa"/>
            <w:shd w:val="clear" w:color="auto" w:fill="auto"/>
            <w:vAlign w:val="center"/>
          </w:tcPr>
          <w:p w14:paraId="7AD9880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Валидиране</w:t>
            </w:r>
          </w:p>
        </w:tc>
        <w:tc>
          <w:tcPr>
            <w:tcW w:w="7377" w:type="dxa"/>
            <w:shd w:val="clear" w:color="auto" w:fill="auto"/>
            <w:vAlign w:val="center"/>
          </w:tcPr>
          <w:p w14:paraId="06451B9D" w14:textId="0D223CE3" w:rsidR="00D857FE" w:rsidRPr="00D83669" w:rsidRDefault="00D857FE" w:rsidP="00270278">
            <w:pPr>
              <w:pStyle w:val="ListParagraph"/>
              <w:spacing w:after="120"/>
              <w:jc w:val="both"/>
              <w:rPr>
                <w:rFonts w:ascii="Times New Roman" w:hAnsi="Times New Roman"/>
                <w:sz w:val="24"/>
                <w:szCs w:val="32"/>
              </w:rPr>
            </w:pPr>
            <w:r w:rsidRPr="00D83669">
              <w:rPr>
                <w:rFonts w:ascii="Times New Roman" w:hAnsi="Times New Roman"/>
                <w:sz w:val="24"/>
                <w:szCs w:val="32"/>
              </w:rPr>
              <w:t>Целевата стойност на показателя обхваща броя на педагогическите специалисти, които след участие в обучения по дейности за повишаване на квалификацията по СЦ по чл. 4, пар. 1, буква е) на ПО 2021 – 2027, са напуснали операцията с 1, 2 и/или 3 квалификационни кредита и са останали в сферата на образованието. Целевата стойност е по-малка от броя на участници в обучения за повишаване на квалификацията и уменията по тази специфична цел, т.е. е по-малка от целевата стойност на показател за краен продукт SOI 1.5. Педагогически специалисти и непедагогически персонал, обучени за работа с деца и ученици от уязвими групи. Целевата стойност е 100% от участващи в обучения педагогически специалисти поради изискването за постигнат краен резултат при разход за единица продукт по реда на чл. 53 от Регламент № 1060/2021 г. – сертификат за квалификационни кредити и ДОС – Наредба № 15/2019 г. на министъра на образованието и науката.</w:t>
            </w:r>
          </w:p>
        </w:tc>
      </w:tr>
    </w:tbl>
    <w:p w14:paraId="2B9042AD" w14:textId="77777777" w:rsidR="00D857FE" w:rsidRPr="00D83669" w:rsidRDefault="00D857FE" w:rsidP="00D857FE">
      <w:pPr>
        <w:rPr>
          <w:rFonts w:ascii="Times New Roman" w:eastAsia="Times New Roman" w:hAnsi="Times New Roman" w:cs="Times New Roman"/>
          <w:b/>
          <w:sz w:val="24"/>
          <w:szCs w:val="20"/>
          <w:lang w:eastAsia="bg-BG" w:bidi="bg-BG"/>
        </w:rPr>
      </w:pPr>
      <w:r w:rsidRPr="00D83669">
        <w:rPr>
          <w:b/>
        </w:rPr>
        <w:br w:type="page"/>
      </w:r>
    </w:p>
    <w:p w14:paraId="585AA2DD" w14:textId="575C3F5F" w:rsidR="00D857FE" w:rsidRPr="00D83669" w:rsidRDefault="00D857FE" w:rsidP="007C64A2">
      <w:pPr>
        <w:pStyle w:val="Heading3"/>
        <w:rPr>
          <w:b/>
          <w:bCs/>
          <w:i/>
          <w:iCs/>
          <w:sz w:val="22"/>
          <w:szCs w:val="22"/>
        </w:rPr>
      </w:pPr>
      <w:bookmarkStart w:id="87" w:name="_Toc100152976"/>
      <w:bookmarkStart w:id="88" w:name="_Toc103586652"/>
      <w:r w:rsidRPr="00D83669">
        <w:rPr>
          <w:b/>
          <w:bCs/>
          <w:i/>
          <w:iCs/>
          <w:sz w:val="22"/>
          <w:szCs w:val="22"/>
        </w:rPr>
        <w:lastRenderedPageBreak/>
        <w:t>SRI 1.1. Брой деца и ученици записани</w:t>
      </w:r>
      <w:r w:rsidRPr="00D83669" w:rsidDel="006146A9">
        <w:rPr>
          <w:b/>
          <w:bCs/>
          <w:i/>
          <w:iCs/>
          <w:sz w:val="22"/>
          <w:szCs w:val="22"/>
        </w:rPr>
        <w:t xml:space="preserve"> </w:t>
      </w:r>
      <w:r w:rsidRPr="00D83669">
        <w:rPr>
          <w:b/>
          <w:bCs/>
          <w:i/>
          <w:iCs/>
          <w:sz w:val="22"/>
          <w:szCs w:val="22"/>
        </w:rPr>
        <w:t>в предучилищно и училищно образование чрез механизма за съвместна работа на институциите</w:t>
      </w:r>
      <w:bookmarkEnd w:id="87"/>
      <w:bookmarkEnd w:id="88"/>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66E7CE56" w14:textId="77777777" w:rsidTr="00581C53">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826E515" w14:textId="43473452"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 Показателят</w:t>
            </w:r>
            <w:r w:rsidR="003C7472" w:rsidRPr="00D83669">
              <w:rPr>
                <w:rFonts w:ascii="Times New Roman" w:hAnsi="Times New Roman"/>
                <w:b/>
                <w:bCs/>
                <w:sz w:val="24"/>
              </w:rPr>
              <w:t xml:space="preserve"> </w:t>
            </w:r>
            <w:r w:rsidRPr="00D83669">
              <w:rPr>
                <w:rFonts w:ascii="Times New Roman" w:hAnsi="Times New Roman"/>
                <w:b/>
                <w:bCs/>
                <w:sz w:val="24"/>
              </w:rPr>
              <w:t>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72F269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66F8EFBD" w14:textId="77777777" w:rsidTr="00581C53">
        <w:tc>
          <w:tcPr>
            <w:tcW w:w="2269" w:type="dxa"/>
            <w:shd w:val="clear" w:color="auto" w:fill="auto"/>
            <w:vAlign w:val="center"/>
          </w:tcPr>
          <w:p w14:paraId="65E399AC" w14:textId="1DAEFC1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678B52EB" w14:textId="77777777" w:rsidR="00D857FE" w:rsidRPr="00D83669" w:rsidRDefault="00D857FE" w:rsidP="00CC7BCB">
            <w:pPr>
              <w:tabs>
                <w:tab w:val="left" w:pos="5532"/>
              </w:tabs>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1.1. Брой деца и ученици записани</w:t>
            </w:r>
            <w:r w:rsidRPr="00D83669" w:rsidDel="006146A9">
              <w:rPr>
                <w:rFonts w:ascii="Times New Roman" w:hAnsi="Times New Roman"/>
                <w:sz w:val="24"/>
              </w:rPr>
              <w:t xml:space="preserve"> </w:t>
            </w:r>
            <w:r w:rsidRPr="00D83669">
              <w:rPr>
                <w:rFonts w:ascii="Times New Roman" w:hAnsi="Times New Roman"/>
                <w:sz w:val="24"/>
              </w:rPr>
              <w:t>в предучилищно и училищно образование чрез механизма за съвместна работа на институциите</w:t>
            </w:r>
          </w:p>
        </w:tc>
      </w:tr>
      <w:tr w:rsidR="00D857FE" w:rsidRPr="00D83669" w14:paraId="017B8B4B" w14:textId="77777777" w:rsidTr="00581C53">
        <w:tc>
          <w:tcPr>
            <w:tcW w:w="2269" w:type="dxa"/>
            <w:shd w:val="clear" w:color="auto" w:fill="auto"/>
            <w:vAlign w:val="center"/>
          </w:tcPr>
          <w:p w14:paraId="771214D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0BB6DE51" w14:textId="5D09D113"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16CC56A9" w14:textId="77777777" w:rsidTr="00581C53">
        <w:tc>
          <w:tcPr>
            <w:tcW w:w="2269" w:type="dxa"/>
            <w:shd w:val="clear" w:color="auto" w:fill="auto"/>
            <w:vAlign w:val="center"/>
          </w:tcPr>
          <w:p w14:paraId="7B9B62C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13289442"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е)</w:t>
            </w:r>
            <w:r w:rsidRPr="00D83669">
              <w:rPr>
                <w:rFonts w:ascii="Times New Roman" w:hAnsi="Times New Roman"/>
                <w:sz w:val="24"/>
              </w:rPr>
              <w:t xml:space="preserve"> –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6D2597E3" w14:textId="77777777" w:rsidTr="00581C53">
        <w:trPr>
          <w:trHeight w:val="1549"/>
        </w:trPr>
        <w:tc>
          <w:tcPr>
            <w:tcW w:w="2269" w:type="dxa"/>
            <w:shd w:val="clear" w:color="auto" w:fill="auto"/>
            <w:vAlign w:val="center"/>
          </w:tcPr>
          <w:p w14:paraId="38254B1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09BE85F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Разширяване обхвата в предучилищното и училищно образование, чрез подкрепа за ефективното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w:t>
            </w:r>
          </w:p>
        </w:tc>
      </w:tr>
      <w:tr w:rsidR="00D857FE" w:rsidRPr="00D83669" w14:paraId="4271B2D6" w14:textId="77777777" w:rsidTr="00581C53">
        <w:tc>
          <w:tcPr>
            <w:tcW w:w="2269" w:type="dxa"/>
            <w:shd w:val="clear" w:color="auto" w:fill="auto"/>
            <w:vAlign w:val="center"/>
          </w:tcPr>
          <w:p w14:paraId="5640CCC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371" w:type="dxa"/>
            <w:shd w:val="clear" w:color="auto" w:fill="auto"/>
            <w:vAlign w:val="center"/>
          </w:tcPr>
          <w:p w14:paraId="0EFD1576" w14:textId="5CA6B41F" w:rsidR="00D857FE" w:rsidRPr="00D83669" w:rsidRDefault="00D857FE" w:rsidP="00CC7BCB">
            <w:pPr>
              <w:pStyle w:val="Default"/>
              <w:jc w:val="both"/>
              <w:rPr>
                <w:color w:val="auto"/>
              </w:rPr>
            </w:pPr>
            <w:r w:rsidRPr="00D83669">
              <w:rPr>
                <w:color w:val="auto"/>
              </w:rPr>
              <w:t>Показателят измерва броя на новозаписаните и нововключени в образование деца и ученици в задължителна предучилищна и училищна възраст, които са били незаписани/необхванати в образователната система преди участие в операцията, но които чрез подкрепата на ПО 2021 – 2027 г. по дейността за Механизма за съвместна работа на институциите, вече са записани и включени в образование в рамките на операцията по Програма „Образование“ 2021 – 2027 г.</w:t>
            </w:r>
          </w:p>
          <w:p w14:paraId="1E2D0C90" w14:textId="77777777" w:rsidR="00D857FE" w:rsidRPr="00D83669" w:rsidRDefault="00D857FE" w:rsidP="00CC7BCB">
            <w:pPr>
              <w:pStyle w:val="Default"/>
              <w:jc w:val="both"/>
              <w:rPr>
                <w:color w:val="auto"/>
              </w:rPr>
            </w:pPr>
            <w:r w:rsidRPr="00D83669">
              <w:rPr>
                <w:color w:val="auto"/>
              </w:rPr>
              <w:t xml:space="preserve"> Необхванати деца и ученици в задължителна предучилищна и училищна възраст са незаписани и отпаднали деца на възраст от 4 до 16 години, които по данни на ГД ГРАО имат настоящ адрес в страната, за които екипите за обхват не са получили сведения за заминаването им в чужбина и въпреки това не фигурират в Националната електронна информационна система за предучилищното и училищното образование (НЕИСПУО). Включени деца и ученици в образование чрез механизма за съвместна работа на институциите са деца и ученици в задължителна предучилищна и училищна възраст, които:</w:t>
            </w:r>
          </w:p>
          <w:p w14:paraId="4147A8BC" w14:textId="77777777" w:rsidR="00D857FE" w:rsidRPr="00D83669" w:rsidRDefault="00D857FE" w:rsidP="00CC7BCB">
            <w:pPr>
              <w:pStyle w:val="Default"/>
              <w:jc w:val="both"/>
              <w:rPr>
                <w:color w:val="auto"/>
              </w:rPr>
            </w:pPr>
            <w:r w:rsidRPr="00D83669">
              <w:rPr>
                <w:color w:val="auto"/>
              </w:rPr>
              <w:t xml:space="preserve">- са върнати и записани отново в образователната система, след като са били отпаднали и/или </w:t>
            </w:r>
          </w:p>
          <w:p w14:paraId="75210584" w14:textId="77777777" w:rsidR="00D857FE" w:rsidRPr="00D83669" w:rsidRDefault="00D857FE" w:rsidP="00CC7BCB">
            <w:pPr>
              <w:pStyle w:val="Default"/>
              <w:jc w:val="both"/>
              <w:rPr>
                <w:color w:val="auto"/>
              </w:rPr>
            </w:pPr>
            <w:r w:rsidRPr="00D83669">
              <w:rPr>
                <w:color w:val="auto"/>
              </w:rPr>
              <w:t>- са записани за първи път в образование, които никога преди не са били записвани в предучилищно или училищно образование и са записани в образователна институция, в резултат на действията на екипите за обхват.</w:t>
            </w:r>
          </w:p>
          <w:p w14:paraId="65B3EC00" w14:textId="67302086" w:rsidR="00D857FE" w:rsidRPr="00D83669" w:rsidRDefault="00D857FE" w:rsidP="00CC7BCB">
            <w:pPr>
              <w:pStyle w:val="Default"/>
              <w:jc w:val="both"/>
              <w:rPr>
                <w:color w:val="auto"/>
              </w:rPr>
            </w:pPr>
            <w:r w:rsidRPr="00D83669">
              <w:rPr>
                <w:color w:val="auto"/>
              </w:rPr>
              <w:t>Това са деца и ученици, които преди подкрепата на родителите им не са записани и не са участвали в образование, но след подкрепата по дейността вече са записани и са включени в образование, т.е. са нови за системата на образованието в рамките на програмния период.</w:t>
            </w:r>
          </w:p>
        </w:tc>
      </w:tr>
      <w:tr w:rsidR="00D857FE" w:rsidRPr="00D83669" w14:paraId="70075F44" w14:textId="77777777" w:rsidTr="00581C53">
        <w:tc>
          <w:tcPr>
            <w:tcW w:w="2269" w:type="dxa"/>
            <w:shd w:val="clear" w:color="auto" w:fill="auto"/>
            <w:vAlign w:val="center"/>
          </w:tcPr>
          <w:p w14:paraId="1EE698B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0F7E015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2FC095C2" w14:textId="77777777" w:rsidTr="00581C53">
        <w:tc>
          <w:tcPr>
            <w:tcW w:w="2269" w:type="dxa"/>
            <w:shd w:val="clear" w:color="auto" w:fill="auto"/>
            <w:vAlign w:val="center"/>
          </w:tcPr>
          <w:p w14:paraId="65DEB80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Крайна цел</w:t>
            </w:r>
          </w:p>
        </w:tc>
        <w:tc>
          <w:tcPr>
            <w:tcW w:w="7371" w:type="dxa"/>
            <w:shd w:val="clear" w:color="auto" w:fill="auto"/>
            <w:vAlign w:val="center"/>
          </w:tcPr>
          <w:p w14:paraId="2C46B5F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30 966</w:t>
            </w:r>
          </w:p>
        </w:tc>
      </w:tr>
      <w:tr w:rsidR="00D857FE" w:rsidRPr="00D83669" w14:paraId="6A88E835" w14:textId="77777777" w:rsidTr="00581C53">
        <w:tc>
          <w:tcPr>
            <w:tcW w:w="2269" w:type="dxa"/>
            <w:shd w:val="clear" w:color="auto" w:fill="auto"/>
            <w:vAlign w:val="center"/>
          </w:tcPr>
          <w:p w14:paraId="0A3E0E12" w14:textId="06721A40" w:rsidR="00D857FE" w:rsidRPr="00D83669" w:rsidRDefault="004F7B30"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09AE6CC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За гарантиране на устойчивост на резултатите по операцията се използва </w:t>
            </w:r>
            <w:r w:rsidRPr="00D83669">
              <w:rPr>
                <w:rFonts w:ascii="Times New Roman" w:hAnsi="Times New Roman"/>
                <w:b/>
                <w:sz w:val="24"/>
              </w:rPr>
              <w:t>коефициент на обхванатите</w:t>
            </w:r>
            <w:r w:rsidRPr="00D83669">
              <w:rPr>
                <w:rFonts w:ascii="Times New Roman" w:hAnsi="Times New Roman"/>
                <w:sz w:val="24"/>
              </w:rPr>
              <w:t xml:space="preserve"> деца и ученици в задължителна предучилищна и училищна възраст, който по данни на МОН в началото на учебната 2020/2021 година е 94,69%.</w:t>
            </w:r>
            <w:r w:rsidRPr="00D83669">
              <w:t xml:space="preserve"> </w:t>
            </w:r>
            <w:r w:rsidRPr="00D83669">
              <w:rPr>
                <w:rFonts w:ascii="Times New Roman" w:hAnsi="Times New Roman"/>
                <w:b/>
                <w:sz w:val="24"/>
              </w:rPr>
              <w:t>Коефициентът на обхванатите</w:t>
            </w:r>
            <w:r w:rsidRPr="00D83669">
              <w:rPr>
                <w:rFonts w:ascii="Times New Roman" w:hAnsi="Times New Roman"/>
                <w:sz w:val="24"/>
              </w:rPr>
              <w:t xml:space="preserve"> е определен като относителен дял на записаните в предучилищното и училищното образование деца и ученици в задължителна предучилищна и училищна възраст спрямо броя на населението за съответната година на раждане по данни на ГРАО, намален с броя на децата със статус „в чужбина“. Коефициентът на обхванатите е намалял от 95,27% към февруари 2020 г. в резултат на пандемията от </w:t>
            </w:r>
            <w:r w:rsidRPr="00D83669">
              <w:rPr>
                <w:rFonts w:ascii="Times New Roman" w:hAnsi="Times New Roman"/>
                <w:sz w:val="24"/>
                <w:lang w:val="en-US"/>
              </w:rPr>
              <w:t>COVID</w:t>
            </w:r>
            <w:r w:rsidRPr="00D83669">
              <w:rPr>
                <w:rFonts w:ascii="Times New Roman" w:hAnsi="Times New Roman"/>
                <w:sz w:val="24"/>
              </w:rPr>
              <w:t>-19.</w:t>
            </w:r>
          </w:p>
          <w:p w14:paraId="0390F162" w14:textId="0258EA86"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се определя на 94,69% от целевата стойност на показателя за краен продукт </w:t>
            </w:r>
            <w:r w:rsidRPr="00D83669">
              <w:rPr>
                <w:rFonts w:ascii="Times New Roman" w:hAnsi="Times New Roman"/>
                <w:sz w:val="24"/>
                <w:lang w:val="en-US"/>
              </w:rPr>
              <w:t>SOI</w:t>
            </w:r>
            <w:r w:rsidRPr="00D83669">
              <w:rPr>
                <w:rFonts w:ascii="Times New Roman" w:hAnsi="Times New Roman"/>
                <w:sz w:val="24"/>
              </w:rPr>
              <w:t xml:space="preserve"> 1.1. или 32</w:t>
            </w:r>
            <w:r w:rsidRPr="00D83669">
              <w:rPr>
                <w:rFonts w:ascii="Times New Roman" w:hAnsi="Times New Roman"/>
                <w:sz w:val="24"/>
                <w:lang w:val="en-US"/>
              </w:rPr>
              <w:t> </w:t>
            </w:r>
            <w:r w:rsidRPr="00D83669">
              <w:rPr>
                <w:rFonts w:ascii="Times New Roman" w:hAnsi="Times New Roman"/>
                <w:sz w:val="24"/>
              </w:rPr>
              <w:t>702</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94,69%</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30</w:t>
            </w:r>
            <w:r w:rsidRPr="00D83669">
              <w:rPr>
                <w:rFonts w:ascii="Times New Roman" w:hAnsi="Times New Roman"/>
                <w:sz w:val="24"/>
                <w:lang w:val="en-US"/>
              </w:rPr>
              <w:t> </w:t>
            </w:r>
            <w:r w:rsidRPr="00D83669">
              <w:rPr>
                <w:rFonts w:ascii="Times New Roman" w:hAnsi="Times New Roman"/>
                <w:sz w:val="24"/>
              </w:rPr>
              <w:t>966 деца и ученици, включени в предучилищно и училищно образование чрез механизма за съвместна работа на институциите за 5 годишен период на операцията.</w:t>
            </w:r>
          </w:p>
        </w:tc>
      </w:tr>
      <w:tr w:rsidR="00D857FE" w:rsidRPr="00D83669" w14:paraId="5C98A6B3" w14:textId="77777777" w:rsidTr="00581C53">
        <w:tc>
          <w:tcPr>
            <w:tcW w:w="2269" w:type="dxa"/>
            <w:shd w:val="clear" w:color="auto" w:fill="auto"/>
            <w:vAlign w:val="center"/>
          </w:tcPr>
          <w:p w14:paraId="21412E8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371" w:type="dxa"/>
            <w:shd w:val="clear" w:color="auto" w:fill="auto"/>
            <w:vAlign w:val="center"/>
          </w:tcPr>
          <w:p w14:paraId="5CA2620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29 791</w:t>
            </w:r>
          </w:p>
        </w:tc>
      </w:tr>
      <w:tr w:rsidR="00D857FE" w:rsidRPr="00D83669" w14:paraId="143F3FAC" w14:textId="77777777" w:rsidTr="00581C53">
        <w:tc>
          <w:tcPr>
            <w:tcW w:w="2269" w:type="dxa"/>
            <w:shd w:val="clear" w:color="auto" w:fill="auto"/>
            <w:vAlign w:val="center"/>
          </w:tcPr>
          <w:p w14:paraId="6740054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референтна стойност</w:t>
            </w:r>
          </w:p>
        </w:tc>
        <w:tc>
          <w:tcPr>
            <w:tcW w:w="7371" w:type="dxa"/>
            <w:shd w:val="clear" w:color="auto" w:fill="auto"/>
            <w:vAlign w:val="center"/>
          </w:tcPr>
          <w:p w14:paraId="1E17765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Нетен резултат от прилагането на механизма за 4 учебни години: </w:t>
            </w:r>
          </w:p>
          <w:tbl>
            <w:tblPr>
              <w:tblStyle w:val="TableGrid"/>
              <w:tblW w:w="5000" w:type="pct"/>
              <w:jc w:val="center"/>
              <w:tblLayout w:type="fixed"/>
              <w:tblLook w:val="04A0" w:firstRow="1" w:lastRow="0" w:firstColumn="1" w:lastColumn="0" w:noHBand="0" w:noVBand="1"/>
            </w:tblPr>
            <w:tblGrid>
              <w:gridCol w:w="1248"/>
              <w:gridCol w:w="1203"/>
              <w:gridCol w:w="1792"/>
              <w:gridCol w:w="1915"/>
              <w:gridCol w:w="987"/>
            </w:tblGrid>
            <w:tr w:rsidR="00D857FE" w:rsidRPr="00D83669" w14:paraId="4F1D27ED" w14:textId="77777777" w:rsidTr="00CC7BCB">
              <w:trPr>
                <w:jc w:val="center"/>
              </w:trPr>
              <w:tc>
                <w:tcPr>
                  <w:tcW w:w="873" w:type="pct"/>
                </w:tcPr>
                <w:p w14:paraId="0523E9FC" w14:textId="77777777" w:rsidR="00D857FE" w:rsidRPr="00D83669" w:rsidRDefault="00D857FE" w:rsidP="00CC7BCB">
                  <w:pPr>
                    <w:jc w:val="both"/>
                    <w:rPr>
                      <w:rFonts w:ascii="Times New Roman" w:hAnsi="Times New Roman"/>
                      <w:sz w:val="20"/>
                      <w:szCs w:val="18"/>
                    </w:rPr>
                  </w:pPr>
                </w:p>
              </w:tc>
              <w:tc>
                <w:tcPr>
                  <w:tcW w:w="842" w:type="pct"/>
                </w:tcPr>
                <w:p w14:paraId="4DD41E1F" w14:textId="77777777" w:rsidR="00D857FE" w:rsidRPr="00D83669" w:rsidRDefault="00D857FE" w:rsidP="00CC7BCB">
                  <w:pPr>
                    <w:jc w:val="both"/>
                    <w:rPr>
                      <w:rFonts w:ascii="Times New Roman" w:hAnsi="Times New Roman"/>
                      <w:b/>
                      <w:i/>
                      <w:sz w:val="20"/>
                      <w:szCs w:val="18"/>
                    </w:rPr>
                  </w:pPr>
                  <w:r w:rsidRPr="00D83669">
                    <w:rPr>
                      <w:rFonts w:ascii="Times New Roman" w:hAnsi="Times New Roman"/>
                      <w:b/>
                      <w:i/>
                      <w:sz w:val="20"/>
                      <w:szCs w:val="18"/>
                    </w:rPr>
                    <w:t>Върнати</w:t>
                  </w:r>
                </w:p>
              </w:tc>
              <w:tc>
                <w:tcPr>
                  <w:tcW w:w="1254" w:type="pct"/>
                </w:tcPr>
                <w:p w14:paraId="5D94603B" w14:textId="77777777" w:rsidR="00D857FE" w:rsidRPr="00D83669" w:rsidRDefault="00D857FE" w:rsidP="00CC7BCB">
                  <w:pPr>
                    <w:jc w:val="both"/>
                    <w:rPr>
                      <w:rFonts w:ascii="Times New Roman" w:hAnsi="Times New Roman"/>
                      <w:b/>
                      <w:i/>
                      <w:sz w:val="20"/>
                      <w:szCs w:val="18"/>
                    </w:rPr>
                  </w:pPr>
                  <w:r w:rsidRPr="00D83669">
                    <w:rPr>
                      <w:rFonts w:ascii="Times New Roman" w:hAnsi="Times New Roman"/>
                      <w:b/>
                      <w:i/>
                      <w:sz w:val="20"/>
                      <w:szCs w:val="18"/>
                    </w:rPr>
                    <w:t>Повторно отпаднали (незадържани)</w:t>
                  </w:r>
                </w:p>
              </w:tc>
              <w:tc>
                <w:tcPr>
                  <w:tcW w:w="1340" w:type="pct"/>
                </w:tcPr>
                <w:p w14:paraId="203C9087" w14:textId="77777777" w:rsidR="00D857FE" w:rsidRPr="00D83669" w:rsidRDefault="00D857FE" w:rsidP="00CC7BCB">
                  <w:pPr>
                    <w:jc w:val="both"/>
                    <w:rPr>
                      <w:rFonts w:ascii="Times New Roman" w:hAnsi="Times New Roman"/>
                      <w:b/>
                      <w:i/>
                      <w:sz w:val="20"/>
                      <w:szCs w:val="18"/>
                    </w:rPr>
                  </w:pPr>
                  <w:r w:rsidRPr="00D83669">
                    <w:rPr>
                      <w:rFonts w:ascii="Times New Roman" w:hAnsi="Times New Roman"/>
                      <w:b/>
                      <w:i/>
                      <w:sz w:val="20"/>
                      <w:szCs w:val="18"/>
                    </w:rPr>
                    <w:t>Новоотпаднали</w:t>
                  </w:r>
                </w:p>
              </w:tc>
              <w:tc>
                <w:tcPr>
                  <w:tcW w:w="692" w:type="pct"/>
                </w:tcPr>
                <w:p w14:paraId="4E813D65" w14:textId="77777777" w:rsidR="00D857FE" w:rsidRPr="00D83669" w:rsidRDefault="00D857FE" w:rsidP="00CC7BCB">
                  <w:pPr>
                    <w:jc w:val="both"/>
                    <w:rPr>
                      <w:rFonts w:ascii="Times New Roman" w:hAnsi="Times New Roman"/>
                      <w:b/>
                      <w:i/>
                      <w:sz w:val="20"/>
                      <w:szCs w:val="18"/>
                    </w:rPr>
                  </w:pPr>
                  <w:r w:rsidRPr="00D83669">
                    <w:rPr>
                      <w:rFonts w:ascii="Times New Roman" w:hAnsi="Times New Roman"/>
                      <w:b/>
                      <w:i/>
                      <w:sz w:val="20"/>
                      <w:szCs w:val="18"/>
                    </w:rPr>
                    <w:t>Баланс</w:t>
                  </w:r>
                </w:p>
              </w:tc>
            </w:tr>
            <w:tr w:rsidR="00D857FE" w:rsidRPr="00D83669" w14:paraId="566A379E" w14:textId="77777777" w:rsidTr="00CC7BCB">
              <w:trPr>
                <w:jc w:val="center"/>
              </w:trPr>
              <w:tc>
                <w:tcPr>
                  <w:tcW w:w="873" w:type="pct"/>
                </w:tcPr>
                <w:p w14:paraId="2C919FF1"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2017/2018</w:t>
                  </w:r>
                </w:p>
              </w:tc>
              <w:tc>
                <w:tcPr>
                  <w:tcW w:w="842" w:type="pct"/>
                </w:tcPr>
                <w:p w14:paraId="69B1A927"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21 917</w:t>
                  </w:r>
                </w:p>
              </w:tc>
              <w:tc>
                <w:tcPr>
                  <w:tcW w:w="1254" w:type="pct"/>
                </w:tcPr>
                <w:p w14:paraId="5FB33DBE"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1 221</w:t>
                  </w:r>
                </w:p>
              </w:tc>
              <w:tc>
                <w:tcPr>
                  <w:tcW w:w="1340" w:type="pct"/>
                </w:tcPr>
                <w:p w14:paraId="7A549689"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14 058</w:t>
                  </w:r>
                </w:p>
              </w:tc>
              <w:tc>
                <w:tcPr>
                  <w:tcW w:w="692" w:type="pct"/>
                </w:tcPr>
                <w:p w14:paraId="1A1FF0EB" w14:textId="77777777" w:rsidR="00D857FE" w:rsidRPr="00D83669" w:rsidRDefault="00D857FE" w:rsidP="00CC7BCB">
                  <w:pPr>
                    <w:pStyle w:val="ListParagraph"/>
                    <w:ind w:left="0"/>
                    <w:rPr>
                      <w:rFonts w:ascii="Times New Roman" w:hAnsi="Times New Roman"/>
                      <w:szCs w:val="18"/>
                    </w:rPr>
                  </w:pPr>
                  <w:r w:rsidRPr="00D83669">
                    <w:rPr>
                      <w:rFonts w:ascii="Times New Roman" w:hAnsi="Times New Roman"/>
                      <w:szCs w:val="18"/>
                    </w:rPr>
                    <w:t>6 638</w:t>
                  </w:r>
                </w:p>
              </w:tc>
            </w:tr>
            <w:tr w:rsidR="00D857FE" w:rsidRPr="00D83669" w14:paraId="4FDD32E6" w14:textId="77777777" w:rsidTr="00CC7BCB">
              <w:trPr>
                <w:jc w:val="center"/>
              </w:trPr>
              <w:tc>
                <w:tcPr>
                  <w:tcW w:w="873" w:type="pct"/>
                </w:tcPr>
                <w:p w14:paraId="43E496D8"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2018/2019</w:t>
                  </w:r>
                </w:p>
              </w:tc>
              <w:tc>
                <w:tcPr>
                  <w:tcW w:w="842" w:type="pct"/>
                </w:tcPr>
                <w:p w14:paraId="337BAC45"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19 077</w:t>
                  </w:r>
                </w:p>
              </w:tc>
              <w:tc>
                <w:tcPr>
                  <w:tcW w:w="1254" w:type="pct"/>
                </w:tcPr>
                <w:p w14:paraId="2A8C97B4"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822</w:t>
                  </w:r>
                </w:p>
              </w:tc>
              <w:tc>
                <w:tcPr>
                  <w:tcW w:w="1340" w:type="pct"/>
                </w:tcPr>
                <w:p w14:paraId="6EA4968D"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5 210</w:t>
                  </w:r>
                </w:p>
              </w:tc>
              <w:tc>
                <w:tcPr>
                  <w:tcW w:w="692" w:type="pct"/>
                </w:tcPr>
                <w:p w14:paraId="3B3087F9"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13 045</w:t>
                  </w:r>
                </w:p>
              </w:tc>
            </w:tr>
            <w:tr w:rsidR="00D857FE" w:rsidRPr="00D83669" w14:paraId="14EB4801" w14:textId="77777777" w:rsidTr="00CC7BCB">
              <w:trPr>
                <w:jc w:val="center"/>
              </w:trPr>
              <w:tc>
                <w:tcPr>
                  <w:tcW w:w="873" w:type="pct"/>
                </w:tcPr>
                <w:p w14:paraId="73F67A6B" w14:textId="77777777" w:rsidR="00D857FE" w:rsidRPr="00D83669" w:rsidRDefault="00D857FE" w:rsidP="00CC7BCB">
                  <w:pPr>
                    <w:jc w:val="both"/>
                    <w:rPr>
                      <w:rFonts w:ascii="Times New Roman" w:hAnsi="Times New Roman"/>
                      <w:sz w:val="20"/>
                      <w:szCs w:val="18"/>
                      <w:lang w:val="en-US"/>
                    </w:rPr>
                  </w:pPr>
                  <w:r w:rsidRPr="00D83669">
                    <w:rPr>
                      <w:rFonts w:ascii="Times New Roman" w:hAnsi="Times New Roman"/>
                      <w:sz w:val="20"/>
                      <w:szCs w:val="18"/>
                    </w:rPr>
                    <w:t>2019/2020</w:t>
                  </w:r>
                </w:p>
              </w:tc>
              <w:tc>
                <w:tcPr>
                  <w:tcW w:w="842" w:type="pct"/>
                </w:tcPr>
                <w:p w14:paraId="51C3450B"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11 110</w:t>
                  </w:r>
                </w:p>
              </w:tc>
              <w:tc>
                <w:tcPr>
                  <w:tcW w:w="1254" w:type="pct"/>
                </w:tcPr>
                <w:p w14:paraId="4B3C9FAC"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343</w:t>
                  </w:r>
                </w:p>
              </w:tc>
              <w:tc>
                <w:tcPr>
                  <w:tcW w:w="1340" w:type="pct"/>
                </w:tcPr>
                <w:p w14:paraId="6FC659CE"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3 718</w:t>
                  </w:r>
                </w:p>
              </w:tc>
              <w:tc>
                <w:tcPr>
                  <w:tcW w:w="692" w:type="pct"/>
                </w:tcPr>
                <w:p w14:paraId="27702940"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7 049</w:t>
                  </w:r>
                </w:p>
              </w:tc>
            </w:tr>
            <w:tr w:rsidR="00D857FE" w:rsidRPr="00D83669" w14:paraId="1777039B" w14:textId="77777777" w:rsidTr="00CC7BCB">
              <w:trPr>
                <w:jc w:val="center"/>
              </w:trPr>
              <w:tc>
                <w:tcPr>
                  <w:tcW w:w="873" w:type="pct"/>
                </w:tcPr>
                <w:p w14:paraId="21361A58" w14:textId="77777777" w:rsidR="00D857FE" w:rsidRPr="00D83669" w:rsidRDefault="00D857FE" w:rsidP="00CC7BCB">
                  <w:pPr>
                    <w:jc w:val="both"/>
                    <w:rPr>
                      <w:rFonts w:ascii="Times New Roman" w:hAnsi="Times New Roman"/>
                      <w:sz w:val="20"/>
                      <w:szCs w:val="18"/>
                    </w:rPr>
                  </w:pPr>
                  <w:r w:rsidRPr="00D83669">
                    <w:rPr>
                      <w:rFonts w:ascii="Times New Roman" w:hAnsi="Times New Roman"/>
                      <w:b/>
                      <w:sz w:val="20"/>
                      <w:szCs w:val="18"/>
                    </w:rPr>
                    <w:t>2020/2021</w:t>
                  </w:r>
                </w:p>
              </w:tc>
              <w:tc>
                <w:tcPr>
                  <w:tcW w:w="842" w:type="pct"/>
                </w:tcPr>
                <w:p w14:paraId="339D5C7D" w14:textId="77777777" w:rsidR="00D857FE" w:rsidRPr="00D83669" w:rsidRDefault="00D857FE" w:rsidP="00CC7BCB">
                  <w:pPr>
                    <w:jc w:val="both"/>
                    <w:rPr>
                      <w:rFonts w:ascii="Times New Roman" w:hAnsi="Times New Roman"/>
                      <w:sz w:val="20"/>
                      <w:szCs w:val="18"/>
                    </w:rPr>
                  </w:pPr>
                  <w:r w:rsidRPr="00D83669">
                    <w:rPr>
                      <w:rFonts w:ascii="Times New Roman" w:hAnsi="Times New Roman"/>
                      <w:b/>
                      <w:sz w:val="20"/>
                      <w:szCs w:val="18"/>
                    </w:rPr>
                    <w:t>7 549</w:t>
                  </w:r>
                </w:p>
              </w:tc>
              <w:tc>
                <w:tcPr>
                  <w:tcW w:w="1254" w:type="pct"/>
                </w:tcPr>
                <w:p w14:paraId="36F1FBEE" w14:textId="77777777" w:rsidR="00D857FE" w:rsidRPr="00D83669" w:rsidRDefault="00D857FE" w:rsidP="00CC7BCB">
                  <w:pPr>
                    <w:jc w:val="both"/>
                    <w:rPr>
                      <w:rFonts w:ascii="Times New Roman" w:hAnsi="Times New Roman"/>
                      <w:sz w:val="20"/>
                      <w:szCs w:val="18"/>
                    </w:rPr>
                  </w:pPr>
                  <w:r w:rsidRPr="00D83669">
                    <w:rPr>
                      <w:rFonts w:ascii="Times New Roman" w:hAnsi="Times New Roman"/>
                      <w:b/>
                      <w:sz w:val="20"/>
                      <w:szCs w:val="18"/>
                    </w:rPr>
                    <w:t>278</w:t>
                  </w:r>
                </w:p>
              </w:tc>
              <w:tc>
                <w:tcPr>
                  <w:tcW w:w="1340" w:type="pct"/>
                </w:tcPr>
                <w:p w14:paraId="7C5AAF1A" w14:textId="77777777" w:rsidR="00D857FE" w:rsidRPr="00D83669" w:rsidRDefault="00D857FE" w:rsidP="00CC7BCB">
                  <w:pPr>
                    <w:jc w:val="both"/>
                    <w:rPr>
                      <w:rFonts w:ascii="Times New Roman" w:hAnsi="Times New Roman"/>
                      <w:sz w:val="20"/>
                      <w:szCs w:val="18"/>
                    </w:rPr>
                  </w:pPr>
                  <w:r w:rsidRPr="00D83669">
                    <w:rPr>
                      <w:rFonts w:ascii="Times New Roman" w:hAnsi="Times New Roman"/>
                      <w:b/>
                      <w:sz w:val="20"/>
                      <w:szCs w:val="18"/>
                    </w:rPr>
                    <w:t>4 212</w:t>
                  </w:r>
                </w:p>
              </w:tc>
              <w:tc>
                <w:tcPr>
                  <w:tcW w:w="692" w:type="pct"/>
                </w:tcPr>
                <w:p w14:paraId="3DFC69E3" w14:textId="77777777" w:rsidR="00D857FE" w:rsidRPr="00D83669" w:rsidRDefault="00D857FE" w:rsidP="00CC7BCB">
                  <w:pPr>
                    <w:jc w:val="both"/>
                    <w:rPr>
                      <w:rFonts w:ascii="Times New Roman" w:hAnsi="Times New Roman"/>
                      <w:sz w:val="20"/>
                      <w:szCs w:val="18"/>
                    </w:rPr>
                  </w:pPr>
                  <w:r w:rsidRPr="00D83669">
                    <w:rPr>
                      <w:rFonts w:ascii="Times New Roman" w:hAnsi="Times New Roman"/>
                      <w:sz w:val="20"/>
                      <w:szCs w:val="18"/>
                    </w:rPr>
                    <w:t>3 059</w:t>
                  </w:r>
                </w:p>
              </w:tc>
            </w:tr>
            <w:tr w:rsidR="00D857FE" w:rsidRPr="00D83669" w14:paraId="74FABB7A" w14:textId="77777777" w:rsidTr="00CC7BCB">
              <w:trPr>
                <w:jc w:val="center"/>
              </w:trPr>
              <w:tc>
                <w:tcPr>
                  <w:tcW w:w="873" w:type="pct"/>
                </w:tcPr>
                <w:p w14:paraId="4BD2187D" w14:textId="77777777" w:rsidR="00D857FE" w:rsidRPr="00D83669" w:rsidRDefault="00D857FE" w:rsidP="00CC7BCB">
                  <w:pPr>
                    <w:jc w:val="both"/>
                    <w:rPr>
                      <w:rFonts w:ascii="Times New Roman" w:hAnsi="Times New Roman"/>
                      <w:sz w:val="20"/>
                      <w:szCs w:val="18"/>
                    </w:rPr>
                  </w:pPr>
                </w:p>
              </w:tc>
              <w:tc>
                <w:tcPr>
                  <w:tcW w:w="842" w:type="pct"/>
                </w:tcPr>
                <w:p w14:paraId="560262AD" w14:textId="77777777" w:rsidR="00D857FE" w:rsidRPr="00D83669" w:rsidRDefault="00D857FE" w:rsidP="00CC7BCB">
                  <w:pPr>
                    <w:jc w:val="both"/>
                    <w:rPr>
                      <w:rFonts w:ascii="Times New Roman" w:hAnsi="Times New Roman"/>
                      <w:b/>
                      <w:sz w:val="20"/>
                      <w:szCs w:val="18"/>
                    </w:rPr>
                  </w:pPr>
                  <w:r w:rsidRPr="00D83669">
                    <w:rPr>
                      <w:rFonts w:ascii="Times New Roman" w:hAnsi="Times New Roman"/>
                      <w:b/>
                      <w:sz w:val="20"/>
                      <w:szCs w:val="18"/>
                    </w:rPr>
                    <w:t>59 653</w:t>
                  </w:r>
                </w:p>
              </w:tc>
              <w:tc>
                <w:tcPr>
                  <w:tcW w:w="1254" w:type="pct"/>
                </w:tcPr>
                <w:p w14:paraId="34907CF0" w14:textId="77777777" w:rsidR="00D857FE" w:rsidRPr="00D83669" w:rsidRDefault="00D857FE" w:rsidP="00CC7BCB">
                  <w:pPr>
                    <w:jc w:val="both"/>
                    <w:rPr>
                      <w:rFonts w:ascii="Times New Roman" w:hAnsi="Times New Roman"/>
                      <w:b/>
                      <w:sz w:val="20"/>
                      <w:szCs w:val="18"/>
                    </w:rPr>
                  </w:pPr>
                  <w:r w:rsidRPr="00D83669">
                    <w:rPr>
                      <w:rFonts w:ascii="Times New Roman" w:hAnsi="Times New Roman"/>
                      <w:b/>
                      <w:sz w:val="20"/>
                      <w:szCs w:val="18"/>
                    </w:rPr>
                    <w:t>2 664</w:t>
                  </w:r>
                </w:p>
              </w:tc>
              <w:tc>
                <w:tcPr>
                  <w:tcW w:w="1340" w:type="pct"/>
                </w:tcPr>
                <w:p w14:paraId="2615C0DB" w14:textId="77777777" w:rsidR="00D857FE" w:rsidRPr="00D83669" w:rsidRDefault="00D857FE" w:rsidP="00CC7BCB">
                  <w:pPr>
                    <w:jc w:val="both"/>
                    <w:rPr>
                      <w:rFonts w:ascii="Times New Roman" w:hAnsi="Times New Roman"/>
                      <w:b/>
                      <w:sz w:val="20"/>
                      <w:szCs w:val="18"/>
                    </w:rPr>
                  </w:pPr>
                  <w:r w:rsidRPr="00D83669">
                    <w:rPr>
                      <w:rFonts w:ascii="Times New Roman" w:hAnsi="Times New Roman"/>
                      <w:b/>
                      <w:sz w:val="20"/>
                      <w:szCs w:val="18"/>
                    </w:rPr>
                    <w:t>27 198</w:t>
                  </w:r>
                </w:p>
              </w:tc>
              <w:tc>
                <w:tcPr>
                  <w:tcW w:w="692" w:type="pct"/>
                </w:tcPr>
                <w:p w14:paraId="2B9457D8" w14:textId="77777777" w:rsidR="00D857FE" w:rsidRPr="00D83669" w:rsidRDefault="00D857FE" w:rsidP="00CC7BCB">
                  <w:pPr>
                    <w:pStyle w:val="ListParagraph"/>
                    <w:ind w:left="22"/>
                    <w:rPr>
                      <w:rFonts w:ascii="Times New Roman" w:hAnsi="Times New Roman"/>
                      <w:b/>
                      <w:szCs w:val="18"/>
                    </w:rPr>
                  </w:pPr>
                  <w:r w:rsidRPr="00D83669">
                    <w:rPr>
                      <w:rFonts w:ascii="Times New Roman" w:hAnsi="Times New Roman"/>
                      <w:b/>
                      <w:szCs w:val="18"/>
                    </w:rPr>
                    <w:t>29 791</w:t>
                  </w:r>
                </w:p>
              </w:tc>
            </w:tr>
          </w:tbl>
          <w:p w14:paraId="51F7387F" w14:textId="77777777" w:rsidR="00D857FE" w:rsidRPr="00D83669" w:rsidRDefault="00D857FE" w:rsidP="00CC7BCB">
            <w:pPr>
              <w:jc w:val="both"/>
              <w:rPr>
                <w:rFonts w:ascii="Times New Roman" w:hAnsi="Times New Roman"/>
                <w:sz w:val="24"/>
              </w:rPr>
            </w:pPr>
          </w:p>
        </w:tc>
      </w:tr>
      <w:tr w:rsidR="00D857FE" w:rsidRPr="00D83669" w14:paraId="3C4629D8" w14:textId="77777777" w:rsidTr="00581C53">
        <w:tc>
          <w:tcPr>
            <w:tcW w:w="2269" w:type="dxa"/>
            <w:shd w:val="clear" w:color="auto" w:fill="auto"/>
            <w:vAlign w:val="center"/>
          </w:tcPr>
          <w:p w14:paraId="597A73A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1" w:type="dxa"/>
            <w:shd w:val="clear" w:color="auto" w:fill="auto"/>
            <w:vAlign w:val="center"/>
          </w:tcPr>
          <w:p w14:paraId="1C6A7CE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децата и ученици и техните родители по демографски, социални характеристики.</w:t>
            </w:r>
          </w:p>
        </w:tc>
      </w:tr>
      <w:tr w:rsidR="00D857FE" w:rsidRPr="00D83669" w14:paraId="55AB6B12" w14:textId="77777777" w:rsidTr="00581C53">
        <w:tc>
          <w:tcPr>
            <w:tcW w:w="2269" w:type="dxa"/>
            <w:shd w:val="clear" w:color="auto" w:fill="auto"/>
            <w:vAlign w:val="center"/>
          </w:tcPr>
          <w:p w14:paraId="6AC0165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6625DD6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събират, за да се проследи колко от децата и учениците в задължителна предучилищна и училищна възраст, обхванати чрез механизма за обхват на институциите, са променили статуса си от необхванати в образователната система в началото на 5 годишния период на операцията на записани и включени в образование в края на същия по Програма „Образование“ 2021 – 2027 г. като фигурират в Националната електронна информационна система за предучилищното и училищното образование (НЕИСПУО). </w:t>
            </w:r>
          </w:p>
        </w:tc>
      </w:tr>
      <w:tr w:rsidR="00D857FE" w:rsidRPr="00D83669" w14:paraId="67DE95F6" w14:textId="77777777" w:rsidTr="00581C53">
        <w:tc>
          <w:tcPr>
            <w:tcW w:w="2269" w:type="dxa"/>
            <w:shd w:val="clear" w:color="auto" w:fill="auto"/>
            <w:vAlign w:val="center"/>
          </w:tcPr>
          <w:p w14:paraId="2C37634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p w14:paraId="63E8C7E0" w14:textId="77777777" w:rsidR="00D857FE" w:rsidRPr="00D83669" w:rsidRDefault="00D857FE" w:rsidP="00CC7BCB">
            <w:pPr>
              <w:rPr>
                <w:rFonts w:ascii="Times New Roman" w:hAnsi="Times New Roman"/>
                <w:sz w:val="24"/>
              </w:rPr>
            </w:pPr>
          </w:p>
        </w:tc>
        <w:tc>
          <w:tcPr>
            <w:tcW w:w="7371" w:type="dxa"/>
            <w:shd w:val="clear" w:color="auto" w:fill="auto"/>
            <w:vAlign w:val="center"/>
          </w:tcPr>
          <w:p w14:paraId="7448CCD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текущо на база представена от МОН информация от въведената в Информационната система за реализиране на Механизма придружаваща техническите отчети</w:t>
            </w:r>
            <w:r w:rsidRPr="00D83669">
              <w:t xml:space="preserve"> </w:t>
            </w:r>
            <w:r w:rsidRPr="00D83669">
              <w:rPr>
                <w:rFonts w:ascii="Times New Roman" w:hAnsi="Times New Roman"/>
                <w:sz w:val="24"/>
              </w:rPr>
              <w:t xml:space="preserve">и ще съдържат: </w:t>
            </w:r>
          </w:p>
          <w:p w14:paraId="27E74699" w14:textId="77777777" w:rsidR="00D857FE" w:rsidRPr="00D83669" w:rsidRDefault="00D857FE" w:rsidP="00581C53">
            <w:pPr>
              <w:spacing w:line="240" w:lineRule="auto"/>
              <w:jc w:val="both"/>
              <w:rPr>
                <w:rFonts w:ascii="Times New Roman" w:hAnsi="Times New Roman"/>
                <w:sz w:val="24"/>
              </w:rPr>
            </w:pPr>
            <w:r w:rsidRPr="00D83669">
              <w:rPr>
                <w:rFonts w:ascii="Times New Roman" w:hAnsi="Times New Roman"/>
                <w:sz w:val="24"/>
              </w:rPr>
              <w:lastRenderedPageBreak/>
              <w:t>- данни за необхванатите (незаписани и отпаднали деца и ученици) за отчетния период;</w:t>
            </w:r>
          </w:p>
          <w:p w14:paraId="6E8C2409" w14:textId="77777777" w:rsidR="00D857FE" w:rsidRPr="00D83669" w:rsidRDefault="00D857FE" w:rsidP="00581C53">
            <w:pPr>
              <w:spacing w:line="240" w:lineRule="auto"/>
              <w:jc w:val="both"/>
              <w:rPr>
                <w:rFonts w:ascii="Times New Roman" w:hAnsi="Times New Roman"/>
                <w:sz w:val="24"/>
              </w:rPr>
            </w:pPr>
            <w:r w:rsidRPr="00D83669">
              <w:rPr>
                <w:rFonts w:ascii="Times New Roman" w:hAnsi="Times New Roman"/>
                <w:sz w:val="24"/>
              </w:rPr>
              <w:t xml:space="preserve">- данни за обхванатите/посетените от екипите за обхват по Механизма деца и ученици от идентифицираните необхванати – колко са върнати и записани отново в образование, колко са записани за първи път, колко са новоотпаднали, повторно отпаднали и незаписани; </w:t>
            </w:r>
          </w:p>
          <w:p w14:paraId="114F5FEA" w14:textId="77777777" w:rsidR="00D857FE" w:rsidRPr="00D83669" w:rsidRDefault="00D857FE" w:rsidP="00581C53">
            <w:pPr>
              <w:spacing w:line="240" w:lineRule="auto"/>
              <w:jc w:val="both"/>
              <w:rPr>
                <w:rFonts w:ascii="Times New Roman" w:hAnsi="Times New Roman"/>
                <w:sz w:val="24"/>
              </w:rPr>
            </w:pPr>
            <w:r w:rsidRPr="00D83669">
              <w:rPr>
                <w:rFonts w:ascii="Times New Roman" w:hAnsi="Times New Roman"/>
                <w:sz w:val="24"/>
              </w:rPr>
              <w:t xml:space="preserve">- причините за отпадане и незаписване – заминали в чужбина, културологични – нежелание; семейни – материални затруднения, бедност; поради в затруднения в обучението; поради отсъствия по неуважителни причини; поради дистанционна форма на обучение в електронна среда; </w:t>
            </w:r>
          </w:p>
          <w:p w14:paraId="2D1F4430" w14:textId="77777777" w:rsidR="00D857FE" w:rsidRPr="00D83669" w:rsidRDefault="00D857FE" w:rsidP="00581C53">
            <w:pPr>
              <w:spacing w:line="240" w:lineRule="auto"/>
              <w:jc w:val="both"/>
              <w:rPr>
                <w:rFonts w:ascii="Times New Roman" w:hAnsi="Times New Roman"/>
                <w:sz w:val="24"/>
              </w:rPr>
            </w:pPr>
            <w:r w:rsidRPr="00D83669">
              <w:rPr>
                <w:rFonts w:ascii="Times New Roman" w:hAnsi="Times New Roman"/>
                <w:sz w:val="24"/>
              </w:rPr>
              <w:t>- демографски данни – възраст, пол, достигнато образователно ниво;</w:t>
            </w:r>
          </w:p>
          <w:p w14:paraId="2387B769" w14:textId="77777777" w:rsidR="00D857FE" w:rsidRPr="00D83669" w:rsidRDefault="00D857FE" w:rsidP="00581C53">
            <w:pPr>
              <w:spacing w:line="240" w:lineRule="auto"/>
              <w:jc w:val="both"/>
              <w:rPr>
                <w:rFonts w:ascii="Times New Roman" w:hAnsi="Times New Roman"/>
                <w:sz w:val="24"/>
              </w:rPr>
            </w:pPr>
            <w:r w:rsidRPr="00D83669">
              <w:rPr>
                <w:rFonts w:ascii="Times New Roman" w:hAnsi="Times New Roman"/>
                <w:sz w:val="24"/>
              </w:rPr>
              <w:t>- данни за родителите – брой обучени родители, трудова заетост, мобилност в и извън страната, социално подпомогнати, пол, възраст, и др.</w:t>
            </w:r>
          </w:p>
          <w:p w14:paraId="2894060C" w14:textId="77777777" w:rsidR="00D857FE" w:rsidRPr="00D83669" w:rsidRDefault="00D857FE" w:rsidP="004A78A6">
            <w:pPr>
              <w:spacing w:line="240" w:lineRule="auto"/>
              <w:jc w:val="both"/>
              <w:rPr>
                <w:rFonts w:ascii="Times New Roman" w:hAnsi="Times New Roman"/>
                <w:sz w:val="24"/>
              </w:rPr>
            </w:pPr>
            <w:r w:rsidRPr="00D83669">
              <w:rPr>
                <w:rFonts w:ascii="Times New Roman" w:hAnsi="Times New Roman"/>
                <w:sz w:val="24"/>
              </w:rPr>
              <w:t>Методологията за събиране на данни ще проследи промяната в статуса на децата в задължителна предучилищна и училищна възраст, които са били извън системата на образование, до влизането им в системата, за да покаже, че:</w:t>
            </w:r>
          </w:p>
          <w:p w14:paraId="51B8B819" w14:textId="77777777" w:rsidR="00D857FE" w:rsidRPr="00D83669" w:rsidRDefault="00D857FE" w:rsidP="00581C53">
            <w:pPr>
              <w:spacing w:line="240" w:lineRule="auto"/>
              <w:jc w:val="both"/>
              <w:rPr>
                <w:rFonts w:ascii="Times New Roman" w:hAnsi="Times New Roman"/>
                <w:sz w:val="24"/>
              </w:rPr>
            </w:pPr>
            <w:r w:rsidRPr="00D83669">
              <w:rPr>
                <w:rFonts w:ascii="Times New Roman" w:hAnsi="Times New Roman"/>
                <w:sz w:val="24"/>
              </w:rPr>
              <w:t>- дете, което не е записано в образователната система,</w:t>
            </w:r>
          </w:p>
          <w:p w14:paraId="367B8AB3" w14:textId="77777777" w:rsidR="00D857FE" w:rsidRPr="00D83669" w:rsidRDefault="00D857FE" w:rsidP="00581C53">
            <w:pPr>
              <w:spacing w:line="240" w:lineRule="auto"/>
              <w:jc w:val="both"/>
              <w:rPr>
                <w:rFonts w:ascii="Times New Roman" w:hAnsi="Times New Roman"/>
                <w:sz w:val="24"/>
              </w:rPr>
            </w:pPr>
            <w:r w:rsidRPr="00D83669">
              <w:rPr>
                <w:rFonts w:ascii="Times New Roman" w:hAnsi="Times New Roman"/>
                <w:sz w:val="24"/>
              </w:rPr>
              <w:t>- обхванат/и и възползвал/и се родител / дете от механизма за съвместна работа на институциите</w:t>
            </w:r>
          </w:p>
          <w:p w14:paraId="3C84B2EB" w14:textId="77777777" w:rsidR="00D857FE" w:rsidRPr="00D83669" w:rsidRDefault="00D857FE" w:rsidP="00581C53">
            <w:pPr>
              <w:spacing w:line="240" w:lineRule="auto"/>
              <w:jc w:val="both"/>
              <w:rPr>
                <w:rFonts w:ascii="Times New Roman" w:hAnsi="Times New Roman"/>
                <w:sz w:val="24"/>
              </w:rPr>
            </w:pPr>
            <w:r w:rsidRPr="00D83669">
              <w:rPr>
                <w:rFonts w:ascii="Times New Roman" w:hAnsi="Times New Roman"/>
                <w:sz w:val="24"/>
              </w:rPr>
              <w:t>- в резултат детето е записано в образование.</w:t>
            </w:r>
          </w:p>
          <w:p w14:paraId="49D0BC8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Промяната в поведението и отношението на родители и деца към образованието, в резултат на предприетите действия по операцията, ще се отрази в текущата и последващата оценка на ПО 2021 – 2027 като се изведат причините, убедили родителите от полезността на включването в образование на децата им.</w:t>
            </w:r>
          </w:p>
        </w:tc>
      </w:tr>
      <w:tr w:rsidR="00D857FE" w:rsidRPr="00D83669" w14:paraId="681F046C" w14:textId="77777777" w:rsidTr="00581C53">
        <w:tc>
          <w:tcPr>
            <w:tcW w:w="2269" w:type="dxa"/>
            <w:shd w:val="clear" w:color="auto" w:fill="auto"/>
            <w:vAlign w:val="center"/>
          </w:tcPr>
          <w:p w14:paraId="612BDA4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371" w:type="dxa"/>
            <w:shd w:val="clear" w:color="auto" w:fill="auto"/>
            <w:vAlign w:val="center"/>
          </w:tcPr>
          <w:p w14:paraId="6A62B74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252D6BE1" w14:textId="77777777" w:rsidTr="00581C53">
        <w:tc>
          <w:tcPr>
            <w:tcW w:w="2269" w:type="dxa"/>
            <w:shd w:val="clear" w:color="auto" w:fill="auto"/>
            <w:vAlign w:val="center"/>
          </w:tcPr>
          <w:p w14:paraId="08F9A251" w14:textId="2829C151"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6BD4B34C"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59EF5B73"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1.1. Брой деца и ученици обхванати от механизма за съвместна работа на институциите;</w:t>
            </w:r>
          </w:p>
          <w:p w14:paraId="4E9439E5"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1.3. Брой родители, подкрепени в процеса на приобщаващото образование;</w:t>
            </w:r>
          </w:p>
          <w:p w14:paraId="277DEE58"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1.5. Педагогически специалисти и непедагогически персонал, обучени за работа с деца и ученици от уязвими групи.</w:t>
            </w:r>
          </w:p>
        </w:tc>
      </w:tr>
      <w:tr w:rsidR="00D857FE" w:rsidRPr="00D83669" w14:paraId="3A3C1CB5" w14:textId="77777777" w:rsidTr="00581C53">
        <w:tc>
          <w:tcPr>
            <w:tcW w:w="2269" w:type="dxa"/>
            <w:shd w:val="clear" w:color="auto" w:fill="auto"/>
            <w:vAlign w:val="center"/>
          </w:tcPr>
          <w:p w14:paraId="5A905C4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shd w:val="clear" w:color="auto" w:fill="auto"/>
            <w:vAlign w:val="center"/>
          </w:tcPr>
          <w:p w14:paraId="6F30B27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обхваща броя на новозаписаните и/или включени отново в системата на образованието деца и ученици, които са останали в образование в края на програмния период в резултат на участие в дейности по СЦ по чл. 4, §1, буква е) и е по-малка от всички обхванати по Механизма деца и ученици.</w:t>
            </w:r>
          </w:p>
        </w:tc>
      </w:tr>
    </w:tbl>
    <w:p w14:paraId="65CD8644" w14:textId="77777777" w:rsidR="00D857FE" w:rsidRPr="00D83669" w:rsidRDefault="00D857FE" w:rsidP="00D857FE">
      <w:pPr>
        <w:rPr>
          <w:rFonts w:ascii="Times New Roman" w:eastAsia="Times New Roman" w:hAnsi="Times New Roman" w:cs="Times New Roman"/>
          <w:b/>
          <w:sz w:val="24"/>
          <w:szCs w:val="20"/>
          <w:lang w:eastAsia="bg-BG" w:bidi="bg-BG"/>
        </w:rPr>
      </w:pPr>
      <w:r w:rsidRPr="00D83669">
        <w:rPr>
          <w:b/>
        </w:rPr>
        <w:br w:type="page"/>
      </w:r>
    </w:p>
    <w:p w14:paraId="18A4DE29" w14:textId="2239A564" w:rsidR="00D857FE" w:rsidRPr="00D83669" w:rsidRDefault="00D857FE" w:rsidP="007C64A2">
      <w:pPr>
        <w:pStyle w:val="Heading3"/>
        <w:rPr>
          <w:b/>
          <w:bCs/>
          <w:i/>
          <w:iCs/>
          <w:sz w:val="22"/>
          <w:szCs w:val="22"/>
        </w:rPr>
      </w:pPr>
      <w:bookmarkStart w:id="89" w:name="_Toc100152977"/>
      <w:bookmarkStart w:id="90" w:name="_Toc103586653"/>
      <w:r w:rsidRPr="00D83669">
        <w:rPr>
          <w:b/>
          <w:bCs/>
          <w:i/>
          <w:iCs/>
          <w:sz w:val="22"/>
          <w:szCs w:val="22"/>
        </w:rPr>
        <w:lastRenderedPageBreak/>
        <w:t>SRI 1.2. Брой деца и ученици от уязвими групи с подобрени образователни резултати след 1 година участие в операцията</w:t>
      </w:r>
      <w:bookmarkEnd w:id="89"/>
      <w:bookmarkEnd w:id="90"/>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17C7B41B" w14:textId="77777777" w:rsidTr="0042438C">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7EB7D40" w14:textId="64EA017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030B61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454E9F23" w14:textId="77777777" w:rsidTr="0042438C">
        <w:tc>
          <w:tcPr>
            <w:tcW w:w="2405" w:type="dxa"/>
            <w:shd w:val="clear" w:color="auto" w:fill="auto"/>
            <w:vAlign w:val="center"/>
          </w:tcPr>
          <w:p w14:paraId="63553890" w14:textId="00471630"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5767D476"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1.2. Брой деца и ученици от уязвими групи с подобрени образователни резултати след 1 година участие в операцията</w:t>
            </w:r>
          </w:p>
        </w:tc>
      </w:tr>
      <w:tr w:rsidR="00D857FE" w:rsidRPr="00D83669" w14:paraId="2F277518" w14:textId="77777777" w:rsidTr="0042438C">
        <w:tc>
          <w:tcPr>
            <w:tcW w:w="2405" w:type="dxa"/>
            <w:shd w:val="clear" w:color="auto" w:fill="auto"/>
            <w:vAlign w:val="center"/>
          </w:tcPr>
          <w:p w14:paraId="743BED9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3A176917" w14:textId="422AEEC1"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6217CC1E" w14:textId="77777777" w:rsidTr="0042438C">
        <w:tc>
          <w:tcPr>
            <w:tcW w:w="2405" w:type="dxa"/>
            <w:shd w:val="clear" w:color="auto" w:fill="auto"/>
            <w:vAlign w:val="center"/>
          </w:tcPr>
          <w:p w14:paraId="17C3D61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4EF9D972"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 xml:space="preserve">СЦ по чл. 4, пар. 1, буква е) </w:t>
            </w:r>
            <w:r w:rsidRPr="00D83669">
              <w:rPr>
                <w:rFonts w:ascii="Times New Roman" w:hAnsi="Times New Roman"/>
                <w:sz w:val="24"/>
              </w:rPr>
              <w:t>– Насърчаване на равния достъп до и завършването на качествено и приобщаващо образование и обучение, по-специално за групите в неравностойно положение, от образованието и грижите в ранна детска възраст през общото и професионалното образование и обучение до висшето образование, както и образованието и ученето в зряла възраст, включително улесняване на мобилността с учебна цел за всички</w:t>
            </w:r>
          </w:p>
        </w:tc>
      </w:tr>
      <w:tr w:rsidR="00D857FE" w:rsidRPr="00D83669" w14:paraId="79D6BE28" w14:textId="77777777" w:rsidTr="0042438C">
        <w:tc>
          <w:tcPr>
            <w:tcW w:w="2405" w:type="dxa"/>
            <w:shd w:val="clear" w:color="auto" w:fill="auto"/>
            <w:vAlign w:val="center"/>
          </w:tcPr>
          <w:p w14:paraId="45FE95B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52C20F6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Обща и допълнителна подкрепа за личностно развитие в предучилищното и училищното образование</w:t>
            </w:r>
          </w:p>
        </w:tc>
      </w:tr>
      <w:tr w:rsidR="00D857FE" w:rsidRPr="00D83669" w14:paraId="7DF19E54" w14:textId="77777777" w:rsidTr="0042438C">
        <w:tc>
          <w:tcPr>
            <w:tcW w:w="2405" w:type="dxa"/>
            <w:shd w:val="clear" w:color="auto" w:fill="auto"/>
            <w:vAlign w:val="center"/>
          </w:tcPr>
          <w:p w14:paraId="3E4A048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389BD25C" w14:textId="04162840"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w:t>
            </w:r>
            <w:r w:rsidRPr="00D83669" w:rsidDel="00AF4AC0">
              <w:rPr>
                <w:rFonts w:ascii="Times New Roman" w:hAnsi="Times New Roman"/>
                <w:sz w:val="24"/>
              </w:rPr>
              <w:t xml:space="preserve"> </w:t>
            </w:r>
            <w:r w:rsidRPr="00D83669">
              <w:rPr>
                <w:rFonts w:ascii="Times New Roman" w:hAnsi="Times New Roman"/>
                <w:sz w:val="24"/>
              </w:rPr>
              <w:t>измерва броя на децата и учениците от уязвими групи, със затруднения в ученето, в риск от отпадане, вкл. със СОП, с хронични заболявания, в риск и с изявени дарби в предучилищното и училищното образование с подобрени образователни резултати от получената обща и допълнителна подкрепа за личностно развитие след 1 година участие в по дейности по операция „Обща и допълнителна подкрепа за личностно развитие в предучилищното и училищното образование“.</w:t>
            </w:r>
            <w:r w:rsidRPr="00D83669">
              <w:t xml:space="preserve"> </w:t>
            </w:r>
          </w:p>
          <w:p w14:paraId="4CE1D2D0" w14:textId="6112E1B6" w:rsidR="00D857FE" w:rsidRPr="00D83669" w:rsidRDefault="00D857FE" w:rsidP="00CC7BCB">
            <w:pPr>
              <w:jc w:val="both"/>
              <w:rPr>
                <w:rFonts w:ascii="Times New Roman" w:hAnsi="Times New Roman"/>
                <w:sz w:val="24"/>
              </w:rPr>
            </w:pPr>
            <w:r w:rsidRPr="00D83669">
              <w:rPr>
                <w:rFonts w:ascii="Times New Roman" w:hAnsi="Times New Roman"/>
                <w:sz w:val="24"/>
              </w:rPr>
              <w:t xml:space="preserve">В предучилищното образование показателят  измерва броя на децата от уязвими групи, с обучителни затруднения, в риск от отпадане, вкл. деца със СОП, с хронични заболявания, в риск и с изявени дарби, получили обща и допълнителна подкрепа, останали в образование и подобрили уменията си след 1 година участие в операцията, отразени в детското портфолио чрез наблюдение върху физическата и двигателната сръчност, здравето, социалното, емоционалното, когнитивното, комуникативното развитие и ангажираност на децата в детската градина. </w:t>
            </w:r>
          </w:p>
          <w:p w14:paraId="0E6142AB" w14:textId="2C69E161" w:rsidR="00D857FE" w:rsidRPr="00D83669" w:rsidRDefault="00D857FE" w:rsidP="00CC7BCB">
            <w:pPr>
              <w:jc w:val="both"/>
              <w:rPr>
                <w:rFonts w:ascii="Times New Roman" w:hAnsi="Times New Roman"/>
                <w:i/>
                <w:sz w:val="24"/>
              </w:rPr>
            </w:pPr>
            <w:r w:rsidRPr="00D83669">
              <w:rPr>
                <w:rFonts w:ascii="Times New Roman" w:hAnsi="Times New Roman"/>
                <w:i/>
                <w:sz w:val="24"/>
              </w:rPr>
              <w:t xml:space="preserve">Съгласно Наредба № 5 от 3 юни 2016 г. за предучилищното образование (Държавния образователен стандарт за предучилищното образование) чл. 33 проследяването постиженията на детето се осъществява от учителите, вписват се в дневника на групата (чл. 34) и се отразяват в детското портфолио на всяко дете (чл. 35). Напредъкът на децата ще се измерва съгласно методиките по Наредба № 5 за предучилищното образование по реда на чл. 28 в 7 образователни направления (български език, математика, околен свят, изобразително изкуство, музика, конструиране и технологии, физическа култура) в резултат на придобитите знания, умения и отношения от предоставената обща и допълнителна подкрепа. За децата в </w:t>
            </w:r>
            <w:r w:rsidRPr="00D83669">
              <w:rPr>
                <w:rFonts w:ascii="Times New Roman" w:hAnsi="Times New Roman"/>
                <w:i/>
                <w:sz w:val="24"/>
              </w:rPr>
              <w:lastRenderedPageBreak/>
              <w:t xml:space="preserve">предучилищното образование няма предвидени количествени и качествени оценки и проследяването на показателя  ще се основава на информацията в детското портфолио в началото и в края на всяка учебна година. </w:t>
            </w:r>
          </w:p>
          <w:p w14:paraId="44474A13" w14:textId="74F80D0B" w:rsidR="00D857FE" w:rsidRPr="00D83669" w:rsidRDefault="00D857FE" w:rsidP="00CC7BCB">
            <w:pPr>
              <w:jc w:val="both"/>
              <w:rPr>
                <w:rFonts w:ascii="Times New Roman" w:hAnsi="Times New Roman"/>
                <w:i/>
                <w:sz w:val="24"/>
              </w:rPr>
            </w:pPr>
            <w:r w:rsidRPr="00D83669">
              <w:rPr>
                <w:rFonts w:ascii="Times New Roman" w:hAnsi="Times New Roman"/>
                <w:sz w:val="24"/>
              </w:rPr>
              <w:t xml:space="preserve">В училищното образование показателят  измерва броя на учениците от уязвими групи, с трудности в ученето, в риск от отпадане, вкл. ученици със СОП, с хронични заболявания, в риск и с изявени дарби, получили обща и допълнителна подкрепа за личностно развитие, останали в образование и подобрили образователните си резултати и/или намалили броя на отсъствията и, санкциите, както и награди, поощрения, и др. след 1 година участие в операцията. </w:t>
            </w:r>
            <w:r w:rsidRPr="00D83669">
              <w:rPr>
                <w:rFonts w:ascii="Times New Roman" w:hAnsi="Times New Roman"/>
                <w:i/>
                <w:sz w:val="24"/>
              </w:rPr>
              <w:t>Съгласно Наредба за приобщаващото образование (ДОС) и Наредба № 11 от 01.09.2016 г. за оценяване на резултатите от обучението на учениците (ДОС) напредъкът на учениците в училищното образование се определя чрез качествени и количествени показатели, както и с отразеното в ученическата книжка, личния картон/ личното дело на ученика, вкл. отсъствия, санкции, награди, поощрения, и др. За нуждите на измерване на промяната в образователните резултати, като следствие от получената обща и допълнителна подкрепа по операцията се прави разделение, а именно: качествен измерител: отличен – 100%, много добър – 85%, добър – 70%, среден – 55% и слаб – 40% съгласно разпоредбите на Наредба № 11/2016 г. – минимални изисквания на ДОС за оценяване на резултатите, което се прилага се за ученици от 1 – 3 клас. За учениците от 4 клас до гимназиална степен включително се прилага количествено измерване на придобития напредък в образователните умения като всяка промяна в оценката на ученика се сравнява с началната стойност, където 0,05 единици от количествената оценка се равняват на 1% повишение, а качествените измерители са същите като по-горе. За ученици със СОП се използва следната скала: постига изискванията – 100%; справя се – 70%; среща затруднения – 40%. Проследяват се и отразените в ученическата книжка, личния картон/личното дело на ученика за брой отсъствия и причините за тях, санкции, ако има такива, награди и поощрения.</w:t>
            </w:r>
          </w:p>
        </w:tc>
      </w:tr>
      <w:tr w:rsidR="00D857FE" w:rsidRPr="00D83669" w14:paraId="2EE16D02" w14:textId="77777777" w:rsidTr="0042438C">
        <w:tc>
          <w:tcPr>
            <w:tcW w:w="2405" w:type="dxa"/>
            <w:shd w:val="clear" w:color="auto" w:fill="auto"/>
            <w:vAlign w:val="center"/>
          </w:tcPr>
          <w:p w14:paraId="3953FE2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235" w:type="dxa"/>
            <w:shd w:val="clear" w:color="auto" w:fill="auto"/>
            <w:vAlign w:val="center"/>
          </w:tcPr>
          <w:p w14:paraId="66498E3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079CB150" w14:textId="77777777" w:rsidTr="0042438C">
        <w:tc>
          <w:tcPr>
            <w:tcW w:w="2405" w:type="dxa"/>
            <w:shd w:val="clear" w:color="auto" w:fill="auto"/>
            <w:vAlign w:val="center"/>
          </w:tcPr>
          <w:p w14:paraId="191FB2D5" w14:textId="2EA48050" w:rsidR="00D857FE" w:rsidRPr="00D83669" w:rsidRDefault="00EF3918"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701C455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160 274</w:t>
            </w:r>
          </w:p>
        </w:tc>
      </w:tr>
      <w:tr w:rsidR="00D857FE" w:rsidRPr="00D83669" w14:paraId="7DFAA7EA" w14:textId="77777777" w:rsidTr="0042438C">
        <w:tc>
          <w:tcPr>
            <w:tcW w:w="2405" w:type="dxa"/>
            <w:shd w:val="clear" w:color="auto" w:fill="auto"/>
            <w:vAlign w:val="center"/>
          </w:tcPr>
          <w:p w14:paraId="214AFF0A" w14:textId="560260DE" w:rsidR="00D857FE" w:rsidRPr="00D83669" w:rsidRDefault="00522E94"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5526E638" w14:textId="4CBBBB2C"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представлява 90% от сумата на целевите стойности на показатели за краен продукт SOI 1.2. Брой деца и ученици със специални образователни потребности (СОП), в риск, с хронични заболявания и с изявени дарби и SOI 1.4. Брой деца и ученици от предучилищното и училищното образование от уязвими групи, получили подкрепа., за да измери напредък на образователните резултати на децата и учениците от целевите групи в предучилищното образование и училищното образование като се ползва опитът и постигнатото по ОПНОИР.</w:t>
            </w:r>
          </w:p>
          <w:p w14:paraId="505AC60A" w14:textId="3138132C" w:rsidR="00D857FE" w:rsidRPr="00D83669" w:rsidRDefault="00D857FE" w:rsidP="00CC7BCB">
            <w:pPr>
              <w:jc w:val="both"/>
            </w:pPr>
            <w:r w:rsidRPr="00D83669">
              <w:rPr>
                <w:rFonts w:ascii="Times New Roman" w:hAnsi="Times New Roman"/>
                <w:sz w:val="24"/>
              </w:rPr>
              <w:lastRenderedPageBreak/>
              <w:t>1.</w:t>
            </w:r>
            <w:r w:rsidRPr="00D83669">
              <w:t xml:space="preserve"> </w:t>
            </w:r>
            <w:r w:rsidRPr="00D83669">
              <w:rPr>
                <w:rFonts w:ascii="Times New Roman" w:hAnsi="Times New Roman"/>
                <w:sz w:val="24"/>
              </w:rPr>
              <w:t>За гарантиране на устойчивост на резултатите по операцията 90% от подкрепените деца от целевите групи в предучилищното образование, получили обща и допълнителна подкрепа, няма да напуснат системата на образованието и ще подобрят поведението, мотивацията и образователните си резултати 1 година след участие в дейности по операцията. Показателят се базира на опита на ОПНОИР по проект „Активно приобщаване в системата на предучилищното образование“ и по проект „Подкрепа за приобщаващо образование“. За децата в предучилищното образование няма предвидени количествени и качествени оценки и проследяването на показателя  ще се основава на информацията в детското портфолио в началото и в края на всяка учебна година. За нуждите на измерване на промяната в постигане на образователните резултати за децата в предучилищно образование, като следствие от получената обща и допълнителна подкрепа по операцията се прави разделение на четири качествени степени на постигане на образователните резултати от съответния ДОС:</w:t>
            </w:r>
            <w:r w:rsidRPr="00D83669">
              <w:t xml:space="preserve"> </w:t>
            </w:r>
          </w:p>
          <w:p w14:paraId="456C435A" w14:textId="77777777" w:rsidR="00D857FE" w:rsidRPr="00D83669" w:rsidRDefault="00D857FE" w:rsidP="00CC7BCB">
            <w:pPr>
              <w:jc w:val="both"/>
              <w:rPr>
                <w:rFonts w:ascii="Times New Roman" w:hAnsi="Times New Roman"/>
                <w:sz w:val="24"/>
              </w:rPr>
            </w:pPr>
            <w:r w:rsidRPr="00D83669">
              <w:t xml:space="preserve">- </w:t>
            </w:r>
            <w:r w:rsidRPr="00D83669">
              <w:rPr>
                <w:rFonts w:ascii="Times New Roman" w:hAnsi="Times New Roman"/>
                <w:sz w:val="24"/>
              </w:rPr>
              <w:t>Постига очакваните резултати – 100%;</w:t>
            </w:r>
          </w:p>
          <w:p w14:paraId="6560A5B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В голяма степен постига очакваните резултати – 80%;</w:t>
            </w:r>
          </w:p>
          <w:p w14:paraId="47C33FE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Частично постига очакваните резултати – 65%;</w:t>
            </w:r>
          </w:p>
          <w:p w14:paraId="2876EDD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Не постига очакваните резултати – 50%.</w:t>
            </w:r>
          </w:p>
          <w:p w14:paraId="758E122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За деца със СОП:</w:t>
            </w:r>
          </w:p>
          <w:p w14:paraId="665C9C2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Постига изискванията – 100%;</w:t>
            </w:r>
          </w:p>
          <w:p w14:paraId="09E00AA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Справя се – 70%;</w:t>
            </w:r>
          </w:p>
          <w:p w14:paraId="73051A6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Среща затруднения – 40%.</w:t>
            </w:r>
          </w:p>
          <w:p w14:paraId="25D3DA8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В резултат от оказаната обща и допълнителна подкрепа тези деца ще се считат за приобщени в образователната система, т.к. са останали в образование и са показали подобрение средно с 10% на образователните резултати след 1 година участие в дейности за обща и допълнителна подкрепа по операцията. Например дете в детската градина с входно ниво от 65% 1 година след участие в дейности за обща подкрепа по операцията постига 75% . За дете със СОП например с входно ниво от 50% 1 година след участие в дейности за обща и допълнителна подкрепа постига 60%.</w:t>
            </w:r>
          </w:p>
          <w:p w14:paraId="4B7374E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w:t>
            </w:r>
            <w:r w:rsidRPr="00D83669">
              <w:t xml:space="preserve"> </w:t>
            </w:r>
            <w:r w:rsidRPr="00D83669">
              <w:rPr>
                <w:rFonts w:ascii="Times New Roman" w:hAnsi="Times New Roman"/>
                <w:sz w:val="24"/>
              </w:rPr>
              <w:t>За гарантиране на устойчивост на резултатите по операцията 90% от подкрепените ученици от целевите групи в училищното образование, получили обща и допълнителна подкрепа, няма да напуснат системата на образованието и ще подобрят поведението, мотивацията и образователните си резултати след приключване на операцията.</w:t>
            </w:r>
          </w:p>
          <w:p w14:paraId="27580E5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Съгласно Наредба за приобщаващото образование (ДОС) и Наредба № 11 от 01.09.2016 г. за оценяване на резултатите от обучението на учениците (ДОС) напредъкът на учениците в училищното </w:t>
            </w:r>
            <w:r w:rsidRPr="00D83669">
              <w:rPr>
                <w:rFonts w:ascii="Times New Roman" w:hAnsi="Times New Roman"/>
                <w:sz w:val="24"/>
              </w:rPr>
              <w:lastRenderedPageBreak/>
              <w:t>образование се определя чрез качествени и количествени показатели, както и с отразеното в ученическата книжка, личния картон/ личното дело на ученика, вкл. отсъствия, санкции, награди, поощрения, и др. За нуждите на измерване на промяната в образователните резултати, като следствие от получената обща и допълнителна подкрепа по операцията се прави разделение, а именно: качествен измерител: отличен – 100%, много добър – 85%, добър – 70%, среден – 55% и слаб – 40% съгласно разпоредбите на Наредба № 11/2016 г. – минимални изисквания на ДОС за оценяване на резултатите, което се прилага се за ученици от 1 – 3 клас. За учениците от 4 клас до гимназиална степен включително се прилага количествено измерване на придобития напредък в образователните умения като всяка промяна в оценката на ученика се сравнява с началната стойност, където 0,05 единици от количествената оценка се равняват на 1% повишение, а качествените измерители са същите като по-горе. За ученици със СОП се използва следната скала: постига изискванията – 100%; справя се – 70%; среща затруднения – 40%. Проследяват се и отразените в ученическата книжка, личния картон/личното дело на ученика за брой отсъствия и причините за тях, санкции, ако има такива, награди и поощрения.</w:t>
            </w:r>
          </w:p>
          <w:p w14:paraId="782C072F" w14:textId="4F443FF2" w:rsidR="00D857FE" w:rsidRPr="00D83669" w:rsidRDefault="00D857FE" w:rsidP="00CC7BCB">
            <w:pPr>
              <w:jc w:val="both"/>
              <w:rPr>
                <w:rFonts w:ascii="Times New Roman" w:hAnsi="Times New Roman"/>
                <w:sz w:val="24"/>
              </w:rPr>
            </w:pPr>
            <w:r w:rsidRPr="00D83669">
              <w:rPr>
                <w:rFonts w:ascii="Times New Roman" w:hAnsi="Times New Roman"/>
                <w:sz w:val="24"/>
              </w:rPr>
              <w:t>В резултат от оказаната обща и допълнителна подкрепа след 1 година участие в операцията тези ученици ще се считат за приобщени в образователната система, т.к. са останали в образование и са показали подобрение на резултати средно с 10% (например средният успех от 3,00 се повишил до 3,50), като са намалили и броя на отсъствията по неуважителни причини и санкциите.</w:t>
            </w:r>
            <w:r w:rsidRPr="00D83669">
              <w:t xml:space="preserve"> </w:t>
            </w:r>
            <w:r w:rsidRPr="00D83669">
              <w:rPr>
                <w:rFonts w:ascii="Times New Roman" w:hAnsi="Times New Roman"/>
                <w:sz w:val="24"/>
              </w:rPr>
              <w:t>Определянето на целевата стойност на показателя  за ученици от целевите групи се базира на опита на ОПНОИР по проект „Подкрепа за успех“, където според анализ на постигнатото за учебната 2019/2020 г. 65 930 ученици са подобрили образователните си резултати с 1 единица (което е 20%) по учебни предмети, по които са участвали в допълнителни обучения, резултатите от ДЗИ и НВО и от началния етап подобрението на общ среден образователен резултат се определя на 10% или 0,50 по количествената оценка за 1 учебна година.</w:t>
            </w:r>
          </w:p>
          <w:p w14:paraId="4C1C8A8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се изчислява както следва: (17450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160632)</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90%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160</w:t>
            </w:r>
            <w:r w:rsidRPr="00D83669">
              <w:rPr>
                <w:rFonts w:ascii="Times New Roman" w:hAnsi="Times New Roman"/>
                <w:sz w:val="24"/>
                <w:lang w:val="en-US"/>
              </w:rPr>
              <w:t> </w:t>
            </w:r>
            <w:r w:rsidRPr="00D83669">
              <w:rPr>
                <w:rFonts w:ascii="Times New Roman" w:hAnsi="Times New Roman"/>
                <w:sz w:val="24"/>
              </w:rPr>
              <w:t>274, което е (SOI</w:t>
            </w:r>
            <w:r w:rsidRPr="00D83669">
              <w:rPr>
                <w:rFonts w:ascii="Times New Roman" w:hAnsi="Times New Roman"/>
                <w:sz w:val="24"/>
                <w:lang w:val="en-US"/>
              </w:rPr>
              <w:t> </w:t>
            </w:r>
            <w:r w:rsidRPr="00D83669">
              <w:rPr>
                <w:rFonts w:ascii="Times New Roman" w:hAnsi="Times New Roman"/>
                <w:sz w:val="24"/>
              </w:rPr>
              <w:t>1.2.</w:t>
            </w:r>
            <w:r w:rsidRPr="00D83669">
              <w:rPr>
                <w:rFonts w:ascii="Times New Roman" w:hAnsi="Times New Roman"/>
                <w:sz w:val="24"/>
                <w:lang w:val="en-US"/>
              </w:rPr>
              <w:t> </w:t>
            </w:r>
            <w:r w:rsidRPr="00D83669">
              <w:rPr>
                <w:rFonts w:ascii="Times New Roman" w:hAnsi="Times New Roman"/>
                <w:sz w:val="24"/>
              </w:rPr>
              <w:t>+</w:t>
            </w:r>
            <w:r w:rsidRPr="00D83669">
              <w:rPr>
                <w:lang w:val="en-US"/>
              </w:rPr>
              <w:t> </w:t>
            </w:r>
            <w:r w:rsidRPr="00D83669">
              <w:rPr>
                <w:rFonts w:ascii="Times New Roman" w:hAnsi="Times New Roman"/>
                <w:sz w:val="24"/>
              </w:rPr>
              <w:t>SOI</w:t>
            </w:r>
            <w:r w:rsidRPr="00D83669">
              <w:rPr>
                <w:rFonts w:ascii="Times New Roman" w:hAnsi="Times New Roman"/>
                <w:sz w:val="24"/>
                <w:lang w:val="en-US"/>
              </w:rPr>
              <w:t> </w:t>
            </w:r>
            <w:r w:rsidRPr="00D83669">
              <w:rPr>
                <w:rFonts w:ascii="Times New Roman" w:hAnsi="Times New Roman"/>
                <w:sz w:val="24"/>
              </w:rPr>
              <w:t>1.4)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90%.</w:t>
            </w:r>
          </w:p>
        </w:tc>
      </w:tr>
      <w:tr w:rsidR="00D857FE" w:rsidRPr="00D83669" w14:paraId="4E7BDAE0" w14:textId="77777777" w:rsidTr="0042438C">
        <w:tc>
          <w:tcPr>
            <w:tcW w:w="2405" w:type="dxa"/>
            <w:shd w:val="clear" w:color="auto" w:fill="auto"/>
            <w:vAlign w:val="center"/>
          </w:tcPr>
          <w:p w14:paraId="1408C48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Референтна стойност</w:t>
            </w:r>
          </w:p>
        </w:tc>
        <w:tc>
          <w:tcPr>
            <w:tcW w:w="7235" w:type="dxa"/>
            <w:shd w:val="clear" w:color="auto" w:fill="auto"/>
            <w:vAlign w:val="center"/>
          </w:tcPr>
          <w:p w14:paraId="2F68471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95</w:t>
            </w:r>
            <w:r w:rsidRPr="00D83669">
              <w:rPr>
                <w:rFonts w:ascii="Times New Roman" w:hAnsi="Times New Roman"/>
                <w:sz w:val="24"/>
                <w:lang w:val="en-US"/>
              </w:rPr>
              <w:t> </w:t>
            </w:r>
            <w:r w:rsidRPr="00D83669">
              <w:rPr>
                <w:rFonts w:ascii="Times New Roman" w:hAnsi="Times New Roman"/>
                <w:sz w:val="24"/>
              </w:rPr>
              <w:t>386</w:t>
            </w:r>
          </w:p>
        </w:tc>
      </w:tr>
      <w:tr w:rsidR="00D857FE" w:rsidRPr="00D83669" w14:paraId="37B8CA87" w14:textId="77777777" w:rsidTr="0042438C">
        <w:tc>
          <w:tcPr>
            <w:tcW w:w="2405" w:type="dxa"/>
            <w:shd w:val="clear" w:color="auto" w:fill="auto"/>
            <w:vAlign w:val="center"/>
          </w:tcPr>
          <w:p w14:paraId="0088B2F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референтна стойност</w:t>
            </w:r>
          </w:p>
        </w:tc>
        <w:tc>
          <w:tcPr>
            <w:tcW w:w="7235" w:type="dxa"/>
            <w:shd w:val="clear" w:color="auto" w:fill="auto"/>
            <w:vAlign w:val="center"/>
          </w:tcPr>
          <w:p w14:paraId="1745B32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Референтната стойност е сбор от постигнатото по финансираните от ОПНОИР проекти като: </w:t>
            </w:r>
          </w:p>
          <w:p w14:paraId="67F68C59" w14:textId="08561344" w:rsidR="00D857FE" w:rsidRPr="00D83669" w:rsidRDefault="00D857FE" w:rsidP="00CC7BCB">
            <w:pPr>
              <w:jc w:val="both"/>
              <w:rPr>
                <w:rFonts w:ascii="Times New Roman" w:hAnsi="Times New Roman"/>
                <w:sz w:val="24"/>
              </w:rPr>
            </w:pPr>
            <w:r w:rsidRPr="00D83669">
              <w:rPr>
                <w:rFonts w:ascii="Times New Roman" w:hAnsi="Times New Roman"/>
                <w:sz w:val="24"/>
              </w:rPr>
              <w:t xml:space="preserve">1. По проект „Активно приобщаване в системата на предучилищното образование“ заложената стойност на показател „Относителен дял на децата от уязвимите групи с напредък по български език от участието им в операцията“ е 85% от обхванатите деца в допълнителни занимания по български език. Съгласно последните </w:t>
            </w:r>
            <w:r w:rsidRPr="00D83669">
              <w:rPr>
                <w:rFonts w:ascii="Times New Roman" w:hAnsi="Times New Roman"/>
                <w:sz w:val="24"/>
              </w:rPr>
              <w:lastRenderedPageBreak/>
              <w:t>отчети на МОН, въпреки пандемията и затварянето на учебните заведения, 29 456 деца в детските градини са подобрили резултатите си по български език и са приобщени в системата на предучилищното образование.</w:t>
            </w:r>
          </w:p>
          <w:p w14:paraId="78732BF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w:t>
            </w:r>
            <w:r w:rsidRPr="00D83669">
              <w:t xml:space="preserve"> </w:t>
            </w:r>
            <w:r w:rsidRPr="00D83669">
              <w:rPr>
                <w:rFonts w:ascii="Times New Roman" w:hAnsi="Times New Roman"/>
                <w:sz w:val="24"/>
              </w:rPr>
              <w:t>По данни на МОН (Анализ за учебната 2019/2020 г. за постигнатите образователни резултати от дейности по „Подкрепа за успех“ от технически отчет в ИСУН) 65 930 ученици са подобрили образователните си резултати след успешно завършили допълнителни обучения по учебни предмети.</w:t>
            </w:r>
          </w:p>
          <w:p w14:paraId="24BABE13" w14:textId="4554856D" w:rsidR="00D857FE" w:rsidRPr="00D83669" w:rsidRDefault="00D857FE" w:rsidP="00CC7BCB">
            <w:pPr>
              <w:jc w:val="both"/>
              <w:rPr>
                <w:rFonts w:ascii="Times New Roman" w:hAnsi="Times New Roman"/>
                <w:sz w:val="24"/>
              </w:rPr>
            </w:pPr>
            <w:r w:rsidRPr="00D83669">
              <w:rPr>
                <w:rFonts w:ascii="Times New Roman" w:hAnsi="Times New Roman"/>
                <w:sz w:val="24"/>
              </w:rPr>
              <w:t>Референтната стойност е сбор от цитираните резултатите по финансираните от ОПНОИР проекти или 29 456</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65 930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95</w:t>
            </w:r>
            <w:r w:rsidR="00270D22" w:rsidRPr="00D83669">
              <w:rPr>
                <w:rFonts w:ascii="Times New Roman" w:hAnsi="Times New Roman"/>
                <w:sz w:val="24"/>
              </w:rPr>
              <w:t> </w:t>
            </w:r>
            <w:r w:rsidRPr="00D83669">
              <w:rPr>
                <w:rFonts w:ascii="Times New Roman" w:hAnsi="Times New Roman"/>
                <w:sz w:val="24"/>
              </w:rPr>
              <w:t>386</w:t>
            </w:r>
            <w:r w:rsidR="00270D22" w:rsidRPr="00D83669">
              <w:rPr>
                <w:rFonts w:ascii="Times New Roman" w:hAnsi="Times New Roman"/>
                <w:sz w:val="24"/>
              </w:rPr>
              <w:t>, вкл. деца и ученици със СОП, с хронични заболявания, в риск и с изявени дарби, с планиран обхват на 11800 по проект „Подкрепа за приобщаващо образование“ на МОН, за които все още няма данни за постигнати резултати.</w:t>
            </w:r>
            <w:r w:rsidRPr="00D83669">
              <w:rPr>
                <w:rFonts w:ascii="Times New Roman" w:hAnsi="Times New Roman"/>
                <w:sz w:val="24"/>
              </w:rPr>
              <w:t>.</w:t>
            </w:r>
          </w:p>
          <w:p w14:paraId="2B1AA1AA" w14:textId="0A266975" w:rsidR="00D857FE" w:rsidRPr="00D83669" w:rsidRDefault="00D857FE" w:rsidP="00CC7BCB">
            <w:pPr>
              <w:jc w:val="both"/>
              <w:rPr>
                <w:rFonts w:ascii="Times New Roman" w:hAnsi="Times New Roman"/>
                <w:sz w:val="24"/>
              </w:rPr>
            </w:pPr>
            <w:r w:rsidRPr="00D83669">
              <w:rPr>
                <w:rFonts w:ascii="Times New Roman" w:hAnsi="Times New Roman"/>
                <w:sz w:val="24"/>
              </w:rPr>
              <w:t xml:space="preserve">Референтната стойност е сбор от определените референтни стойности на показател за резултат </w:t>
            </w:r>
            <w:r w:rsidRPr="00D83669">
              <w:rPr>
                <w:rFonts w:ascii="Times New Roman" w:hAnsi="Times New Roman"/>
                <w:i/>
                <w:sz w:val="24"/>
              </w:rPr>
              <w:t>ИР 1.2.</w:t>
            </w:r>
            <w:r w:rsidR="00270D22" w:rsidRPr="00D83669">
              <w:rPr>
                <w:rFonts w:ascii="Times New Roman" w:hAnsi="Times New Roman"/>
                <w:i/>
                <w:sz w:val="24"/>
              </w:rPr>
              <w:t>1</w:t>
            </w:r>
            <w:r w:rsidRPr="00D83669">
              <w:rPr>
                <w:i/>
              </w:rPr>
              <w:t xml:space="preserve"> </w:t>
            </w:r>
            <w:r w:rsidRPr="00D83669">
              <w:rPr>
                <w:rFonts w:ascii="Times New Roman" w:hAnsi="Times New Roman"/>
                <w:i/>
                <w:sz w:val="24"/>
              </w:rPr>
              <w:t xml:space="preserve">Брой деца от уязвими групи, вкл. със СОП, с хронични заболявания, в риск и с изявени дарби в </w:t>
            </w:r>
            <w:r w:rsidRPr="00D83669">
              <w:rPr>
                <w:rFonts w:ascii="Times New Roman" w:hAnsi="Times New Roman"/>
                <w:b/>
                <w:i/>
                <w:sz w:val="24"/>
              </w:rPr>
              <w:t>предучилищно образование</w:t>
            </w:r>
            <w:r w:rsidRPr="00D83669">
              <w:rPr>
                <w:rFonts w:ascii="Times New Roman" w:hAnsi="Times New Roman"/>
                <w:i/>
                <w:sz w:val="24"/>
              </w:rPr>
              <w:t xml:space="preserve">, с подобрени образователни резултати от получената обща и допълнителна подкрепа за личностно развитие – </w:t>
            </w:r>
            <w:r w:rsidRPr="00D83669">
              <w:rPr>
                <w:rFonts w:ascii="Times New Roman" w:hAnsi="Times New Roman"/>
                <w:sz w:val="24"/>
              </w:rPr>
              <w:t>42 253 и определената референтна стойност на показател за резултат</w:t>
            </w:r>
            <w:r w:rsidRPr="00D83669">
              <w:rPr>
                <w:rFonts w:ascii="Times New Roman" w:hAnsi="Times New Roman"/>
                <w:i/>
                <w:sz w:val="24"/>
              </w:rPr>
              <w:t xml:space="preserve"> ИР 1.</w:t>
            </w:r>
            <w:r w:rsidR="00270D22" w:rsidRPr="00D83669">
              <w:rPr>
                <w:rFonts w:ascii="Times New Roman" w:hAnsi="Times New Roman"/>
                <w:i/>
                <w:sz w:val="24"/>
              </w:rPr>
              <w:t>2.2</w:t>
            </w:r>
            <w:r w:rsidRPr="00D83669">
              <w:rPr>
                <w:rFonts w:ascii="Times New Roman" w:hAnsi="Times New Roman"/>
                <w:i/>
                <w:sz w:val="24"/>
              </w:rPr>
              <w:t>.</w:t>
            </w:r>
            <w:r w:rsidRPr="00D83669">
              <w:t xml:space="preserve"> </w:t>
            </w:r>
            <w:r w:rsidRPr="00D83669">
              <w:rPr>
                <w:rFonts w:ascii="Times New Roman" w:hAnsi="Times New Roman"/>
                <w:i/>
                <w:sz w:val="24"/>
              </w:rPr>
              <w:t xml:space="preserve">Брой ученици от уязвими групи, вкл. със СОП, с хронични заболявания, в риск и с изявени дарби в </w:t>
            </w:r>
            <w:r w:rsidRPr="00D83669">
              <w:rPr>
                <w:rFonts w:ascii="Times New Roman" w:hAnsi="Times New Roman"/>
                <w:b/>
                <w:i/>
                <w:sz w:val="24"/>
              </w:rPr>
              <w:t>училищното образование</w:t>
            </w:r>
            <w:r w:rsidRPr="00D83669">
              <w:rPr>
                <w:rFonts w:ascii="Times New Roman" w:hAnsi="Times New Roman"/>
                <w:i/>
                <w:sz w:val="24"/>
              </w:rPr>
              <w:t xml:space="preserve"> с подобрени образователни резултати от получената обща и допълнителна подкрепа за личностно развитие – </w:t>
            </w:r>
            <w:r w:rsidRPr="00D83669">
              <w:rPr>
                <w:rFonts w:ascii="Times New Roman" w:hAnsi="Times New Roman"/>
                <w:sz w:val="24"/>
              </w:rPr>
              <w:t>65 930 или 29</w:t>
            </w:r>
            <w:r w:rsidRPr="00D83669">
              <w:rPr>
                <w:rFonts w:ascii="Times New Roman" w:hAnsi="Times New Roman"/>
                <w:sz w:val="24"/>
                <w:lang w:val="en-US"/>
              </w:rPr>
              <w:t> </w:t>
            </w:r>
            <w:r w:rsidRPr="00D83669">
              <w:rPr>
                <w:rFonts w:ascii="Times New Roman" w:hAnsi="Times New Roman"/>
                <w:sz w:val="24"/>
              </w:rPr>
              <w:t>456 деца</w:t>
            </w:r>
            <w:r w:rsidRPr="00D83669">
              <w:rPr>
                <w:rFonts w:ascii="Times New Roman" w:hAnsi="Times New Roman"/>
                <w:sz w:val="24"/>
                <w:lang w:val="en-US"/>
              </w:rPr>
              <w:t> </w:t>
            </w:r>
            <w:r w:rsidRPr="00D83669">
              <w:rPr>
                <w:rFonts w:ascii="Times New Roman" w:hAnsi="Times New Roman"/>
                <w:sz w:val="24"/>
              </w:rPr>
              <w:t>+ 65 930 ученици =</w:t>
            </w:r>
            <w:r w:rsidRPr="00D83669">
              <w:rPr>
                <w:rFonts w:ascii="Times New Roman" w:hAnsi="Times New Roman"/>
                <w:sz w:val="24"/>
                <w:lang w:val="en-US"/>
              </w:rPr>
              <w:t> </w:t>
            </w:r>
            <w:r w:rsidRPr="00D83669">
              <w:rPr>
                <w:rFonts w:ascii="Times New Roman" w:hAnsi="Times New Roman"/>
                <w:sz w:val="24"/>
              </w:rPr>
              <w:t>95</w:t>
            </w:r>
            <w:r w:rsidRPr="00D83669">
              <w:rPr>
                <w:rFonts w:ascii="Times New Roman" w:hAnsi="Times New Roman"/>
                <w:sz w:val="24"/>
                <w:lang w:val="en-US"/>
              </w:rPr>
              <w:t> </w:t>
            </w:r>
            <w:r w:rsidRPr="00D83669">
              <w:rPr>
                <w:rFonts w:ascii="Times New Roman" w:hAnsi="Times New Roman"/>
                <w:sz w:val="24"/>
              </w:rPr>
              <w:t>386</w:t>
            </w:r>
          </w:p>
        </w:tc>
      </w:tr>
      <w:tr w:rsidR="00D857FE" w:rsidRPr="00D83669" w14:paraId="5EB6762A" w14:textId="77777777" w:rsidTr="0042438C">
        <w:tc>
          <w:tcPr>
            <w:tcW w:w="2405" w:type="dxa"/>
            <w:shd w:val="clear" w:color="auto" w:fill="auto"/>
            <w:vAlign w:val="center"/>
          </w:tcPr>
          <w:p w14:paraId="473E79B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Разбивка </w:t>
            </w:r>
          </w:p>
        </w:tc>
        <w:tc>
          <w:tcPr>
            <w:tcW w:w="7235" w:type="dxa"/>
            <w:shd w:val="clear" w:color="auto" w:fill="auto"/>
            <w:vAlign w:val="center"/>
          </w:tcPr>
          <w:p w14:paraId="42D0C8D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група в предучилищното образование или клас в училищното образование. При отчитането ще бъдат представени данни съгласно методологията за събиране на данни за децата и учениците от уязвими групи, с обучителни затруднения, в риск от отпадане, деца със СОП, в риск, с хронични заболявания или с изявени дарби, по демографски, социални характеристики, група или клас в предучилищното и училищното образование, напредък по постигнатите образователни резултати и ангажираност, отразени в личното портфолио, личния картон след участието им в дейностите.</w:t>
            </w:r>
          </w:p>
        </w:tc>
      </w:tr>
      <w:tr w:rsidR="00D857FE" w:rsidRPr="00D83669" w14:paraId="40FE54E1" w14:textId="77777777" w:rsidTr="0042438C">
        <w:tc>
          <w:tcPr>
            <w:tcW w:w="2405" w:type="dxa"/>
            <w:shd w:val="clear" w:color="auto" w:fill="auto"/>
            <w:vAlign w:val="center"/>
          </w:tcPr>
          <w:p w14:paraId="18E005B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6548433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Дейностите за обща и допълнителна подкрепа в предучилищното образование ще надградят изключително резултатните и обхватни проекти по ОПНОИР – „Активно приобщаване в системата на предучилищното образование“, „Подкрепа за приобщаващо образование“, „Подкрепа за успех“, които са насочени към индивидуалните потребности на децата и учениците за развитието на способностите, за повишаване на успеваемостта им и приобщаването им в образователната система.</w:t>
            </w:r>
          </w:p>
          <w:p w14:paraId="2047EAAE" w14:textId="7EA85F6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е ориентиран към цели, заложени в стратегически документи например като Стратегическа рамка за развитие на </w:t>
            </w:r>
            <w:r w:rsidRPr="00D83669">
              <w:rPr>
                <w:rFonts w:ascii="Times New Roman" w:hAnsi="Times New Roman"/>
                <w:sz w:val="24"/>
              </w:rPr>
              <w:lastRenderedPageBreak/>
              <w:t xml:space="preserve">образованието, обучението и ученето на Република България (2021 – 2030). </w:t>
            </w:r>
          </w:p>
          <w:p w14:paraId="0202CA3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В резултат на предоставената обща и допълнителна подкрепа подобрените резултати и мотивация на децата и учениците от уязвими групи, с обучителни затруднения, в риск от отпадане, със СОП, с хронични заболявания, в риск и с изявени дарби в предучилищното образование и родителите им ще доведе до приобщаването им в образователната система, като допринесе за постигането на националната цел за 2030 намаляване дела на преждевременно напусналите образование на 7%, делът на учениците с резултати, по ниски от критичните (средно за трите области на изследването) от 46% за 2018 г. по данни на ОИСР (PISA) да намалее на 25% през 2030 г., дял на обхванатите деца на възраст 4 г. в предучилищно образование спрямо общият брой на децата на 4 годишна възраст – 91%, дял на децата на възраст 4 – 6 години, необхванати в предучилищното образование – 5% от Стратегическа рамка за развитие на образованието, обучението и ученето на Република България (2021 – 2030).</w:t>
            </w:r>
          </w:p>
          <w:p w14:paraId="40135706" w14:textId="1C60F193"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Показателят е насочен и към изпълнение препоръки на ЕК от докладите по Европейския семестър за напредък и обхват на приобщаващото образование.</w:t>
            </w:r>
          </w:p>
        </w:tc>
      </w:tr>
      <w:tr w:rsidR="00D857FE" w:rsidRPr="00D83669" w14:paraId="1B976C42" w14:textId="77777777" w:rsidTr="0042438C">
        <w:tc>
          <w:tcPr>
            <w:tcW w:w="2405" w:type="dxa"/>
            <w:shd w:val="clear" w:color="auto" w:fill="auto"/>
            <w:vAlign w:val="center"/>
          </w:tcPr>
          <w:p w14:paraId="780B021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235" w:type="dxa"/>
            <w:shd w:val="clear" w:color="auto" w:fill="auto"/>
            <w:vAlign w:val="center"/>
          </w:tcPr>
          <w:p w14:paraId="595C421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От базата данни на МОН ще бъде предоставена информация от детското портфолио или личния картон на всички деца и ученици, получаващи обща и/или допълнителна подкрепа по операцията. Тези данни ще бъдат разделени по тип подкрепа – обща, допълнителна. </w:t>
            </w:r>
          </w:p>
          <w:p w14:paraId="435F36A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За всяко дете ще бъде определено входно ниво преди получаването на общата или допълнителна подкрепа по операцията. Всички бъдещи подобрения ще бъдат измерени спрямо това входно ниво. </w:t>
            </w:r>
          </w:p>
          <w:p w14:paraId="36C0928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Освен това дете, получило обща и допълнителна подкрепа, също ще бъде проследено чрез базата данни на МОН, за да потвърди дали то е останало в образователната система или не. Това проследяване ще се извършва всяка година до края на програмата за измерване на устойчивостта или тенденции, позволяващи последващи действия с тези, които не са останали в системата, за да се разбере защо са напуснали и дали оказване на подкрепата ще им помогне да ги върне.</w:t>
            </w:r>
          </w:p>
          <w:p w14:paraId="14C1905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Потвърждаване и валидиране на отчетените резултати и предоставяне на подробен анализ на отчетената промяна е чрез наблюдение в класната стая и интервюта с ученици, учители, администратори, родители и други доставчици на услуги ангажирани в процеса на предоставяне на обща и допълнителна подкрепа за личностно развитие.</w:t>
            </w:r>
          </w:p>
          <w:p w14:paraId="60CC4BC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В допълнение към 7-те образователни направления, измерени в портфолиото на децата, наблюдението ще валидира и оцени такива въпроси като: наблюдавана физическа и двигателна сръчност, </w:t>
            </w:r>
            <w:r w:rsidRPr="00D83669">
              <w:rPr>
                <w:rFonts w:ascii="Times New Roman" w:hAnsi="Times New Roman"/>
                <w:sz w:val="24"/>
              </w:rPr>
              <w:lastRenderedPageBreak/>
              <w:t>здраве, социално, емоционално, когнитивно, комуникативно развитие и ангажираност в класната стая.</w:t>
            </w:r>
          </w:p>
          <w:p w14:paraId="1882EA4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за учениците се събират текущо за всяка учебна година като отчитат постигнатите образователни резултати от началото и края на всяка учебна година и се представя с техническите доклади за изпълнение и приложенията към тях като част от системата за мониторинг на проекта.</w:t>
            </w:r>
          </w:p>
          <w:p w14:paraId="7162845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може да бъдат използвани за периодични оценки на ефекта, обхвата и устойчивостта, както и за промени в мерките по политиките в сферата на образованието.</w:t>
            </w:r>
          </w:p>
          <w:p w14:paraId="6B7C536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ще бъде измерена като проследяваща процеса на изпълнение чрез прилагане на различни инструменти за идентифициране на нуждите, на базата на които ще се изготвят индивидуалните обучителни планове и ще се измерва напредъкът на учениците</w:t>
            </w:r>
          </w:p>
        </w:tc>
      </w:tr>
      <w:tr w:rsidR="00D857FE" w:rsidRPr="00D83669" w14:paraId="5020472E" w14:textId="77777777" w:rsidTr="0042438C">
        <w:tc>
          <w:tcPr>
            <w:tcW w:w="2405" w:type="dxa"/>
            <w:shd w:val="clear" w:color="auto" w:fill="auto"/>
            <w:vAlign w:val="center"/>
          </w:tcPr>
          <w:p w14:paraId="1B20E67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235" w:type="dxa"/>
            <w:shd w:val="clear" w:color="auto" w:fill="auto"/>
            <w:vAlign w:val="center"/>
          </w:tcPr>
          <w:p w14:paraId="5836F9F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AD21F35" w14:textId="77777777" w:rsidTr="0042438C">
        <w:tc>
          <w:tcPr>
            <w:tcW w:w="2405" w:type="dxa"/>
            <w:shd w:val="clear" w:color="auto" w:fill="auto"/>
            <w:vAlign w:val="center"/>
          </w:tcPr>
          <w:p w14:paraId="0157905F" w14:textId="4E205152"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174A4C21"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EECO06 брой на децата на възраст под 18 години;</w:t>
            </w:r>
          </w:p>
          <w:p w14:paraId="185749A3"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67B0A14E"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SOI 1.2. Брой деца и ученици със специални образователни потребности (СОП), в риск, с хронични заболявания и с изявени дарби;</w:t>
            </w:r>
          </w:p>
          <w:p w14:paraId="7E292089"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tc>
      </w:tr>
      <w:tr w:rsidR="00D857FE" w:rsidRPr="00D83669" w14:paraId="3469B786" w14:textId="77777777" w:rsidTr="0042438C">
        <w:tc>
          <w:tcPr>
            <w:tcW w:w="2405" w:type="dxa"/>
            <w:shd w:val="clear" w:color="auto" w:fill="auto"/>
            <w:vAlign w:val="center"/>
          </w:tcPr>
          <w:p w14:paraId="3A03FC6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45F71EE9" w14:textId="7EF8E48A"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децата и ученици от уязвими групи, с обучителни трудности, в риск от отпадане, вкл. със СОП, с хронични заболявания, в риск и с изявени дарби, участници в дейности за обща и допълнителна подкрепа по СЦ по чл. 4, пар. 1, буква е) на ПО 2021 – 2027, подобрили образователните резултати след 1 година участие в операцията и е по-малка от всички участници в операцията и от целевата стойност на показател за краен продукт EECO06 брой на децата на възраст под 18 години.</w:t>
            </w:r>
          </w:p>
        </w:tc>
      </w:tr>
    </w:tbl>
    <w:p w14:paraId="56B25237" w14:textId="15C2F4F3" w:rsidR="008F5A88" w:rsidRPr="00D83669" w:rsidRDefault="008F5A88" w:rsidP="00D857FE"/>
    <w:p w14:paraId="733BBBD5" w14:textId="77777777" w:rsidR="008F5A88" w:rsidRPr="00D83669" w:rsidRDefault="008F5A88">
      <w:r w:rsidRPr="00D83669">
        <w:br w:type="page"/>
      </w:r>
    </w:p>
    <w:p w14:paraId="7EF548FD" w14:textId="09D59F98" w:rsidR="0048330E" w:rsidRPr="00D83669" w:rsidRDefault="00D857FE" w:rsidP="0006476C">
      <w:pPr>
        <w:pStyle w:val="Heading1"/>
        <w:rPr>
          <w:rFonts w:ascii="Times New Roman" w:hAnsi="Times New Roman" w:cs="Times New Roman"/>
          <w:b/>
          <w:bCs/>
          <w:sz w:val="28"/>
          <w:szCs w:val="28"/>
          <w:lang w:val="bg-BG"/>
        </w:rPr>
      </w:pPr>
      <w:bookmarkStart w:id="91" w:name="_Toc103586654"/>
      <w:bookmarkStart w:id="92" w:name="_Toc98778786"/>
      <w:bookmarkStart w:id="93" w:name="_Toc100152978"/>
      <w:r w:rsidRPr="00D83669">
        <w:rPr>
          <w:rFonts w:ascii="Times New Roman" w:hAnsi="Times New Roman" w:cs="Times New Roman"/>
          <w:b/>
          <w:bCs/>
          <w:sz w:val="28"/>
          <w:szCs w:val="28"/>
          <w:lang w:val="bg-BG"/>
        </w:rPr>
        <w:lastRenderedPageBreak/>
        <w:t>СЦ по чл. 4, пар. 1, буква ж)</w:t>
      </w:r>
      <w:bookmarkEnd w:id="91"/>
      <w:r w:rsidRPr="00D83669">
        <w:rPr>
          <w:rFonts w:ascii="Times New Roman" w:hAnsi="Times New Roman" w:cs="Times New Roman"/>
          <w:b/>
          <w:bCs/>
          <w:sz w:val="28"/>
          <w:szCs w:val="28"/>
          <w:lang w:val="bg-BG"/>
        </w:rPr>
        <w:t xml:space="preserve">  </w:t>
      </w:r>
    </w:p>
    <w:p w14:paraId="7B80F34D" w14:textId="749DE23E" w:rsidR="00D857FE" w:rsidRPr="00D83669" w:rsidRDefault="0048330E" w:rsidP="0048330E">
      <w:pPr>
        <w:jc w:val="both"/>
        <w:rPr>
          <w:rFonts w:ascii="Times New Roman" w:hAnsi="Times New Roman" w:cs="Times New Roman"/>
          <w:color w:val="2E74B5" w:themeColor="accent1" w:themeShade="BF"/>
          <w:sz w:val="24"/>
          <w:szCs w:val="24"/>
        </w:rPr>
      </w:pPr>
      <w:r w:rsidRPr="00D83669">
        <w:rPr>
          <w:rFonts w:ascii="Times New Roman" w:hAnsi="Times New Roman" w:cs="Times New Roman"/>
          <w:color w:val="2E74B5" w:themeColor="accent1" w:themeShade="BF"/>
          <w:sz w:val="24"/>
          <w:szCs w:val="24"/>
        </w:rPr>
        <w:t>Н</w:t>
      </w:r>
      <w:r w:rsidR="00D857FE" w:rsidRPr="00D83669">
        <w:rPr>
          <w:rFonts w:ascii="Times New Roman" w:hAnsi="Times New Roman" w:cs="Times New Roman"/>
          <w:color w:val="2E74B5" w:themeColor="accent1" w:themeShade="BF"/>
          <w:sz w:val="24"/>
          <w:szCs w:val="24"/>
        </w:rPr>
        <w:t>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предприемаческите и цифровите умения, по-доброто предвиждане на промените и изискванията за нови умения, в зависимост от нуждите на пазара, улесняването на преходите в професионалното развитие и насърчаването на професионалната мобилност</w:t>
      </w:r>
      <w:bookmarkEnd w:id="92"/>
      <w:bookmarkEnd w:id="93"/>
    </w:p>
    <w:p w14:paraId="1D02C424" w14:textId="7C6BEB86" w:rsidR="00D857FE" w:rsidRPr="00D83669" w:rsidRDefault="00D857FE" w:rsidP="00D857FE">
      <w:pPr>
        <w:pStyle w:val="Heading3"/>
        <w:ind w:left="567"/>
        <w:rPr>
          <w:rFonts w:ascii="Times New Roman" w:hAnsi="Times New Roman" w:cs="Times New Roman"/>
          <w:color w:val="000000" w:themeColor="text1"/>
        </w:rPr>
      </w:pPr>
      <w:bookmarkStart w:id="94" w:name="_Toc98778787"/>
      <w:bookmarkStart w:id="95" w:name="_Toc100152979"/>
      <w:bookmarkStart w:id="96" w:name="_Toc103586655"/>
      <w:r w:rsidRPr="00D83669">
        <w:rPr>
          <w:rFonts w:ascii="Times New Roman" w:hAnsi="Times New Roman" w:cs="Times New Roman"/>
        </w:rPr>
        <w:t>Показатели за крайни продукти</w:t>
      </w:r>
      <w:bookmarkEnd w:id="94"/>
      <w:bookmarkEnd w:id="95"/>
      <w:bookmarkEnd w:id="96"/>
      <w:r w:rsidRPr="00D83669">
        <w:rPr>
          <w:rFonts w:ascii="Times New Roman" w:hAnsi="Times New Roman" w:cs="Times New Roman"/>
          <w:color w:val="000000" w:themeColor="text1"/>
        </w:rPr>
        <w:t xml:space="preserve"> </w:t>
      </w:r>
    </w:p>
    <w:p w14:paraId="0E2B539A" w14:textId="6446873D" w:rsidR="00D857FE" w:rsidRPr="00D83669" w:rsidRDefault="00D857FE" w:rsidP="007C64A2">
      <w:pPr>
        <w:pStyle w:val="Heading3"/>
        <w:rPr>
          <w:b/>
          <w:bCs/>
          <w:i/>
          <w:iCs/>
          <w:sz w:val="22"/>
          <w:szCs w:val="22"/>
        </w:rPr>
      </w:pPr>
      <w:bookmarkStart w:id="97" w:name="_Toc100152980"/>
      <w:bookmarkStart w:id="98" w:name="_Toc103586656"/>
      <w:r w:rsidRPr="00D83669">
        <w:rPr>
          <w:b/>
          <w:bCs/>
          <w:i/>
          <w:iCs/>
          <w:sz w:val="22"/>
          <w:szCs w:val="22"/>
        </w:rPr>
        <w:t>EECO02 безработни, включително трайно безработни</w:t>
      </w:r>
      <w:bookmarkEnd w:id="97"/>
      <w:bookmarkEnd w:id="98"/>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67E41D6E" w14:textId="77777777" w:rsidTr="00DC5D6C">
        <w:trPr>
          <w:trHeight w:val="471"/>
        </w:trPr>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F32E91A" w14:textId="245F6ACE"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F25601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5BA570A1" w14:textId="77777777" w:rsidTr="004E6C22">
        <w:tc>
          <w:tcPr>
            <w:tcW w:w="2405" w:type="dxa"/>
            <w:shd w:val="clear" w:color="auto" w:fill="auto"/>
            <w:vAlign w:val="center"/>
          </w:tcPr>
          <w:p w14:paraId="354A0550" w14:textId="7B911FFF"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73BAADA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EECO02 безработни, включително трайно безработни</w:t>
            </w:r>
            <w:r w:rsidRPr="00D83669" w:rsidDel="009113EF">
              <w:rPr>
                <w:rFonts w:ascii="Times New Roman" w:hAnsi="Times New Roman"/>
                <w:sz w:val="24"/>
              </w:rPr>
              <w:t xml:space="preserve"> </w:t>
            </w:r>
          </w:p>
        </w:tc>
      </w:tr>
      <w:tr w:rsidR="00D857FE" w:rsidRPr="00D83669" w14:paraId="3A4C84BE" w14:textId="77777777" w:rsidTr="004E6C22">
        <w:tc>
          <w:tcPr>
            <w:tcW w:w="2405" w:type="dxa"/>
            <w:shd w:val="clear" w:color="auto" w:fill="auto"/>
            <w:vAlign w:val="center"/>
          </w:tcPr>
          <w:p w14:paraId="74DEC5E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215AFA99" w14:textId="09857E90"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474622BF" w14:textId="77777777" w:rsidTr="00F3334F">
        <w:trPr>
          <w:trHeight w:val="2026"/>
        </w:trPr>
        <w:tc>
          <w:tcPr>
            <w:tcW w:w="2405" w:type="dxa"/>
            <w:shd w:val="clear" w:color="auto" w:fill="auto"/>
            <w:vAlign w:val="center"/>
          </w:tcPr>
          <w:p w14:paraId="248D399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58E794D9"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цифровите умения, по-доброто предвиждане на промените и изискванията за нови умения, улесняването на преходите в професионалното развитие и насърчаването на професионалната мобилност</w:t>
            </w:r>
          </w:p>
        </w:tc>
      </w:tr>
      <w:tr w:rsidR="00D857FE" w:rsidRPr="00D83669" w14:paraId="2CB2992A" w14:textId="77777777" w:rsidTr="004E6C22">
        <w:tc>
          <w:tcPr>
            <w:tcW w:w="2405" w:type="dxa"/>
            <w:shd w:val="clear" w:color="auto" w:fill="auto"/>
            <w:vAlign w:val="center"/>
          </w:tcPr>
          <w:p w14:paraId="68AFD20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3C192BD0"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Ограмотяване на възрастни</w:t>
            </w:r>
          </w:p>
        </w:tc>
      </w:tr>
      <w:tr w:rsidR="00D857FE" w:rsidRPr="00D83669" w14:paraId="68909864" w14:textId="77777777" w:rsidTr="004E6C22">
        <w:tc>
          <w:tcPr>
            <w:tcW w:w="2405" w:type="dxa"/>
            <w:shd w:val="clear" w:color="auto" w:fill="auto"/>
            <w:vAlign w:val="center"/>
          </w:tcPr>
          <w:p w14:paraId="5AAAA87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600EA125" w14:textId="7982255A"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безработните участници в дейности по СЦ по чл. 4, §1, буква ж) с основно и по-ниско от основно образование – т.е. броя на безработните лица над 16 години, без основно образование, в дейности за учене през целия живот като участници в курсове за ограмотяване (1 – 4 клас), участници в курсове за придобиване на компетентности от прогимназиалния етап на основното образование (за всеки от 5, 6 и 7 клас) и участници в процедури за валидиране на умения и компетентности, придобити чрез неформално обучение и информално учене в съответствие с разпоредбите на ЗПУО и утвърдените програми за образование на възрастни за придобиване на клас/етап/степен на основно образование. Показателят отчита участия на едно лице от целевата група в курсове за ограмотяване (1 – 4 клас) и/или курсове за прогимназиален етап – за 5 клас, за 6 клас, за 7 клас или участие в процедура за валидиране като едно лице се брои еднократно. Показателят отчита и лица с основно образование, които са обхванати в дейности за кариерно ориентиране и/или консултиране</w:t>
            </w:r>
          </w:p>
          <w:p w14:paraId="2C48EB3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За целите на операцията </w:t>
            </w:r>
            <w:r w:rsidRPr="00D83669">
              <w:rPr>
                <w:rFonts w:ascii="Times New Roman" w:hAnsi="Times New Roman"/>
                <w:i/>
                <w:sz w:val="24"/>
              </w:rPr>
              <w:t>безработни, вкл. трайно безработни са лица над 16 години, с основно и без основно образование, които към момента на включване в дейности по операцията нямат работа, но активно търсят работа, регистрирани или не в Бюрата по труда към Агенция по заетостта по реда на Закона за насърчаване на заетостта</w:t>
            </w:r>
            <w:r w:rsidRPr="00D83669">
              <w:rPr>
                <w:rFonts w:ascii="Times New Roman" w:hAnsi="Times New Roman"/>
                <w:sz w:val="24"/>
              </w:rPr>
              <w:t>.</w:t>
            </w:r>
          </w:p>
          <w:p w14:paraId="0473C671" w14:textId="10DFE8E1" w:rsidR="00D857FE" w:rsidRPr="00D83669" w:rsidRDefault="00D857FE" w:rsidP="00CC7BCB">
            <w:pPr>
              <w:jc w:val="both"/>
              <w:rPr>
                <w:rFonts w:ascii="Times New Roman" w:hAnsi="Times New Roman"/>
                <w:sz w:val="24"/>
              </w:rPr>
            </w:pPr>
            <w:r w:rsidRPr="00D83669">
              <w:rPr>
                <w:rFonts w:ascii="Times New Roman" w:hAnsi="Times New Roman"/>
                <w:sz w:val="24"/>
              </w:rPr>
              <w:lastRenderedPageBreak/>
              <w:t xml:space="preserve">Съгласно ПО 2021 – 2027 безработните лица над 16 години, с основно образование, обхванати в кариерно ориентиране и консултиране и насочване за включване в гъвкави форми за образование на тези, които не са завършили средно образование и осигуряване на условия за втори шанс. По програмата безработни лица над 16 години с образование по-ниско от основното са обхванати в курсовете за ограмотяване и за придобиване на компетентности от прогимназиалния етап и участници в процедурата за валидиране също получават кариерно ориентиране и консултиране и насочване с цел по-добра реализация на пазара на труда на уязвими групи чрез придобиване на начален етап или на основна степен на образование. Показателят отразява факта, че неграмотни, слабограмотни, с основно или по-ниско образование са представители на уязвими групи. </w:t>
            </w:r>
          </w:p>
        </w:tc>
      </w:tr>
      <w:tr w:rsidR="00D857FE" w:rsidRPr="00D83669" w14:paraId="1F7B6B88" w14:textId="77777777" w:rsidTr="004E6C22">
        <w:tc>
          <w:tcPr>
            <w:tcW w:w="2405" w:type="dxa"/>
            <w:shd w:val="clear" w:color="auto" w:fill="auto"/>
            <w:vAlign w:val="center"/>
          </w:tcPr>
          <w:p w14:paraId="0E332F2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235" w:type="dxa"/>
            <w:shd w:val="clear" w:color="auto" w:fill="auto"/>
            <w:vAlign w:val="center"/>
          </w:tcPr>
          <w:p w14:paraId="5CA4206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7D04A5A5" w14:textId="77777777" w:rsidTr="004E6C22">
        <w:tc>
          <w:tcPr>
            <w:tcW w:w="2405" w:type="dxa"/>
            <w:shd w:val="clear" w:color="auto" w:fill="auto"/>
            <w:vAlign w:val="center"/>
          </w:tcPr>
          <w:p w14:paraId="5CD8F3A8" w14:textId="721E995E" w:rsidR="00D857FE" w:rsidRPr="00D83669" w:rsidRDefault="0010558E"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0A08572A" w14:textId="78F5CAE3" w:rsidR="00D857FE" w:rsidRPr="00D83669" w:rsidRDefault="00D857FE" w:rsidP="00CC7BCB">
            <w:pPr>
              <w:jc w:val="both"/>
              <w:rPr>
                <w:rFonts w:ascii="Times New Roman" w:hAnsi="Times New Roman"/>
                <w:sz w:val="24"/>
                <w:lang w:val="en-US"/>
              </w:rPr>
            </w:pPr>
            <w:r w:rsidRPr="00D83669">
              <w:rPr>
                <w:rFonts w:ascii="Times New Roman" w:hAnsi="Times New Roman"/>
                <w:sz w:val="24"/>
              </w:rPr>
              <w:t>11 </w:t>
            </w:r>
            <w:r w:rsidR="008C54D6" w:rsidRPr="00D83669">
              <w:rPr>
                <w:rFonts w:ascii="Times New Roman" w:hAnsi="Times New Roman"/>
                <w:sz w:val="24"/>
              </w:rPr>
              <w:t>27</w:t>
            </w:r>
            <w:r w:rsidR="008C54D6" w:rsidRPr="00D83669">
              <w:rPr>
                <w:rFonts w:ascii="Times New Roman" w:hAnsi="Times New Roman"/>
                <w:sz w:val="24"/>
                <w:lang w:val="en-US"/>
              </w:rPr>
              <w:t>1</w:t>
            </w:r>
          </w:p>
        </w:tc>
      </w:tr>
      <w:tr w:rsidR="00D857FE" w:rsidRPr="00D83669" w14:paraId="71BBCC61" w14:textId="77777777" w:rsidTr="004E6C22">
        <w:tc>
          <w:tcPr>
            <w:tcW w:w="2405" w:type="dxa"/>
            <w:shd w:val="clear" w:color="auto" w:fill="auto"/>
            <w:vAlign w:val="center"/>
          </w:tcPr>
          <w:p w14:paraId="36539E68" w14:textId="1AEEAC2D" w:rsidR="00D857FE" w:rsidRPr="00D83669" w:rsidRDefault="00522E94"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40F0D22D" w14:textId="038A737E"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се определя от целевата стойност на показател EEOC09 участници с прогимназиален етап на основното образование или по-ниска степен на образование и данни от приключилия проект по процедура „Ограмотяване на възрастни – фаза 1“, където 66,86% от участниците в дейностите по операцията са били безработни лица. Прилагайки този процент към броя на лицата над 16 години, с основно и без основно образование, участници в операция по тази специфична цел получаваме целевата стойност на безработните лица или 16</w:t>
            </w:r>
            <w:r w:rsidRPr="00D83669">
              <w:rPr>
                <w:rFonts w:ascii="Times New Roman" w:hAnsi="Times New Roman"/>
                <w:sz w:val="24"/>
                <w:lang w:val="en-US"/>
              </w:rPr>
              <w:t> </w:t>
            </w:r>
            <w:r w:rsidRPr="00D83669">
              <w:rPr>
                <w:rFonts w:ascii="Times New Roman" w:hAnsi="Times New Roman"/>
                <w:sz w:val="24"/>
              </w:rPr>
              <w:t>858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66,86%</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11</w:t>
            </w:r>
            <w:r w:rsidRPr="00D83669">
              <w:rPr>
                <w:rFonts w:ascii="Times New Roman" w:hAnsi="Times New Roman"/>
                <w:sz w:val="24"/>
                <w:lang w:val="en-US"/>
              </w:rPr>
              <w:t> </w:t>
            </w:r>
            <w:r w:rsidR="008C54D6" w:rsidRPr="00D83669">
              <w:rPr>
                <w:rFonts w:ascii="Times New Roman" w:hAnsi="Times New Roman"/>
                <w:sz w:val="24"/>
              </w:rPr>
              <w:t>271</w:t>
            </w:r>
            <w:r w:rsidRPr="00D83669">
              <w:rPr>
                <w:rFonts w:ascii="Times New Roman" w:hAnsi="Times New Roman"/>
                <w:sz w:val="24"/>
              </w:rPr>
              <w:t>.</w:t>
            </w:r>
          </w:p>
        </w:tc>
      </w:tr>
      <w:tr w:rsidR="00D857FE" w:rsidRPr="00D83669" w14:paraId="4561DB67" w14:textId="77777777" w:rsidTr="004E6C22">
        <w:tc>
          <w:tcPr>
            <w:tcW w:w="2405" w:type="dxa"/>
            <w:shd w:val="clear" w:color="auto" w:fill="auto"/>
            <w:vAlign w:val="center"/>
          </w:tcPr>
          <w:p w14:paraId="4C9CA2B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301C3674" w14:textId="46CEDBEA" w:rsidR="00D857FE" w:rsidRPr="00D83669" w:rsidRDefault="00CD2EB1" w:rsidP="00CC7BCB">
            <w:pPr>
              <w:jc w:val="both"/>
              <w:rPr>
                <w:rFonts w:ascii="Times New Roman" w:hAnsi="Times New Roman"/>
                <w:sz w:val="24"/>
              </w:rPr>
            </w:pPr>
            <w:r w:rsidRPr="00D83669">
              <w:rPr>
                <w:rFonts w:ascii="Times New Roman" w:hAnsi="Times New Roman"/>
                <w:sz w:val="24"/>
              </w:rPr>
              <w:t>537</w:t>
            </w:r>
          </w:p>
        </w:tc>
      </w:tr>
      <w:tr w:rsidR="00D857FE" w:rsidRPr="00D83669" w14:paraId="4FED895B" w14:textId="77777777" w:rsidTr="00DC5D6C">
        <w:trPr>
          <w:trHeight w:val="3304"/>
        </w:trPr>
        <w:tc>
          <w:tcPr>
            <w:tcW w:w="2405" w:type="dxa"/>
            <w:shd w:val="clear" w:color="auto" w:fill="auto"/>
            <w:vAlign w:val="center"/>
          </w:tcPr>
          <w:p w14:paraId="562AE16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235" w:type="dxa"/>
            <w:shd w:val="clear" w:color="auto" w:fill="auto"/>
            <w:vAlign w:val="center"/>
          </w:tcPr>
          <w:p w14:paraId="4615DDDF" w14:textId="2148D08F" w:rsidR="00D857FE" w:rsidRPr="00D83669" w:rsidRDefault="00D857FE" w:rsidP="00CC7BCB">
            <w:pPr>
              <w:jc w:val="both"/>
              <w:rPr>
                <w:rFonts w:ascii="Times New Roman" w:hAnsi="Times New Roman"/>
                <w:sz w:val="24"/>
              </w:rPr>
            </w:pPr>
            <w:r w:rsidRPr="00D83669">
              <w:t xml:space="preserve"> </w:t>
            </w:r>
            <w:r w:rsidR="00CF7D0D" w:rsidRPr="00D83669">
              <w:rPr>
                <w:rFonts w:ascii="Times New Roman" w:hAnsi="Times New Roman" w:cs="Times New Roman"/>
                <w:sz w:val="24"/>
                <w:szCs w:val="24"/>
              </w:rPr>
              <w:t>Етапната цел  е съобразена с планирания график за операцията по подхода ИТИ с реално изпълнение на дейностите от декември 2023 г., и реален обхват от 1/3 на участващите безработни лица от целевата група през 2024 г. Операцията по подхода ИТИ стартира със 100% от определения финансовия ресурс с продължителност от 7 години и физическо изпълнение на дейности през 2024г.</w:t>
            </w:r>
            <w:r w:rsidR="004F46E8" w:rsidRPr="00D83669">
              <w:rPr>
                <w:rFonts w:ascii="Times New Roman" w:hAnsi="Times New Roman" w:cs="Times New Roman"/>
                <w:sz w:val="24"/>
                <w:szCs w:val="24"/>
              </w:rPr>
              <w:t xml:space="preserve"> </w:t>
            </w:r>
            <w:r w:rsidR="00CF7D0D" w:rsidRPr="00D83669">
              <w:rPr>
                <w:rFonts w:ascii="Times New Roman" w:hAnsi="Times New Roman" w:cs="Times New Roman"/>
                <w:sz w:val="24"/>
                <w:szCs w:val="24"/>
              </w:rPr>
              <w:t>Етапната цел се определя, като се взема предвид определения финансов ресурс за операцията,  разделен на годините  за изпълнението на дейностите  по подхода ИТИ, съгласно стратегиите на регионите</w:t>
            </w:r>
            <w:r w:rsidR="00464562" w:rsidRPr="00D83669">
              <w:rPr>
                <w:rFonts w:ascii="Times New Roman" w:hAnsi="Times New Roman" w:cs="Times New Roman"/>
                <w:sz w:val="24"/>
                <w:szCs w:val="24"/>
              </w:rPr>
              <w:t xml:space="preserve"> </w:t>
            </w:r>
            <w:r w:rsidR="00CF7D0D" w:rsidRPr="00D83669">
              <w:rPr>
                <w:rFonts w:ascii="Times New Roman" w:hAnsi="Times New Roman" w:cs="Times New Roman"/>
                <w:sz w:val="24"/>
                <w:szCs w:val="24"/>
              </w:rPr>
              <w:t>и концепциите за проектни предложения по ИТИ и отчитането на стойности на показателя до края на 2024 г. или</w:t>
            </w:r>
            <w:r w:rsidR="007F5FAD" w:rsidRPr="00D83669">
              <w:rPr>
                <w:rFonts w:ascii="Times New Roman" w:hAnsi="Times New Roman" w:cs="Times New Roman"/>
                <w:sz w:val="24"/>
                <w:szCs w:val="24"/>
              </w:rPr>
              <w:t xml:space="preserve"> </w:t>
            </w:r>
            <w:r w:rsidR="00CF7D0D" w:rsidRPr="00D83669">
              <w:rPr>
                <w:rFonts w:ascii="Times New Roman" w:hAnsi="Times New Roman" w:cs="Times New Roman"/>
                <w:sz w:val="24"/>
                <w:szCs w:val="24"/>
              </w:rPr>
              <w:t>11271/7*1/3=537.</w:t>
            </w:r>
          </w:p>
        </w:tc>
      </w:tr>
      <w:tr w:rsidR="00D857FE" w:rsidRPr="00D83669" w14:paraId="596E84B1" w14:textId="77777777" w:rsidTr="00DC5D6C">
        <w:trPr>
          <w:trHeight w:val="291"/>
        </w:trPr>
        <w:tc>
          <w:tcPr>
            <w:tcW w:w="2405" w:type="dxa"/>
            <w:shd w:val="clear" w:color="auto" w:fill="auto"/>
            <w:vAlign w:val="center"/>
          </w:tcPr>
          <w:p w14:paraId="66BB3DA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38380D9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0EABF96C" w14:textId="77777777" w:rsidTr="004E6C22">
        <w:tc>
          <w:tcPr>
            <w:tcW w:w="2405" w:type="dxa"/>
            <w:shd w:val="clear" w:color="auto" w:fill="auto"/>
            <w:vAlign w:val="center"/>
          </w:tcPr>
          <w:p w14:paraId="7FE5598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1CA8B17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вид уязвима група като безработни лица, пол, възраст, ниво на образование, участие по вид дейност – вид курс (участие в курс за 1 – 4 клас, участие в курсове за 5, 6, 7 клас, участие в процедура за валидиране на умения </w:t>
            </w:r>
            <w:r w:rsidRPr="00D83669">
              <w:rPr>
                <w:rFonts w:ascii="Times New Roman" w:hAnsi="Times New Roman"/>
                <w:sz w:val="24"/>
              </w:rPr>
              <w:lastRenderedPageBreak/>
              <w:t xml:space="preserve">и компетентности от неформално обучение и информално учене, и др.; учебно заведение, община, област, район, и др. </w:t>
            </w:r>
          </w:p>
        </w:tc>
      </w:tr>
      <w:tr w:rsidR="00D857FE" w:rsidRPr="00D83669" w14:paraId="0F641992" w14:textId="77777777" w:rsidTr="004E6C22">
        <w:tc>
          <w:tcPr>
            <w:tcW w:w="2405" w:type="dxa"/>
            <w:shd w:val="clear" w:color="auto" w:fill="auto"/>
            <w:vAlign w:val="center"/>
          </w:tcPr>
          <w:p w14:paraId="768C4EA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Обосновка </w:t>
            </w:r>
          </w:p>
        </w:tc>
        <w:tc>
          <w:tcPr>
            <w:tcW w:w="7235" w:type="dxa"/>
            <w:shd w:val="clear" w:color="auto" w:fill="auto"/>
            <w:vAlign w:val="center"/>
          </w:tcPr>
          <w:p w14:paraId="7FB1E26F" w14:textId="717D6BFB"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е ориентиран към цели, заложени в стратегически документи като Стратегическа рамка за развитие на образованието, обучението и ученето на Република България (2021 – 2030), проекта на Националната стратегия на Република България за приобщаване и участие на ромите 2021 – 2030 и др. Информацията проследява напредъка по заложените цели на национално ниво в политиките за образование и за уязвими групи като проследява подкрепата на програмата за уязвимите групи с оглед по-добра реализация на пазара на труда.</w:t>
            </w:r>
          </w:p>
          <w:p w14:paraId="6648BC1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както и за съответствие на образованието с изискванията на пазара на труда и гъвкава проходимост между отделни етапи/степени на образование. Данните ще предоставят информация за уязвими групи, които повишават образованието си с оглед по-добра реализация на пазара на труда и за преодоляване на уязвимостта по признак „завършено образование“. Данните ще допринесат за насочване на мерки за намаляване на регионалните дисбаланси от работна сила, както и към решаване на демографски и социално-икономически проблеми на регионално ниво.</w:t>
            </w:r>
          </w:p>
        </w:tc>
      </w:tr>
      <w:tr w:rsidR="00D857FE" w:rsidRPr="00D83669" w14:paraId="3822E7EB" w14:textId="77777777" w:rsidTr="004E6C22">
        <w:tc>
          <w:tcPr>
            <w:tcW w:w="2405" w:type="dxa"/>
            <w:shd w:val="clear" w:color="auto" w:fill="auto"/>
            <w:vAlign w:val="center"/>
          </w:tcPr>
          <w:p w14:paraId="0E35A26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3AA3EAE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бенефициентите (вкл. чрез анкетни карти от лицата от целевата група)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3D77CDE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вид уязвима група,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w:t>
            </w:r>
          </w:p>
        </w:tc>
      </w:tr>
      <w:tr w:rsidR="00D857FE" w:rsidRPr="00D83669" w14:paraId="3DAC8777" w14:textId="77777777" w:rsidTr="00F3334F">
        <w:trPr>
          <w:trHeight w:val="527"/>
        </w:trPr>
        <w:tc>
          <w:tcPr>
            <w:tcW w:w="2405" w:type="dxa"/>
            <w:shd w:val="clear" w:color="auto" w:fill="auto"/>
            <w:vAlign w:val="center"/>
          </w:tcPr>
          <w:p w14:paraId="2E27E36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4B4C001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6AAC930B" w14:textId="77777777" w:rsidTr="004E6C22">
        <w:tc>
          <w:tcPr>
            <w:tcW w:w="2405" w:type="dxa"/>
            <w:shd w:val="clear" w:color="auto" w:fill="auto"/>
            <w:vAlign w:val="center"/>
          </w:tcPr>
          <w:p w14:paraId="1ED5A58B" w14:textId="73A479C3"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053C79A6"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EECO09 участници с прогимназиален етап на основното образование или по-ниска степен на образование;</w:t>
            </w:r>
          </w:p>
          <w:p w14:paraId="7C1398F6"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EECO04 неактивни;</w:t>
            </w:r>
          </w:p>
          <w:p w14:paraId="16E01666"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EECO05 Заети, вкл. самостоятелно заети;</w:t>
            </w:r>
          </w:p>
          <w:p w14:paraId="2DC7F271"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EECO15 участници от малцинства (включително маргинализирани общности като ромите).</w:t>
            </w:r>
          </w:p>
        </w:tc>
      </w:tr>
      <w:tr w:rsidR="00D857FE" w:rsidRPr="00D83669" w14:paraId="7F89B3E0" w14:textId="77777777" w:rsidTr="004E6C22">
        <w:tc>
          <w:tcPr>
            <w:tcW w:w="2405" w:type="dxa"/>
            <w:shd w:val="clear" w:color="auto" w:fill="auto"/>
            <w:vAlign w:val="center"/>
          </w:tcPr>
          <w:p w14:paraId="7991FD7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70B58A5B" w14:textId="07E0182B"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на показателя обхваща броя на безработните лица над 16 години с прогимназиален етап а основно образование или по-ниска степен на образование, участници в дейностите по СЦ по чл. </w:t>
            </w:r>
            <w:r w:rsidRPr="00D83669">
              <w:rPr>
                <w:rFonts w:ascii="Times New Roman" w:hAnsi="Times New Roman"/>
                <w:sz w:val="24"/>
              </w:rPr>
              <w:lastRenderedPageBreak/>
              <w:t>4, пар. 1, буква ж) на ПО 2021 – 2027 и е по-малка от броя на всички участници в дейности по тази специфична цел.</w:t>
            </w:r>
          </w:p>
        </w:tc>
      </w:tr>
    </w:tbl>
    <w:p w14:paraId="60C68B17" w14:textId="77777777" w:rsidR="00D857FE" w:rsidRPr="00D83669" w:rsidRDefault="00D857FE" w:rsidP="00D857FE"/>
    <w:p w14:paraId="3BD2CECB" w14:textId="77777777" w:rsidR="00D857FE" w:rsidRPr="00D83669" w:rsidRDefault="00D857FE" w:rsidP="00D857FE">
      <w:r w:rsidRPr="00D83669">
        <w:br w:type="page"/>
      </w:r>
    </w:p>
    <w:p w14:paraId="215408A1" w14:textId="25D59495" w:rsidR="00D857FE" w:rsidRPr="00D83669" w:rsidRDefault="00D857FE" w:rsidP="007C64A2">
      <w:pPr>
        <w:pStyle w:val="Heading3"/>
        <w:rPr>
          <w:b/>
          <w:bCs/>
          <w:i/>
          <w:iCs/>
          <w:sz w:val="22"/>
          <w:szCs w:val="22"/>
        </w:rPr>
      </w:pPr>
      <w:bookmarkStart w:id="99" w:name="_Toc100152981"/>
      <w:bookmarkStart w:id="100" w:name="_Toc103586657"/>
      <w:r w:rsidRPr="00D83669">
        <w:rPr>
          <w:b/>
          <w:bCs/>
          <w:i/>
          <w:iCs/>
          <w:sz w:val="22"/>
          <w:szCs w:val="22"/>
        </w:rPr>
        <w:lastRenderedPageBreak/>
        <w:t>EECO04 неактивни</w:t>
      </w:r>
      <w:bookmarkEnd w:id="99"/>
      <w:bookmarkEnd w:id="100"/>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3495B23B" w14:textId="77777777" w:rsidTr="009F2474">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FDBDBE3" w14:textId="3B0BD382"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08F4D5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2CDEB50A" w14:textId="77777777" w:rsidTr="009F2474">
        <w:tc>
          <w:tcPr>
            <w:tcW w:w="2405" w:type="dxa"/>
            <w:shd w:val="clear" w:color="auto" w:fill="auto"/>
            <w:vAlign w:val="center"/>
          </w:tcPr>
          <w:p w14:paraId="6DE355CD" w14:textId="4FBDEA4F"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7CDFB2E3" w14:textId="04952644" w:rsidR="00D857FE" w:rsidRPr="00D83669" w:rsidRDefault="00D857FE" w:rsidP="00CC7BCB">
            <w:pPr>
              <w:jc w:val="both"/>
              <w:rPr>
                <w:rFonts w:ascii="Times New Roman" w:hAnsi="Times New Roman"/>
                <w:sz w:val="24"/>
              </w:rPr>
            </w:pPr>
            <w:r w:rsidRPr="00D83669">
              <w:rPr>
                <w:rFonts w:ascii="Times New Roman" w:hAnsi="Times New Roman"/>
                <w:sz w:val="24"/>
              </w:rPr>
              <w:t>EECO04 неактивни</w:t>
            </w:r>
          </w:p>
        </w:tc>
      </w:tr>
      <w:tr w:rsidR="00D857FE" w:rsidRPr="00D83669" w14:paraId="4243DE53" w14:textId="77777777" w:rsidTr="009F2474">
        <w:tc>
          <w:tcPr>
            <w:tcW w:w="2405" w:type="dxa"/>
            <w:shd w:val="clear" w:color="auto" w:fill="auto"/>
            <w:vAlign w:val="center"/>
          </w:tcPr>
          <w:p w14:paraId="76D3FCC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3D9618D8" w14:textId="43D2A87F"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62D0747A" w14:textId="77777777" w:rsidTr="009F2474">
        <w:tc>
          <w:tcPr>
            <w:tcW w:w="2405" w:type="dxa"/>
            <w:shd w:val="clear" w:color="auto" w:fill="auto"/>
            <w:vAlign w:val="center"/>
          </w:tcPr>
          <w:p w14:paraId="40B4F76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79844824"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цифровите умения, по-доброто предвиждане на промените и изискванията за нови умения, улесняването на преходите в професионалното развитие и насърчаването на професионалната мобилност</w:t>
            </w:r>
          </w:p>
        </w:tc>
      </w:tr>
      <w:tr w:rsidR="00D857FE" w:rsidRPr="00D83669" w14:paraId="414C8B0A" w14:textId="77777777" w:rsidTr="009F2474">
        <w:tc>
          <w:tcPr>
            <w:tcW w:w="2405" w:type="dxa"/>
            <w:shd w:val="clear" w:color="auto" w:fill="auto"/>
            <w:vAlign w:val="center"/>
          </w:tcPr>
          <w:p w14:paraId="72115FA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1F8EB899"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Ограмотяване на възрастни</w:t>
            </w:r>
          </w:p>
        </w:tc>
      </w:tr>
      <w:tr w:rsidR="00D857FE" w:rsidRPr="00D83669" w14:paraId="7CA21580" w14:textId="77777777" w:rsidTr="009F2474">
        <w:tc>
          <w:tcPr>
            <w:tcW w:w="2405" w:type="dxa"/>
            <w:shd w:val="clear" w:color="auto" w:fill="auto"/>
            <w:vAlign w:val="center"/>
          </w:tcPr>
          <w:p w14:paraId="307EE71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0F73F26A" w14:textId="2A928D20"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броя на неактивните лица над 16 години, с основно образование и с образование по-ниско от основното участници в дейности по СЦ по чл. 4, §1, буква ж): броя на лицата над 16 години, без основно образование в дейности за учене през целия живот като участници в курсове за ограмотяване (1 – 4 клас), участници в курсове за придобиване на компетентности от прогимназиалния етап на основното образование (за всеки от 5, 6 и 7 клас) и участници в процедури за валидиране на умения и компетентности, придобити чрез неформално обучение и информално учене в съответствие с разпоредбите на ЗПУО и утвърдените програми за образование на възрастни за придобиване на клас/етап/степен на основно образование. Показателят отчита и неактивни лица с основно образование, обхванати в кариерно ориентиране и консултиране и насочване за включване в гъвкави форми за образование на тези, които не са завършили средно образование и осигуряване на условия за втори шанс и по-ниско образование. Показателят отчита участия на едно лице от целевата група в курсове за ограмотяване (1 – 4 клас) и/или курсове за прогимназиален етап – за 5 клас, за 6 клас, за 7 клас или участие в процедура за валидиране като едно лице се брои еднократно, в кариерно ориентиране и консултиране и насочване за включване в гъвкави форми за образование на тези, които не са завършили средно образование и осигуряване на условия за втори шанс и по-ниско образование. </w:t>
            </w:r>
          </w:p>
          <w:p w14:paraId="6E27818E" w14:textId="533CDBEA" w:rsidR="00D857FE" w:rsidRPr="00D83669" w:rsidRDefault="00D857FE" w:rsidP="00CC7BCB">
            <w:pPr>
              <w:jc w:val="both"/>
              <w:rPr>
                <w:rFonts w:ascii="Times New Roman" w:hAnsi="Times New Roman"/>
                <w:sz w:val="24"/>
              </w:rPr>
            </w:pPr>
            <w:r w:rsidRPr="00D83669">
              <w:rPr>
                <w:rFonts w:ascii="Times New Roman" w:hAnsi="Times New Roman"/>
                <w:sz w:val="24"/>
              </w:rPr>
              <w:t xml:space="preserve">Съгласно ПО 2021 – 2027 лицата, обхванати в курсовете и процедурата за валидиране получават кариерно ориентиране и консултиране и насочване с цел по-добра реализация на пазара на труда на уязвими групи чрез придобиване на начален етап или на основна степен на образование. Показателят отразява факта, че неграмотни, слабограмотни, с основно или без основно образование са представители на уязвими групи. За целите на операцията </w:t>
            </w:r>
            <w:r w:rsidRPr="00D83669">
              <w:rPr>
                <w:rFonts w:ascii="Times New Roman" w:hAnsi="Times New Roman"/>
                <w:i/>
                <w:sz w:val="24"/>
              </w:rPr>
              <w:t xml:space="preserve">„неактивни“ са лицата, които са икономически неактивни в момента на включване в дейности по операцията – не са заети, </w:t>
            </w:r>
            <w:r w:rsidRPr="00D83669">
              <w:rPr>
                <w:rFonts w:ascii="Times New Roman" w:hAnsi="Times New Roman"/>
                <w:i/>
                <w:sz w:val="24"/>
              </w:rPr>
              <w:lastRenderedPageBreak/>
              <w:t>нито са безработни, не са активни в търсенето на работа/заетост, защото предполагат, че няма да намерят, не са в обучения</w:t>
            </w:r>
            <w:r w:rsidRPr="00D83669">
              <w:rPr>
                <w:rFonts w:ascii="Times New Roman" w:hAnsi="Times New Roman"/>
                <w:sz w:val="24"/>
              </w:rPr>
              <w:t xml:space="preserve">. </w:t>
            </w:r>
          </w:p>
        </w:tc>
      </w:tr>
      <w:tr w:rsidR="00D857FE" w:rsidRPr="00D83669" w14:paraId="0A0D2405" w14:textId="77777777" w:rsidTr="009F2474">
        <w:tc>
          <w:tcPr>
            <w:tcW w:w="2405" w:type="dxa"/>
            <w:shd w:val="clear" w:color="auto" w:fill="auto"/>
            <w:vAlign w:val="center"/>
          </w:tcPr>
          <w:p w14:paraId="711FC58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235" w:type="dxa"/>
            <w:shd w:val="clear" w:color="auto" w:fill="auto"/>
            <w:vAlign w:val="center"/>
          </w:tcPr>
          <w:p w14:paraId="6AE90FB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568F74D5" w14:textId="77777777" w:rsidTr="009F2474">
        <w:tc>
          <w:tcPr>
            <w:tcW w:w="2405" w:type="dxa"/>
            <w:shd w:val="clear" w:color="auto" w:fill="auto"/>
            <w:vAlign w:val="center"/>
          </w:tcPr>
          <w:p w14:paraId="352B9860" w14:textId="332842A9" w:rsidR="00D857FE" w:rsidRPr="00D83669" w:rsidRDefault="0010558E"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64817C6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3 567</w:t>
            </w:r>
          </w:p>
        </w:tc>
      </w:tr>
      <w:tr w:rsidR="00D857FE" w:rsidRPr="00D83669" w14:paraId="0910E01C" w14:textId="77777777" w:rsidTr="009F2474">
        <w:tc>
          <w:tcPr>
            <w:tcW w:w="2405" w:type="dxa"/>
            <w:shd w:val="clear" w:color="auto" w:fill="auto"/>
            <w:vAlign w:val="center"/>
          </w:tcPr>
          <w:p w14:paraId="5881E64B" w14:textId="2A921062" w:rsidR="00D857FE" w:rsidRPr="00D83669" w:rsidRDefault="00522E94"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0A6CC010" w14:textId="494C0306"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се определя от целевата стойност на  показател EEOC09 участници с прогимназиален етап на основното образование или по-ниска степен на образование и данни от приключилия проект по процедура „Ограмотяване на възрастни – фаза 1“, където от 21,16% от участниците в дейностите по операцията са били неактивни лица. Прилагайки този процент към броя на лицата над 16 години с основно и по-ниско образование, участници в операция по тази специфична цел получаваме целевата стойност на неактивните лица или 16</w:t>
            </w:r>
            <w:r w:rsidRPr="00D83669">
              <w:rPr>
                <w:rFonts w:ascii="Times New Roman" w:hAnsi="Times New Roman"/>
                <w:sz w:val="24"/>
                <w:lang w:val="en-US"/>
              </w:rPr>
              <w:t> </w:t>
            </w:r>
            <w:r w:rsidRPr="00D83669">
              <w:rPr>
                <w:rFonts w:ascii="Times New Roman" w:hAnsi="Times New Roman"/>
                <w:sz w:val="24"/>
              </w:rPr>
              <w:t>858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21,16%</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3</w:t>
            </w:r>
            <w:r w:rsidRPr="00D83669">
              <w:rPr>
                <w:rFonts w:ascii="Times New Roman" w:hAnsi="Times New Roman"/>
                <w:sz w:val="24"/>
                <w:lang w:val="en-US"/>
              </w:rPr>
              <w:t> </w:t>
            </w:r>
            <w:r w:rsidRPr="00D83669">
              <w:rPr>
                <w:rFonts w:ascii="Times New Roman" w:hAnsi="Times New Roman"/>
                <w:sz w:val="24"/>
              </w:rPr>
              <w:t>567.</w:t>
            </w:r>
          </w:p>
        </w:tc>
      </w:tr>
      <w:tr w:rsidR="00D857FE" w:rsidRPr="00D83669" w14:paraId="6961CC7F" w14:textId="77777777" w:rsidTr="009F2474">
        <w:tc>
          <w:tcPr>
            <w:tcW w:w="2405" w:type="dxa"/>
            <w:shd w:val="clear" w:color="auto" w:fill="auto"/>
            <w:vAlign w:val="center"/>
          </w:tcPr>
          <w:p w14:paraId="677251C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27B86E07" w14:textId="0175BFE4" w:rsidR="00D857FE" w:rsidRPr="00D83669" w:rsidRDefault="00B61F0C" w:rsidP="00CC7BCB">
            <w:pPr>
              <w:jc w:val="both"/>
              <w:rPr>
                <w:rFonts w:ascii="Times New Roman" w:hAnsi="Times New Roman"/>
                <w:sz w:val="24"/>
                <w:lang w:val="en-US"/>
              </w:rPr>
            </w:pPr>
            <w:r w:rsidRPr="00D83669">
              <w:rPr>
                <w:rFonts w:ascii="Times New Roman" w:hAnsi="Times New Roman"/>
                <w:sz w:val="24"/>
              </w:rPr>
              <w:t>170</w:t>
            </w:r>
          </w:p>
        </w:tc>
      </w:tr>
      <w:tr w:rsidR="00D857FE" w:rsidRPr="00D83669" w14:paraId="5AD6AE87" w14:textId="77777777" w:rsidTr="009F2474">
        <w:tc>
          <w:tcPr>
            <w:tcW w:w="2405" w:type="dxa"/>
            <w:shd w:val="clear" w:color="auto" w:fill="auto"/>
            <w:vAlign w:val="center"/>
          </w:tcPr>
          <w:p w14:paraId="67EF08B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235" w:type="dxa"/>
            <w:shd w:val="clear" w:color="auto" w:fill="auto"/>
            <w:vAlign w:val="center"/>
          </w:tcPr>
          <w:p w14:paraId="582D3EFF" w14:textId="72611684" w:rsidR="00D857FE" w:rsidRPr="00D83669" w:rsidRDefault="00D857FE" w:rsidP="00CC7BCB">
            <w:pPr>
              <w:jc w:val="both"/>
              <w:rPr>
                <w:rFonts w:ascii="Times New Roman" w:hAnsi="Times New Roman"/>
                <w:sz w:val="24"/>
              </w:rPr>
            </w:pPr>
            <w:r w:rsidRPr="00D83669">
              <w:t xml:space="preserve"> </w:t>
            </w:r>
            <w:r w:rsidR="007209D8" w:rsidRPr="00D83669">
              <w:rPr>
                <w:rFonts w:ascii="Times New Roman" w:hAnsi="Times New Roman" w:cs="Times New Roman"/>
                <w:sz w:val="24"/>
                <w:szCs w:val="24"/>
              </w:rPr>
              <w:t>Етапната цел  е съобразена с планирания график за операцията по подхода ИТИ с реално изпълнение на дейностите от декември 2023 г., и реален обхват от 1/3 на участващите неактивни лица от целевата група през 2024 г. Операцията по подхода ИТИ стартира със 100% от определения финансовия ресурс с продължителност от 7 години и физическо изпълнение на дейности през 2024г.</w:t>
            </w:r>
            <w:r w:rsidR="003129A6" w:rsidRPr="00D83669">
              <w:rPr>
                <w:rFonts w:ascii="Times New Roman" w:hAnsi="Times New Roman" w:cs="Times New Roman"/>
                <w:sz w:val="24"/>
                <w:szCs w:val="24"/>
              </w:rPr>
              <w:t xml:space="preserve"> </w:t>
            </w:r>
            <w:r w:rsidR="007209D8" w:rsidRPr="00D83669">
              <w:rPr>
                <w:rFonts w:ascii="Times New Roman" w:hAnsi="Times New Roman" w:cs="Times New Roman"/>
                <w:sz w:val="24"/>
                <w:szCs w:val="24"/>
              </w:rPr>
              <w:t>Етапната цел се определя, като се взема предвид определения финансов ресурс за операцията,  разделен на годините  за изпълнението на дейностите  по подхода ИТИ,  съгласно стратегиите на регионите и концепциите за проектни предложения по ИТИ и отчитането на стойности на показателя до края на 2024 г. или 3567/7*1/3=170.</w:t>
            </w:r>
          </w:p>
        </w:tc>
      </w:tr>
      <w:tr w:rsidR="00D857FE" w:rsidRPr="00D83669" w14:paraId="232C0D39" w14:textId="77777777" w:rsidTr="009F2474">
        <w:tc>
          <w:tcPr>
            <w:tcW w:w="2405" w:type="dxa"/>
            <w:shd w:val="clear" w:color="auto" w:fill="auto"/>
            <w:vAlign w:val="center"/>
          </w:tcPr>
          <w:p w14:paraId="78F24E7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02B98B9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297CE472" w14:textId="77777777" w:rsidTr="009F2474">
        <w:tc>
          <w:tcPr>
            <w:tcW w:w="2405" w:type="dxa"/>
            <w:shd w:val="clear" w:color="auto" w:fill="auto"/>
            <w:vAlign w:val="center"/>
          </w:tcPr>
          <w:p w14:paraId="6C040B7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7239ABB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вид уязвима група – неактивни, пол, възраст,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 </w:t>
            </w:r>
          </w:p>
        </w:tc>
      </w:tr>
      <w:tr w:rsidR="00D857FE" w:rsidRPr="00D83669" w14:paraId="715D522C" w14:textId="77777777" w:rsidTr="009F2474">
        <w:tc>
          <w:tcPr>
            <w:tcW w:w="2405" w:type="dxa"/>
            <w:shd w:val="clear" w:color="auto" w:fill="auto"/>
            <w:vAlign w:val="center"/>
          </w:tcPr>
          <w:p w14:paraId="3754AAF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46301030" w14:textId="27127003"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е ориентиран към цели, заложени в стратегически документи като Стратегическа рамка за развитие на образованието, обучението и ученето на Република България (2021 – 2030), проекта на Националната стратегия на Република България за приобщаване и участие на ромите 2021 – 2030 и др. Информацията проследява напредъка по заложените цели на национално ниво в политиките за образование и за уязвими групи като проследява подкрепата на програмата за уязвимите групи с оглед по-добра реализация на пазара на труда.</w:t>
            </w:r>
          </w:p>
          <w:p w14:paraId="3CE9D356" w14:textId="77777777" w:rsidR="00D857FE" w:rsidRPr="00D83669" w:rsidRDefault="00D857FE" w:rsidP="00CC7BCB">
            <w:pPr>
              <w:jc w:val="both"/>
              <w:rPr>
                <w:rFonts w:ascii="Times New Roman" w:hAnsi="Times New Roman"/>
                <w:sz w:val="24"/>
              </w:rPr>
            </w:pPr>
            <w:r w:rsidRPr="00D83669">
              <w:rPr>
                <w:rFonts w:ascii="Times New Roman" w:hAnsi="Times New Roman"/>
                <w:sz w:val="24"/>
              </w:rPr>
              <w:lastRenderedPageBreak/>
              <w:t>Информацията служи за ориентир/коректив при определяне на политики за приобщаващото образование, както и за съответствие на образованието с изискванията на пазара на труда и гъвкава проходимост между отделни етапи/степени на образование. Данните ще предоставят информация за уязвими групи, които повишават образованието си с оглед по-добра реализация на пазара на труда и за преодоляване на уязвимостта по признак „завършено образование“. Данните ще допринесат за насочване на мерки за намаляване на регионалните дисбаланси от работна сила, както и към решаване на демографски и социално-икономически проблеми на регионално ниво.</w:t>
            </w:r>
          </w:p>
        </w:tc>
      </w:tr>
      <w:tr w:rsidR="00D857FE" w:rsidRPr="00D83669" w14:paraId="0414CFB2" w14:textId="77777777" w:rsidTr="009F2474">
        <w:tc>
          <w:tcPr>
            <w:tcW w:w="2405" w:type="dxa"/>
            <w:shd w:val="clear" w:color="auto" w:fill="auto"/>
            <w:vAlign w:val="center"/>
          </w:tcPr>
          <w:p w14:paraId="24264A3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235" w:type="dxa"/>
            <w:shd w:val="clear" w:color="auto" w:fill="auto"/>
            <w:vAlign w:val="center"/>
          </w:tcPr>
          <w:p w14:paraId="6BF9C69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бенефициентите (вкл. чрез анкетни карти от лицата от целевата група)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6843976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вид уязвима група,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w:t>
            </w:r>
          </w:p>
        </w:tc>
      </w:tr>
      <w:tr w:rsidR="00D857FE" w:rsidRPr="00D83669" w14:paraId="1B5850D2" w14:textId="77777777" w:rsidTr="009F2474">
        <w:tc>
          <w:tcPr>
            <w:tcW w:w="2405" w:type="dxa"/>
            <w:shd w:val="clear" w:color="auto" w:fill="auto"/>
            <w:vAlign w:val="center"/>
          </w:tcPr>
          <w:p w14:paraId="2D70A1C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54FA248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1044B8B8" w14:textId="77777777" w:rsidTr="009F2474">
        <w:tc>
          <w:tcPr>
            <w:tcW w:w="2405" w:type="dxa"/>
            <w:shd w:val="clear" w:color="auto" w:fill="auto"/>
            <w:vAlign w:val="center"/>
          </w:tcPr>
          <w:p w14:paraId="262152D8" w14:textId="095FDE83"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6773F80A"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EECO02 безработни, включително трайно безработни;</w:t>
            </w:r>
          </w:p>
          <w:p w14:paraId="66FF9416"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EECO05 Заети, вкл. самостоятелно заети;</w:t>
            </w:r>
          </w:p>
          <w:p w14:paraId="75E104E1"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EECO15 участници от малцинства (включително маргинализирани общности като ромите);</w:t>
            </w:r>
          </w:p>
          <w:p w14:paraId="5485135D"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EEOC09 участници с прогимназиален етап на основното образование или по-ниска степен на образование.</w:t>
            </w:r>
          </w:p>
        </w:tc>
      </w:tr>
      <w:tr w:rsidR="00D857FE" w:rsidRPr="00D83669" w14:paraId="499384A0" w14:textId="77777777" w:rsidTr="009F2474">
        <w:tc>
          <w:tcPr>
            <w:tcW w:w="2405" w:type="dxa"/>
            <w:shd w:val="clear" w:color="auto" w:fill="auto"/>
            <w:vAlign w:val="center"/>
          </w:tcPr>
          <w:p w14:paraId="376F2DD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3F3E06B1" w14:textId="3DE7FCA4"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неактивните лица над 16 години с прогимназиален етап на основното образование или по-ниска степен на образование, участници в дейностите по СЦ по чл. 4, пар. 1, буква ж) на ПО 2021 – 2027 и е по-малка от броя на всички участници в дейности по тази специфична цел.</w:t>
            </w:r>
          </w:p>
        </w:tc>
      </w:tr>
    </w:tbl>
    <w:p w14:paraId="3B53BD2D" w14:textId="77777777" w:rsidR="00D857FE" w:rsidRPr="00D83669" w:rsidRDefault="00D857FE" w:rsidP="00D857FE"/>
    <w:p w14:paraId="41EB588D" w14:textId="64A92968" w:rsidR="00D857FE" w:rsidRPr="00D83669" w:rsidRDefault="00D857FE" w:rsidP="007C64A2">
      <w:pPr>
        <w:pStyle w:val="Heading3"/>
        <w:rPr>
          <w:b/>
          <w:bCs/>
          <w:i/>
          <w:iCs/>
          <w:sz w:val="22"/>
          <w:szCs w:val="22"/>
        </w:rPr>
      </w:pPr>
      <w:r w:rsidRPr="00D83669">
        <w:br w:type="page"/>
      </w:r>
      <w:bookmarkStart w:id="101" w:name="_Toc100152982"/>
      <w:bookmarkStart w:id="102" w:name="_Toc103586658"/>
      <w:r w:rsidRPr="00D83669">
        <w:rPr>
          <w:b/>
          <w:bCs/>
          <w:i/>
          <w:iCs/>
          <w:sz w:val="22"/>
          <w:szCs w:val="22"/>
        </w:rPr>
        <w:lastRenderedPageBreak/>
        <w:t>EECO05 Заети, вкл. самостоятелно заети</w:t>
      </w:r>
      <w:bookmarkEnd w:id="101"/>
      <w:bookmarkEnd w:id="102"/>
      <w:r w:rsidRPr="00D83669">
        <w:rPr>
          <w:b/>
          <w:bCs/>
          <w:i/>
          <w:iCs/>
          <w:sz w:val="22"/>
          <w:szCs w:val="22"/>
        </w:rPr>
        <w:t xml:space="preserve"> </w:t>
      </w: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3821D639" w14:textId="77777777" w:rsidTr="007B5E55">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CB0FE39" w14:textId="07D3EA23"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D15CB3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2B5DFC15" w14:textId="77777777" w:rsidTr="007B5E55">
        <w:tc>
          <w:tcPr>
            <w:tcW w:w="2405" w:type="dxa"/>
            <w:shd w:val="clear" w:color="auto" w:fill="auto"/>
            <w:vAlign w:val="center"/>
          </w:tcPr>
          <w:p w14:paraId="05240900" w14:textId="67C9E9EC"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5279F2A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EECO05 Заети, вкл. самостоятелно заети </w:t>
            </w:r>
          </w:p>
        </w:tc>
      </w:tr>
      <w:tr w:rsidR="00D857FE" w:rsidRPr="00D83669" w14:paraId="401FA185" w14:textId="77777777" w:rsidTr="007B5E55">
        <w:tc>
          <w:tcPr>
            <w:tcW w:w="2405" w:type="dxa"/>
            <w:shd w:val="clear" w:color="auto" w:fill="auto"/>
            <w:vAlign w:val="center"/>
          </w:tcPr>
          <w:p w14:paraId="4F9C733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3FFBF62B" w14:textId="481FFF31"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29D8856A" w14:textId="77777777" w:rsidTr="007B5E55">
        <w:tc>
          <w:tcPr>
            <w:tcW w:w="2405" w:type="dxa"/>
            <w:shd w:val="clear" w:color="auto" w:fill="auto"/>
            <w:vAlign w:val="center"/>
          </w:tcPr>
          <w:p w14:paraId="1884334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22AEE01D"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цифровите умения, по-доброто предвиждане на промените и изискванията за нови умения, улесняването на преходите в професионалното развитие и насърчаването на професионалната мобилност</w:t>
            </w:r>
          </w:p>
        </w:tc>
      </w:tr>
      <w:tr w:rsidR="00D857FE" w:rsidRPr="00D83669" w14:paraId="4450E466" w14:textId="77777777" w:rsidTr="007B5E55">
        <w:tc>
          <w:tcPr>
            <w:tcW w:w="2405" w:type="dxa"/>
            <w:shd w:val="clear" w:color="auto" w:fill="auto"/>
            <w:vAlign w:val="center"/>
          </w:tcPr>
          <w:p w14:paraId="7282F4E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24FACB2B"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Ограмотяване на възрастни</w:t>
            </w:r>
          </w:p>
        </w:tc>
      </w:tr>
      <w:tr w:rsidR="00D857FE" w:rsidRPr="00D83669" w14:paraId="744AD374" w14:textId="77777777" w:rsidTr="007B5E55">
        <w:tc>
          <w:tcPr>
            <w:tcW w:w="2405" w:type="dxa"/>
            <w:shd w:val="clear" w:color="auto" w:fill="auto"/>
            <w:vAlign w:val="center"/>
          </w:tcPr>
          <w:p w14:paraId="6E56E43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167EC111" w14:textId="70715CC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броя на заетите, вкл. самостоятелно заетите лица над 16 години, с основно и по-ниско образование, участници в дейности по СЦ по чл. 4, §1, буква ж): или броя на лицата над 16 години, без основно образование, в дейности за учене през целия живот като участници в курсове за ограмотяване (1 – 4 клас), участници в курсове за придобиване на компетентности от прогимназиалния етап на основното образование (за всеки от 5, 6 и 7 клас) и участници в процедури за валидиране на умения и компетентности, придобити чрез неформално обучение и информално учене в съответствие с разпоредбите на ЗПУО и утвърдените програми за образование на възрастни за придобиване на клас/етап/степен на основно образование; лица с основно образование, но без средно образование, в кариерно консултиране и насочване за включване в гъвкави форми на образование за осигуряване на условия за втори шанс. Показателят отчита участия на едно заето лице от целевата група в курсове за ограмотяване (1 – 4 клас) и/или курсове за прогимназиален етап – за 5 клас, за 6 клас, за 7 клас или участие в процедура за валидиране, кариерно ориентиране и консултиране, включване в гъвкави форми на образование като едно лице се брои еднократно. </w:t>
            </w:r>
          </w:p>
          <w:p w14:paraId="17C178FA" w14:textId="48012026" w:rsidR="00D857FE" w:rsidRPr="00D83669" w:rsidRDefault="00D857FE" w:rsidP="00CC7BCB">
            <w:pPr>
              <w:jc w:val="both"/>
              <w:rPr>
                <w:rFonts w:ascii="Times New Roman" w:hAnsi="Times New Roman"/>
                <w:sz w:val="24"/>
              </w:rPr>
            </w:pPr>
            <w:r w:rsidRPr="00D83669">
              <w:rPr>
                <w:rFonts w:ascii="Times New Roman" w:hAnsi="Times New Roman"/>
                <w:sz w:val="24"/>
              </w:rPr>
              <w:t xml:space="preserve">Съгласно ПО 2021 – 2027 лицата без основно образование, обхванати в курсовете и процедурата за валидиране получават и кариерно ориентиране и консултиране и насочване с цел по-добра реализация на пазара на труда на уязвими групи чрез придобиване на начален етап или на основна степен на образование. Лицата с основно образование са обхванати в кариерно консултиране и насочване за включване в гъвкави форми на образование за осигуряване на втори шанс. Показателят отразява факта, че неграмотни, слабограмотни, без основно образование, както и лица с основно образование, са представители на уязвими групи. За целите на операцията </w:t>
            </w:r>
            <w:r w:rsidRPr="00D83669">
              <w:rPr>
                <w:rFonts w:ascii="Times New Roman" w:hAnsi="Times New Roman"/>
                <w:i/>
                <w:sz w:val="24"/>
              </w:rPr>
              <w:t xml:space="preserve">заети, вкл. самостоятелно заети са лицата от целевата група, които са икономически активни в момента на включване в дейности по операцията – имат работа, дори почасова </w:t>
            </w:r>
            <w:r w:rsidRPr="00D83669">
              <w:rPr>
                <w:rFonts w:ascii="Times New Roman" w:hAnsi="Times New Roman"/>
                <w:i/>
                <w:sz w:val="24"/>
              </w:rPr>
              <w:lastRenderedPageBreak/>
              <w:t>или на непълен работен ден, за което получават заплата или друг приравнен доход,</w:t>
            </w:r>
            <w:r w:rsidRPr="00D83669">
              <w:t xml:space="preserve"> </w:t>
            </w:r>
            <w:r w:rsidRPr="00D83669">
              <w:rPr>
                <w:rFonts w:ascii="Times New Roman" w:hAnsi="Times New Roman"/>
                <w:i/>
                <w:sz w:val="24"/>
              </w:rPr>
              <w:t>не работят, но имат работа, от която временно отсъстват поради болест, годишен отпуск, отпуск поради бременност и раждане, родителски отпуск, стачка или други причини.</w:t>
            </w:r>
          </w:p>
        </w:tc>
      </w:tr>
      <w:tr w:rsidR="00D857FE" w:rsidRPr="00D83669" w14:paraId="2B590577" w14:textId="77777777" w:rsidTr="007B5E55">
        <w:tc>
          <w:tcPr>
            <w:tcW w:w="2405" w:type="dxa"/>
            <w:shd w:val="clear" w:color="auto" w:fill="auto"/>
            <w:vAlign w:val="center"/>
          </w:tcPr>
          <w:p w14:paraId="759EF1A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235" w:type="dxa"/>
            <w:shd w:val="clear" w:color="auto" w:fill="auto"/>
            <w:vAlign w:val="center"/>
          </w:tcPr>
          <w:p w14:paraId="6DA9EF9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583D3680" w14:textId="77777777" w:rsidTr="007B5E55">
        <w:tc>
          <w:tcPr>
            <w:tcW w:w="2405" w:type="dxa"/>
            <w:shd w:val="clear" w:color="auto" w:fill="auto"/>
            <w:vAlign w:val="center"/>
          </w:tcPr>
          <w:p w14:paraId="11337416" w14:textId="51F53861" w:rsidR="00D857FE" w:rsidRPr="00D83669" w:rsidRDefault="00C30A52"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7DF918E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2 020</w:t>
            </w:r>
          </w:p>
        </w:tc>
      </w:tr>
      <w:tr w:rsidR="00D857FE" w:rsidRPr="00D83669" w14:paraId="68AF5687" w14:textId="77777777" w:rsidTr="007B5E55">
        <w:tc>
          <w:tcPr>
            <w:tcW w:w="2405" w:type="dxa"/>
            <w:shd w:val="clear" w:color="auto" w:fill="auto"/>
            <w:vAlign w:val="center"/>
          </w:tcPr>
          <w:p w14:paraId="3F60AB96" w14:textId="3EC2D652" w:rsidR="00D857FE" w:rsidRPr="00D83669" w:rsidRDefault="00522E94"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7AA36039" w14:textId="70539B9C"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се определя от целевата стойност на показател EEOC09 участници с прогимназиален етап на основното образование или по-ниска степен на образование и данни от приключилия проект по процедура „Ограмотяване на възрастни – фаза 1“, където 11,98% от участниците в дейностите по операцията са били заети лица. Прилагайки този процент към броя на лицата над 16 години, без основно образование, участници в операция по тази специфична цел получаваме целевата стойност на неактивните лица или 16</w:t>
            </w:r>
            <w:r w:rsidRPr="00D83669">
              <w:rPr>
                <w:rFonts w:ascii="Times New Roman" w:hAnsi="Times New Roman"/>
                <w:sz w:val="24"/>
                <w:lang w:val="en-US"/>
              </w:rPr>
              <w:t> </w:t>
            </w:r>
            <w:r w:rsidRPr="00D83669">
              <w:rPr>
                <w:rFonts w:ascii="Times New Roman" w:hAnsi="Times New Roman"/>
                <w:sz w:val="24"/>
              </w:rPr>
              <w:t>858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11,98%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2020.</w:t>
            </w:r>
          </w:p>
        </w:tc>
      </w:tr>
      <w:tr w:rsidR="00D857FE" w:rsidRPr="00D83669" w14:paraId="645C8CE3" w14:textId="77777777" w:rsidTr="007B5E55">
        <w:tc>
          <w:tcPr>
            <w:tcW w:w="2405" w:type="dxa"/>
            <w:shd w:val="clear" w:color="auto" w:fill="auto"/>
            <w:vAlign w:val="center"/>
          </w:tcPr>
          <w:p w14:paraId="2997619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2F86E06D" w14:textId="11A9C7CF" w:rsidR="00D857FE" w:rsidRPr="00D83669" w:rsidRDefault="00D857FE" w:rsidP="00CC7BCB">
            <w:pPr>
              <w:jc w:val="both"/>
              <w:rPr>
                <w:rFonts w:ascii="Times New Roman" w:hAnsi="Times New Roman"/>
                <w:sz w:val="24"/>
                <w:lang w:val="en-US"/>
              </w:rPr>
            </w:pPr>
            <w:r w:rsidRPr="00D83669">
              <w:rPr>
                <w:rFonts w:ascii="Times New Roman" w:hAnsi="Times New Roman"/>
                <w:sz w:val="24"/>
                <w:lang w:val="en-US"/>
              </w:rPr>
              <w:t> </w:t>
            </w:r>
            <w:r w:rsidR="006F6E72" w:rsidRPr="00D83669">
              <w:rPr>
                <w:rFonts w:ascii="Times New Roman" w:hAnsi="Times New Roman"/>
                <w:sz w:val="24"/>
              </w:rPr>
              <w:t>96</w:t>
            </w:r>
          </w:p>
        </w:tc>
      </w:tr>
      <w:tr w:rsidR="00D857FE" w:rsidRPr="00D83669" w14:paraId="2538E1E5" w14:textId="77777777" w:rsidTr="007B5E55">
        <w:tc>
          <w:tcPr>
            <w:tcW w:w="2405" w:type="dxa"/>
            <w:shd w:val="clear" w:color="auto" w:fill="auto"/>
            <w:vAlign w:val="center"/>
          </w:tcPr>
          <w:p w14:paraId="4D95D1C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235" w:type="dxa"/>
            <w:shd w:val="clear" w:color="auto" w:fill="auto"/>
            <w:vAlign w:val="center"/>
          </w:tcPr>
          <w:p w14:paraId="079CCB88" w14:textId="1F181058" w:rsidR="00D857FE" w:rsidRPr="00D83669" w:rsidRDefault="00D857FE" w:rsidP="00CC7BCB">
            <w:pPr>
              <w:jc w:val="both"/>
              <w:rPr>
                <w:rFonts w:ascii="Times New Roman" w:hAnsi="Times New Roman"/>
                <w:sz w:val="24"/>
              </w:rPr>
            </w:pPr>
            <w:r w:rsidRPr="00D83669">
              <w:t xml:space="preserve"> </w:t>
            </w:r>
            <w:r w:rsidR="00007465" w:rsidRPr="00D83669">
              <w:rPr>
                <w:rFonts w:ascii="Times New Roman" w:hAnsi="Times New Roman" w:cs="Times New Roman"/>
                <w:sz w:val="24"/>
                <w:szCs w:val="24"/>
              </w:rPr>
              <w:t>Етапната цел  е съобразена с планирания график за операцията по подхода ИТИ с реално изпълнение на дейностите от декември 2023 г., и реален обхват от 1/3 на участващите заети лица от целевата група през 2024 г. Операцията по подхода ИТИ стартира със 100% от определения финансовия ресурс с продължителност от 7 години и физическо изпълнение на дейности през 2024г.</w:t>
            </w:r>
            <w:r w:rsidR="00B272DC" w:rsidRPr="00D83669">
              <w:rPr>
                <w:rFonts w:ascii="Times New Roman" w:hAnsi="Times New Roman" w:cs="Times New Roman"/>
                <w:sz w:val="24"/>
                <w:szCs w:val="24"/>
              </w:rPr>
              <w:t xml:space="preserve"> </w:t>
            </w:r>
            <w:r w:rsidR="00007465" w:rsidRPr="00D83669">
              <w:rPr>
                <w:rFonts w:ascii="Times New Roman" w:hAnsi="Times New Roman" w:cs="Times New Roman"/>
                <w:sz w:val="24"/>
                <w:szCs w:val="24"/>
              </w:rPr>
              <w:t>Етапната цел се определя, като се взема предвид определения финансов ресурс за операцията,  разделен на годините  за изпълнението на дейностите  по подхода ИТИ,  съгласно стратегиите на регионитеи концепциите за проектни предложения по ИТИ и отчитането на стойности на индикатора до края на 2024 г. или</w:t>
            </w:r>
            <w:r w:rsidR="00586882" w:rsidRPr="00D83669">
              <w:rPr>
                <w:rFonts w:ascii="Times New Roman" w:hAnsi="Times New Roman" w:cs="Times New Roman"/>
                <w:sz w:val="24"/>
                <w:szCs w:val="24"/>
              </w:rPr>
              <w:t xml:space="preserve"> </w:t>
            </w:r>
            <w:r w:rsidR="00007465" w:rsidRPr="00D83669">
              <w:rPr>
                <w:rFonts w:ascii="Times New Roman" w:hAnsi="Times New Roman" w:cs="Times New Roman"/>
                <w:sz w:val="24"/>
                <w:szCs w:val="24"/>
              </w:rPr>
              <w:t>2020/7*1/3=96.</w:t>
            </w:r>
          </w:p>
        </w:tc>
      </w:tr>
      <w:tr w:rsidR="00D857FE" w:rsidRPr="00D83669" w14:paraId="19D684EF" w14:textId="77777777" w:rsidTr="007B5E55">
        <w:tc>
          <w:tcPr>
            <w:tcW w:w="2405" w:type="dxa"/>
            <w:shd w:val="clear" w:color="auto" w:fill="auto"/>
            <w:vAlign w:val="center"/>
          </w:tcPr>
          <w:p w14:paraId="123EDE9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10EE1CE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0F19B634" w14:textId="77777777" w:rsidTr="007B5E55">
        <w:tc>
          <w:tcPr>
            <w:tcW w:w="2405" w:type="dxa"/>
            <w:shd w:val="clear" w:color="auto" w:fill="auto"/>
            <w:vAlign w:val="center"/>
          </w:tcPr>
          <w:p w14:paraId="55B68A3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56E0F4B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вид уязвима група, – статус на пазара на труда, пол, възраст,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 </w:t>
            </w:r>
          </w:p>
        </w:tc>
      </w:tr>
      <w:tr w:rsidR="00D857FE" w:rsidRPr="00D83669" w14:paraId="10C3BCAF" w14:textId="77777777" w:rsidTr="007B5E55">
        <w:tc>
          <w:tcPr>
            <w:tcW w:w="2405" w:type="dxa"/>
            <w:shd w:val="clear" w:color="auto" w:fill="auto"/>
            <w:vAlign w:val="center"/>
          </w:tcPr>
          <w:p w14:paraId="686F9D9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1CFC91C1" w14:textId="52859DE4"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е ориентиран към цели, заложени в стратегически документи като Стратегическа рамка за развитие на образованието, обучението и ученето на Република България (2021 – 2030), проекта на Националната стратегия на Република България за приобщаване и участие на ромите 2021 – 2030 и др. Информацията проследява напредъка по заложените цели на национално ниво в политиките за образование и за уязвими групи като проследява подкрепата на </w:t>
            </w:r>
            <w:r w:rsidRPr="00D83669">
              <w:rPr>
                <w:rFonts w:ascii="Times New Roman" w:hAnsi="Times New Roman"/>
                <w:sz w:val="24"/>
              </w:rPr>
              <w:lastRenderedPageBreak/>
              <w:t>програмата за уязвимите групи с оглед по-добра реализация на пазара на труда.</w:t>
            </w:r>
          </w:p>
          <w:p w14:paraId="207056E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както и за съответствие на образованието с изискванията на пазара на труда и гъвкава проходимост между отделни етапи/степени на образование. Данните ще предоставят информация за уязвими групи, които повишават образованието си с оглед по-добра реализация на пазара на труда и за преодоляване на уязвимостта по признак „завършено образование“. Данните ще допринесат за насочване на мерки за намаляване на регионалните дисбаланси от работна сила, както и към решаване на демографски и социално-икономически проблеми на регионално ниво.</w:t>
            </w:r>
          </w:p>
        </w:tc>
      </w:tr>
      <w:tr w:rsidR="00D857FE" w:rsidRPr="00D83669" w14:paraId="4A53D1E3" w14:textId="77777777" w:rsidTr="007B5E55">
        <w:tc>
          <w:tcPr>
            <w:tcW w:w="2405" w:type="dxa"/>
            <w:shd w:val="clear" w:color="auto" w:fill="auto"/>
            <w:vAlign w:val="center"/>
          </w:tcPr>
          <w:p w14:paraId="402A3F5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235" w:type="dxa"/>
            <w:shd w:val="clear" w:color="auto" w:fill="auto"/>
            <w:vAlign w:val="center"/>
          </w:tcPr>
          <w:p w14:paraId="2FCCEE8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бенефициентите (вкл. чрез анкетни карти от лицата от целевата група)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63E7AFE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вид уязвима група,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w:t>
            </w:r>
          </w:p>
        </w:tc>
      </w:tr>
      <w:tr w:rsidR="00D857FE" w:rsidRPr="00D83669" w14:paraId="20DD377E" w14:textId="77777777" w:rsidTr="007B5E55">
        <w:tc>
          <w:tcPr>
            <w:tcW w:w="2405" w:type="dxa"/>
            <w:shd w:val="clear" w:color="auto" w:fill="auto"/>
            <w:vAlign w:val="center"/>
          </w:tcPr>
          <w:p w14:paraId="0CA7C84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1BBC462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8B86870" w14:textId="77777777" w:rsidTr="007B5E55">
        <w:tc>
          <w:tcPr>
            <w:tcW w:w="2405" w:type="dxa"/>
            <w:shd w:val="clear" w:color="auto" w:fill="auto"/>
            <w:vAlign w:val="center"/>
          </w:tcPr>
          <w:p w14:paraId="61A69C03" w14:textId="6B071528"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4FBC049E"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EEOC09 участници с прогимназиален етап на основното образование или по-ниска степен на образование;</w:t>
            </w:r>
          </w:p>
          <w:p w14:paraId="7B09FFF4"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EECO02 безработни, включително трайно безработни;</w:t>
            </w:r>
          </w:p>
          <w:p w14:paraId="49AD3CAF"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EECO04 неактивни;</w:t>
            </w:r>
          </w:p>
          <w:p w14:paraId="15FDE7F5"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EECO15 участници от малцинства (включително маргинализирани общности като ромите).</w:t>
            </w:r>
          </w:p>
        </w:tc>
      </w:tr>
      <w:tr w:rsidR="00D857FE" w:rsidRPr="00D83669" w14:paraId="3F5B424E" w14:textId="77777777" w:rsidTr="007B5E55">
        <w:tc>
          <w:tcPr>
            <w:tcW w:w="2405" w:type="dxa"/>
            <w:shd w:val="clear" w:color="auto" w:fill="auto"/>
            <w:vAlign w:val="center"/>
          </w:tcPr>
          <w:p w14:paraId="658B60A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2F071FCA" w14:textId="09C39DDD"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заетите лица над 16 години с основно образование или по-ниска степен на образование, участници в дейностите по СЦ по чл. 4, пар. 1, буква ж) на ПО 2021 – 2027 и е по-малка от броя на всички участници в дейности по тази специфична цел.</w:t>
            </w:r>
          </w:p>
        </w:tc>
      </w:tr>
    </w:tbl>
    <w:p w14:paraId="70738B34" w14:textId="3D9AA1D6" w:rsidR="00AC027B" w:rsidRPr="00D83669" w:rsidRDefault="00AC027B" w:rsidP="00D857FE"/>
    <w:p w14:paraId="703F7039" w14:textId="77777777" w:rsidR="00AC027B" w:rsidRPr="00D83669" w:rsidRDefault="00AC027B">
      <w:r w:rsidRPr="00D83669">
        <w:br w:type="page"/>
      </w:r>
    </w:p>
    <w:p w14:paraId="67081F03" w14:textId="77777777" w:rsidR="00D857FE" w:rsidRPr="00D83669" w:rsidRDefault="00D857FE" w:rsidP="00D857FE"/>
    <w:p w14:paraId="1BB03856" w14:textId="663FA961" w:rsidR="00D857FE" w:rsidRPr="00D83669" w:rsidRDefault="00D857FE" w:rsidP="007C64A2">
      <w:pPr>
        <w:pStyle w:val="Heading3"/>
        <w:rPr>
          <w:b/>
          <w:bCs/>
          <w:i/>
          <w:iCs/>
          <w:sz w:val="22"/>
          <w:szCs w:val="22"/>
        </w:rPr>
      </w:pPr>
      <w:bookmarkStart w:id="103" w:name="_Toc100152983"/>
      <w:bookmarkStart w:id="104" w:name="_Toc103586659"/>
      <w:r w:rsidRPr="00D83669">
        <w:rPr>
          <w:b/>
          <w:bCs/>
          <w:i/>
          <w:iCs/>
          <w:sz w:val="22"/>
          <w:szCs w:val="22"/>
        </w:rPr>
        <w:t>EEOC09 участници с прогимназиален етап на основното образование или по-ниска степен на образование</w:t>
      </w:r>
      <w:bookmarkEnd w:id="103"/>
      <w:bookmarkEnd w:id="104"/>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4"/>
        <w:gridCol w:w="6486"/>
      </w:tblGrid>
      <w:tr w:rsidR="00D857FE" w:rsidRPr="00D83669" w14:paraId="1B3001CC" w14:textId="77777777" w:rsidTr="0088161B">
        <w:tc>
          <w:tcPr>
            <w:tcW w:w="3154"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26E0B31" w14:textId="308BE45A"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6486"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2B0295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594C65CB" w14:textId="77777777" w:rsidTr="0088161B">
        <w:tc>
          <w:tcPr>
            <w:tcW w:w="3154" w:type="dxa"/>
            <w:shd w:val="clear" w:color="auto" w:fill="auto"/>
            <w:vAlign w:val="center"/>
          </w:tcPr>
          <w:p w14:paraId="1BC1B23F" w14:textId="01C42BF6"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6486" w:type="dxa"/>
            <w:shd w:val="clear" w:color="auto" w:fill="auto"/>
            <w:vAlign w:val="center"/>
          </w:tcPr>
          <w:p w14:paraId="70DFEB22" w14:textId="7937BB9C" w:rsidR="00D857FE" w:rsidRPr="00D83669" w:rsidRDefault="00D857FE" w:rsidP="00CC7BCB">
            <w:pPr>
              <w:jc w:val="both"/>
              <w:rPr>
                <w:rFonts w:ascii="Times New Roman" w:hAnsi="Times New Roman"/>
                <w:sz w:val="24"/>
              </w:rPr>
            </w:pPr>
            <w:r w:rsidRPr="00D83669">
              <w:rPr>
                <w:rFonts w:ascii="Times New Roman" w:hAnsi="Times New Roman"/>
                <w:sz w:val="24"/>
              </w:rPr>
              <w:t>EEC</w:t>
            </w:r>
            <w:r w:rsidR="0022464A" w:rsidRPr="00D83669">
              <w:rPr>
                <w:rFonts w:ascii="Times New Roman" w:hAnsi="Times New Roman"/>
                <w:sz w:val="24"/>
              </w:rPr>
              <w:t>O</w:t>
            </w:r>
            <w:r w:rsidRPr="00D83669">
              <w:rPr>
                <w:rFonts w:ascii="Times New Roman" w:hAnsi="Times New Roman"/>
                <w:sz w:val="24"/>
              </w:rPr>
              <w:t>09 участници с прогимназиален етап на основното образование или по-ниска степен на образование.</w:t>
            </w:r>
            <w:r w:rsidRPr="00D83669" w:rsidDel="00D3366D">
              <w:rPr>
                <w:rFonts w:ascii="Times New Roman" w:hAnsi="Times New Roman"/>
                <w:sz w:val="24"/>
              </w:rPr>
              <w:t xml:space="preserve"> </w:t>
            </w:r>
          </w:p>
        </w:tc>
      </w:tr>
      <w:tr w:rsidR="00D857FE" w:rsidRPr="00D83669" w14:paraId="53031519" w14:textId="77777777" w:rsidTr="0088161B">
        <w:tc>
          <w:tcPr>
            <w:tcW w:w="3154" w:type="dxa"/>
            <w:shd w:val="clear" w:color="auto" w:fill="auto"/>
            <w:vAlign w:val="center"/>
          </w:tcPr>
          <w:p w14:paraId="62EA130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6486" w:type="dxa"/>
            <w:shd w:val="clear" w:color="auto" w:fill="auto"/>
            <w:vAlign w:val="center"/>
          </w:tcPr>
          <w:p w14:paraId="48E9F905" w14:textId="5DD738FC"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68CAB651" w14:textId="77777777" w:rsidTr="0088161B">
        <w:tc>
          <w:tcPr>
            <w:tcW w:w="3154" w:type="dxa"/>
            <w:shd w:val="clear" w:color="auto" w:fill="auto"/>
            <w:vAlign w:val="center"/>
          </w:tcPr>
          <w:p w14:paraId="384D499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6486" w:type="dxa"/>
            <w:shd w:val="clear" w:color="auto" w:fill="auto"/>
            <w:vAlign w:val="center"/>
          </w:tcPr>
          <w:p w14:paraId="080CA961"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цифровите умения, по-доброто предвиждане на промените и изискванията за нови умения, улесняването на преходите в професионалното развитие и насърчаването на професионалната мобилност</w:t>
            </w:r>
          </w:p>
        </w:tc>
      </w:tr>
      <w:tr w:rsidR="00D857FE" w:rsidRPr="00D83669" w14:paraId="194883F0" w14:textId="77777777" w:rsidTr="0088161B">
        <w:tc>
          <w:tcPr>
            <w:tcW w:w="3154" w:type="dxa"/>
            <w:shd w:val="clear" w:color="auto" w:fill="auto"/>
            <w:vAlign w:val="center"/>
          </w:tcPr>
          <w:p w14:paraId="43C1379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6486" w:type="dxa"/>
            <w:shd w:val="clear" w:color="auto" w:fill="auto"/>
            <w:vAlign w:val="center"/>
          </w:tcPr>
          <w:p w14:paraId="667E607D"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Ограмотяване на възрастни</w:t>
            </w:r>
          </w:p>
        </w:tc>
      </w:tr>
      <w:tr w:rsidR="00D857FE" w:rsidRPr="00D83669" w14:paraId="11D74DDB" w14:textId="77777777" w:rsidTr="0088161B">
        <w:tc>
          <w:tcPr>
            <w:tcW w:w="3154" w:type="dxa"/>
            <w:shd w:val="clear" w:color="auto" w:fill="auto"/>
            <w:vAlign w:val="center"/>
          </w:tcPr>
          <w:p w14:paraId="0DFA509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6486" w:type="dxa"/>
            <w:shd w:val="clear" w:color="auto" w:fill="auto"/>
            <w:vAlign w:val="center"/>
          </w:tcPr>
          <w:p w14:paraId="56F1EEB1" w14:textId="59D22321"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участниците в дейности по СЦ по чл. 4, §1, буква ж) с основно и/или по-ниско от основно образование или броя на лицата над 16 години, с основно и/или без основно образование, в дейности за учене през целия живот като участници в курсове за ограмотяване (1 – 4 клас), участници в курсове за придобиване на компетентности от прогимназиалния етап на основното образование (за всеки от 5, 6 и 7 клас) и участници в процедури за валидиране на умения и компетентности, придобити чрез неформално обучение и информално учене в съответствие с разпоредбите на ЗПУО и утвърдените програми за образование на възрастни за придобиване на клас/етап/степен на основно образование, кариерно ориентиране и консултиране и</w:t>
            </w:r>
            <w:r w:rsidRPr="00D83669">
              <w:t xml:space="preserve"> </w:t>
            </w:r>
            <w:r w:rsidRPr="00D83669">
              <w:rPr>
                <w:rFonts w:ascii="Times New Roman" w:hAnsi="Times New Roman"/>
                <w:sz w:val="24"/>
              </w:rPr>
              <w:t>насочване за включване в гъвкави форми за образование на тези, които не са завършили средно образование и осигуряване на условия за втори шанс и по-ниско образование. Показателят отчита участия на едно лице от целевата група в курсове за ограмотяване (1 – 4 клас) и/или курсове за прогимназиален етап – за 5 клас, за 6 клас, за 7 клас или участие в процедура за валидиране, и/или в кариерно ориентиране и консултиране и</w:t>
            </w:r>
            <w:r w:rsidRPr="00D83669">
              <w:t>/</w:t>
            </w:r>
            <w:r w:rsidRPr="00D83669">
              <w:rPr>
                <w:rFonts w:ascii="Times New Roman" w:hAnsi="Times New Roman"/>
                <w:sz w:val="24"/>
              </w:rPr>
              <w:t>или</w:t>
            </w:r>
            <w:r w:rsidRPr="00D83669">
              <w:t xml:space="preserve"> в </w:t>
            </w:r>
            <w:r w:rsidRPr="00D83669">
              <w:rPr>
                <w:rFonts w:ascii="Times New Roman" w:hAnsi="Times New Roman"/>
                <w:sz w:val="24"/>
              </w:rPr>
              <w:t xml:space="preserve">насочване за включване в гъвкави форми за образование на тези, които не са завършили средно образование и осигуряване на условия за втори шанс и по-ниско образование като едно лице се брои еднократно. </w:t>
            </w:r>
          </w:p>
          <w:p w14:paraId="1A5EED98" w14:textId="6D9A9BDA" w:rsidR="00D857FE" w:rsidRPr="00D83669" w:rsidRDefault="00D857FE" w:rsidP="00CC7BCB">
            <w:pPr>
              <w:jc w:val="both"/>
              <w:rPr>
                <w:rFonts w:ascii="Times New Roman" w:hAnsi="Times New Roman"/>
                <w:sz w:val="24"/>
              </w:rPr>
            </w:pPr>
            <w:r w:rsidRPr="00D83669">
              <w:rPr>
                <w:rFonts w:ascii="Times New Roman" w:hAnsi="Times New Roman"/>
                <w:sz w:val="24"/>
              </w:rPr>
              <w:t xml:space="preserve">Съгласно ПО 2021 – 2027 лицата, обхванати в курсовете и процедурата за валидиране получават кариерно ориентиране и консултиране и насочване с цел по-добра реализация на пазара на труда на уязвими групи чрез придобиване на начален етап или на основна степен на образование. </w:t>
            </w:r>
            <w:r w:rsidRPr="00D83669">
              <w:rPr>
                <w:rFonts w:ascii="Times New Roman" w:hAnsi="Times New Roman"/>
                <w:sz w:val="24"/>
              </w:rPr>
              <w:lastRenderedPageBreak/>
              <w:t xml:space="preserve">Показателят отразява факта, че неграмотни, слабограмотни, без основно образование са представители на уязвими групи. Под </w:t>
            </w:r>
            <w:r w:rsidRPr="00D83669">
              <w:rPr>
                <w:rFonts w:ascii="Times New Roman" w:hAnsi="Times New Roman"/>
                <w:b/>
                <w:sz w:val="24"/>
              </w:rPr>
              <w:t>уязвими групи</w:t>
            </w:r>
            <w:r w:rsidRPr="00D83669">
              <w:rPr>
                <w:rFonts w:ascii="Times New Roman" w:hAnsi="Times New Roman"/>
                <w:sz w:val="24"/>
              </w:rPr>
              <w:t xml:space="preserve"> се имат предвид групи, които са в риск от социално изключване и маргинализиране поради ограничен достъп до качествено образование и здравни услуги, до социални права, до възможностите на обществото и икономиката, с професионална квалификация и умения, </w:t>
            </w:r>
            <w:r w:rsidRPr="00D83669">
              <w:rPr>
                <w:rFonts w:ascii="Times New Roman" w:hAnsi="Times New Roman"/>
                <w:sz w:val="24"/>
                <w:u w:val="single"/>
              </w:rPr>
              <w:t>възпрепятстващи участието им на пазара на труда</w:t>
            </w:r>
            <w:r w:rsidRPr="00D83669">
              <w:rPr>
                <w:rFonts w:ascii="Times New Roman" w:hAnsi="Times New Roman"/>
                <w:sz w:val="24"/>
              </w:rPr>
              <w:t xml:space="preserve"> и с трудности в социализацията, като роми, мигранти, търсещи или получили международна закрила, лица, за които българският език не е майчин, лица със специални образователни потребности, лица с трудности в обучението (затруднения в ученето), възпитанието и социализацията, лица от социално-слаби семейства, лица в неравностойно положение, деца в риск и др. Съгласно Глава Осма от Закона за предучилищно и училищно образование, чл. 166. (1) Валидирането е оценяване и признаване на съответствието между компетентности, придобити чрез неформално обучение и информално учене, и изискванията за завършване на клас, етап или степен на образование и/или за придобиване на професионална квалификация и издаване на съответния официален документ с цел:</w:t>
            </w:r>
          </w:p>
          <w:p w14:paraId="46CDAC4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 достъп до образование в училищата от системата на предучилищното и училищното образование;</w:t>
            </w:r>
          </w:p>
          <w:p w14:paraId="5B56BAE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 достъп до обучение за придобиване на професионална квалификация;</w:t>
            </w:r>
          </w:p>
          <w:p w14:paraId="294D99C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 улесняване на достъпа до пазара на труда.</w:t>
            </w:r>
          </w:p>
          <w:p w14:paraId="2110F09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(2) </w:t>
            </w:r>
            <w:r w:rsidRPr="00D83669">
              <w:rPr>
                <w:rFonts w:ascii="Times New Roman" w:hAnsi="Times New Roman"/>
                <w:sz w:val="24"/>
                <w:u w:val="single"/>
              </w:rPr>
              <w:t>Неформално обучение</w:t>
            </w:r>
            <w:r w:rsidRPr="00D83669">
              <w:rPr>
                <w:rFonts w:ascii="Times New Roman" w:hAnsi="Times New Roman"/>
                <w:sz w:val="24"/>
              </w:rPr>
              <w:t xml:space="preserve"> е обучение, което се извършва като организирана дейност извън системата на предучилищното и училищното образование, но не води до завършване на клас, етап и степен на образование и/или до придобиване на професионална квалификация.</w:t>
            </w:r>
          </w:p>
          <w:p w14:paraId="21EA720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(3) </w:t>
            </w:r>
            <w:r w:rsidRPr="00D83669">
              <w:rPr>
                <w:rFonts w:ascii="Times New Roman" w:hAnsi="Times New Roman"/>
                <w:sz w:val="24"/>
                <w:u w:val="single"/>
              </w:rPr>
              <w:t>Информално учене</w:t>
            </w:r>
            <w:r w:rsidRPr="00D83669">
              <w:rPr>
                <w:rFonts w:ascii="Times New Roman" w:hAnsi="Times New Roman"/>
                <w:sz w:val="24"/>
              </w:rPr>
              <w:t xml:space="preserve"> е неинституционализирано, неорганизирано и несистематизирано натрупване на компетентности в живота на човека.</w:t>
            </w:r>
          </w:p>
          <w:p w14:paraId="3A26221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(4) При условията и по реда на тази глава може да се валидират компетентности само на лица, които нямат придобито основно или средно образование.</w:t>
            </w:r>
          </w:p>
          <w:p w14:paraId="63F7474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w:t>
            </w:r>
          </w:p>
          <w:p w14:paraId="2076C7C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(6) При условията и по реда на тази глава може да се валидират компетентности за завършен период от училищно обучение или за завършен клас или етап от основната степен на образование, както и клас от първи гимназиален етап или първи гимназиален етап на лице в задължителна училищна възраст, търсещо или получило закрила по Закона за </w:t>
            </w:r>
            <w:r w:rsidRPr="00D83669">
              <w:rPr>
                <w:rFonts w:ascii="Times New Roman" w:hAnsi="Times New Roman"/>
                <w:sz w:val="24"/>
              </w:rPr>
              <w:lastRenderedPageBreak/>
              <w:t>убежището и бежанците, когато е невъзможно представянето на съответния документ за съответното лице.</w:t>
            </w:r>
          </w:p>
          <w:p w14:paraId="07DB451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(7) При условията и по реда на тази глава може да се валидират компетентности за завършен период от училищно обучение или за завършен клас или етап от основната степен на образование, както и клас от първи гимназиален етап или първи гимназиален етап, на лице със специални образователни потребности, придобило съответния документ с оценки с качествен показател.</w:t>
            </w:r>
          </w:p>
          <w:p w14:paraId="01F51E8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Чл. 167. (1) При условията и по реда на тази глава може да се валидират компетентности:</w:t>
            </w:r>
          </w:p>
          <w:p w14:paraId="33A0DED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 по определен учебен предмет за един или няколко класа от основната степен на образование;</w:t>
            </w:r>
          </w:p>
          <w:p w14:paraId="3D92722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w:t>
            </w:r>
          </w:p>
          <w:p w14:paraId="3631C63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 по всички общообразователни учебни предмети, предвидени за изучаване в задължителните учебни часове за определен клас от основната степен на образование;</w:t>
            </w:r>
          </w:p>
          <w:p w14:paraId="2E8DFE7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4. необходими за завършване на начален етап или на прогимназиален етап от основната степен на образование;</w:t>
            </w:r>
          </w:p>
          <w:p w14:paraId="186867A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w:t>
            </w:r>
          </w:p>
          <w:p w14:paraId="785C9F7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(4) Валидирането по ал. 1, т. 3 и 4 може да се извършва само след представяне на документ за предходен клас или етап.</w:t>
            </w:r>
          </w:p>
          <w:p w14:paraId="145EB4D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(5) Валидирането по ал. 1, т. 1, 3 и 4 се извършва от избрано от лицето училище, което осъществява съответното обучение.</w:t>
            </w:r>
          </w:p>
          <w:p w14:paraId="104C1B2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(6) Валидирането по ал. 1, т. 1, 3 и 4 се извършва при условията и по реда на държавния образователен стандарт за оценяването на резултатите от обучението на учениците.</w:t>
            </w:r>
          </w:p>
          <w:p w14:paraId="52B9B35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Чл. 168. (1) Съответствието на компетентностите с изискванията за завършване на клас, етап или степен на образование и/или за професионална квалификация се удостоверява със следните документи:</w:t>
            </w:r>
          </w:p>
          <w:p w14:paraId="39217E6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 удостоверение за валидиране на компетентности по учебен предмет за един или няколко класа, което дава право за издаване на документ за завършен клас, етап или степен при условия, определени с държавния образователен стандарт за информацията и документите;</w:t>
            </w:r>
          </w:p>
          <w:p w14:paraId="54FAE39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 удостоверение за валидиране на компетентности за клас от основната степен на образование, което дава право за продължаване в следващ клас или за обучение за придобиване на професионална квалификация;</w:t>
            </w:r>
          </w:p>
          <w:p w14:paraId="37F9540C" w14:textId="77777777" w:rsidR="00D857FE" w:rsidRPr="00D83669" w:rsidRDefault="00D857FE" w:rsidP="00CC7BCB">
            <w:pPr>
              <w:jc w:val="both"/>
              <w:rPr>
                <w:rFonts w:ascii="Times New Roman" w:hAnsi="Times New Roman"/>
                <w:sz w:val="24"/>
              </w:rPr>
            </w:pPr>
            <w:r w:rsidRPr="00D83669">
              <w:rPr>
                <w:rFonts w:ascii="Times New Roman" w:hAnsi="Times New Roman"/>
                <w:sz w:val="24"/>
              </w:rPr>
              <w:lastRenderedPageBreak/>
              <w:t>4. удостоверение за валидиране на компетентности за начален етап на основната степен на образование, което дава право за продължаване в следващ етап на училищното образование или за обучение за придобиване на професионална квалификация;</w:t>
            </w:r>
          </w:p>
          <w:p w14:paraId="731A1B6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5. удостоверение за валидиране на компетентности за основна степен на образование, което дава право за продължаване в средната степен на образование или за обучение за придобиване на професионална квалификация;</w:t>
            </w:r>
          </w:p>
          <w:p w14:paraId="4B9B71A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Чл. 169. (1) Училищата може да организират и провеждат курсове за ограмотяване и курсове за придобиване на компетентности от прогимназиалния етап за лица, навършили 16 години.</w:t>
            </w:r>
          </w:p>
          <w:p w14:paraId="2564D98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 Обучението в курсовете по ал. 1 се извършва по програми, утвърдени от министъра на образованието и науката, ориентирани към резултатите от обучението, определени с държавния образователен стандарт за общообразователната подготовка за начален и за прогимназиален етап.</w:t>
            </w:r>
          </w:p>
          <w:p w14:paraId="28FA0E8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 Лицата, преминали обучение в курс по ал. 1, полагат изпити при условията и по реда на държавния образователен стандарт за оценяване на резултатите от обучението на учениците.</w:t>
            </w:r>
          </w:p>
          <w:p w14:paraId="1C0BF58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(4) На лицата, успешно положили изпитите по ал. 3, се издават съответно удостоверенията по чл. 168, ал. 1, т. 3, 4 или 5.</w:t>
            </w:r>
          </w:p>
        </w:tc>
      </w:tr>
      <w:tr w:rsidR="00D857FE" w:rsidRPr="00D83669" w14:paraId="796D407A" w14:textId="77777777" w:rsidTr="0088161B">
        <w:tc>
          <w:tcPr>
            <w:tcW w:w="3154" w:type="dxa"/>
            <w:shd w:val="clear" w:color="auto" w:fill="auto"/>
            <w:vAlign w:val="center"/>
          </w:tcPr>
          <w:p w14:paraId="0BD2902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6486" w:type="dxa"/>
            <w:shd w:val="clear" w:color="auto" w:fill="auto"/>
            <w:vAlign w:val="center"/>
          </w:tcPr>
          <w:p w14:paraId="27F191A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47983E83" w14:textId="77777777" w:rsidTr="0088161B">
        <w:tc>
          <w:tcPr>
            <w:tcW w:w="3154" w:type="dxa"/>
            <w:shd w:val="clear" w:color="auto" w:fill="auto"/>
            <w:vAlign w:val="center"/>
          </w:tcPr>
          <w:p w14:paraId="6F4F8AD8" w14:textId="5CD689A7" w:rsidR="00D857FE" w:rsidRPr="00D83669" w:rsidRDefault="005C317E" w:rsidP="00CC7BCB">
            <w:pPr>
              <w:rPr>
                <w:rFonts w:ascii="Times New Roman" w:hAnsi="Times New Roman"/>
                <w:b/>
                <w:bCs/>
                <w:sz w:val="24"/>
              </w:rPr>
            </w:pPr>
            <w:r w:rsidRPr="00D83669">
              <w:rPr>
                <w:rFonts w:ascii="Times New Roman" w:hAnsi="Times New Roman"/>
                <w:b/>
                <w:bCs/>
                <w:sz w:val="24"/>
              </w:rPr>
              <w:t>Крайна цел</w:t>
            </w:r>
          </w:p>
        </w:tc>
        <w:tc>
          <w:tcPr>
            <w:tcW w:w="6486" w:type="dxa"/>
            <w:shd w:val="clear" w:color="auto" w:fill="auto"/>
            <w:vAlign w:val="center"/>
          </w:tcPr>
          <w:p w14:paraId="598E6A7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16 858</w:t>
            </w:r>
          </w:p>
        </w:tc>
      </w:tr>
      <w:tr w:rsidR="00D857FE" w:rsidRPr="00D83669" w14:paraId="150D6E4F" w14:textId="77777777" w:rsidTr="0088161B">
        <w:tc>
          <w:tcPr>
            <w:tcW w:w="3154" w:type="dxa"/>
            <w:shd w:val="clear" w:color="auto" w:fill="auto"/>
            <w:vAlign w:val="center"/>
          </w:tcPr>
          <w:p w14:paraId="36A30028" w14:textId="2D6BB073" w:rsidR="00D857FE" w:rsidRPr="00D83669" w:rsidRDefault="00522E94"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6486" w:type="dxa"/>
            <w:shd w:val="clear" w:color="auto" w:fill="auto"/>
            <w:vAlign w:val="center"/>
          </w:tcPr>
          <w:p w14:paraId="2649CCD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Прогнозната целева стойност е увеличение с 30% спрямо заложената за 2023 цел по ОПНОИР от 20 000 бр. или 26 000 бр. като отчита научените уроци от ОПНОИР с трудно достъпната целева група и подхода Интегрирани териториални инвестиции (ИТИ), по който ще се реализира операцията на регионално ниво според плановете за развитие на регионите. Прогнозната стойност 11 000 лица да бъдат включени в курсове по ограмотяване, 12 000 лица да бъдат включени в курсове от прогимназиалния етап и 3 000 лица само в процедури за валидиране на умения и компетентности, придобити чрез неформално обучение и информално учене, в съответствие с разпоредбите на Глава Осма </w:t>
            </w:r>
            <w:r w:rsidRPr="00D83669">
              <w:rPr>
                <w:rFonts w:ascii="Times New Roman" w:hAnsi="Times New Roman"/>
                <w:sz w:val="24"/>
                <w:lang w:val="en-US"/>
              </w:rPr>
              <w:t>o</w:t>
            </w:r>
            <w:r w:rsidRPr="00D83669">
              <w:rPr>
                <w:rFonts w:ascii="Times New Roman" w:hAnsi="Times New Roman"/>
                <w:sz w:val="24"/>
              </w:rPr>
              <w:t>т Закона за предучилищно и училищно образование.</w:t>
            </w:r>
          </w:p>
          <w:p w14:paraId="7843DA1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е определена на база изчислените единични разходи за включване и участие в курсове за ограмотяване, в курсове за компетенции от прогимназиалния етап на основно образование и валидиране на </w:t>
            </w:r>
            <w:r w:rsidRPr="00D83669">
              <w:rPr>
                <w:rFonts w:ascii="Times New Roman" w:hAnsi="Times New Roman"/>
                <w:sz w:val="24"/>
              </w:rPr>
              <w:lastRenderedPageBreak/>
              <w:t>компетентности, придобити чрез неформално обучение и информално учене прилагани в периода 2020 – 2023 г.,</w:t>
            </w:r>
            <w:r w:rsidRPr="00D83669">
              <w:t xml:space="preserve"> </w:t>
            </w:r>
            <w:r w:rsidRPr="00D83669">
              <w:rPr>
                <w:rFonts w:ascii="Times New Roman" w:hAnsi="Times New Roman"/>
                <w:sz w:val="24"/>
              </w:rPr>
              <w:t>за които е предвиден процент на индексация, на база очаквано увеличение на разходите за труд в сектор „Образование“ за периода до 2029 г., имайки предвид че преобладаващата част (90%) от единичните разходи са свързани с разходи за възнаграждения и са в пряка зависимост от ръста на разходите за труд.</w:t>
            </w:r>
          </w:p>
          <w:p w14:paraId="5E12DF4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представлява около 20,82 % от населението, което никога не е посещавало училище по данни от преброяването от 2011 г. (</w:t>
            </w:r>
            <w:hyperlink r:id="rId22" w:history="1">
              <w:r w:rsidRPr="00D83669">
                <w:rPr>
                  <w:rStyle w:val="Hyperlink"/>
                  <w:rFonts w:ascii="Times New Roman" w:hAnsi="Times New Roman"/>
                  <w:sz w:val="24"/>
                </w:rPr>
                <w:t>https://www.nsi.bg/census2011/PDOCS2/Census2011_Edu.xls</w:t>
              </w:r>
            </w:hyperlink>
            <w:r w:rsidRPr="00D83669">
              <w:rPr>
                <w:rFonts w:ascii="Times New Roman" w:hAnsi="Times New Roman"/>
                <w:sz w:val="24"/>
              </w:rPr>
              <w:t>) или 80</w:t>
            </w:r>
            <w:r w:rsidRPr="00D83669">
              <w:rPr>
                <w:rFonts w:ascii="Times New Roman" w:hAnsi="Times New Roman"/>
                <w:sz w:val="24"/>
                <w:lang w:val="en-US"/>
              </w:rPr>
              <w:t> </w:t>
            </w:r>
            <w:r w:rsidRPr="00D83669">
              <w:rPr>
                <w:rFonts w:ascii="Times New Roman" w:hAnsi="Times New Roman"/>
                <w:sz w:val="24"/>
              </w:rPr>
              <w:t>963</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20,82% ≈</w:t>
            </w:r>
            <w:r w:rsidRPr="00D83669">
              <w:rPr>
                <w:rFonts w:ascii="Times New Roman" w:hAnsi="Times New Roman"/>
                <w:sz w:val="24"/>
                <w:lang w:val="en-US"/>
              </w:rPr>
              <w:t> </w:t>
            </w:r>
            <w:r w:rsidRPr="00D83669">
              <w:rPr>
                <w:rFonts w:ascii="Times New Roman" w:hAnsi="Times New Roman"/>
                <w:sz w:val="24"/>
              </w:rPr>
              <w:t>16</w:t>
            </w:r>
            <w:r w:rsidRPr="00D83669">
              <w:rPr>
                <w:rFonts w:ascii="Times New Roman" w:hAnsi="Times New Roman"/>
                <w:sz w:val="24"/>
                <w:lang w:val="en-US"/>
              </w:rPr>
              <w:t> </w:t>
            </w:r>
            <w:r w:rsidRPr="00D83669">
              <w:rPr>
                <w:rFonts w:ascii="Times New Roman" w:hAnsi="Times New Roman"/>
                <w:sz w:val="24"/>
              </w:rPr>
              <w:t>858 лица като отчита постигнатото до 2020 г. по ОПНОИР и демаркация с Програма „Развитие на човешките ресурси“ 2021 – 2027 г., по която лица от същата целева група след операцията по ПО 2021 – 2027 и придобит етап/клас/степен от основно образование могат да продължат в курсове за професионална квалификация по професия или част от професия.</w:t>
            </w:r>
          </w:p>
        </w:tc>
      </w:tr>
      <w:tr w:rsidR="00D857FE" w:rsidRPr="00D83669" w14:paraId="7F0211F0" w14:textId="77777777" w:rsidTr="0088161B">
        <w:tc>
          <w:tcPr>
            <w:tcW w:w="3154" w:type="dxa"/>
            <w:shd w:val="clear" w:color="auto" w:fill="auto"/>
            <w:vAlign w:val="center"/>
          </w:tcPr>
          <w:p w14:paraId="3F4D7E4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6486" w:type="dxa"/>
            <w:shd w:val="clear" w:color="auto" w:fill="auto"/>
            <w:vAlign w:val="center"/>
          </w:tcPr>
          <w:p w14:paraId="1AF33341" w14:textId="3214B18A" w:rsidR="00D857FE" w:rsidRPr="00D83669" w:rsidRDefault="004A5836" w:rsidP="00CC7BCB">
            <w:pPr>
              <w:jc w:val="both"/>
              <w:rPr>
                <w:rFonts w:ascii="Times New Roman" w:hAnsi="Times New Roman"/>
                <w:sz w:val="24"/>
              </w:rPr>
            </w:pPr>
            <w:r w:rsidRPr="00D83669">
              <w:rPr>
                <w:rFonts w:ascii="Times New Roman" w:hAnsi="Times New Roman"/>
                <w:sz w:val="24"/>
                <w:lang w:val="en-US"/>
              </w:rPr>
              <w:t> </w:t>
            </w:r>
            <w:r w:rsidRPr="00D83669">
              <w:rPr>
                <w:rFonts w:ascii="Times New Roman" w:hAnsi="Times New Roman"/>
                <w:sz w:val="24"/>
              </w:rPr>
              <w:t xml:space="preserve"> 803</w:t>
            </w:r>
          </w:p>
        </w:tc>
      </w:tr>
      <w:tr w:rsidR="00D857FE" w:rsidRPr="00D83669" w14:paraId="5BD901E0" w14:textId="77777777" w:rsidTr="00EF1719">
        <w:trPr>
          <w:trHeight w:val="4024"/>
        </w:trPr>
        <w:tc>
          <w:tcPr>
            <w:tcW w:w="3154" w:type="dxa"/>
            <w:shd w:val="clear" w:color="auto" w:fill="auto"/>
            <w:vAlign w:val="center"/>
          </w:tcPr>
          <w:p w14:paraId="0D770F6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6486" w:type="dxa"/>
            <w:shd w:val="clear" w:color="auto" w:fill="auto"/>
            <w:vAlign w:val="center"/>
          </w:tcPr>
          <w:p w14:paraId="2B97064A" w14:textId="097B1119" w:rsidR="00D857FE" w:rsidRPr="00D83669" w:rsidRDefault="002D34F6" w:rsidP="00CC7BCB">
            <w:pPr>
              <w:jc w:val="both"/>
              <w:rPr>
                <w:rFonts w:ascii="Times New Roman" w:hAnsi="Times New Roman"/>
                <w:sz w:val="24"/>
              </w:rPr>
            </w:pPr>
            <w:r w:rsidRPr="00D83669">
              <w:rPr>
                <w:rFonts w:ascii="Times New Roman" w:hAnsi="Times New Roman" w:cs="Times New Roman"/>
                <w:sz w:val="24"/>
                <w:szCs w:val="24"/>
              </w:rPr>
              <w:t>Етапната цел  е съобразена с планирания график за операцията по подхода ИТИ с реално изпълнение на дейностите от декември 2023 г. и реален обхват от 1/3 на участващите представители на целевата група през 2024 г. Операцията по подхода ИТИ стартира със 100% от определения финансовия ресурс с продължителност от 7 години и физическо изпълнение на дейности през 2024г. Етапната цел се определя, като се взема предвид определения финансов ресурс за операцията,  разделен на годините  за изпълнението на дейностите по подхода ИТИ, съгласно стратегиите на регионите и концепциите за проектни предложения по ИТИ и отчитането на стойности на показателя до края на 2024 г. или 16858/7*1/3=803.</w:t>
            </w:r>
          </w:p>
        </w:tc>
      </w:tr>
      <w:tr w:rsidR="00D857FE" w:rsidRPr="00D83669" w14:paraId="4A21BF26" w14:textId="77777777" w:rsidTr="0088161B">
        <w:tc>
          <w:tcPr>
            <w:tcW w:w="3154" w:type="dxa"/>
            <w:shd w:val="clear" w:color="auto" w:fill="auto"/>
            <w:vAlign w:val="center"/>
          </w:tcPr>
          <w:p w14:paraId="2F29C2A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6486" w:type="dxa"/>
            <w:shd w:val="clear" w:color="auto" w:fill="auto"/>
            <w:vAlign w:val="center"/>
          </w:tcPr>
          <w:p w14:paraId="701E013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432BC6BD" w14:textId="77777777" w:rsidTr="0088161B">
        <w:tc>
          <w:tcPr>
            <w:tcW w:w="3154" w:type="dxa"/>
            <w:shd w:val="clear" w:color="auto" w:fill="auto"/>
            <w:vAlign w:val="center"/>
          </w:tcPr>
          <w:p w14:paraId="0BAEEDC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6486" w:type="dxa"/>
            <w:shd w:val="clear" w:color="auto" w:fill="auto"/>
            <w:vAlign w:val="center"/>
          </w:tcPr>
          <w:p w14:paraId="50E3832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вид уязвима група, пол, възраст,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 </w:t>
            </w:r>
          </w:p>
        </w:tc>
      </w:tr>
      <w:tr w:rsidR="00D857FE" w:rsidRPr="00D83669" w14:paraId="248E6FF9" w14:textId="77777777" w:rsidTr="0088161B">
        <w:tc>
          <w:tcPr>
            <w:tcW w:w="3154" w:type="dxa"/>
            <w:shd w:val="clear" w:color="auto" w:fill="auto"/>
            <w:vAlign w:val="center"/>
          </w:tcPr>
          <w:p w14:paraId="01740A6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6486" w:type="dxa"/>
            <w:shd w:val="clear" w:color="auto" w:fill="auto"/>
            <w:vAlign w:val="center"/>
          </w:tcPr>
          <w:p w14:paraId="5BBF6DFA" w14:textId="5F59E57E"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е ориентиран към цели, заложени в стратегически документи като Стратегическа рамка за развитие на образованието, обучението и ученето на </w:t>
            </w:r>
            <w:r w:rsidRPr="00D83669">
              <w:rPr>
                <w:rFonts w:ascii="Times New Roman" w:hAnsi="Times New Roman"/>
                <w:sz w:val="24"/>
              </w:rPr>
              <w:lastRenderedPageBreak/>
              <w:t>Република България (2021 – 2030), проекта на Националната стратегия на Република България за приобщаване и участие на ромите 2021 – 2030 и др. Информацията проследява напредъка по заложените цели на национално ниво в политиките за образование и за уязвими групи като проследява подкрепата на програмата за уязвимите групи с оглед по-добра реализация на пазара на труда.</w:t>
            </w:r>
          </w:p>
          <w:p w14:paraId="59EAECE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както и за съответствие на образованието с изискванията на пазара на труда и гъвкава проходимост между отделни етапи/степени на образование. Данните ще предоставят информация за уязвими групи, които повишават образованието си с оглед по-добра реализация на пазара на труда и за преодоляване на уязвимостта по признак „завършено образование“. Данните ще допринесат за насочване на мерки за намаляване на регионалните дисбаланси от работна сила, както и към решаване на демографски и социално-икономически проблеми на регионално ниво.</w:t>
            </w:r>
          </w:p>
        </w:tc>
      </w:tr>
      <w:tr w:rsidR="00D857FE" w:rsidRPr="00D83669" w14:paraId="789A56E4" w14:textId="77777777" w:rsidTr="0088161B">
        <w:tc>
          <w:tcPr>
            <w:tcW w:w="3154" w:type="dxa"/>
            <w:shd w:val="clear" w:color="auto" w:fill="auto"/>
            <w:vAlign w:val="center"/>
          </w:tcPr>
          <w:p w14:paraId="076A5D1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6486" w:type="dxa"/>
            <w:shd w:val="clear" w:color="auto" w:fill="auto"/>
            <w:vAlign w:val="center"/>
          </w:tcPr>
          <w:p w14:paraId="168195E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бенефициентите (вкл. чрез анкетни карти от лицата от целевата група)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04602C9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вид уязвима група,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w:t>
            </w:r>
          </w:p>
        </w:tc>
      </w:tr>
      <w:tr w:rsidR="00D857FE" w:rsidRPr="00D83669" w14:paraId="56AB221F" w14:textId="77777777" w:rsidTr="0088161B">
        <w:tc>
          <w:tcPr>
            <w:tcW w:w="3154" w:type="dxa"/>
            <w:shd w:val="clear" w:color="auto" w:fill="auto"/>
            <w:vAlign w:val="center"/>
          </w:tcPr>
          <w:p w14:paraId="54046D1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6486" w:type="dxa"/>
            <w:shd w:val="clear" w:color="auto" w:fill="auto"/>
            <w:vAlign w:val="center"/>
          </w:tcPr>
          <w:p w14:paraId="48D962A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19F613CB" w14:textId="77777777" w:rsidTr="0088161B">
        <w:tc>
          <w:tcPr>
            <w:tcW w:w="3154" w:type="dxa"/>
            <w:shd w:val="clear" w:color="auto" w:fill="auto"/>
            <w:vAlign w:val="center"/>
          </w:tcPr>
          <w:p w14:paraId="7E48DD98" w14:textId="16C5F0D0"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6486" w:type="dxa"/>
            <w:shd w:val="clear" w:color="auto" w:fill="auto"/>
            <w:vAlign w:val="center"/>
          </w:tcPr>
          <w:p w14:paraId="4C6A045B"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EECO02 безработни, включително трайно безработни;</w:t>
            </w:r>
          </w:p>
          <w:p w14:paraId="1A3605E1"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EECO04 неактивни;</w:t>
            </w:r>
          </w:p>
          <w:p w14:paraId="258C5504"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EECO05 Заети, вкл. самостоятелно заети;</w:t>
            </w:r>
          </w:p>
          <w:p w14:paraId="13A650D9"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EECO15 участници от малцинства (включително маргинализирани общности като ромите);</w:t>
            </w:r>
          </w:p>
          <w:p w14:paraId="6E7858DD"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761F76A1" w14:textId="77777777" w:rsidTr="0088161B">
        <w:tc>
          <w:tcPr>
            <w:tcW w:w="3154" w:type="dxa"/>
            <w:shd w:val="clear" w:color="auto" w:fill="auto"/>
            <w:vAlign w:val="center"/>
          </w:tcPr>
          <w:p w14:paraId="10620FD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6486" w:type="dxa"/>
            <w:shd w:val="clear" w:color="auto" w:fill="auto"/>
            <w:vAlign w:val="center"/>
          </w:tcPr>
          <w:p w14:paraId="1D0579D4" w14:textId="42B40D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лицата над 16 години с прогимназиален етап на основното образование или по-ниска степен на образование, участници в дейностите по СЦ по чл. 4, пар. 1, буква ж) на ПО 2021 – 2027 и е по-малка или равна на броя на всички участници в дейности по тази специфична цел.</w:t>
            </w:r>
          </w:p>
        </w:tc>
      </w:tr>
    </w:tbl>
    <w:p w14:paraId="3016FCAB" w14:textId="77777777" w:rsidR="00D857FE" w:rsidRPr="00D83669" w:rsidRDefault="00D857FE" w:rsidP="00D857FE"/>
    <w:p w14:paraId="6B8D07CC" w14:textId="514B967E" w:rsidR="00D857FE" w:rsidRPr="00D83669" w:rsidRDefault="00D857FE" w:rsidP="00D83669">
      <w:pPr>
        <w:rPr>
          <w:b/>
          <w:bCs/>
          <w:i/>
          <w:iCs/>
        </w:rPr>
      </w:pPr>
      <w:r w:rsidRPr="00D83669">
        <w:br w:type="page"/>
      </w:r>
      <w:bookmarkStart w:id="105" w:name="_Toc100152984"/>
      <w:r w:rsidRPr="00D83669">
        <w:rPr>
          <w:b/>
          <w:bCs/>
          <w:i/>
          <w:iCs/>
        </w:rPr>
        <w:lastRenderedPageBreak/>
        <w:t>EECO15 малцинства (включително маргинализирани общности като ромите)</w:t>
      </w:r>
      <w:bookmarkEnd w:id="105"/>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0CC4600D" w14:textId="77777777" w:rsidTr="0088161B">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C7107BC" w14:textId="10756706"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7427D0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13906A62" w14:textId="77777777" w:rsidTr="0088161B">
        <w:tc>
          <w:tcPr>
            <w:tcW w:w="2405" w:type="dxa"/>
            <w:shd w:val="clear" w:color="auto" w:fill="auto"/>
            <w:vAlign w:val="center"/>
          </w:tcPr>
          <w:p w14:paraId="64A57DA8" w14:textId="02FE0E0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3BD272F1"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EECO</w:t>
            </w:r>
            <w:r w:rsidRPr="00D83669">
              <w:rPr>
                <w:rFonts w:ascii="Times New Roman" w:hAnsi="Times New Roman"/>
                <w:sz w:val="24"/>
              </w:rPr>
              <w:t xml:space="preserve">15 малцинства </w:t>
            </w:r>
            <w:r w:rsidRPr="00D83669">
              <w:rPr>
                <w:rFonts w:ascii="Times New Roman" w:hAnsi="Times New Roman"/>
                <w:color w:val="000000" w:themeColor="text1"/>
                <w:sz w:val="24"/>
              </w:rPr>
              <w:t>(включително маргинализирани общности като ромите)</w:t>
            </w:r>
          </w:p>
        </w:tc>
      </w:tr>
      <w:tr w:rsidR="00D857FE" w:rsidRPr="00D83669" w14:paraId="0546DAE4" w14:textId="77777777" w:rsidTr="0088161B">
        <w:tc>
          <w:tcPr>
            <w:tcW w:w="2405" w:type="dxa"/>
            <w:shd w:val="clear" w:color="auto" w:fill="auto"/>
            <w:vAlign w:val="center"/>
          </w:tcPr>
          <w:p w14:paraId="264DFB7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18B57B46" w14:textId="676CC289"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5EBBDD8B" w14:textId="77777777" w:rsidTr="0088161B">
        <w:tc>
          <w:tcPr>
            <w:tcW w:w="2405" w:type="dxa"/>
            <w:shd w:val="clear" w:color="auto" w:fill="auto"/>
            <w:vAlign w:val="center"/>
          </w:tcPr>
          <w:p w14:paraId="0A48019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0772EB5C"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цифровите умения, по-доброто предвиждане на промените и изискванията за нови умения, улесняването на преходите в професионалното развитие и насърчаването на професионалната мобилност</w:t>
            </w:r>
          </w:p>
        </w:tc>
      </w:tr>
      <w:tr w:rsidR="00D857FE" w:rsidRPr="00D83669" w14:paraId="42C51B8E" w14:textId="77777777" w:rsidTr="0088161B">
        <w:tc>
          <w:tcPr>
            <w:tcW w:w="2405" w:type="dxa"/>
            <w:shd w:val="clear" w:color="auto" w:fill="auto"/>
            <w:vAlign w:val="center"/>
          </w:tcPr>
          <w:p w14:paraId="682F156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71541C0D"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Ограмотяване на възрастни</w:t>
            </w:r>
          </w:p>
        </w:tc>
      </w:tr>
      <w:tr w:rsidR="00D857FE" w:rsidRPr="00D83669" w14:paraId="5B26ADFC" w14:textId="77777777" w:rsidTr="0088161B">
        <w:tc>
          <w:tcPr>
            <w:tcW w:w="2405" w:type="dxa"/>
            <w:shd w:val="clear" w:color="auto" w:fill="auto"/>
            <w:vAlign w:val="center"/>
          </w:tcPr>
          <w:p w14:paraId="1EBEE1B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1BE6F09F" w14:textId="2B81D33B"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лицата над 16 години, с основно и/или по-ниско образование</w:t>
            </w:r>
            <w:r w:rsidRPr="00D83669">
              <w:t xml:space="preserve"> </w:t>
            </w:r>
            <w:r w:rsidRPr="00D83669">
              <w:rPr>
                <w:rFonts w:ascii="Times New Roman" w:hAnsi="Times New Roman"/>
                <w:sz w:val="24"/>
              </w:rPr>
              <w:t xml:space="preserve">от маргинализирани общности като ромите и др., в дейности за учене през целия живот като участници в курсове за ограмотяване (1 – 4 клас), участници в курсове за придобиване на компетентности от прогимназиалния етап на основното образование (за всеки от 5, 6 и 7 клас) и участници в процедури за валидиране на умения и компетентности, придобити чрез неформално обучение и информално учене в съответствие с разпоредбите на ЗПУО и утвърдените програми за образование на възрастни за придобиване на клас/етап/степен на основно образование, участници в кариерно ориентиране и консултиране както и в насочване за включване в гъвкави форми за образование на тези, които не са завършили средно образование и осигуряване на условия за втори шанс. Показателят отчита участия на едно лице от целевата група – маргинализирани като ромите, в курсове за ограмотяване (1 – 4 клас) и/или курсове за прогимназиален етап – за 5 клас, за 6 клас, за 7 клас или участие в процедура за валидиране, в кариерно ориентиране и консултиране, както и в насочване за включване в гъвкави форми за образование на тези, които не са завършили средно образование и осигуряване на условия за втори шанс като едно лице се брои еднократно. </w:t>
            </w:r>
          </w:p>
          <w:p w14:paraId="05A9B8E4" w14:textId="2E91554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Съгласно ПО 2021 – 2027 лицата, обхванати в курсовете и процедурата за валидиране получават кариерно ориентиране и консултиране с цел по-добра реализация на пазара на труда на уязвими групи чрез придобиване на начален етап или на основна степен на образование. Показателят отразява факта, че неграмотни, слабограмотни, без основно образование са представители на уязвими групи. Под </w:t>
            </w:r>
            <w:r w:rsidRPr="00D83669">
              <w:rPr>
                <w:rFonts w:ascii="Times New Roman" w:hAnsi="Times New Roman"/>
                <w:b/>
                <w:sz w:val="24"/>
              </w:rPr>
              <w:t>уязвими групи</w:t>
            </w:r>
            <w:r w:rsidRPr="00D83669">
              <w:rPr>
                <w:rFonts w:ascii="Times New Roman" w:hAnsi="Times New Roman"/>
                <w:sz w:val="24"/>
              </w:rPr>
              <w:t xml:space="preserve"> се имат предвид групи, които са в риск от социално изключване и маргинализиране поради майчин език, различен от българския, поради ограничен достъп до качествено образование и здравни услуги, до социални права, до възможностите на обществото и икономиката, с професионална </w:t>
            </w:r>
            <w:r w:rsidRPr="00D83669">
              <w:rPr>
                <w:rFonts w:ascii="Times New Roman" w:hAnsi="Times New Roman"/>
                <w:sz w:val="24"/>
              </w:rPr>
              <w:lastRenderedPageBreak/>
              <w:t xml:space="preserve">квалификация и умения, </w:t>
            </w:r>
            <w:r w:rsidRPr="00D83669">
              <w:rPr>
                <w:rFonts w:ascii="Times New Roman" w:hAnsi="Times New Roman"/>
                <w:sz w:val="24"/>
                <w:u w:val="single"/>
              </w:rPr>
              <w:t>възпрепятстващи участието на пазара на труда</w:t>
            </w:r>
            <w:r w:rsidRPr="00D83669">
              <w:rPr>
                <w:rFonts w:ascii="Times New Roman" w:hAnsi="Times New Roman"/>
                <w:sz w:val="24"/>
              </w:rPr>
              <w:t xml:space="preserve"> и с трудности в социализацията, като </w:t>
            </w:r>
            <w:r w:rsidRPr="00D83669">
              <w:rPr>
                <w:rFonts w:ascii="Times New Roman" w:hAnsi="Times New Roman"/>
                <w:i/>
                <w:sz w:val="24"/>
              </w:rPr>
              <w:t>роми, мигранти, търсещи или получили международна закрила, лица, за които българският език не е майчин,</w:t>
            </w:r>
            <w:r w:rsidRPr="00D83669">
              <w:rPr>
                <w:rFonts w:ascii="Times New Roman" w:hAnsi="Times New Roman"/>
                <w:sz w:val="24"/>
              </w:rPr>
              <w:t xml:space="preserve"> лица със специални образователни потребности, лица с трудности в обучението (затруднения в ученето), възпитанието и социализацията, лица от социално-слаби семейства, лица в неравностойно положение, деца в риск и др. </w:t>
            </w:r>
          </w:p>
        </w:tc>
      </w:tr>
      <w:tr w:rsidR="00D857FE" w:rsidRPr="00D83669" w14:paraId="588EF4C4" w14:textId="77777777" w:rsidTr="0088161B">
        <w:tc>
          <w:tcPr>
            <w:tcW w:w="2405" w:type="dxa"/>
            <w:shd w:val="clear" w:color="auto" w:fill="auto"/>
            <w:vAlign w:val="center"/>
          </w:tcPr>
          <w:p w14:paraId="75ED8E5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235" w:type="dxa"/>
            <w:shd w:val="clear" w:color="auto" w:fill="auto"/>
            <w:vAlign w:val="center"/>
          </w:tcPr>
          <w:p w14:paraId="357B5C4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0DD98534" w14:textId="77777777" w:rsidTr="0088161B">
        <w:tc>
          <w:tcPr>
            <w:tcW w:w="2405" w:type="dxa"/>
            <w:shd w:val="clear" w:color="auto" w:fill="auto"/>
            <w:vAlign w:val="center"/>
          </w:tcPr>
          <w:p w14:paraId="7F50E428" w14:textId="5C3252D2" w:rsidR="00D857FE" w:rsidRPr="00D83669" w:rsidRDefault="008E7AC7"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5D4DD461"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13 486</w:t>
            </w:r>
          </w:p>
        </w:tc>
      </w:tr>
      <w:tr w:rsidR="00D857FE" w:rsidRPr="00D83669" w14:paraId="0745D095" w14:textId="77777777" w:rsidTr="0088161B">
        <w:tc>
          <w:tcPr>
            <w:tcW w:w="2405" w:type="dxa"/>
            <w:shd w:val="clear" w:color="auto" w:fill="auto"/>
            <w:vAlign w:val="center"/>
          </w:tcPr>
          <w:p w14:paraId="6CD7C7F2" w14:textId="11A016D0" w:rsidR="00D857FE" w:rsidRPr="00D83669" w:rsidRDefault="00522E94"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2D1E87A0" w14:textId="3357FE36"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представлява 80% от целевата стойност на показател</w:t>
            </w:r>
            <w:r w:rsidRPr="00D83669">
              <w:t xml:space="preserve"> </w:t>
            </w:r>
            <w:r w:rsidRPr="00D83669">
              <w:rPr>
                <w:rFonts w:ascii="Times New Roman" w:hAnsi="Times New Roman"/>
                <w:sz w:val="24"/>
              </w:rPr>
              <w:t>EEOC09 участници с прогимназиален етап на основното образование или по-ниска степен на образование по СЦ по чл. 4, пар. 1, буква ж) и се базира на данни от проект на МОН – „Нов шанс за успех, изпълняван по операция „Ограмотяване на възрастни – фаза 1“, където над 80% от обхванатите са били роми.</w:t>
            </w:r>
          </w:p>
        </w:tc>
      </w:tr>
      <w:tr w:rsidR="00D857FE" w:rsidRPr="00D83669" w14:paraId="7114677E" w14:textId="77777777" w:rsidTr="0088161B">
        <w:tc>
          <w:tcPr>
            <w:tcW w:w="2405" w:type="dxa"/>
            <w:shd w:val="clear" w:color="auto" w:fill="auto"/>
            <w:vAlign w:val="center"/>
          </w:tcPr>
          <w:p w14:paraId="1C5F943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19C68CCE" w14:textId="6933D2BA" w:rsidR="00D857FE" w:rsidRPr="00D83669" w:rsidRDefault="00437741" w:rsidP="00CC7BCB">
            <w:pPr>
              <w:jc w:val="both"/>
              <w:rPr>
                <w:rFonts w:ascii="Times New Roman" w:hAnsi="Times New Roman"/>
                <w:sz w:val="24"/>
              </w:rPr>
            </w:pPr>
            <w:r w:rsidRPr="00D83669">
              <w:rPr>
                <w:rFonts w:ascii="Times New Roman" w:hAnsi="Times New Roman"/>
                <w:sz w:val="24"/>
              </w:rPr>
              <w:t>642</w:t>
            </w:r>
          </w:p>
        </w:tc>
      </w:tr>
      <w:tr w:rsidR="00D857FE" w:rsidRPr="00D83669" w14:paraId="01944096" w14:textId="77777777" w:rsidTr="0088161B">
        <w:tc>
          <w:tcPr>
            <w:tcW w:w="2405" w:type="dxa"/>
            <w:shd w:val="clear" w:color="auto" w:fill="auto"/>
            <w:vAlign w:val="center"/>
          </w:tcPr>
          <w:p w14:paraId="36D3308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235" w:type="dxa"/>
            <w:shd w:val="clear" w:color="auto" w:fill="auto"/>
            <w:vAlign w:val="center"/>
          </w:tcPr>
          <w:p w14:paraId="5EF895B6" w14:textId="30C12450" w:rsidR="00D857FE" w:rsidRPr="00D83669" w:rsidRDefault="009B018B" w:rsidP="00CC7BCB">
            <w:pPr>
              <w:jc w:val="both"/>
              <w:rPr>
                <w:rFonts w:ascii="Times New Roman" w:hAnsi="Times New Roman"/>
                <w:sz w:val="24"/>
              </w:rPr>
            </w:pPr>
            <w:r w:rsidRPr="00D83669">
              <w:rPr>
                <w:rFonts w:ascii="Times New Roman" w:hAnsi="Times New Roman" w:cs="Times New Roman"/>
                <w:sz w:val="24"/>
                <w:szCs w:val="24"/>
              </w:rPr>
              <w:t>Етапната цел  е съобразена с планирания график за операцията по подхода ИТИ с реално изпълнение на дейностите от декември 2023 г., и реален обхват от 1/3 на участващите  лица от маргинализрани групи като роми  през 2024 г. Операцията по подхода ИТИ стартира със 100% от определения финансовия ресурс с продължителност от 7 години и физическо изпълнение на дейности през 2024г.</w:t>
            </w:r>
            <w:r w:rsidR="003907A9" w:rsidRPr="00D83669">
              <w:rPr>
                <w:rFonts w:ascii="Times New Roman" w:hAnsi="Times New Roman" w:cs="Times New Roman"/>
                <w:sz w:val="24"/>
                <w:szCs w:val="24"/>
              </w:rPr>
              <w:t xml:space="preserve"> </w:t>
            </w:r>
            <w:r w:rsidRPr="00D83669">
              <w:rPr>
                <w:rFonts w:ascii="Times New Roman" w:hAnsi="Times New Roman" w:cs="Times New Roman"/>
                <w:sz w:val="24"/>
                <w:szCs w:val="24"/>
              </w:rPr>
              <w:t>Етапната цел се определя, като се взема предвид определения финансов ресурс за операцията,  разделен на годините  за изпълнението на дейностите  по подхода ИТИ, к съгласно стратегиите на регионите</w:t>
            </w:r>
            <w:r w:rsidR="008E114A" w:rsidRPr="000E5835">
              <w:rPr>
                <w:rFonts w:ascii="Times New Roman" w:hAnsi="Times New Roman" w:cs="Times New Roman"/>
                <w:sz w:val="24"/>
                <w:szCs w:val="24"/>
              </w:rPr>
              <w:t xml:space="preserve"> </w:t>
            </w:r>
            <w:r w:rsidRPr="00D83669">
              <w:rPr>
                <w:rFonts w:ascii="Times New Roman" w:hAnsi="Times New Roman" w:cs="Times New Roman"/>
                <w:sz w:val="24"/>
                <w:szCs w:val="24"/>
              </w:rPr>
              <w:t>и концепциите за проектни предложения по ИТИ и отчитането на стойности на индикатора преди 2024 г. или</w:t>
            </w:r>
            <w:r w:rsidR="00D95BD3" w:rsidRPr="00D83669">
              <w:rPr>
                <w:rFonts w:ascii="Times New Roman" w:hAnsi="Times New Roman" w:cs="Times New Roman"/>
                <w:sz w:val="24"/>
                <w:szCs w:val="24"/>
              </w:rPr>
              <w:t xml:space="preserve"> </w:t>
            </w:r>
            <w:r w:rsidRPr="00D83669">
              <w:rPr>
                <w:rFonts w:ascii="Times New Roman" w:hAnsi="Times New Roman" w:cs="Times New Roman"/>
                <w:sz w:val="24"/>
                <w:szCs w:val="24"/>
              </w:rPr>
              <w:t>1</w:t>
            </w:r>
            <w:r w:rsidR="00D95BD3" w:rsidRPr="00D83669">
              <w:rPr>
                <w:rFonts w:ascii="Times New Roman" w:hAnsi="Times New Roman" w:cs="Times New Roman"/>
                <w:sz w:val="24"/>
                <w:szCs w:val="24"/>
              </w:rPr>
              <w:t>3</w:t>
            </w:r>
            <w:r w:rsidRPr="00D83669">
              <w:rPr>
                <w:rFonts w:ascii="Times New Roman" w:hAnsi="Times New Roman" w:cs="Times New Roman"/>
                <w:sz w:val="24"/>
                <w:szCs w:val="24"/>
              </w:rPr>
              <w:t>486/7*1/3=642.</w:t>
            </w:r>
          </w:p>
        </w:tc>
      </w:tr>
      <w:tr w:rsidR="00D857FE" w:rsidRPr="00D83669" w14:paraId="264362E0" w14:textId="77777777" w:rsidTr="0088161B">
        <w:tc>
          <w:tcPr>
            <w:tcW w:w="2405" w:type="dxa"/>
            <w:shd w:val="clear" w:color="auto" w:fill="auto"/>
            <w:vAlign w:val="center"/>
          </w:tcPr>
          <w:p w14:paraId="2F7E695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1F9B5CC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1637C687" w14:textId="77777777" w:rsidTr="0088161B">
        <w:tc>
          <w:tcPr>
            <w:tcW w:w="2405" w:type="dxa"/>
            <w:shd w:val="clear" w:color="auto" w:fill="auto"/>
            <w:vAlign w:val="center"/>
          </w:tcPr>
          <w:p w14:paraId="0234F10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440F338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вид уязвима група, пол, възраст,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w:t>
            </w:r>
          </w:p>
        </w:tc>
      </w:tr>
      <w:tr w:rsidR="00D857FE" w:rsidRPr="00D83669" w14:paraId="215BB6E2" w14:textId="77777777" w:rsidTr="0088161B">
        <w:tc>
          <w:tcPr>
            <w:tcW w:w="2405" w:type="dxa"/>
            <w:shd w:val="clear" w:color="auto" w:fill="auto"/>
            <w:vAlign w:val="center"/>
          </w:tcPr>
          <w:p w14:paraId="74C7F5F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36350005" w14:textId="51C01CDB"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е ориентиран към цели, заложени в стратегически документи като Стратегическа рамка за развитие на образованието, обучението и ученето на Република България (2021 – 2030), проекта на Националната стратегия на Република България за приобщаване и участие на ромите 2021 – 2030 и др. Информацията проследява напредъка по заложените цели на национално ниво в политиките за образование и за уязвими групи като проследява подкрепата на </w:t>
            </w:r>
            <w:r w:rsidRPr="00D83669">
              <w:rPr>
                <w:rFonts w:ascii="Times New Roman" w:hAnsi="Times New Roman"/>
                <w:sz w:val="24"/>
              </w:rPr>
              <w:lastRenderedPageBreak/>
              <w:t>програмата за уязвимите групи с оглед по-добра реализация на пазара на труда.</w:t>
            </w:r>
          </w:p>
          <w:p w14:paraId="2A4E854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както и за съответствие на образованието с изискванията на пазара на труда и гъвкава проходимост между отделни етапи/степени на образование. Данните ще предоставят информация за уязвими групи, които повишават образованието си с оглед по-добра реализация на пазара на труда и за преодоляване на уязвимостта по признак „завършено образование“. Данните ще допринесат за насочване на мерки за намаляване на регионалните дисбаланси от работна сила, както и към решаване на демографски и социално-икономически проблеми на регионално ниво.</w:t>
            </w:r>
          </w:p>
        </w:tc>
      </w:tr>
      <w:tr w:rsidR="00D857FE" w:rsidRPr="00D83669" w14:paraId="6C807EFB" w14:textId="77777777" w:rsidTr="0088161B">
        <w:tc>
          <w:tcPr>
            <w:tcW w:w="2405" w:type="dxa"/>
            <w:shd w:val="clear" w:color="auto" w:fill="auto"/>
            <w:vAlign w:val="center"/>
          </w:tcPr>
          <w:p w14:paraId="5683B78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235" w:type="dxa"/>
            <w:shd w:val="clear" w:color="auto" w:fill="auto"/>
            <w:vAlign w:val="center"/>
          </w:tcPr>
          <w:p w14:paraId="162444B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086D847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w:t>
            </w:r>
          </w:p>
        </w:tc>
      </w:tr>
      <w:tr w:rsidR="00D857FE" w:rsidRPr="00D83669" w14:paraId="3BD5DDF1" w14:textId="77777777" w:rsidTr="0088161B">
        <w:tc>
          <w:tcPr>
            <w:tcW w:w="2405" w:type="dxa"/>
            <w:shd w:val="clear" w:color="auto" w:fill="auto"/>
            <w:vAlign w:val="center"/>
          </w:tcPr>
          <w:p w14:paraId="18945FA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0F25E52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3F79FDD" w14:textId="77777777" w:rsidTr="0088161B">
        <w:tc>
          <w:tcPr>
            <w:tcW w:w="2405" w:type="dxa"/>
            <w:shd w:val="clear" w:color="auto" w:fill="auto"/>
            <w:vAlign w:val="center"/>
          </w:tcPr>
          <w:p w14:paraId="16B0444A" w14:textId="521FE316"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03388747"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EEOC09 участници с прогимназиален етап на основното образование или по-ниска степен на образование;</w:t>
            </w:r>
          </w:p>
          <w:p w14:paraId="2AAA71B5"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EECO02 безработни, включително трайно безработни;</w:t>
            </w:r>
          </w:p>
          <w:p w14:paraId="67D8E819"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EECO04 неактивни;</w:t>
            </w:r>
          </w:p>
          <w:p w14:paraId="074CF288"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EECO05 Заети, вкл. самостоятелно заети;</w:t>
            </w:r>
          </w:p>
          <w:p w14:paraId="2E011104"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EECR01 участници, които при напускане на операцията са започнали да търсят работа;</w:t>
            </w:r>
          </w:p>
          <w:p w14:paraId="79F69679"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2E038D7B" w14:textId="77777777" w:rsidTr="0088161B">
        <w:tc>
          <w:tcPr>
            <w:tcW w:w="2405" w:type="dxa"/>
            <w:shd w:val="clear" w:color="auto" w:fill="auto"/>
            <w:vAlign w:val="center"/>
          </w:tcPr>
          <w:p w14:paraId="4DBC972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56FFCA5F" w14:textId="38DD80E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от маргинализираните уязвими групи като роми, мигранти, чийто майчин език е различен от българския, и др. – лица над 16 години в дейностите по СЦ по чл. 4, пар. 1, буква ж) на ПО 2021 – 2027 и е по-малка от стойността на показател EEOC09 участници с прогимназиален етап на основното образование или по-ниска степен на образование.</w:t>
            </w:r>
          </w:p>
        </w:tc>
      </w:tr>
    </w:tbl>
    <w:p w14:paraId="595781E5" w14:textId="77777777" w:rsidR="00D857FE" w:rsidRPr="00D83669" w:rsidRDefault="00D857FE" w:rsidP="00D857FE">
      <w:pPr>
        <w:rPr>
          <w:rFonts w:ascii="Times New Roman" w:eastAsia="Times New Roman" w:hAnsi="Times New Roman" w:cs="Times New Roman"/>
          <w:sz w:val="24"/>
          <w:szCs w:val="20"/>
          <w:lang w:eastAsia="bg-BG" w:bidi="bg-BG"/>
        </w:rPr>
      </w:pPr>
      <w:r w:rsidRPr="00D83669">
        <w:br w:type="page"/>
      </w:r>
    </w:p>
    <w:p w14:paraId="0D1F22B5" w14:textId="2CF0AB11" w:rsidR="00D857FE" w:rsidRPr="00D83669" w:rsidRDefault="00D857FE" w:rsidP="00D857FE">
      <w:pPr>
        <w:pStyle w:val="Heading3"/>
        <w:ind w:left="567"/>
        <w:rPr>
          <w:rFonts w:ascii="Times New Roman" w:hAnsi="Times New Roman" w:cs="Times New Roman"/>
          <w:color w:val="000000" w:themeColor="text1"/>
        </w:rPr>
      </w:pPr>
      <w:bookmarkStart w:id="106" w:name="_Toc98778788"/>
      <w:bookmarkStart w:id="107" w:name="_Toc100152985"/>
      <w:bookmarkStart w:id="108" w:name="_Toc103586660"/>
      <w:r w:rsidRPr="00D83669">
        <w:rPr>
          <w:rFonts w:ascii="Times New Roman" w:hAnsi="Times New Roman" w:cs="Times New Roman"/>
        </w:rPr>
        <w:lastRenderedPageBreak/>
        <w:t>Показатели за резултатите</w:t>
      </w:r>
      <w:bookmarkEnd w:id="106"/>
      <w:bookmarkEnd w:id="107"/>
      <w:bookmarkEnd w:id="108"/>
      <w:r w:rsidRPr="00D83669">
        <w:rPr>
          <w:rFonts w:ascii="Times New Roman" w:hAnsi="Times New Roman" w:cs="Times New Roman"/>
          <w:color w:val="000000" w:themeColor="text1"/>
        </w:rPr>
        <w:t xml:space="preserve"> </w:t>
      </w:r>
    </w:p>
    <w:p w14:paraId="7E833E89" w14:textId="5C7F4485" w:rsidR="00D857FE" w:rsidRPr="00D83669" w:rsidRDefault="00D857FE" w:rsidP="007C64A2">
      <w:pPr>
        <w:pStyle w:val="Heading3"/>
        <w:rPr>
          <w:b/>
          <w:bCs/>
          <w:i/>
          <w:iCs/>
          <w:sz w:val="22"/>
          <w:szCs w:val="22"/>
        </w:rPr>
      </w:pPr>
      <w:bookmarkStart w:id="109" w:name="_Toc100152986"/>
      <w:bookmarkStart w:id="110" w:name="_Toc103586661"/>
      <w:r w:rsidRPr="00D83669">
        <w:rPr>
          <w:b/>
          <w:bCs/>
          <w:i/>
          <w:iCs/>
          <w:sz w:val="22"/>
          <w:szCs w:val="22"/>
        </w:rPr>
        <w:t>EECR01 участници, които при напускане на операцията са започнали да търсят работа</w:t>
      </w:r>
      <w:bookmarkEnd w:id="109"/>
      <w:bookmarkEnd w:id="110"/>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4F937476" w14:textId="77777777" w:rsidTr="0088161B">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C03043C" w14:textId="24A7003A"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AC62C0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35639E0F" w14:textId="77777777" w:rsidTr="0088161B">
        <w:tc>
          <w:tcPr>
            <w:tcW w:w="2405" w:type="dxa"/>
            <w:shd w:val="clear" w:color="auto" w:fill="auto"/>
            <w:vAlign w:val="center"/>
          </w:tcPr>
          <w:p w14:paraId="66E7B8FE" w14:textId="35C07089"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7235" w:type="dxa"/>
            <w:shd w:val="clear" w:color="auto" w:fill="auto"/>
            <w:vAlign w:val="center"/>
          </w:tcPr>
          <w:p w14:paraId="62B0D837"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EECR</w:t>
            </w:r>
            <w:r w:rsidRPr="00D83669">
              <w:rPr>
                <w:rFonts w:ascii="Times New Roman" w:hAnsi="Times New Roman"/>
                <w:sz w:val="24"/>
              </w:rPr>
              <w:t>01 участници, които при напускане на операцията са започнали да търсят работа</w:t>
            </w:r>
          </w:p>
        </w:tc>
      </w:tr>
      <w:tr w:rsidR="00D857FE" w:rsidRPr="00D83669" w14:paraId="7E34A139" w14:textId="77777777" w:rsidTr="0088161B">
        <w:tc>
          <w:tcPr>
            <w:tcW w:w="2405" w:type="dxa"/>
            <w:shd w:val="clear" w:color="auto" w:fill="auto"/>
            <w:vAlign w:val="center"/>
          </w:tcPr>
          <w:p w14:paraId="49B3646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021F19FD" w14:textId="32AA0BD7"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резултат</w:t>
            </w:r>
          </w:p>
        </w:tc>
      </w:tr>
      <w:tr w:rsidR="00D857FE" w:rsidRPr="00D83669" w14:paraId="3459C966" w14:textId="77777777" w:rsidTr="0088161B">
        <w:tc>
          <w:tcPr>
            <w:tcW w:w="2405" w:type="dxa"/>
            <w:shd w:val="clear" w:color="auto" w:fill="auto"/>
            <w:vAlign w:val="center"/>
          </w:tcPr>
          <w:p w14:paraId="441A0F4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36C811A5"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цифровите умения, по-доброто предвиждане на промените и изискванията за нови умения, улесняването на преходите в професионалното развитие и насърчаването на професионалната мобилност</w:t>
            </w:r>
          </w:p>
        </w:tc>
      </w:tr>
      <w:tr w:rsidR="00D857FE" w:rsidRPr="00D83669" w14:paraId="3AAA46D3" w14:textId="77777777" w:rsidTr="0088161B">
        <w:tc>
          <w:tcPr>
            <w:tcW w:w="2405" w:type="dxa"/>
            <w:shd w:val="clear" w:color="auto" w:fill="auto"/>
            <w:vAlign w:val="center"/>
          </w:tcPr>
          <w:p w14:paraId="73901B7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7A7A2354"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Ограмотяване на възрастни</w:t>
            </w:r>
          </w:p>
        </w:tc>
      </w:tr>
      <w:tr w:rsidR="00D857FE" w:rsidRPr="00D83669" w14:paraId="4B09D453" w14:textId="77777777" w:rsidTr="0088161B">
        <w:tc>
          <w:tcPr>
            <w:tcW w:w="2405" w:type="dxa"/>
            <w:shd w:val="clear" w:color="auto" w:fill="auto"/>
            <w:vAlign w:val="center"/>
          </w:tcPr>
          <w:p w14:paraId="316BE97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13E93C46" w14:textId="3092B2C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броя на неактивните лица с основно и по-ниско образование, които в резултат на участието им в операцията са повишили образователното си ниво и след приключване на участието си в операцията са започнали да търсят активно работа, окуражени от по-високото си образование, насърчени от кариерното ориентиране и консултиране по време на операцията, както и от предоставяне на условия за включване в гъвкави форми на образование на тези с основно, но без средно образование. </w:t>
            </w:r>
          </w:p>
          <w:p w14:paraId="75BA176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„Неактивни“ са лицата, които са икономически неактивни в момента на включване в дейности по операцията – не са заети, нито са безработни, не са активни в търсенето на работа/заетост, защото предполагат, че няма да намерят, не са в обучения.</w:t>
            </w:r>
          </w:p>
          <w:p w14:paraId="7F21B42B" w14:textId="0D61ABA6"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се определя от спецификите на курсовете за ограмотяване, курсовете за придобиване на компетентности от прогимназиалния етап и процедурата за валидиране и разпоредбите на чл. 168 от Закона за предучилищното и училищно образование съгласно който, документ за завършен етап/клас/степен (удостоверение по чл. 168) се издава след успешно положени изпити за начален етап (1 – 4 клас) на основно образование, за всеки клас от прогимназиалното образование на основната степен на образование – поотделно за 5 клас, за 6 клас и за 7 клас или от проведена процедура за валидиране на компетентности от неформално обучения и информално учене, както и участници в кариерно ориентиране и консултиране и/или в насочване за включване в гъвкави форми за образование на тези, които не са завършили средно образование и осигуряване на условия за втори шанс и по-ниско образование. </w:t>
            </w:r>
          </w:p>
        </w:tc>
      </w:tr>
      <w:tr w:rsidR="00D857FE" w:rsidRPr="00D83669" w14:paraId="49A4668E" w14:textId="77777777" w:rsidTr="0088161B">
        <w:tc>
          <w:tcPr>
            <w:tcW w:w="2405" w:type="dxa"/>
            <w:shd w:val="clear" w:color="auto" w:fill="auto"/>
            <w:vAlign w:val="center"/>
          </w:tcPr>
          <w:p w14:paraId="532353F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0D59D09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62EA99AB" w14:textId="77777777" w:rsidTr="0088161B">
        <w:tc>
          <w:tcPr>
            <w:tcW w:w="2405" w:type="dxa"/>
            <w:shd w:val="clear" w:color="auto" w:fill="auto"/>
            <w:vAlign w:val="center"/>
          </w:tcPr>
          <w:p w14:paraId="42FF41C8" w14:textId="64AF4A35" w:rsidR="00D857FE" w:rsidRPr="00D83669" w:rsidRDefault="009C5344" w:rsidP="00CC7BCB">
            <w:pPr>
              <w:rPr>
                <w:rFonts w:ascii="Times New Roman" w:hAnsi="Times New Roman"/>
                <w:b/>
                <w:bCs/>
                <w:sz w:val="24"/>
              </w:rPr>
            </w:pPr>
            <w:r w:rsidRPr="00D83669">
              <w:rPr>
                <w:rFonts w:ascii="Times New Roman" w:hAnsi="Times New Roman"/>
                <w:b/>
                <w:bCs/>
                <w:sz w:val="24"/>
              </w:rPr>
              <w:lastRenderedPageBreak/>
              <w:t>Крайна цел</w:t>
            </w:r>
          </w:p>
        </w:tc>
        <w:tc>
          <w:tcPr>
            <w:tcW w:w="7235" w:type="dxa"/>
            <w:shd w:val="clear" w:color="auto" w:fill="auto"/>
            <w:vAlign w:val="center"/>
          </w:tcPr>
          <w:p w14:paraId="558B7A9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3 567</w:t>
            </w:r>
          </w:p>
        </w:tc>
      </w:tr>
      <w:tr w:rsidR="00D857FE" w:rsidRPr="00D83669" w14:paraId="1A0232A9" w14:textId="77777777" w:rsidTr="0088161B">
        <w:tc>
          <w:tcPr>
            <w:tcW w:w="2405" w:type="dxa"/>
            <w:shd w:val="clear" w:color="auto" w:fill="auto"/>
            <w:vAlign w:val="center"/>
          </w:tcPr>
          <w:p w14:paraId="5D161268" w14:textId="33BEB603" w:rsidR="00D857FE" w:rsidRPr="00D83669" w:rsidRDefault="00522E94"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32CCFF17" w14:textId="3D8BB496"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се определя на 100% от целевата стойност на показател EEOC04 неактивни, която е 3 567.</w:t>
            </w:r>
          </w:p>
          <w:p w14:paraId="7D62F0FD" w14:textId="339BC020"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неактивните лица по операцията, участници с прогимназиален етап на основното образование или по-ниска степен на образование е определена по данни от приключилия проект по процедура „Ограмотяване на възрастни – фаза 1“, където от 21,16% от участниците в дейностите по операцията са били неактивни лица. Прилагайки този процент към броя на лицата без основно образование, участници в операция по тази специфична цел получаваме целевата стойност на неактивните лица или 16</w:t>
            </w:r>
            <w:r w:rsidRPr="00D83669">
              <w:rPr>
                <w:rFonts w:ascii="Times New Roman" w:hAnsi="Times New Roman"/>
                <w:sz w:val="24"/>
                <w:lang w:val="en-US"/>
              </w:rPr>
              <w:t> </w:t>
            </w:r>
            <w:r w:rsidRPr="00D83669">
              <w:rPr>
                <w:rFonts w:ascii="Times New Roman" w:hAnsi="Times New Roman"/>
                <w:sz w:val="24"/>
              </w:rPr>
              <w:t>858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21,16</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3</w:t>
            </w:r>
            <w:r w:rsidRPr="00D83669">
              <w:rPr>
                <w:rFonts w:ascii="Times New Roman" w:hAnsi="Times New Roman"/>
                <w:sz w:val="24"/>
                <w:lang w:val="en-US"/>
              </w:rPr>
              <w:t> </w:t>
            </w:r>
            <w:r w:rsidRPr="00D83669">
              <w:rPr>
                <w:rFonts w:ascii="Times New Roman" w:hAnsi="Times New Roman"/>
                <w:sz w:val="24"/>
              </w:rPr>
              <w:t>567.</w:t>
            </w:r>
          </w:p>
          <w:p w14:paraId="57C41FB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В ПО 2021 – 2027 по операция „Ограмотяване на възрастни“ са заложени дейности за кариерно насочване/ориентиране и консултиране. съгласно чл. 180 от Закона за предучилищното и училищно образование „Кариерното ориентиране в училищното образование включва взаимнодопълващи се дейности за информиране, диагностика, консултиране, посредничество и проследяване с оглед подпомагане на учениците в техния самостоятелен и осъзнат избор на образование и/или професия и осъществяване на връзка между училището и пазара на труда“. За целите на операцията се проследява колко участници над 16 години, с основно и по-ниско образование, които преди участие в операцията са били неактивни, при напускане на операцията търсят активно работа.</w:t>
            </w:r>
          </w:p>
        </w:tc>
      </w:tr>
      <w:tr w:rsidR="00D857FE" w:rsidRPr="00D83669" w14:paraId="2FC70475" w14:textId="77777777" w:rsidTr="0088161B">
        <w:tc>
          <w:tcPr>
            <w:tcW w:w="2405" w:type="dxa"/>
            <w:shd w:val="clear" w:color="auto" w:fill="auto"/>
            <w:vAlign w:val="center"/>
          </w:tcPr>
          <w:p w14:paraId="615E3C2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235" w:type="dxa"/>
            <w:shd w:val="clear" w:color="auto" w:fill="auto"/>
            <w:vAlign w:val="center"/>
          </w:tcPr>
          <w:p w14:paraId="7737B927" w14:textId="77777777" w:rsidR="00D857FE" w:rsidRPr="00D83669" w:rsidRDefault="00D857FE" w:rsidP="00CC7BCB">
            <w:pPr>
              <w:jc w:val="both"/>
              <w:rPr>
                <w:rFonts w:ascii="Times New Roman" w:hAnsi="Times New Roman"/>
                <w:sz w:val="24"/>
              </w:rPr>
            </w:pPr>
            <w:r w:rsidRPr="00D83669">
              <w:t xml:space="preserve"> </w:t>
            </w:r>
            <w:r w:rsidRPr="00D83669">
              <w:rPr>
                <w:rFonts w:ascii="Times New Roman" w:hAnsi="Times New Roman"/>
                <w:sz w:val="24"/>
              </w:rPr>
              <w:t>1</w:t>
            </w:r>
            <w:r w:rsidRPr="00D83669">
              <w:rPr>
                <w:rFonts w:ascii="Times New Roman" w:hAnsi="Times New Roman"/>
                <w:sz w:val="24"/>
                <w:lang w:val="en-US"/>
              </w:rPr>
              <w:t> </w:t>
            </w:r>
            <w:r w:rsidRPr="00D83669">
              <w:rPr>
                <w:rFonts w:ascii="Times New Roman" w:hAnsi="Times New Roman"/>
                <w:sz w:val="24"/>
              </w:rPr>
              <w:t>873</w:t>
            </w:r>
          </w:p>
        </w:tc>
      </w:tr>
      <w:tr w:rsidR="00D857FE" w:rsidRPr="00D83669" w14:paraId="38566E54" w14:textId="77777777" w:rsidTr="0088161B">
        <w:tc>
          <w:tcPr>
            <w:tcW w:w="2405" w:type="dxa"/>
            <w:shd w:val="clear" w:color="auto" w:fill="auto"/>
            <w:vAlign w:val="center"/>
          </w:tcPr>
          <w:p w14:paraId="0102B69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референтна стойност</w:t>
            </w:r>
          </w:p>
        </w:tc>
        <w:tc>
          <w:tcPr>
            <w:tcW w:w="7235" w:type="dxa"/>
            <w:shd w:val="clear" w:color="auto" w:fill="auto"/>
            <w:vAlign w:val="center"/>
          </w:tcPr>
          <w:p w14:paraId="6022F67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От приключилия проект по операция „Ограмотяване на възрастни – фаза 1“ от включените 10 723 лица в дейности (курсове за ограмотяване и курсове за придобиване компетентности от прогимназиалния етап на основно образование) по проект „Нов шанс за успех“ на МОН, 1</w:t>
            </w:r>
            <w:r w:rsidRPr="00D83669">
              <w:rPr>
                <w:rFonts w:ascii="Times New Roman" w:hAnsi="Times New Roman"/>
                <w:sz w:val="24"/>
                <w:lang w:val="en-US"/>
              </w:rPr>
              <w:t> </w:t>
            </w:r>
            <w:r w:rsidRPr="00D83669">
              <w:rPr>
                <w:rFonts w:ascii="Times New Roman" w:hAnsi="Times New Roman"/>
                <w:sz w:val="24"/>
              </w:rPr>
              <w:t>873 лица са получили предложение за работа, за образование и обучение, останали са на работа или са намерили нова работа, в т.к. в резултат на участието им в проекта са търсили активно работа.</w:t>
            </w:r>
          </w:p>
        </w:tc>
      </w:tr>
      <w:tr w:rsidR="00D857FE" w:rsidRPr="00D83669" w14:paraId="68EB7D69" w14:textId="77777777" w:rsidTr="0088161B">
        <w:tc>
          <w:tcPr>
            <w:tcW w:w="2405" w:type="dxa"/>
            <w:shd w:val="clear" w:color="auto" w:fill="auto"/>
            <w:vAlign w:val="center"/>
          </w:tcPr>
          <w:p w14:paraId="66D360C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5635CC4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вид уязвима група, пол, възраст,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насочени и включени в гъвкави форми на обучение за втори шанс, и др.; учебно заведение, община, област, район, и др.</w:t>
            </w:r>
          </w:p>
        </w:tc>
      </w:tr>
      <w:tr w:rsidR="00D857FE" w:rsidRPr="00D83669" w14:paraId="16E96BB5" w14:textId="77777777" w:rsidTr="0088161B">
        <w:tc>
          <w:tcPr>
            <w:tcW w:w="2405" w:type="dxa"/>
            <w:shd w:val="clear" w:color="auto" w:fill="auto"/>
            <w:vAlign w:val="center"/>
          </w:tcPr>
          <w:p w14:paraId="2D37246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Обосновка </w:t>
            </w:r>
          </w:p>
        </w:tc>
        <w:tc>
          <w:tcPr>
            <w:tcW w:w="7235" w:type="dxa"/>
            <w:shd w:val="clear" w:color="auto" w:fill="auto"/>
            <w:vAlign w:val="center"/>
          </w:tcPr>
          <w:p w14:paraId="377B3AB0" w14:textId="79265919"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е ориентиран към цели, заложени в стратегически документи като Стратегическа рамка за развитие на образованието, обучението и ученето на Република България (2021 – 2030), проекта на Националната стратегия на Република България за равенство, приобщаване и участие на ромите 2021 – 2030 и др. Информацията проследява напредъка по заложените цели на национално ниво в политиките за образование и за уязвими групи като проследява подкрепата на програмата за уязвимите групи с оглед по-добра реализация на пазара на труда.</w:t>
            </w:r>
          </w:p>
          <w:p w14:paraId="0D87342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както и за съответствие на образованието с изискванията на пазара на труда и гъвкава проходимост между отделни етапи/степени на образование. Данните ще предоставят информация за уязвими групи, които повишават образованието си с оглед по-добра реализация на пазара на труда и за преодоляване на уязвимостта по признак „завършено образование“. Данните ще допринесат за насочване на мерки за намаляване на регионалните дисбаланси от работна сила, както и към решаване на демографски и социално-икономически проблеми на регионално ниво.</w:t>
            </w:r>
          </w:p>
        </w:tc>
      </w:tr>
      <w:tr w:rsidR="00D857FE" w:rsidRPr="00D83669" w14:paraId="1CA4E6D3" w14:textId="77777777" w:rsidTr="0088161B">
        <w:tc>
          <w:tcPr>
            <w:tcW w:w="2405" w:type="dxa"/>
            <w:shd w:val="clear" w:color="auto" w:fill="auto"/>
            <w:vAlign w:val="center"/>
          </w:tcPr>
          <w:p w14:paraId="13D5AB9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07237E9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бенефициентите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77BD3BED" w14:textId="4F350D3E"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за показателя представят следната информация: </w:t>
            </w:r>
          </w:p>
          <w:p w14:paraId="31B0ECB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брой лица, получили документ за етап/клас/степен от основно образование, започнали да търсят активно работа след участието си по операцията, вкл. със съдействието на Бюро по труда</w:t>
            </w:r>
          </w:p>
          <w:p w14:paraId="6B75AE1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Информацията ще включва още: демографски данни – пол, възраст, входно ниво на образование, изходно ниво на образование след участие в интервенцията, и др.; учебно заведение, община, район, и др., вид уязвима група; регистрация в Бюро по труда след участие в дейности по операцията, данни за работодател, ако лицето предстои да бъде наето и се проследяват от бенефициента чрез информация от Бюро по труда, от анкетни карти с участниците в операцията, и др.</w:t>
            </w:r>
          </w:p>
        </w:tc>
      </w:tr>
      <w:tr w:rsidR="00D857FE" w:rsidRPr="00D83669" w14:paraId="3C366AD3" w14:textId="77777777" w:rsidTr="0088161B">
        <w:tc>
          <w:tcPr>
            <w:tcW w:w="2405" w:type="dxa"/>
            <w:shd w:val="clear" w:color="auto" w:fill="auto"/>
            <w:vAlign w:val="center"/>
          </w:tcPr>
          <w:p w14:paraId="7D37FC4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67D6F30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310A1147" w14:textId="77777777" w:rsidTr="0088161B">
        <w:tc>
          <w:tcPr>
            <w:tcW w:w="2405" w:type="dxa"/>
            <w:shd w:val="clear" w:color="auto" w:fill="auto"/>
            <w:vAlign w:val="center"/>
          </w:tcPr>
          <w:p w14:paraId="0EACF03B" w14:textId="4149D26C"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1B88B72A"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EECO02 безработни, включително трайно безработни;</w:t>
            </w:r>
          </w:p>
          <w:p w14:paraId="66E794C8"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EECO04 неактивни;</w:t>
            </w:r>
          </w:p>
          <w:p w14:paraId="5D43A448"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EECO05 Заети, вкл. самостоятелно заети;</w:t>
            </w:r>
          </w:p>
          <w:p w14:paraId="07024004"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EEOC09 участници с прогимназиален етап на основното образование или по-ниска степен на образование;</w:t>
            </w:r>
          </w:p>
          <w:p w14:paraId="7C5E9578"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ЕЕCO15 участници от малцинства (включително маргинализирани общности като ромите);</w:t>
            </w:r>
          </w:p>
          <w:p w14:paraId="53990964"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lastRenderedPageBreak/>
              <w:t>EECR03 участници, които при напускане на операцията получават квалификация.</w:t>
            </w:r>
          </w:p>
        </w:tc>
      </w:tr>
      <w:tr w:rsidR="00D857FE" w:rsidRPr="00D83669" w14:paraId="65B100AC" w14:textId="77777777" w:rsidTr="0088161B">
        <w:tc>
          <w:tcPr>
            <w:tcW w:w="2405" w:type="dxa"/>
            <w:shd w:val="clear" w:color="auto" w:fill="auto"/>
            <w:vAlign w:val="center"/>
          </w:tcPr>
          <w:p w14:paraId="6A45A35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Валидиране</w:t>
            </w:r>
          </w:p>
        </w:tc>
        <w:tc>
          <w:tcPr>
            <w:tcW w:w="7235" w:type="dxa"/>
            <w:shd w:val="clear" w:color="auto" w:fill="auto"/>
            <w:vAlign w:val="center"/>
          </w:tcPr>
          <w:p w14:paraId="0C990712" w14:textId="70179EBF"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неактивните лица над 16 годишна възраст, с основно или по-ниско образование, участници в дейности по СЦ по чл. 4, пар. 1, буква ж) на ПО 2021 – 2027, които при напускане на операцията търсят активно работа, вкл. регистрирани в Бюро по труда. Целевата стойност на показателя е по-малка или равна на целевата стойност на показател за краен продукт EEOC04 неактивни.</w:t>
            </w:r>
          </w:p>
        </w:tc>
      </w:tr>
    </w:tbl>
    <w:p w14:paraId="5273BD18" w14:textId="77777777" w:rsidR="00D857FE" w:rsidRPr="00D83669" w:rsidRDefault="00D857FE" w:rsidP="00D857FE"/>
    <w:p w14:paraId="3D2A302A" w14:textId="77777777" w:rsidR="00D857FE" w:rsidRPr="00D83669" w:rsidRDefault="00D857FE" w:rsidP="00D857FE">
      <w:pPr>
        <w:rPr>
          <w:rFonts w:ascii="Times New Roman" w:eastAsia="Times New Roman" w:hAnsi="Times New Roman" w:cs="Times New Roman"/>
          <w:sz w:val="24"/>
          <w:szCs w:val="20"/>
          <w:lang w:eastAsia="bg-BG" w:bidi="bg-BG"/>
        </w:rPr>
      </w:pPr>
      <w:r w:rsidRPr="00D83669">
        <w:br w:type="page"/>
      </w:r>
    </w:p>
    <w:p w14:paraId="16868B0F" w14:textId="2EE6EA0B" w:rsidR="00D857FE" w:rsidRPr="00D83669" w:rsidRDefault="00D857FE" w:rsidP="007C64A2">
      <w:pPr>
        <w:pStyle w:val="Heading3"/>
        <w:rPr>
          <w:b/>
          <w:bCs/>
          <w:i/>
          <w:iCs/>
          <w:sz w:val="22"/>
          <w:szCs w:val="22"/>
        </w:rPr>
      </w:pPr>
      <w:bookmarkStart w:id="111" w:name="_Toc100152987"/>
      <w:bookmarkStart w:id="112" w:name="_Toc103586662"/>
      <w:r w:rsidRPr="00D83669">
        <w:rPr>
          <w:b/>
          <w:bCs/>
          <w:i/>
          <w:iCs/>
          <w:sz w:val="22"/>
          <w:szCs w:val="22"/>
        </w:rPr>
        <w:lastRenderedPageBreak/>
        <w:t>EECR03 участници, които при напускане на операцията получават квалификация</w:t>
      </w:r>
      <w:bookmarkEnd w:id="111"/>
      <w:bookmarkEnd w:id="112"/>
      <w:r w:rsidRPr="00D83669">
        <w:rPr>
          <w:b/>
          <w:bCs/>
          <w:i/>
          <w:iCs/>
          <w:sz w:val="22"/>
          <w:szCs w:val="22"/>
        </w:rPr>
        <w:t xml:space="preserve"> </w:t>
      </w: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40F2B1EB" w14:textId="77777777" w:rsidTr="001E7334">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2918315" w14:textId="553207C3"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35EA52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2D3C52FE" w14:textId="77777777" w:rsidTr="001E7334">
        <w:tc>
          <w:tcPr>
            <w:tcW w:w="2405" w:type="dxa"/>
            <w:shd w:val="clear" w:color="auto" w:fill="auto"/>
            <w:vAlign w:val="center"/>
          </w:tcPr>
          <w:p w14:paraId="39A05BAA" w14:textId="7B609FC6"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57E953AF"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EECR</w:t>
            </w:r>
            <w:r w:rsidRPr="00D83669">
              <w:rPr>
                <w:rFonts w:ascii="Times New Roman" w:hAnsi="Times New Roman"/>
                <w:sz w:val="24"/>
              </w:rPr>
              <w:t>03 участници, които при напускане на операцията получават квалификация</w:t>
            </w:r>
          </w:p>
        </w:tc>
      </w:tr>
      <w:tr w:rsidR="00D857FE" w:rsidRPr="00D83669" w14:paraId="1D21F241" w14:textId="77777777" w:rsidTr="001E7334">
        <w:tc>
          <w:tcPr>
            <w:tcW w:w="2405" w:type="dxa"/>
            <w:shd w:val="clear" w:color="auto" w:fill="auto"/>
            <w:vAlign w:val="center"/>
          </w:tcPr>
          <w:p w14:paraId="7E489BC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428C583D" w14:textId="44DE6A43"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резултат</w:t>
            </w:r>
          </w:p>
        </w:tc>
      </w:tr>
      <w:tr w:rsidR="00D857FE" w:rsidRPr="00D83669" w14:paraId="0D1F5F77" w14:textId="77777777" w:rsidTr="001E7334">
        <w:tc>
          <w:tcPr>
            <w:tcW w:w="2405" w:type="dxa"/>
            <w:shd w:val="clear" w:color="auto" w:fill="auto"/>
            <w:vAlign w:val="center"/>
          </w:tcPr>
          <w:p w14:paraId="3A57762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485C0457"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цифровите умения, по-доброто предвиждане на промените и изискванията за нови умения, улесняването на преходите в професионалното развитие и насърчаването на професионалната мобилност</w:t>
            </w:r>
          </w:p>
        </w:tc>
      </w:tr>
      <w:tr w:rsidR="00D857FE" w:rsidRPr="00D83669" w14:paraId="5FF68685" w14:textId="77777777" w:rsidTr="001E7334">
        <w:tc>
          <w:tcPr>
            <w:tcW w:w="2405" w:type="dxa"/>
            <w:shd w:val="clear" w:color="auto" w:fill="auto"/>
            <w:vAlign w:val="center"/>
          </w:tcPr>
          <w:p w14:paraId="079E144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567BA1AE"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Ограмотяване на възрастни</w:t>
            </w:r>
          </w:p>
        </w:tc>
      </w:tr>
      <w:tr w:rsidR="00D857FE" w:rsidRPr="00D83669" w14:paraId="740BCE87" w14:textId="77777777" w:rsidTr="001E7334">
        <w:tc>
          <w:tcPr>
            <w:tcW w:w="2405" w:type="dxa"/>
            <w:shd w:val="clear" w:color="auto" w:fill="auto"/>
            <w:vAlign w:val="center"/>
          </w:tcPr>
          <w:p w14:paraId="0F93954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2BD19889" w14:textId="239F6595"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лицата 16 години,</w:t>
            </w:r>
            <w:r w:rsidRPr="00D83669">
              <w:t xml:space="preserve"> </w:t>
            </w:r>
            <w:r w:rsidRPr="00D83669">
              <w:rPr>
                <w:rFonts w:ascii="Times New Roman" w:hAnsi="Times New Roman"/>
                <w:sz w:val="24"/>
              </w:rPr>
              <w:t>които са повишили образователното си ниво в резултат на участието им в операцията т.е. са придобили етап, клас, степен от основното образование, като са получили удостоверение за завършен клас/етап/степен от основното образование при условия, определени с държавния образователен стандарт за информацията и документите за системата на предучилищното и училищното образование (удостоверения по чл. 168, ал. 1, т. 3, 4 или 5 от ЗПУО) в рамките на операцията след участие в курсове за ограмотяване, в курсове за придобиване на компетентности от прогимназиалния етап на основното образование и в процедура за валидиране на компетентности, придобити чрез неформално обучение и информално учене в рамките на операцията.</w:t>
            </w:r>
          </w:p>
          <w:p w14:paraId="22D582E8" w14:textId="45093E5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се определя от спецификите на курсовете за ограмотяване, курсовете за придобиване на компетентности от прогимназиалния етап и процедурата за валидиране и разпоредбите на чл. 168 от Закона за предучилищното и училищно образование, съгласно който удостоверение за завършен етап/клас/степен (удостоверение по чл. 168) се издава след успешно положени изпити за начален етап (1 – 4 клас) на основно образование, за всеки клас от прогимназиалното образование на основната степен на образование – поотделно за 5 клас, за 6 клас и за 7 клас или от проведена процедура за валидиране на компетентности от неформално обучения и информално учене. Показателят отчита, че лица с основно образование, които в резултат на операцията се включват в гъвкави форми на образование за завършване на средно образование, но не са завършили етап на средно образование </w:t>
            </w:r>
            <w:r w:rsidRPr="00D83669">
              <w:rPr>
                <w:rFonts w:ascii="Times New Roman" w:hAnsi="Times New Roman"/>
                <w:i/>
                <w:sz w:val="24"/>
              </w:rPr>
              <w:t>не попадат</w:t>
            </w:r>
            <w:r w:rsidRPr="00D83669">
              <w:rPr>
                <w:rFonts w:ascii="Times New Roman" w:hAnsi="Times New Roman"/>
                <w:sz w:val="24"/>
              </w:rPr>
              <w:t xml:space="preserve"> в обхвата/изчисленията на този </w:t>
            </w:r>
            <w:r w:rsidR="00515C26" w:rsidRPr="00D83669">
              <w:rPr>
                <w:rFonts w:ascii="Times New Roman" w:hAnsi="Times New Roman"/>
                <w:sz w:val="24"/>
              </w:rPr>
              <w:t>п</w:t>
            </w:r>
            <w:r w:rsidRPr="00D83669">
              <w:rPr>
                <w:rFonts w:ascii="Times New Roman" w:hAnsi="Times New Roman"/>
                <w:sz w:val="24"/>
              </w:rPr>
              <w:t>оказател.</w:t>
            </w:r>
          </w:p>
        </w:tc>
      </w:tr>
      <w:tr w:rsidR="00D857FE" w:rsidRPr="00D83669" w14:paraId="4AAB51FE" w14:textId="77777777" w:rsidTr="001E7334">
        <w:tc>
          <w:tcPr>
            <w:tcW w:w="2405" w:type="dxa"/>
            <w:shd w:val="clear" w:color="auto" w:fill="auto"/>
            <w:vAlign w:val="center"/>
          </w:tcPr>
          <w:p w14:paraId="03FEFF7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689C2E5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1F90EE3E" w14:textId="77777777" w:rsidTr="001E7334">
        <w:tc>
          <w:tcPr>
            <w:tcW w:w="2405" w:type="dxa"/>
            <w:shd w:val="clear" w:color="auto" w:fill="auto"/>
            <w:vAlign w:val="center"/>
          </w:tcPr>
          <w:p w14:paraId="29755D8F" w14:textId="041E48C8" w:rsidR="00D857FE" w:rsidRPr="00D83669" w:rsidRDefault="00007B24"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1692FA1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13 486</w:t>
            </w:r>
          </w:p>
        </w:tc>
      </w:tr>
      <w:tr w:rsidR="00D857FE" w:rsidRPr="00D83669" w14:paraId="4619A75C" w14:textId="77777777" w:rsidTr="001E7334">
        <w:tc>
          <w:tcPr>
            <w:tcW w:w="2405" w:type="dxa"/>
            <w:shd w:val="clear" w:color="auto" w:fill="auto"/>
            <w:vAlign w:val="center"/>
          </w:tcPr>
          <w:p w14:paraId="1610889B" w14:textId="18DADE06" w:rsidR="00D857FE" w:rsidRPr="00D83669" w:rsidRDefault="00522E94" w:rsidP="00CC7BCB">
            <w:pPr>
              <w:rPr>
                <w:rFonts w:ascii="Times New Roman" w:hAnsi="Times New Roman"/>
                <w:b/>
                <w:bCs/>
                <w:sz w:val="24"/>
              </w:rPr>
            </w:pPr>
            <w:r w:rsidRPr="00D83669">
              <w:rPr>
                <w:rFonts w:ascii="Times New Roman" w:hAnsi="Times New Roman"/>
                <w:b/>
                <w:bCs/>
                <w:sz w:val="24"/>
              </w:rPr>
              <w:lastRenderedPageBreak/>
              <w:t>Методология за определяне на крайната цел</w:t>
            </w:r>
          </w:p>
        </w:tc>
        <w:tc>
          <w:tcPr>
            <w:tcW w:w="7235" w:type="dxa"/>
            <w:shd w:val="clear" w:color="auto" w:fill="auto"/>
            <w:vAlign w:val="center"/>
          </w:tcPr>
          <w:p w14:paraId="1355721C" w14:textId="47D3305F"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е определена на база приключилия проект „Нов шанс за успех“ на МОН, по който заложеният показател за резултат „</w:t>
            </w:r>
            <w:r w:rsidRPr="00D83669">
              <w:rPr>
                <w:rFonts w:ascii="Times New Roman" w:hAnsi="Times New Roman"/>
                <w:i/>
                <w:sz w:val="24"/>
              </w:rPr>
              <w:t>Дял на получилите (включително роми) удостоверения за успешно завършени курсове по ограмотяване или за усвояване на учебно съдържание, предвидено за изучаване в класове от прогимназиалния етап на основното образование по ОП</w:t>
            </w:r>
            <w:r w:rsidRPr="00D83669">
              <w:rPr>
                <w:rFonts w:ascii="Times New Roman" w:hAnsi="Times New Roman"/>
                <w:sz w:val="24"/>
              </w:rPr>
              <w:t>“ от 80% е изпълнен на 91,84% като делът на получилите документ за завършен етап/клас/степен от основното образование (удостоверения след успешно положени изпити) е 73,47% от всички участници. Целевата стойност от 80% е заложена и в процедура „Ограмотяване на възрастни – 2“.</w:t>
            </w:r>
            <w:r w:rsidRPr="00D83669">
              <w:t xml:space="preserve"> </w:t>
            </w:r>
            <w:r w:rsidRPr="00D83669">
              <w:rPr>
                <w:rFonts w:ascii="Times New Roman" w:hAnsi="Times New Roman"/>
                <w:sz w:val="24"/>
              </w:rPr>
              <w:t>Прилагаме 80% към целевата стойност на EEOC09 участници с прогимназиален етап на основното образование или по-ниска степен на образование или 16 858 * 80% = 13 486.</w:t>
            </w:r>
          </w:p>
          <w:p w14:paraId="500760CE" w14:textId="7CC69775"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представлява 80% от целевата стойност на показателя за краен продукт EEOC09 участници с прогимназиален етап на основното образование или по-ниска степен на образование – т.е. от включените в дейности по операцията лица над 16 годишна възраст в курсове за ограмотяване и/или курсове за усвояване на учебно съдържание от прогимназиалния етап на основно образование, както и в процедура за валидиране, успешно положили изпитите и получили удостоверение документ за етап/клас/степен от основното образование по реда на чл. 168 от ЗПУО – т.е. повишили квалификацията си при напускане на операцията.</w:t>
            </w:r>
          </w:p>
        </w:tc>
      </w:tr>
      <w:tr w:rsidR="00D857FE" w:rsidRPr="00D83669" w14:paraId="2CF8C6B9" w14:textId="77777777" w:rsidTr="001E7334">
        <w:tc>
          <w:tcPr>
            <w:tcW w:w="2405" w:type="dxa"/>
            <w:shd w:val="clear" w:color="auto" w:fill="auto"/>
            <w:vAlign w:val="center"/>
          </w:tcPr>
          <w:p w14:paraId="61365D2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235" w:type="dxa"/>
            <w:shd w:val="clear" w:color="auto" w:fill="auto"/>
            <w:vAlign w:val="center"/>
          </w:tcPr>
          <w:p w14:paraId="7DA13846" w14:textId="77777777" w:rsidR="00D857FE" w:rsidRPr="00D83669" w:rsidRDefault="00D857FE" w:rsidP="00CC7BCB">
            <w:pPr>
              <w:jc w:val="both"/>
              <w:rPr>
                <w:rFonts w:ascii="Times New Roman" w:hAnsi="Times New Roman"/>
                <w:sz w:val="24"/>
              </w:rPr>
            </w:pPr>
            <w:r w:rsidRPr="00D83669">
              <w:t xml:space="preserve"> </w:t>
            </w:r>
            <w:r w:rsidRPr="00D83669">
              <w:rPr>
                <w:rFonts w:ascii="Times New Roman" w:hAnsi="Times New Roman"/>
                <w:sz w:val="24"/>
              </w:rPr>
              <w:t>7 878</w:t>
            </w:r>
          </w:p>
        </w:tc>
      </w:tr>
      <w:tr w:rsidR="00D857FE" w:rsidRPr="00D83669" w14:paraId="3A239F6A" w14:textId="77777777" w:rsidTr="001E7334">
        <w:tc>
          <w:tcPr>
            <w:tcW w:w="2405" w:type="dxa"/>
            <w:shd w:val="clear" w:color="auto" w:fill="auto"/>
            <w:vAlign w:val="center"/>
          </w:tcPr>
          <w:p w14:paraId="5EEC734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референтна стойност</w:t>
            </w:r>
          </w:p>
        </w:tc>
        <w:tc>
          <w:tcPr>
            <w:tcW w:w="7235" w:type="dxa"/>
            <w:shd w:val="clear" w:color="auto" w:fill="auto"/>
            <w:vAlign w:val="center"/>
          </w:tcPr>
          <w:p w14:paraId="300E92D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От приключилия проект по операция „Ограмотяване на възрастни – фаза 1“ от включените 10 723 лица в дейности (курсове за ограмотяване и курсове за придобиване компетентности от прогимназиалния етап на основно образование) по проект „Нов шанс за успех“ на МОН, 7 878 са получили документ за завършен по-висок етап, клас, степен от основното образование в резултат на участието си – т.е. са с по-висока квалификация при напускане на операцията.</w:t>
            </w:r>
          </w:p>
        </w:tc>
      </w:tr>
      <w:tr w:rsidR="00D857FE" w:rsidRPr="00D83669" w14:paraId="25BC2655" w14:textId="77777777" w:rsidTr="001E7334">
        <w:tc>
          <w:tcPr>
            <w:tcW w:w="2405" w:type="dxa"/>
            <w:shd w:val="clear" w:color="auto" w:fill="auto"/>
            <w:vAlign w:val="center"/>
          </w:tcPr>
          <w:p w14:paraId="03A77B8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4B3AB19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вид уязвима група, пол, възраст, ниво на образование, участие по вид дейност – вид курс (участие в курс за 1 – 4 клас, участие в курсове за 5, 6, 7 клас, участие в процедура за валидиране на умения и компетентности от неформално обучение и информално учене, и др.; учебно заведение, община, област, район, и др.</w:t>
            </w:r>
          </w:p>
        </w:tc>
      </w:tr>
      <w:tr w:rsidR="00D857FE" w:rsidRPr="00D83669" w14:paraId="2EC18010" w14:textId="77777777" w:rsidTr="001E7334">
        <w:tc>
          <w:tcPr>
            <w:tcW w:w="2405" w:type="dxa"/>
            <w:shd w:val="clear" w:color="auto" w:fill="auto"/>
            <w:vAlign w:val="center"/>
          </w:tcPr>
          <w:p w14:paraId="3E1745F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1DE52D8B" w14:textId="69AD6401"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е ориентиран към цели, заложени в стратегически документи като Стратегическа рамка за развитие на образованието, обучението и ученето на Република България (2021 – 2030), Националната стратегия на Република България за равенство, приобщаване и участие на ромите 2021 – 2030 и др. Информацията </w:t>
            </w:r>
            <w:r w:rsidRPr="00D83669">
              <w:rPr>
                <w:rFonts w:ascii="Times New Roman" w:hAnsi="Times New Roman"/>
                <w:sz w:val="24"/>
              </w:rPr>
              <w:lastRenderedPageBreak/>
              <w:t>проследява напредъка по заложените цели на национално ниво в политиките за образование и за уязвими групи като проследява подкрепата на програмата за уязвимите групи с оглед по-добра реализация на пазара на труда.</w:t>
            </w:r>
          </w:p>
          <w:p w14:paraId="7C10E22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както и за съответствие на образованието с изискванията на пазара на труда и гъвкава проходимост между отделни етапи/степени на образование. Данните ще предоставят информация за уязвими групи, които повишават образованието си с оглед по-добра реализация на пазара на труда и за преодоляване на уязвимостта по признак „завършено образование“. Данните ще допринесат за насочване на мерки за намаляване на регионалните дисбаланси от работна сила, както и към решаване на демографски и социално-икономически проблеми на регионално ниво.</w:t>
            </w:r>
          </w:p>
        </w:tc>
      </w:tr>
      <w:tr w:rsidR="00D857FE" w:rsidRPr="00D83669" w14:paraId="723F27B5" w14:textId="77777777" w:rsidTr="001E7334">
        <w:tc>
          <w:tcPr>
            <w:tcW w:w="2405" w:type="dxa"/>
            <w:shd w:val="clear" w:color="auto" w:fill="auto"/>
            <w:vAlign w:val="center"/>
          </w:tcPr>
          <w:p w14:paraId="505AA3C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235" w:type="dxa"/>
            <w:shd w:val="clear" w:color="auto" w:fill="auto"/>
            <w:vAlign w:val="center"/>
          </w:tcPr>
          <w:p w14:paraId="4049EB7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бенефициентите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6EDA72AA" w14:textId="3BE267FC"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за показателя представят следната информация: </w:t>
            </w:r>
          </w:p>
          <w:p w14:paraId="4D6DE66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общ брой лица, получили документ за етап/клас/степен от основно образование;</w:t>
            </w:r>
          </w:p>
          <w:p w14:paraId="0C2E01C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брой лица, получили документ за основно образование; </w:t>
            </w:r>
          </w:p>
          <w:p w14:paraId="5C06CD6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брой лица, получили документ за първи гимназиален етап на средно образование след участието си в дейности по операцията.</w:t>
            </w:r>
          </w:p>
          <w:p w14:paraId="0C03361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още: демографски данни – пол, възраст, входно ниво на образование, изходно ниво на образование след участие в интервенцията, и др.; учебно заведение, община, район, и др., вид уязвима група; данни за работодател, ако лицето е в заетост или предстои да бъде наето и се проследяват от бенефициента чрез информация от Бюро по труда, от анкетни карти с участниците в операцията.</w:t>
            </w:r>
          </w:p>
        </w:tc>
      </w:tr>
      <w:tr w:rsidR="00D857FE" w:rsidRPr="00D83669" w14:paraId="2B54F4FF" w14:textId="77777777" w:rsidTr="001E7334">
        <w:tc>
          <w:tcPr>
            <w:tcW w:w="2405" w:type="dxa"/>
            <w:shd w:val="clear" w:color="auto" w:fill="auto"/>
            <w:vAlign w:val="center"/>
          </w:tcPr>
          <w:p w14:paraId="7BE347A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5940F07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5947414F" w14:textId="77777777" w:rsidTr="001E7334">
        <w:tc>
          <w:tcPr>
            <w:tcW w:w="2405" w:type="dxa"/>
            <w:shd w:val="clear" w:color="auto" w:fill="auto"/>
            <w:vAlign w:val="center"/>
          </w:tcPr>
          <w:p w14:paraId="75479B39" w14:textId="77BBFE6B"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571AC993"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EEOC09 участници с прогимназиален етап на основното образование или по-ниска степен на образование;</w:t>
            </w:r>
          </w:p>
          <w:p w14:paraId="39B3ED96"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EECO02 безработни, включително трайно безработни;</w:t>
            </w:r>
          </w:p>
          <w:p w14:paraId="46AE5D85"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EECO04 неактивни;</w:t>
            </w:r>
          </w:p>
          <w:p w14:paraId="2A46A2D7"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EECO05 Заети, вкл. самостоятелно зает;</w:t>
            </w:r>
          </w:p>
          <w:p w14:paraId="72E1DEAE"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ЕЕCO15 участници от малцинства (включително маргинализирани общности като ромите);</w:t>
            </w:r>
          </w:p>
          <w:p w14:paraId="5E28AB7A"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EECR01 участници, които при напускане на операцията са започнали да търсят работа.</w:t>
            </w:r>
          </w:p>
        </w:tc>
      </w:tr>
      <w:tr w:rsidR="00D857FE" w:rsidRPr="00D83669" w14:paraId="66DD29CE" w14:textId="77777777" w:rsidTr="001E7334">
        <w:tc>
          <w:tcPr>
            <w:tcW w:w="2405" w:type="dxa"/>
            <w:shd w:val="clear" w:color="auto" w:fill="auto"/>
            <w:vAlign w:val="center"/>
          </w:tcPr>
          <w:p w14:paraId="1DA1534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Валидиране</w:t>
            </w:r>
          </w:p>
        </w:tc>
        <w:tc>
          <w:tcPr>
            <w:tcW w:w="7235" w:type="dxa"/>
            <w:shd w:val="clear" w:color="auto" w:fill="auto"/>
            <w:vAlign w:val="center"/>
          </w:tcPr>
          <w:p w14:paraId="5105CED9" w14:textId="36B9492D"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лицата с основно или по-ниско образование, участници в дейности по СЦ по чл. 4, пар. 1, буква ж) на ПО 2021 – 2027, които при напускане на операцията имат по-високо образователно ниво, удостоверено съгласно ЗПУО с документ за завършен по-висок клас/етап/степен на основно образование (или първи гимназиален етап на средно образование, ако е приложимо) спрямо началото на операцията. Целевата стойност на показателя е по-малка или равна на целевата стойност на показател за краен продукт EEOC09 участници с прогимназиален етап на основното образование или по-ниска степен на образование.</w:t>
            </w:r>
          </w:p>
        </w:tc>
      </w:tr>
    </w:tbl>
    <w:p w14:paraId="4D99AEE8" w14:textId="77777777" w:rsidR="00D857FE" w:rsidRPr="00D83669" w:rsidRDefault="00D857FE" w:rsidP="00D857FE">
      <w:pPr>
        <w:rPr>
          <w:rFonts w:ascii="Times New Roman" w:eastAsia="Times New Roman" w:hAnsi="Times New Roman" w:cs="Times New Roman"/>
          <w:sz w:val="24"/>
          <w:szCs w:val="20"/>
          <w:lang w:eastAsia="bg-BG" w:bidi="bg-BG"/>
        </w:rPr>
      </w:pPr>
      <w:r w:rsidRPr="00D83669">
        <w:br w:type="page"/>
      </w:r>
    </w:p>
    <w:p w14:paraId="1E25052B" w14:textId="77777777" w:rsidR="0048330E" w:rsidRPr="00D83669" w:rsidRDefault="00D857FE" w:rsidP="005D7C1C">
      <w:pPr>
        <w:pStyle w:val="Heading1"/>
        <w:rPr>
          <w:rFonts w:ascii="Times New Roman" w:hAnsi="Times New Roman" w:cs="Times New Roman"/>
          <w:b/>
          <w:bCs/>
          <w:sz w:val="28"/>
          <w:szCs w:val="28"/>
          <w:lang w:val="bg-BG"/>
        </w:rPr>
      </w:pPr>
      <w:bookmarkStart w:id="113" w:name="_Toc103586663"/>
      <w:bookmarkStart w:id="114" w:name="_Toc98778789"/>
      <w:bookmarkStart w:id="115" w:name="_Toc100152988"/>
      <w:r w:rsidRPr="00D83669">
        <w:rPr>
          <w:rFonts w:ascii="Times New Roman" w:hAnsi="Times New Roman" w:cs="Times New Roman"/>
          <w:b/>
          <w:bCs/>
          <w:sz w:val="28"/>
          <w:szCs w:val="28"/>
          <w:lang w:val="bg-BG"/>
        </w:rPr>
        <w:lastRenderedPageBreak/>
        <w:t>СЦ по чл. 4, пар. 1, буква й)</w:t>
      </w:r>
      <w:bookmarkEnd w:id="113"/>
      <w:r w:rsidRPr="00D83669">
        <w:rPr>
          <w:rFonts w:ascii="Times New Roman" w:hAnsi="Times New Roman" w:cs="Times New Roman"/>
          <w:b/>
          <w:bCs/>
          <w:sz w:val="28"/>
          <w:szCs w:val="28"/>
          <w:lang w:val="bg-BG"/>
        </w:rPr>
        <w:t xml:space="preserve"> </w:t>
      </w:r>
    </w:p>
    <w:p w14:paraId="1BD7E9C7" w14:textId="52F8D163" w:rsidR="00D857FE" w:rsidRPr="00D83669" w:rsidRDefault="0048330E" w:rsidP="0048330E">
      <w:pPr>
        <w:rPr>
          <w:rFonts w:ascii="Times New Roman" w:hAnsi="Times New Roman" w:cs="Times New Roman"/>
          <w:color w:val="2E74B5" w:themeColor="accent1" w:themeShade="BF"/>
          <w:sz w:val="24"/>
          <w:szCs w:val="24"/>
        </w:rPr>
      </w:pPr>
      <w:r w:rsidRPr="00D83669">
        <w:rPr>
          <w:rFonts w:ascii="Times New Roman" w:hAnsi="Times New Roman" w:cs="Times New Roman"/>
          <w:color w:val="2E74B5" w:themeColor="accent1" w:themeShade="BF"/>
          <w:sz w:val="24"/>
          <w:szCs w:val="24"/>
        </w:rPr>
        <w:t>Н</w:t>
      </w:r>
      <w:r w:rsidR="00D857FE" w:rsidRPr="00D83669">
        <w:rPr>
          <w:rFonts w:ascii="Times New Roman" w:hAnsi="Times New Roman" w:cs="Times New Roman"/>
          <w:color w:val="2E74B5" w:themeColor="accent1" w:themeShade="BF"/>
          <w:sz w:val="24"/>
          <w:szCs w:val="24"/>
        </w:rPr>
        <w:t>асърчаване на социално-икономическата интеграция на маргинализирани общности, като ромите;</w:t>
      </w:r>
      <w:bookmarkEnd w:id="114"/>
      <w:bookmarkEnd w:id="115"/>
      <w:r w:rsidR="00D857FE" w:rsidRPr="00D83669">
        <w:rPr>
          <w:rFonts w:ascii="Times New Roman" w:hAnsi="Times New Roman" w:cs="Times New Roman"/>
          <w:color w:val="2E74B5" w:themeColor="accent1" w:themeShade="BF"/>
          <w:sz w:val="24"/>
          <w:szCs w:val="24"/>
        </w:rPr>
        <w:t xml:space="preserve"> </w:t>
      </w:r>
    </w:p>
    <w:p w14:paraId="4530358F" w14:textId="48F7A528" w:rsidR="00D857FE" w:rsidRPr="00D83669" w:rsidRDefault="00D857FE" w:rsidP="00D857FE">
      <w:pPr>
        <w:pStyle w:val="Heading3"/>
        <w:ind w:left="567"/>
        <w:rPr>
          <w:rFonts w:ascii="Times New Roman" w:hAnsi="Times New Roman" w:cs="Times New Roman"/>
          <w:color w:val="000000" w:themeColor="text1"/>
        </w:rPr>
      </w:pPr>
      <w:bookmarkStart w:id="116" w:name="_Toc98778790"/>
      <w:bookmarkStart w:id="117" w:name="_Toc100152989"/>
      <w:bookmarkStart w:id="118" w:name="_Toc103586664"/>
      <w:r w:rsidRPr="00D83669">
        <w:rPr>
          <w:rFonts w:ascii="Times New Roman" w:hAnsi="Times New Roman" w:cs="Times New Roman"/>
        </w:rPr>
        <w:t>Показатели за крайни продукти</w:t>
      </w:r>
      <w:bookmarkEnd w:id="116"/>
      <w:bookmarkEnd w:id="117"/>
      <w:bookmarkEnd w:id="118"/>
      <w:r w:rsidRPr="00D83669">
        <w:rPr>
          <w:rFonts w:ascii="Times New Roman" w:hAnsi="Times New Roman" w:cs="Times New Roman"/>
          <w:color w:val="000000" w:themeColor="text1"/>
        </w:rPr>
        <w:t xml:space="preserve"> </w:t>
      </w:r>
    </w:p>
    <w:p w14:paraId="6583869D" w14:textId="11FEB3A7" w:rsidR="00D857FE" w:rsidRPr="00D83669" w:rsidRDefault="00D857FE" w:rsidP="007C64A2">
      <w:pPr>
        <w:pStyle w:val="Heading3"/>
        <w:rPr>
          <w:b/>
          <w:bCs/>
          <w:i/>
          <w:iCs/>
          <w:sz w:val="22"/>
          <w:szCs w:val="22"/>
        </w:rPr>
      </w:pPr>
      <w:bookmarkStart w:id="119" w:name="_Toc100152990"/>
      <w:bookmarkStart w:id="120" w:name="_Toc103586665"/>
      <w:r w:rsidRPr="00D83669">
        <w:rPr>
          <w:b/>
          <w:bCs/>
          <w:i/>
          <w:iCs/>
          <w:sz w:val="22"/>
          <w:szCs w:val="22"/>
        </w:rPr>
        <w:t>EECO15 малцинства (включително маргинализирани общности като ромите)</w:t>
      </w:r>
      <w:bookmarkEnd w:id="119"/>
      <w:bookmarkEnd w:id="120"/>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9"/>
        <w:gridCol w:w="6781"/>
      </w:tblGrid>
      <w:tr w:rsidR="00D857FE" w:rsidRPr="00D83669" w14:paraId="6B75A1AA" w14:textId="77777777" w:rsidTr="0066786E">
        <w:tc>
          <w:tcPr>
            <w:tcW w:w="285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1D022CF" w14:textId="7D3904E8"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678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8D416A6" w14:textId="77777777" w:rsidR="00D857FE" w:rsidRPr="00D83669" w:rsidRDefault="00D857FE" w:rsidP="00CC7BCB">
            <w:pPr>
              <w:jc w:val="both"/>
              <w:rPr>
                <w:rFonts w:ascii="Times New Roman" w:hAnsi="Times New Roman"/>
                <w:color w:val="000000" w:themeColor="text1"/>
                <w:sz w:val="24"/>
              </w:rPr>
            </w:pPr>
            <w:r w:rsidRPr="00D83669">
              <w:rPr>
                <w:rFonts w:ascii="Times New Roman" w:hAnsi="Times New Roman"/>
                <w:color w:val="000000" w:themeColor="text1"/>
                <w:sz w:val="24"/>
              </w:rPr>
              <w:t xml:space="preserve">Да. </w:t>
            </w:r>
          </w:p>
        </w:tc>
      </w:tr>
      <w:tr w:rsidR="00D857FE" w:rsidRPr="00D83669" w14:paraId="4ADB9BCC" w14:textId="77777777" w:rsidTr="0066786E">
        <w:tc>
          <w:tcPr>
            <w:tcW w:w="2859" w:type="dxa"/>
            <w:shd w:val="clear" w:color="auto" w:fill="auto"/>
            <w:vAlign w:val="center"/>
          </w:tcPr>
          <w:p w14:paraId="1AC7F2EB" w14:textId="0F7E3604"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6781" w:type="dxa"/>
            <w:shd w:val="clear" w:color="auto" w:fill="auto"/>
            <w:vAlign w:val="center"/>
          </w:tcPr>
          <w:p w14:paraId="03BED41A" w14:textId="77777777" w:rsidR="00D857FE" w:rsidRPr="00D83669" w:rsidRDefault="00D857FE" w:rsidP="00CC7BCB">
            <w:pPr>
              <w:jc w:val="both"/>
              <w:rPr>
                <w:rFonts w:ascii="Times New Roman" w:hAnsi="Times New Roman"/>
                <w:color w:val="000000" w:themeColor="text1"/>
                <w:sz w:val="24"/>
              </w:rPr>
            </w:pPr>
            <w:r w:rsidRPr="00D83669">
              <w:rPr>
                <w:rFonts w:ascii="Times New Roman" w:hAnsi="Times New Roman"/>
                <w:sz w:val="24"/>
                <w:lang w:val="en-US"/>
              </w:rPr>
              <w:t>EECO</w:t>
            </w:r>
            <w:r w:rsidRPr="00D83669">
              <w:rPr>
                <w:rFonts w:ascii="Times New Roman" w:hAnsi="Times New Roman"/>
                <w:sz w:val="24"/>
              </w:rPr>
              <w:t>15 малцинства (включително маргинализирани общности като ромите)</w:t>
            </w:r>
          </w:p>
        </w:tc>
      </w:tr>
      <w:tr w:rsidR="00D857FE" w:rsidRPr="00D83669" w14:paraId="141AF92C" w14:textId="77777777" w:rsidTr="0066786E">
        <w:tc>
          <w:tcPr>
            <w:tcW w:w="2859" w:type="dxa"/>
            <w:shd w:val="clear" w:color="auto" w:fill="auto"/>
            <w:vAlign w:val="center"/>
          </w:tcPr>
          <w:p w14:paraId="65F4BD5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6781" w:type="dxa"/>
            <w:shd w:val="clear" w:color="auto" w:fill="auto"/>
            <w:vAlign w:val="center"/>
          </w:tcPr>
          <w:p w14:paraId="7910C9CF" w14:textId="77EAE322"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397042DE" w14:textId="77777777" w:rsidTr="0066786E">
        <w:tc>
          <w:tcPr>
            <w:tcW w:w="2859" w:type="dxa"/>
            <w:shd w:val="clear" w:color="auto" w:fill="auto"/>
            <w:vAlign w:val="center"/>
          </w:tcPr>
          <w:p w14:paraId="69D5C0E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6781" w:type="dxa"/>
            <w:shd w:val="clear" w:color="auto" w:fill="auto"/>
            <w:vAlign w:val="center"/>
          </w:tcPr>
          <w:p w14:paraId="48567FC3"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й)</w:t>
            </w:r>
            <w:r w:rsidRPr="00D83669">
              <w:rPr>
                <w:rFonts w:ascii="Times New Roman" w:hAnsi="Times New Roman"/>
                <w:sz w:val="24"/>
              </w:rPr>
              <w:t xml:space="preserve"> – Насърчаване на социално-икономическата интеграция на граждани на трети държави и на маргинализирани общности, като например ромите</w:t>
            </w:r>
          </w:p>
        </w:tc>
      </w:tr>
      <w:tr w:rsidR="00D857FE" w:rsidRPr="00D83669" w14:paraId="623B6E9F" w14:textId="77777777" w:rsidTr="0066786E">
        <w:tc>
          <w:tcPr>
            <w:tcW w:w="2859" w:type="dxa"/>
            <w:shd w:val="clear" w:color="auto" w:fill="auto"/>
            <w:vAlign w:val="center"/>
          </w:tcPr>
          <w:p w14:paraId="22C20F2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6781" w:type="dxa"/>
            <w:shd w:val="clear" w:color="auto" w:fill="auto"/>
            <w:vAlign w:val="center"/>
          </w:tcPr>
          <w:p w14:paraId="09CAF54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Създаване на условия за достъп до образование чрез преодоляване на демографски, социални и културни бариери;</w:t>
            </w:r>
          </w:p>
          <w:p w14:paraId="4A2F5BA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Комплексни програми на общинско ниво за десегрегация на училищата, превенция на вторичната сегрегация и против дискриминацията;</w:t>
            </w:r>
          </w:p>
          <w:p w14:paraId="15DD34B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Утвърждаване на интеркултурното образование чрез култура, наука и спорт.</w:t>
            </w:r>
          </w:p>
        </w:tc>
      </w:tr>
      <w:tr w:rsidR="00D857FE" w:rsidRPr="00D83669" w14:paraId="4FDE6E4F" w14:textId="77777777" w:rsidTr="0066786E">
        <w:tc>
          <w:tcPr>
            <w:tcW w:w="2859" w:type="dxa"/>
            <w:shd w:val="clear" w:color="auto" w:fill="auto"/>
            <w:vAlign w:val="center"/>
          </w:tcPr>
          <w:p w14:paraId="1D0FC16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6781" w:type="dxa"/>
            <w:shd w:val="clear" w:color="auto" w:fill="auto"/>
            <w:vAlign w:val="center"/>
          </w:tcPr>
          <w:p w14:paraId="007C2926" w14:textId="09188B96"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децата и ученици от уязвими групи – малцинства (включително роми), когато е приложимо и брой на техните родители, реално участващи в процеса на приобщаващо образование в дейности по три операции: деца, ученици и родители от малцинства, обхванати в дейности за създаване на условия за достъп до качествено образование чрез териториален подход ВОМР, дейности по операция за десегрегация чрез териториален подход ИТИ и дейности за утвърждаване на интеркултурното образование.</w:t>
            </w:r>
          </w:p>
          <w:p w14:paraId="36435346" w14:textId="77777777" w:rsidR="00D857FE" w:rsidRPr="00D83669" w:rsidRDefault="00D857FE" w:rsidP="00CC7BCB">
            <w:pPr>
              <w:jc w:val="both"/>
              <w:rPr>
                <w:rFonts w:ascii="Times New Roman" w:hAnsi="Times New Roman"/>
                <w:sz w:val="24"/>
                <w:u w:val="single"/>
              </w:rPr>
            </w:pPr>
            <w:r w:rsidRPr="00D83669">
              <w:rPr>
                <w:rFonts w:ascii="Times New Roman" w:hAnsi="Times New Roman"/>
                <w:sz w:val="24"/>
              </w:rPr>
              <w:t xml:space="preserve">Под </w:t>
            </w:r>
            <w:r w:rsidRPr="00D83669">
              <w:rPr>
                <w:rFonts w:ascii="Times New Roman" w:hAnsi="Times New Roman"/>
                <w:b/>
                <w:bCs/>
                <w:sz w:val="24"/>
              </w:rPr>
              <w:t xml:space="preserve">уязвими групи </w:t>
            </w:r>
            <w:r w:rsidRPr="00D83669">
              <w:rPr>
                <w:rFonts w:ascii="Times New Roman" w:hAnsi="Times New Roman"/>
                <w:sz w:val="24"/>
              </w:rPr>
              <w:t xml:space="preserve">се имат предвид групи, които са в риск от социално изключване и маргинализиране поради </w:t>
            </w:r>
            <w:r w:rsidRPr="00D83669">
              <w:rPr>
                <w:rFonts w:ascii="Times New Roman" w:hAnsi="Times New Roman"/>
                <w:sz w:val="24"/>
                <w:u w:val="single"/>
              </w:rPr>
              <w:t>ограничен достъп до качествено образование</w:t>
            </w:r>
            <w:r w:rsidRPr="00D83669">
              <w:rPr>
                <w:rFonts w:ascii="Times New Roman" w:hAnsi="Times New Roman"/>
                <w:sz w:val="24"/>
              </w:rPr>
              <w:t xml:space="preserve"> и здравни услуги, до социални права, до възможностите на обществото и икономиката, с професионална квалификация и умения, възпрепятстващи участието на пазара на труда и с трудности в социализацията, като </w:t>
            </w:r>
            <w:r w:rsidRPr="00D83669">
              <w:rPr>
                <w:rFonts w:ascii="Times New Roman" w:hAnsi="Times New Roman"/>
                <w:b/>
                <w:sz w:val="24"/>
                <w:u w:val="single"/>
              </w:rPr>
              <w:t>роми, мигранти, търсещи или получили международна закрила, деца, ученици и техните родители, за които българският език не е майчин</w:t>
            </w:r>
            <w:r w:rsidRPr="00D83669">
              <w:rPr>
                <w:rFonts w:ascii="Times New Roman" w:hAnsi="Times New Roman"/>
                <w:sz w:val="24"/>
                <w:u w:val="single"/>
              </w:rPr>
              <w:t xml:space="preserve">, вкл. деца със специални образователни потребности, деца с трудности в обучението (затруднения в ученето), възпитанието и социализацията, деца от социално-слаби семейства, деца в неравностойно положение, деца в риск и др. (СП на РБ 2014 – 2020). </w:t>
            </w:r>
          </w:p>
        </w:tc>
      </w:tr>
      <w:tr w:rsidR="00D857FE" w:rsidRPr="00D83669" w14:paraId="30A12908" w14:textId="77777777" w:rsidTr="0066786E">
        <w:tc>
          <w:tcPr>
            <w:tcW w:w="2859" w:type="dxa"/>
            <w:shd w:val="clear" w:color="auto" w:fill="auto"/>
            <w:vAlign w:val="center"/>
          </w:tcPr>
          <w:p w14:paraId="233AB5C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6781" w:type="dxa"/>
            <w:shd w:val="clear" w:color="auto" w:fill="auto"/>
            <w:vAlign w:val="center"/>
          </w:tcPr>
          <w:p w14:paraId="1E5B538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31D888C5" w14:textId="77777777" w:rsidTr="0066786E">
        <w:tc>
          <w:tcPr>
            <w:tcW w:w="2859" w:type="dxa"/>
            <w:shd w:val="clear" w:color="auto" w:fill="auto"/>
            <w:vAlign w:val="center"/>
          </w:tcPr>
          <w:p w14:paraId="31AFE57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6781" w:type="dxa"/>
            <w:shd w:val="clear" w:color="auto" w:fill="auto"/>
            <w:vAlign w:val="center"/>
          </w:tcPr>
          <w:p w14:paraId="44029345" w14:textId="0269A0BF" w:rsidR="00D857FE" w:rsidRPr="00D83669" w:rsidRDefault="00D857FE" w:rsidP="00CC7BCB">
            <w:pPr>
              <w:jc w:val="both"/>
              <w:rPr>
                <w:rFonts w:ascii="Times New Roman" w:hAnsi="Times New Roman"/>
                <w:sz w:val="24"/>
              </w:rPr>
            </w:pPr>
            <w:r w:rsidRPr="00D83669">
              <w:rPr>
                <w:rFonts w:ascii="Times New Roman" w:hAnsi="Times New Roman"/>
                <w:sz w:val="24"/>
              </w:rPr>
              <w:t>93</w:t>
            </w:r>
            <w:r w:rsidR="00D02E3B" w:rsidRPr="00D83669">
              <w:rPr>
                <w:rFonts w:ascii="Times New Roman" w:hAnsi="Times New Roman"/>
                <w:sz w:val="24"/>
              </w:rPr>
              <w:t xml:space="preserve"> </w:t>
            </w:r>
            <w:r w:rsidRPr="00D83669">
              <w:rPr>
                <w:rFonts w:ascii="Times New Roman" w:hAnsi="Times New Roman"/>
                <w:sz w:val="24"/>
              </w:rPr>
              <w:t>871</w:t>
            </w:r>
          </w:p>
        </w:tc>
      </w:tr>
      <w:tr w:rsidR="00D857FE" w:rsidRPr="00D83669" w14:paraId="458161A6" w14:textId="77777777" w:rsidTr="0066786E">
        <w:tc>
          <w:tcPr>
            <w:tcW w:w="2859" w:type="dxa"/>
            <w:shd w:val="clear" w:color="auto" w:fill="auto"/>
            <w:vAlign w:val="center"/>
          </w:tcPr>
          <w:p w14:paraId="5B03CB13" w14:textId="71D29696" w:rsidR="00D857FE" w:rsidRPr="00D83669" w:rsidRDefault="004F7B30"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6781" w:type="dxa"/>
            <w:shd w:val="clear" w:color="auto" w:fill="auto"/>
            <w:vAlign w:val="center"/>
          </w:tcPr>
          <w:p w14:paraId="3B928C1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се основава на единичните разходи за обучение на деца и ученици и родители, използвани в периода 2018 – 2020 г., за които се прилага процент на индексация въз основа на очакваното увеличение на разходите за труд в сектор „Образование“ за период до 2029 г., като се има предвид, че по-голямата част от единичните разходи за обучение деца и ученици са свързани с разходите за възнаграждения зависят от нарастването на разходите за труд.</w:t>
            </w:r>
          </w:p>
          <w:p w14:paraId="00162A2D" w14:textId="0DAFB344" w:rsidR="00D857FE" w:rsidRPr="00D83669" w:rsidRDefault="00D857FE" w:rsidP="00CC7BCB">
            <w:pPr>
              <w:jc w:val="both"/>
              <w:rPr>
                <w:rFonts w:ascii="Times New Roman" w:hAnsi="Times New Roman"/>
                <w:sz w:val="24"/>
              </w:rPr>
            </w:pPr>
            <w:r w:rsidRPr="00D83669">
              <w:rPr>
                <w:rFonts w:ascii="Times New Roman" w:hAnsi="Times New Roman"/>
                <w:sz w:val="24"/>
              </w:rPr>
              <w:t>За определяне целевата стойност на показателя се ползват данни от ОПНОИР, според които до края на 2020 г. 25% от обхванатите деца и ученици по ПО 2 и ПО 3 на Програмата са от малцинства.</w:t>
            </w:r>
          </w:p>
          <w:p w14:paraId="6D5CBA91" w14:textId="287CECE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от 93871 представлява обща стойност (сбор) от:</w:t>
            </w:r>
          </w:p>
          <w:p w14:paraId="196E2BB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броя на децата и учениците от уязвими групи, предимно маргинализирани групи като ромите, подкрепени по тази специфична цел или целевата стойност на микроиндикатор ИП1.4й)</w:t>
            </w:r>
            <w:r w:rsidRPr="00D83669">
              <w:t xml:space="preserve"> </w:t>
            </w:r>
            <w:r w:rsidRPr="00D83669">
              <w:rPr>
                <w:rFonts w:ascii="Times New Roman" w:hAnsi="Times New Roman"/>
                <w:sz w:val="24"/>
              </w:rPr>
              <w:t>Брой деца и ученици от уязвими групи, с обучителни затруднения, в риск от отпадане от образование, поучили подкрепа – 51 864;</w:t>
            </w:r>
          </w:p>
          <w:p w14:paraId="328ECC7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броя на родителите на деца и ученици от уязвими групи, предимно роми, по операцията по подход ВОМР, което е половината от целевата стойност на микроиндикатор ИП 1.11.1. Брой родители, обучени за включване в мултикултурна образователна среда – ВОМР или 7 133, т.к. се запазва тенденцията за средния брой на деца в семейство в страната да е 2 (1,5 средно при етническите българи и 2 и повече при всички етноси, предимно малцинства – </w:t>
            </w:r>
            <w:hyperlink r:id="rId23" w:history="1">
              <w:r w:rsidRPr="00D83669">
                <w:rPr>
                  <w:rStyle w:val="Hyperlink"/>
                  <w:rFonts w:ascii="Times New Roman" w:hAnsi="Times New Roman"/>
                  <w:sz w:val="24"/>
                </w:rPr>
                <w:t>https://www.nsi.bg/census2011/pagebg2.php?p2=175&amp;sp2=200&amp;SSPP2=205</w:t>
              </w:r>
            </w:hyperlink>
            <w:r w:rsidRPr="00D83669">
              <w:rPr>
                <w:rFonts w:ascii="Times New Roman" w:hAnsi="Times New Roman"/>
                <w:sz w:val="24"/>
              </w:rPr>
              <w:t>; https://www.president.bg/docs/1352302457.pdf) като в мултикултурната образователна среда предвижда участие на 1 родител на две деца в предучилищна и училищна възраст;</w:t>
            </w:r>
          </w:p>
          <w:p w14:paraId="2B47B12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броя на родителите на ученици от уязвими групи, предимно роми, по операция за десегрегация на училищата, което е половината от целевата стойност на микроиндикатор ИП 1.11.2 Брой родители, обучени за включване в мултикултурна образователна среда – ИТИ десегрегация или 17 832, т.к. процесът на десегрегация предвижда участие и на 1 родител на две деца в предучилищна и училищна възраст предвид тенденцията за среден брой 2 деца в семейство;</w:t>
            </w:r>
          </w:p>
          <w:p w14:paraId="7864D60C" w14:textId="5B993268"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броя на родителите на деца и ученици от уязвими групи, предимно роми, по операция за утвърждаване на интеркултурното образование, което е целевата стойност на </w:t>
            </w:r>
            <w:r w:rsidRPr="00D83669">
              <w:rPr>
                <w:rFonts w:ascii="Times New Roman" w:hAnsi="Times New Roman"/>
                <w:sz w:val="24"/>
              </w:rPr>
              <w:lastRenderedPageBreak/>
              <w:t>микроиндикатор ИП 1.11.3 Брой родители, обучени за включване в мултикултурна образователна среда – Интеркултурно подбор, т.к. този показател отразява подкрепените родители от уязвими групи или 17042.</w:t>
            </w:r>
          </w:p>
          <w:p w14:paraId="4F748E3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отразява демаркация и допълняемост с други програми /проекти и избягване дублиране и препокриване на данни. </w:t>
            </w:r>
          </w:p>
        </w:tc>
      </w:tr>
      <w:tr w:rsidR="00D857FE" w:rsidRPr="00D83669" w14:paraId="41029757" w14:textId="77777777" w:rsidTr="0066786E">
        <w:tc>
          <w:tcPr>
            <w:tcW w:w="2859" w:type="dxa"/>
            <w:shd w:val="clear" w:color="auto" w:fill="auto"/>
            <w:vAlign w:val="center"/>
          </w:tcPr>
          <w:p w14:paraId="0F8BEC9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6781" w:type="dxa"/>
            <w:shd w:val="clear" w:color="auto" w:fill="auto"/>
            <w:vAlign w:val="center"/>
          </w:tcPr>
          <w:p w14:paraId="05FFCA5A" w14:textId="2175555A" w:rsidR="00D857FE" w:rsidRPr="00D83669" w:rsidRDefault="00EA0A2E" w:rsidP="00CC7BCB">
            <w:pPr>
              <w:jc w:val="both"/>
              <w:rPr>
                <w:rFonts w:ascii="Times New Roman" w:hAnsi="Times New Roman"/>
                <w:sz w:val="24"/>
              </w:rPr>
            </w:pPr>
            <w:r w:rsidRPr="00D83669">
              <w:rPr>
                <w:rFonts w:ascii="Times New Roman" w:hAnsi="Times New Roman"/>
                <w:sz w:val="24"/>
              </w:rPr>
              <w:t>15 446</w:t>
            </w:r>
          </w:p>
        </w:tc>
      </w:tr>
      <w:tr w:rsidR="00D857FE" w:rsidRPr="00D83669" w14:paraId="0B421474" w14:textId="77777777" w:rsidTr="0066786E">
        <w:tc>
          <w:tcPr>
            <w:tcW w:w="2859" w:type="dxa"/>
            <w:shd w:val="clear" w:color="auto" w:fill="auto"/>
            <w:vAlign w:val="center"/>
          </w:tcPr>
          <w:p w14:paraId="1B74CAB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6781" w:type="dxa"/>
            <w:shd w:val="clear" w:color="auto" w:fill="auto"/>
            <w:vAlign w:val="center"/>
          </w:tcPr>
          <w:p w14:paraId="6A9257E0" w14:textId="349035B9" w:rsidR="00D857FE" w:rsidRPr="00D83669" w:rsidRDefault="008A4C4B" w:rsidP="00CC7BCB">
            <w:pPr>
              <w:spacing w:line="256" w:lineRule="auto"/>
              <w:jc w:val="both"/>
              <w:rPr>
                <w:rFonts w:ascii="Times New Roman" w:hAnsi="Times New Roman"/>
                <w:sz w:val="24"/>
              </w:rPr>
            </w:pPr>
            <w:r w:rsidRPr="00D83669">
              <w:rPr>
                <w:rFonts w:ascii="Times New Roman" w:hAnsi="Times New Roman"/>
                <w:sz w:val="24"/>
              </w:rPr>
              <w:t>Етапната цел е съобразно планирания график на операциите по подхода ВОМР, подхода ИТИ и операцията за интеркултурно образование, които стартират в края на 2023 г. и през 2024 г. с реално изпълнение на дейности от края на 2023 г до края на 2024г. Етапната цел се определя, като се взема предвид определения финансов ресурс за всяка операция,  разделен на планирания брой години за изпълнението им и отчитането на стойности на показателя до края на 2024 г. Етапната цел представлява сбор на деца, ученици и родители от маргинализирани групи като ромите, обхванати в: операция по подхода ВОМР, която стартира в края на 2023 г. с определения финансов ресурс с продължителност 7 години съгласно спецификите на прилагане на подхода ВОМР и обхват на не повече от 1/3 на маргинализираните групи като ромите и отчитане на показателя до края на 2024 г. (14266/7*1/3*0,5=340</w:t>
            </w:r>
            <w:r w:rsidR="006C5163" w:rsidRPr="00D83669">
              <w:rPr>
                <w:rFonts w:ascii="Times New Roman" w:hAnsi="Times New Roman"/>
                <w:sz w:val="24"/>
              </w:rPr>
              <w:t xml:space="preserve"> </w:t>
            </w:r>
            <w:r w:rsidRPr="00D83669">
              <w:rPr>
                <w:rFonts w:ascii="Times New Roman" w:hAnsi="Times New Roman"/>
                <w:sz w:val="24"/>
              </w:rPr>
              <w:t>родители +4069/7*1/3 = 194 деца</w:t>
            </w:r>
            <w:r w:rsidR="009F2D5D" w:rsidRPr="00D83669">
              <w:rPr>
                <w:rFonts w:ascii="Times New Roman" w:hAnsi="Times New Roman"/>
                <w:sz w:val="24"/>
              </w:rPr>
              <w:t xml:space="preserve"> </w:t>
            </w:r>
            <w:r w:rsidRPr="00D83669">
              <w:rPr>
                <w:rFonts w:ascii="Times New Roman" w:hAnsi="Times New Roman"/>
                <w:sz w:val="24"/>
              </w:rPr>
              <w:t>+</w:t>
            </w:r>
            <w:r w:rsidR="009F2D5D" w:rsidRPr="00D83669">
              <w:rPr>
                <w:rFonts w:ascii="Times New Roman" w:hAnsi="Times New Roman"/>
                <w:sz w:val="24"/>
              </w:rPr>
              <w:t xml:space="preserve"> </w:t>
            </w:r>
            <w:r w:rsidRPr="00D83669">
              <w:rPr>
                <w:rFonts w:ascii="Times New Roman" w:hAnsi="Times New Roman"/>
                <w:sz w:val="24"/>
              </w:rPr>
              <w:t>5618/7*1/3= 268 ученици) или 80; операцията по подхода ИТИ стартира през 2024 г. с определения финансов ресурс с продължителност от 7 години съгласно спецификите на прилагане на подхода ИТИ и обхват на не повече от 1/6 на маргинализираните групи като ромите и отчитане на показателя до края на 2024 г. (35664/7*1/6*0,5=425 родители +17832/7*1/6=425 ученици) или 850; операцията за интеркултурно образование стартира в края на 2023 г. с продължителност 3 години чрез процедура за подбор на проекти, обхват на не повече от 1/3 от маргинализираните групи като роми и отчитане на показателя до края на 2024 г. (17042*1/3=5680 родители +</w:t>
            </w:r>
            <w:r w:rsidR="00BB3021" w:rsidRPr="00D83669">
              <w:rPr>
                <w:rFonts w:ascii="Times New Roman" w:hAnsi="Times New Roman"/>
                <w:sz w:val="24"/>
              </w:rPr>
              <w:t xml:space="preserve"> </w:t>
            </w:r>
            <w:r w:rsidRPr="00D83669">
              <w:rPr>
                <w:rFonts w:ascii="Times New Roman" w:hAnsi="Times New Roman"/>
                <w:sz w:val="24"/>
              </w:rPr>
              <w:t>7303*1/3=2434 деца +</w:t>
            </w:r>
            <w:r w:rsidR="00D561E3" w:rsidRPr="00D83669">
              <w:rPr>
                <w:rFonts w:ascii="Times New Roman" w:hAnsi="Times New Roman"/>
                <w:sz w:val="24"/>
              </w:rPr>
              <w:t xml:space="preserve"> </w:t>
            </w:r>
            <w:r w:rsidRPr="00D83669">
              <w:rPr>
                <w:rFonts w:ascii="Times New Roman" w:hAnsi="Times New Roman"/>
                <w:sz w:val="24"/>
              </w:rPr>
              <w:t>17042*1/3=5680 ученици) или 13794. Етапната цел представлява сбора на деца, ученици и родители от маргинализирани групи като роми по трите операции или 802+850+13794=15446.</w:t>
            </w:r>
          </w:p>
        </w:tc>
      </w:tr>
      <w:tr w:rsidR="00D857FE" w:rsidRPr="00D83669" w14:paraId="494AD933" w14:textId="77777777" w:rsidTr="0066786E">
        <w:tc>
          <w:tcPr>
            <w:tcW w:w="2859" w:type="dxa"/>
            <w:shd w:val="clear" w:color="auto" w:fill="auto"/>
            <w:vAlign w:val="center"/>
          </w:tcPr>
          <w:p w14:paraId="0117651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6781" w:type="dxa"/>
            <w:shd w:val="clear" w:color="auto" w:fill="auto"/>
            <w:vAlign w:val="center"/>
          </w:tcPr>
          <w:p w14:paraId="798DA04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28A7A421" w14:textId="77777777" w:rsidTr="0066786E">
        <w:tc>
          <w:tcPr>
            <w:tcW w:w="2859" w:type="dxa"/>
            <w:shd w:val="clear" w:color="auto" w:fill="auto"/>
            <w:vAlign w:val="center"/>
          </w:tcPr>
          <w:p w14:paraId="577B663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6781" w:type="dxa"/>
            <w:shd w:val="clear" w:color="auto" w:fill="auto"/>
            <w:vAlign w:val="center"/>
          </w:tcPr>
          <w:p w14:paraId="340E6E3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 други демографски фактори. На етапа на изпълнение ще бъдат представени данни за пол, възраст, ниво на образование, населено място, област, община, регион и друга демографска информация за участниците.</w:t>
            </w:r>
          </w:p>
        </w:tc>
      </w:tr>
      <w:tr w:rsidR="00D857FE" w:rsidRPr="00D83669" w14:paraId="36363EBD" w14:textId="77777777" w:rsidTr="0066786E">
        <w:tc>
          <w:tcPr>
            <w:tcW w:w="2859" w:type="dxa"/>
            <w:shd w:val="clear" w:color="auto" w:fill="auto"/>
            <w:vAlign w:val="center"/>
          </w:tcPr>
          <w:p w14:paraId="42503F8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6781" w:type="dxa"/>
            <w:shd w:val="clear" w:color="auto" w:fill="auto"/>
            <w:vAlign w:val="center"/>
          </w:tcPr>
          <w:p w14:paraId="1BA2316E" w14:textId="1F2FAD7B"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са необходими с оглед постигане на заложени цели в политиките за образование, в редица стратегически документи </w:t>
            </w:r>
            <w:r w:rsidRPr="00D83669">
              <w:rPr>
                <w:rFonts w:ascii="Times New Roman" w:hAnsi="Times New Roman"/>
                <w:sz w:val="24"/>
              </w:rPr>
              <w:lastRenderedPageBreak/>
              <w:t>за уязвими групи. Показателят е ориентиран към цели, заложени в стратегически документи например като Стратегическа рамка за развитие на образованието, обучението и ученето на Република България 2021 – 2030 като Цел 5.6 „Образователна интеграция на деца и ученици от уязвими групи, включително роми, на търсещи или получили международна закрила и мигранти“ както и в Националната стратегия на Република България за равенство, приобщаване и участие на ромите 2021 – 2030 и др.</w:t>
            </w:r>
          </w:p>
          <w:p w14:paraId="384F077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събират, за да се проследи броя на децата и учениците от малцинствата, когато е приложимо, включително и на техните родители, които участват в мерки по десегрегация, с цел осигуряване на достъп до качествено и приобщаващо образование. </w:t>
            </w:r>
          </w:p>
          <w:p w14:paraId="4ADDB359" w14:textId="031EF82B"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по специално за уязвими групи като малцинства, роми, мигранти, и др. Показателят е насочен и към решаване на демографски и социално-икономически проблеми.</w:t>
            </w:r>
          </w:p>
        </w:tc>
      </w:tr>
      <w:tr w:rsidR="00D857FE" w:rsidRPr="00D83669" w14:paraId="16B653F1" w14:textId="77777777" w:rsidTr="0066786E">
        <w:tc>
          <w:tcPr>
            <w:tcW w:w="2859" w:type="dxa"/>
            <w:shd w:val="clear" w:color="auto" w:fill="auto"/>
            <w:vAlign w:val="center"/>
          </w:tcPr>
          <w:p w14:paraId="5A11B79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6781" w:type="dxa"/>
            <w:shd w:val="clear" w:color="auto" w:fill="auto"/>
            <w:vAlign w:val="center"/>
          </w:tcPr>
          <w:p w14:paraId="74BD216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текущо на база технически отчети</w:t>
            </w:r>
            <w:r w:rsidRPr="00D83669">
              <w:t xml:space="preserve"> </w:t>
            </w:r>
            <w:r w:rsidRPr="00D83669">
              <w:rPr>
                <w:rFonts w:ascii="Times New Roman" w:hAnsi="Times New Roman"/>
                <w:sz w:val="24"/>
              </w:rPr>
              <w:t>и ще съдържат видът и името на училището; местоположение – област, населено място, район; брой и демографски данни на деца и ученици от малцинствата, участвали в дейности по десегрегация; демографски данни като пол, възраст, ниво на образование на родители, майчин език на деца, ученици, родители; др.</w:t>
            </w:r>
            <w:r w:rsidRPr="00D83669">
              <w:t xml:space="preserve"> </w:t>
            </w:r>
            <w:r w:rsidRPr="00D83669">
              <w:rPr>
                <w:rFonts w:ascii="Times New Roman" w:hAnsi="Times New Roman"/>
                <w:sz w:val="24"/>
              </w:rPr>
              <w:t>Данните се събират и чрез анкетни карти от родителите, участници, самоопределящи своя майчин език и/или етническа принадлежност.</w:t>
            </w:r>
          </w:p>
        </w:tc>
      </w:tr>
      <w:tr w:rsidR="00D857FE" w:rsidRPr="00D83669" w14:paraId="3B446509" w14:textId="77777777" w:rsidTr="0066786E">
        <w:tc>
          <w:tcPr>
            <w:tcW w:w="2859" w:type="dxa"/>
            <w:shd w:val="clear" w:color="auto" w:fill="auto"/>
            <w:vAlign w:val="center"/>
          </w:tcPr>
          <w:p w14:paraId="6BBF05F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6781" w:type="dxa"/>
            <w:shd w:val="clear" w:color="auto" w:fill="auto"/>
            <w:vAlign w:val="center"/>
          </w:tcPr>
          <w:p w14:paraId="1A549E2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13DC55DA" w14:textId="77777777" w:rsidTr="0066786E">
        <w:tc>
          <w:tcPr>
            <w:tcW w:w="2859" w:type="dxa"/>
            <w:shd w:val="clear" w:color="auto" w:fill="auto"/>
            <w:vAlign w:val="center"/>
          </w:tcPr>
          <w:p w14:paraId="49E4D173" w14:textId="56232ABD"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6781" w:type="dxa"/>
            <w:shd w:val="clear" w:color="auto" w:fill="auto"/>
            <w:vAlign w:val="center"/>
          </w:tcPr>
          <w:p w14:paraId="6A44180B"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1.5. Педагогически специалисти и непедагогически персонал, обучени за работа с деца и ученици от уязвими групи;</w:t>
            </w:r>
          </w:p>
          <w:p w14:paraId="515B5415"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37B58DA9"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SOI1.6. Брой училища обхванати в дейности за десегрегация по програмата;</w:t>
            </w:r>
          </w:p>
          <w:p w14:paraId="4B0852AD"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19589F3A" w14:textId="77777777" w:rsidR="00D857FE" w:rsidRPr="00D83669" w:rsidRDefault="00D857FE" w:rsidP="00D857FE">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SRI 1.2. Брой деца и ученици от уязвими групи с подобрени образователни резултати 1 година след участие в операцията.</w:t>
            </w:r>
          </w:p>
          <w:p w14:paraId="77E12884" w14:textId="77777777" w:rsidR="00D857FE" w:rsidRPr="00D83669" w:rsidRDefault="00D857FE" w:rsidP="00CC7BCB">
            <w:pPr>
              <w:pStyle w:val="ListParagraph"/>
              <w:rPr>
                <w:rFonts w:ascii="Times New Roman" w:hAnsi="Times New Roman"/>
                <w:sz w:val="24"/>
              </w:rPr>
            </w:pPr>
          </w:p>
        </w:tc>
      </w:tr>
      <w:tr w:rsidR="00D857FE" w:rsidRPr="00D83669" w14:paraId="320045AF" w14:textId="77777777" w:rsidTr="0066786E">
        <w:tc>
          <w:tcPr>
            <w:tcW w:w="2859" w:type="dxa"/>
            <w:shd w:val="clear" w:color="auto" w:fill="auto"/>
            <w:vAlign w:val="center"/>
          </w:tcPr>
          <w:p w14:paraId="06D6567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6781" w:type="dxa"/>
            <w:shd w:val="clear" w:color="auto" w:fill="auto"/>
            <w:vAlign w:val="center"/>
          </w:tcPr>
          <w:p w14:paraId="67BF53D7" w14:textId="1E2B7972"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на показателя обхваща броя на участниците от уязвими маргинализирани групи (малцинства като роми) – деца, ученици, родители в дейностите по СЦ по чл. 4, пар. 1, </w:t>
            </w:r>
            <w:r w:rsidRPr="00D83669">
              <w:rPr>
                <w:rFonts w:ascii="Times New Roman" w:hAnsi="Times New Roman"/>
                <w:sz w:val="24"/>
              </w:rPr>
              <w:lastRenderedPageBreak/>
              <w:t>буква й) на ПО 2021 – 2027 и е по-малка от всички участници в дейности по тази специфична цел.</w:t>
            </w:r>
          </w:p>
        </w:tc>
      </w:tr>
    </w:tbl>
    <w:p w14:paraId="4F7E179A" w14:textId="77777777" w:rsidR="00D857FE" w:rsidRPr="00D83669" w:rsidRDefault="00D857FE" w:rsidP="00D857FE"/>
    <w:p w14:paraId="335C3E4C" w14:textId="77777777" w:rsidR="00D857FE" w:rsidRPr="00D83669" w:rsidRDefault="00D857FE" w:rsidP="00D857FE">
      <w:r w:rsidRPr="00D83669">
        <w:br w:type="page"/>
      </w:r>
    </w:p>
    <w:p w14:paraId="74CEAACB" w14:textId="79B2E024" w:rsidR="00D857FE" w:rsidRPr="00D83669" w:rsidRDefault="00D857FE" w:rsidP="007C64A2">
      <w:pPr>
        <w:pStyle w:val="Heading3"/>
        <w:rPr>
          <w:b/>
          <w:bCs/>
          <w:i/>
          <w:iCs/>
          <w:sz w:val="22"/>
          <w:szCs w:val="22"/>
        </w:rPr>
      </w:pPr>
      <w:bookmarkStart w:id="121" w:name="_Toc100152991"/>
      <w:bookmarkStart w:id="122" w:name="_Toc103586666"/>
      <w:r w:rsidRPr="00D83669">
        <w:rPr>
          <w:b/>
          <w:bCs/>
          <w:i/>
          <w:iCs/>
          <w:sz w:val="22"/>
          <w:szCs w:val="22"/>
        </w:rPr>
        <w:lastRenderedPageBreak/>
        <w:t>SOI 1.4. Брой деца и ученици от предучилищното и училищното образование от уязвими групи, получили подкрепа</w:t>
      </w:r>
      <w:bookmarkEnd w:id="121"/>
      <w:bookmarkEnd w:id="122"/>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65A1B201" w14:textId="77777777" w:rsidTr="00DC4605">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77B2F00" w14:textId="04DEBA4C"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BC6D33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1A867308" w14:textId="77777777" w:rsidTr="00DC4605">
        <w:tc>
          <w:tcPr>
            <w:tcW w:w="2405" w:type="dxa"/>
            <w:shd w:val="clear" w:color="auto" w:fill="auto"/>
            <w:vAlign w:val="center"/>
          </w:tcPr>
          <w:p w14:paraId="0736C614" w14:textId="6F9DABB4"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Показател </w:t>
            </w:r>
          </w:p>
        </w:tc>
        <w:tc>
          <w:tcPr>
            <w:tcW w:w="7235" w:type="dxa"/>
            <w:shd w:val="clear" w:color="auto" w:fill="auto"/>
            <w:vAlign w:val="center"/>
          </w:tcPr>
          <w:p w14:paraId="5B59AE7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SOI 1.4. Брой деца и ученици от предучилищното и училищното образование от уязвими групи, получили подкрепа</w:t>
            </w:r>
          </w:p>
        </w:tc>
      </w:tr>
      <w:tr w:rsidR="00D857FE" w:rsidRPr="00D83669" w14:paraId="47E6F057" w14:textId="77777777" w:rsidTr="00DC4605">
        <w:tc>
          <w:tcPr>
            <w:tcW w:w="2405" w:type="dxa"/>
            <w:shd w:val="clear" w:color="auto" w:fill="auto"/>
            <w:vAlign w:val="center"/>
          </w:tcPr>
          <w:p w14:paraId="32F7BA0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64A9246A" w14:textId="0ED11E24"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76199BEB" w14:textId="77777777" w:rsidTr="00DC4605">
        <w:tc>
          <w:tcPr>
            <w:tcW w:w="2405" w:type="dxa"/>
            <w:shd w:val="clear" w:color="auto" w:fill="auto"/>
            <w:vAlign w:val="center"/>
          </w:tcPr>
          <w:p w14:paraId="019F20C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50B9771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й)</w:t>
            </w:r>
            <w:r w:rsidRPr="00D83669">
              <w:rPr>
                <w:rFonts w:ascii="Times New Roman" w:hAnsi="Times New Roman"/>
                <w:sz w:val="24"/>
              </w:rPr>
              <w:t xml:space="preserve"> – Насърчаване на социално-икономическата интеграция на граждани на трети държави и на маргинализирани общности, като например ромите</w:t>
            </w:r>
          </w:p>
        </w:tc>
      </w:tr>
      <w:tr w:rsidR="00D857FE" w:rsidRPr="00D83669" w14:paraId="385037BB" w14:textId="77777777" w:rsidTr="00DC4605">
        <w:tc>
          <w:tcPr>
            <w:tcW w:w="2405" w:type="dxa"/>
            <w:shd w:val="clear" w:color="auto" w:fill="auto"/>
            <w:vAlign w:val="center"/>
          </w:tcPr>
          <w:p w14:paraId="4F7F7C6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68D398BC" w14:textId="77777777" w:rsidR="00D857FE" w:rsidRPr="00D83669" w:rsidRDefault="00D857FE" w:rsidP="00CC7BCB">
            <w:pPr>
              <w:spacing w:after="120"/>
              <w:jc w:val="both"/>
              <w:rPr>
                <w:rFonts w:ascii="Times New Roman" w:hAnsi="Times New Roman"/>
                <w:i/>
                <w:sz w:val="24"/>
              </w:rPr>
            </w:pPr>
            <w:r w:rsidRPr="00D83669">
              <w:rPr>
                <w:rFonts w:ascii="Times New Roman" w:hAnsi="Times New Roman"/>
                <w:sz w:val="24"/>
              </w:rPr>
              <w:t xml:space="preserve">- Създаване на условия за достъп до образование чрез преодоляване на демографски, социални и културни бариери; </w:t>
            </w:r>
          </w:p>
          <w:p w14:paraId="18975C0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Комплексни програми на общинско ниво за десегрегация на училищата, превенция на вторичната сегрегация и против дискриминацията;</w:t>
            </w:r>
          </w:p>
          <w:p w14:paraId="01B282C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Утвърждаване на интеркултурното образование чрез култура, наука и спорт.</w:t>
            </w:r>
          </w:p>
        </w:tc>
      </w:tr>
      <w:tr w:rsidR="00D857FE" w:rsidRPr="00D83669" w14:paraId="19D594DC" w14:textId="77777777" w:rsidTr="00DC4605">
        <w:tc>
          <w:tcPr>
            <w:tcW w:w="2405" w:type="dxa"/>
            <w:shd w:val="clear" w:color="auto" w:fill="auto"/>
            <w:vAlign w:val="center"/>
          </w:tcPr>
          <w:p w14:paraId="7876CB3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p w14:paraId="005DE182" w14:textId="77777777" w:rsidR="00D857FE" w:rsidRPr="00D83669" w:rsidRDefault="00D857FE" w:rsidP="00CC7BCB">
            <w:pPr>
              <w:rPr>
                <w:rFonts w:ascii="Times New Roman" w:hAnsi="Times New Roman"/>
                <w:sz w:val="24"/>
              </w:rPr>
            </w:pPr>
          </w:p>
          <w:p w14:paraId="2CA0EF73" w14:textId="77777777" w:rsidR="00D857FE" w:rsidRPr="00D83669" w:rsidRDefault="00D857FE" w:rsidP="00CC7BCB">
            <w:pPr>
              <w:rPr>
                <w:rFonts w:ascii="Times New Roman" w:hAnsi="Times New Roman"/>
                <w:sz w:val="24"/>
              </w:rPr>
            </w:pPr>
          </w:p>
          <w:p w14:paraId="350EE399" w14:textId="77777777" w:rsidR="00D857FE" w:rsidRPr="00D83669" w:rsidRDefault="00D857FE" w:rsidP="00CC7BCB">
            <w:pPr>
              <w:rPr>
                <w:rFonts w:ascii="Times New Roman" w:hAnsi="Times New Roman"/>
                <w:sz w:val="24"/>
              </w:rPr>
            </w:pPr>
          </w:p>
          <w:p w14:paraId="173E3E20" w14:textId="77777777" w:rsidR="00D857FE" w:rsidRPr="00D83669" w:rsidRDefault="00D857FE" w:rsidP="00CC7BCB">
            <w:pPr>
              <w:rPr>
                <w:rFonts w:ascii="Times New Roman" w:hAnsi="Times New Roman"/>
                <w:sz w:val="24"/>
              </w:rPr>
            </w:pPr>
          </w:p>
          <w:p w14:paraId="49E2076C" w14:textId="77777777" w:rsidR="00D857FE" w:rsidRPr="00D83669" w:rsidRDefault="00D857FE" w:rsidP="00CC7BCB">
            <w:pPr>
              <w:rPr>
                <w:rFonts w:ascii="Times New Roman" w:hAnsi="Times New Roman"/>
                <w:sz w:val="24"/>
              </w:rPr>
            </w:pPr>
          </w:p>
          <w:p w14:paraId="7F43A41B" w14:textId="77777777" w:rsidR="00D857FE" w:rsidRPr="00D83669" w:rsidRDefault="00D857FE" w:rsidP="00CC7BCB">
            <w:pPr>
              <w:rPr>
                <w:rFonts w:ascii="Times New Roman" w:hAnsi="Times New Roman"/>
                <w:sz w:val="24"/>
              </w:rPr>
            </w:pPr>
          </w:p>
          <w:p w14:paraId="60FB92E6" w14:textId="77777777" w:rsidR="00D857FE" w:rsidRPr="00D83669" w:rsidRDefault="00D857FE" w:rsidP="00CC7BCB">
            <w:pPr>
              <w:rPr>
                <w:rFonts w:ascii="Times New Roman" w:hAnsi="Times New Roman"/>
                <w:sz w:val="24"/>
              </w:rPr>
            </w:pPr>
          </w:p>
          <w:p w14:paraId="2E3F5B65" w14:textId="77777777" w:rsidR="00D857FE" w:rsidRPr="00D83669" w:rsidRDefault="00D857FE" w:rsidP="00CC7BCB">
            <w:pPr>
              <w:rPr>
                <w:rFonts w:ascii="Times New Roman" w:hAnsi="Times New Roman"/>
                <w:sz w:val="24"/>
              </w:rPr>
            </w:pPr>
          </w:p>
          <w:p w14:paraId="4FA2035D" w14:textId="77777777" w:rsidR="00D857FE" w:rsidRPr="00D83669" w:rsidRDefault="00D857FE" w:rsidP="00CC7BCB">
            <w:pPr>
              <w:rPr>
                <w:rFonts w:ascii="Times New Roman" w:hAnsi="Times New Roman"/>
                <w:sz w:val="24"/>
              </w:rPr>
            </w:pPr>
          </w:p>
          <w:p w14:paraId="1567E02D" w14:textId="77777777" w:rsidR="00D857FE" w:rsidRPr="00D83669" w:rsidRDefault="00D857FE" w:rsidP="00CC7BCB">
            <w:pPr>
              <w:rPr>
                <w:rFonts w:ascii="Times New Roman" w:hAnsi="Times New Roman"/>
                <w:sz w:val="24"/>
              </w:rPr>
            </w:pPr>
          </w:p>
          <w:p w14:paraId="4D0FEC93" w14:textId="77777777" w:rsidR="00D857FE" w:rsidRPr="00D83669" w:rsidRDefault="00D857FE" w:rsidP="00CC7BCB">
            <w:pPr>
              <w:rPr>
                <w:rFonts w:ascii="Times New Roman" w:hAnsi="Times New Roman"/>
                <w:sz w:val="24"/>
              </w:rPr>
            </w:pPr>
          </w:p>
          <w:p w14:paraId="76F38F27" w14:textId="77777777" w:rsidR="00D857FE" w:rsidRPr="00D83669" w:rsidRDefault="00D857FE" w:rsidP="00CC7BCB">
            <w:pPr>
              <w:rPr>
                <w:rFonts w:ascii="Times New Roman" w:hAnsi="Times New Roman"/>
                <w:sz w:val="24"/>
              </w:rPr>
            </w:pPr>
          </w:p>
          <w:p w14:paraId="78C7BD81" w14:textId="77777777" w:rsidR="00D857FE" w:rsidRPr="00D83669" w:rsidRDefault="00D857FE" w:rsidP="00CC7BCB">
            <w:pPr>
              <w:rPr>
                <w:rFonts w:ascii="Times New Roman" w:hAnsi="Times New Roman"/>
                <w:sz w:val="24"/>
              </w:rPr>
            </w:pPr>
          </w:p>
          <w:p w14:paraId="21BE0543" w14:textId="77777777" w:rsidR="00D857FE" w:rsidRPr="00D83669" w:rsidRDefault="00D857FE" w:rsidP="00CC7BCB">
            <w:pPr>
              <w:rPr>
                <w:rFonts w:ascii="Times New Roman" w:hAnsi="Times New Roman"/>
                <w:sz w:val="24"/>
              </w:rPr>
            </w:pPr>
          </w:p>
          <w:p w14:paraId="11DC9783" w14:textId="77777777" w:rsidR="00D857FE" w:rsidRPr="00D83669" w:rsidRDefault="00D857FE" w:rsidP="00CC7BCB">
            <w:pPr>
              <w:rPr>
                <w:rFonts w:ascii="Times New Roman" w:hAnsi="Times New Roman"/>
                <w:sz w:val="24"/>
                <w:lang w:val="en-US"/>
              </w:rPr>
            </w:pPr>
          </w:p>
          <w:p w14:paraId="56AD2A98" w14:textId="77777777" w:rsidR="00D857FE" w:rsidRPr="00D83669" w:rsidRDefault="00D857FE" w:rsidP="00CC7BCB">
            <w:pPr>
              <w:rPr>
                <w:rFonts w:ascii="Times New Roman" w:hAnsi="Times New Roman"/>
                <w:sz w:val="24"/>
              </w:rPr>
            </w:pPr>
          </w:p>
        </w:tc>
        <w:tc>
          <w:tcPr>
            <w:tcW w:w="7235" w:type="dxa"/>
            <w:shd w:val="clear" w:color="auto" w:fill="auto"/>
            <w:vAlign w:val="center"/>
          </w:tcPr>
          <w:p w14:paraId="4C47F74A" w14:textId="077E0766"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Показателят измерва броя на подкрепените по трите операции на тази специфична цел деца и ученици от уязвими групи (роми, мигранти, търсещи или получили международна закрила, деца, за които българският език не е майчин, деца със специални образователни потребности, в риск, с хронични заболявания, изявени дарби, и др.), обучаващи се в мултикултурна среда в предучилищното и училищното образование. </w:t>
            </w:r>
          </w:p>
          <w:p w14:paraId="7FE6A533" w14:textId="77777777" w:rsidR="00D857FE" w:rsidRPr="00D83669" w:rsidRDefault="00D857FE" w:rsidP="00CC7BCB">
            <w:pPr>
              <w:spacing w:after="120"/>
              <w:jc w:val="both"/>
              <w:rPr>
                <w:rFonts w:ascii="Times New Roman" w:hAnsi="Times New Roman"/>
                <w:sz w:val="24"/>
                <w:u w:val="single"/>
              </w:rPr>
            </w:pPr>
            <w:r w:rsidRPr="00D83669">
              <w:rPr>
                <w:rFonts w:ascii="Times New Roman" w:hAnsi="Times New Roman"/>
                <w:sz w:val="24"/>
              </w:rPr>
              <w:t xml:space="preserve">Под </w:t>
            </w:r>
            <w:r w:rsidRPr="00D83669">
              <w:rPr>
                <w:rFonts w:ascii="Times New Roman" w:hAnsi="Times New Roman"/>
                <w:b/>
                <w:bCs/>
                <w:sz w:val="24"/>
              </w:rPr>
              <w:t>уязвими групи</w:t>
            </w:r>
            <w:r w:rsidRPr="00D83669">
              <w:rPr>
                <w:rFonts w:ascii="Times New Roman" w:hAnsi="Times New Roman"/>
                <w:sz w:val="24"/>
              </w:rPr>
              <w:t xml:space="preserve"> се имат предвид групи, които са в риск от социално изключване и маргинализиране поради </w:t>
            </w:r>
            <w:r w:rsidRPr="00D83669">
              <w:rPr>
                <w:rFonts w:ascii="Times New Roman" w:hAnsi="Times New Roman"/>
                <w:sz w:val="24"/>
                <w:u w:val="single"/>
              </w:rPr>
              <w:t>ограничен достъп до качествено образование</w:t>
            </w:r>
            <w:r w:rsidRPr="00D83669">
              <w:rPr>
                <w:rFonts w:ascii="Times New Roman" w:hAnsi="Times New Roman"/>
                <w:sz w:val="24"/>
              </w:rPr>
              <w:t xml:space="preserve"> и здравни услуги, до социални права, до възможностите на обществото и икономиката, с професионална квалификация и умения, възпрепятстващи участието на пазара на труда и с трудности в социализацията, като </w:t>
            </w:r>
            <w:r w:rsidRPr="00D83669">
              <w:rPr>
                <w:rFonts w:ascii="Times New Roman" w:hAnsi="Times New Roman"/>
                <w:sz w:val="24"/>
                <w:u w:val="single"/>
              </w:rPr>
              <w:t>роми, мигранти, търсещи или получили международна закрила, деца, за които българският език не е майчин, деца и ученици със специални образователни потребности, деца и ученици с трудности в обучението (затруднения в ученето), възпитанието и социализацията, деца и ученици от социално-слаби семейства, деца в неравностойно положение, деца в риск</w:t>
            </w:r>
            <w:r w:rsidRPr="00D83669">
              <w:t xml:space="preserve"> </w:t>
            </w:r>
            <w:r w:rsidRPr="00D83669">
              <w:rPr>
                <w:rFonts w:ascii="Times New Roman" w:hAnsi="Times New Roman"/>
                <w:sz w:val="24"/>
                <w:u w:val="single"/>
              </w:rPr>
              <w:t>включително ученици в риск от отпадане от образование, идентифицирани по инструментариумите, разработвани по проекти на ОПНОИР.</w:t>
            </w:r>
          </w:p>
          <w:p w14:paraId="4E5C952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bCs/>
                <w:sz w:val="24"/>
              </w:rPr>
              <w:t>„Ученик в риск от отпадане“</w:t>
            </w:r>
            <w:r w:rsidRPr="00D83669">
              <w:rPr>
                <w:rFonts w:ascii="Times New Roman" w:hAnsi="Times New Roman"/>
                <w:sz w:val="24"/>
              </w:rPr>
              <w:t xml:space="preserve"> е ученик: 1. чиито родители са починали, неизвестни, лишени са от родителски права или чиито родителски права са ограничени, или детето е останало без родителска грижа; 2. което е жертва на злоупотреба, насилие, експлоатация или всякакво друго нехуманно или унизително отношение в или извън семейството му; 3. за което съществува опасност от увреждане на неговото физическо, психическо, </w:t>
            </w:r>
            <w:r w:rsidRPr="00D83669">
              <w:rPr>
                <w:rFonts w:ascii="Times New Roman" w:hAnsi="Times New Roman"/>
                <w:sz w:val="24"/>
              </w:rPr>
              <w:lastRenderedPageBreak/>
              <w:t>нравствено, интелектуално и социално развитие; 4. застрашен от отпадане поради трудности в ученето, слаби оценки, повтаряне на класа, преместване и загуба на учебно време; 5. застрашено от отпадане поради социално-икономически проблеми. 6. застрашено от отпадане поради поведенчески проблеми; 7. с голям брой отсъствия по неуважителни причини.</w:t>
            </w:r>
          </w:p>
          <w:p w14:paraId="50D1F9B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Съгласно чл. 13 от Наредба за приобщаващо образование „Общата подкрепа за личностно развитие в детската градина, която е насочена към всички деца в групата и гарантира участието и изявата им в образователния процес и в дейността на детската градина, включва:</w:t>
            </w:r>
          </w:p>
          <w:p w14:paraId="2265BC7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 екипна работа между учителите и другите педагогически специалисти;</w:t>
            </w:r>
          </w:p>
          <w:p w14:paraId="33FB288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занимания по интереси;</w:t>
            </w:r>
          </w:p>
          <w:p w14:paraId="454E5E9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грижа за здравето въз основа на информация от родителя, представителя на детето или лицето, което полага грижи за детето, за здравословното състояние на детето и за проведени медицински изследвания и консултации и при взаимодействие с медицинския специалист в здравния кабинет в детската градина;</w:t>
            </w:r>
          </w:p>
          <w:p w14:paraId="6A90A73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4. ранно оценяване на потребностите и превенция на обучителните затруднения.“</w:t>
            </w:r>
          </w:p>
          <w:p w14:paraId="4A6CD92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Чл. 14. (1) Общата подкрепа за личностно развитие в детската градина, която е насочена към превенцията на обучителните затруднения, се изразява във включване на отделни деца в дейности според техните потребности, установени след ранното оценяване по чл. 8, ал. 3, т. 1 и 2, като:</w:t>
            </w:r>
          </w:p>
          <w:p w14:paraId="4CD4838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 обучение чрез допълнителни модули за деца, които не владеят български език;</w:t>
            </w:r>
          </w:p>
          <w:p w14:paraId="0FC6359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прилагане на програми за психомоторно, познавателно и езиково развитие;</w:t>
            </w:r>
          </w:p>
          <w:p w14:paraId="4201FAF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индивидуална и групова работа при установени езикови и/или емоционално-поведенчески, и/или сензорни затруднения.</w:t>
            </w:r>
          </w:p>
          <w:p w14:paraId="610639F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Дейността по ал. 1, т. 1 се извършва от учителите в групата в детската градина, а по т. 2 и 3 – от психолог, логопед или от друг педагогически специалист при необходимост – рехабилитатор на слуха и говора и др.</w:t>
            </w:r>
          </w:p>
          <w:p w14:paraId="46EA76D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Учителите в групата установяват напредъка на всяко дете, което е включено в дейности по ал. 1, поне два пъти в рамките на учебната година въз основа на материали от дейността му – рисунки и други творчески работи на детето, както и в резултат на писмени становища от логопеда, психолога или от друг специалист за развитието на детето. За резултатите от напредъка на детето учителите изготвят доклад до директора. Материалите, становищата и докладът се съхраняват в детското портфолио и в личното образователно дело на детето.“</w:t>
            </w:r>
          </w:p>
          <w:p w14:paraId="2BDE2C9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lastRenderedPageBreak/>
              <w:t>Чл. 15. Общата подкрепа за личностно развитие в училището, която е насочена към всички ученици в класа, гарантира участието и изявата им в образователния процес и в дейността на училището и включва:</w:t>
            </w:r>
          </w:p>
          <w:p w14:paraId="05605FF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 екипна работа между учителите и другите педагогически специалисти;</w:t>
            </w:r>
          </w:p>
          <w:p w14:paraId="5D4E3D6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2. допълнително обучение по учебни предмети;</w:t>
            </w:r>
          </w:p>
          <w:p w14:paraId="1D976F5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 допълнително консултиране по учебни предмети;</w:t>
            </w:r>
          </w:p>
          <w:p w14:paraId="55982AC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4. кариерно ориентиране на учениците;</w:t>
            </w:r>
          </w:p>
          <w:p w14:paraId="49AE3F5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5. занимания по интереси;</w:t>
            </w:r>
          </w:p>
          <w:p w14:paraId="3CC153D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6. библиотечно-информационно обслужване;</w:t>
            </w:r>
          </w:p>
          <w:p w14:paraId="5FBA010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7. грижа за здравето;</w:t>
            </w:r>
          </w:p>
          <w:p w14:paraId="7DC70E0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8. осигуряване на общежитие;</w:t>
            </w:r>
          </w:p>
          <w:p w14:paraId="58735A7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9. поощряване с морални и материални награди;</w:t>
            </w:r>
          </w:p>
          <w:p w14:paraId="5C61B12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10. дейности за превенция на насилието и преодоляване на проблемното поведение;</w:t>
            </w:r>
          </w:p>
          <w:p w14:paraId="2AD570D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11. дейности за превенция на обучителните затруднения;</w:t>
            </w:r>
          </w:p>
          <w:p w14:paraId="5957D6B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12. логопедична работа.</w:t>
            </w:r>
          </w:p>
        </w:tc>
      </w:tr>
      <w:tr w:rsidR="00D857FE" w:rsidRPr="00D83669" w14:paraId="0454B858" w14:textId="77777777" w:rsidTr="00DC4605">
        <w:tc>
          <w:tcPr>
            <w:tcW w:w="2405" w:type="dxa"/>
            <w:shd w:val="clear" w:color="auto" w:fill="auto"/>
            <w:vAlign w:val="center"/>
          </w:tcPr>
          <w:p w14:paraId="31BC75F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Мерна единица</w:t>
            </w:r>
          </w:p>
        </w:tc>
        <w:tc>
          <w:tcPr>
            <w:tcW w:w="7235" w:type="dxa"/>
            <w:shd w:val="clear" w:color="auto" w:fill="auto"/>
            <w:vAlign w:val="center"/>
          </w:tcPr>
          <w:p w14:paraId="2607625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4B18FE33" w14:textId="77777777" w:rsidTr="00DC4605">
        <w:tc>
          <w:tcPr>
            <w:tcW w:w="2405" w:type="dxa"/>
            <w:shd w:val="clear" w:color="auto" w:fill="auto"/>
            <w:vAlign w:val="center"/>
          </w:tcPr>
          <w:p w14:paraId="4130AA70" w14:textId="34AAD1AC" w:rsidR="00D857FE" w:rsidRPr="00D83669" w:rsidRDefault="007D4891" w:rsidP="00CC7BCB">
            <w:pPr>
              <w:spacing w:after="120"/>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0307537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51 864</w:t>
            </w:r>
          </w:p>
        </w:tc>
      </w:tr>
      <w:tr w:rsidR="00D857FE" w:rsidRPr="00D83669" w14:paraId="66666823" w14:textId="77777777" w:rsidTr="00DC4605">
        <w:tc>
          <w:tcPr>
            <w:tcW w:w="2405" w:type="dxa"/>
            <w:shd w:val="clear" w:color="auto" w:fill="auto"/>
            <w:vAlign w:val="center"/>
          </w:tcPr>
          <w:p w14:paraId="18DCD6CE" w14:textId="183A7C64"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p w14:paraId="6B295302" w14:textId="77777777" w:rsidR="00D857FE" w:rsidRPr="00D83669" w:rsidRDefault="00D857FE" w:rsidP="00CC7BCB">
            <w:pPr>
              <w:rPr>
                <w:rFonts w:ascii="Times New Roman" w:hAnsi="Times New Roman"/>
                <w:sz w:val="24"/>
              </w:rPr>
            </w:pPr>
          </w:p>
        </w:tc>
        <w:tc>
          <w:tcPr>
            <w:tcW w:w="7235" w:type="dxa"/>
            <w:shd w:val="clear" w:color="auto" w:fill="auto"/>
            <w:vAlign w:val="center"/>
          </w:tcPr>
          <w:p w14:paraId="2B625A1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е определена на база изчислените единични разходи за допълнителни занимания на деца в предучилищно образование и за ученици в училищното образование, прилагани в периода 2018 – 2020 г., за които е предвиден процент на индексация, на база очаквано увеличение на разходите за труд в сектор „Образование“ за периода до 2029 г., имайки предвид че преобладаващата част от единичните разходи за обща подкрепа за личностно развитие (допълнителни занимания по образователни направления и учебни предмети и занимания по интереси) на децата и учениците са свързани с разходи за възнаграждения и са в пряка зависимост от ръста на разходите за труд.</w:t>
            </w:r>
            <w:r w:rsidRPr="00D83669">
              <w:t xml:space="preserve"> </w:t>
            </w:r>
            <w:r w:rsidRPr="00D83669">
              <w:rPr>
                <w:rFonts w:ascii="Times New Roman" w:hAnsi="Times New Roman"/>
                <w:sz w:val="24"/>
              </w:rPr>
              <w:t>Ефектът на единичния разход за обща подкрепа на деца/ученици от уязвими групи и със затруднения в ученето отразява необходимо присъщите разходи като възнаграждения на педагогически специалисти – учители, логопеди, психолози, учебни пособия, дидактически материали и консумативи, т.е. разходи пряко свързани с провеждане на педагогически ситуации, от които най-голям относителен дял (над 70%) имат разходите за труд на педагогическите специалисти.</w:t>
            </w:r>
          </w:p>
          <w:p w14:paraId="77268FE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За операцията планирана за реализиране чрез подхода ВОМР целевата стойност на деца и ученици от уязвими групи, с обучителни затруднения, в риск от отпадане от образование, получили подкрепа се базира на исторически данни и анализа за разширяване обхвата на </w:t>
            </w:r>
            <w:r w:rsidRPr="00D83669">
              <w:rPr>
                <w:rFonts w:ascii="Times New Roman" w:hAnsi="Times New Roman"/>
                <w:sz w:val="24"/>
              </w:rPr>
              <w:lastRenderedPageBreak/>
              <w:t>подхода за 2021 – 2027. В тази връзка целева стойност, след индексация, се определя на 4 069 деца и 5 618 ученици, които да бъдат включени в дейностите по подхода ВОМР или 9 687.</w:t>
            </w:r>
          </w:p>
          <w:p w14:paraId="1D6B543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на учениците от уязвими групи по операцията за десегрегация на училищата е 17 832 (половината от всички ученици, вкл. от неуязвими групи, обхванати в дейности за десегрегация предвид спецификата на операцията), участници в допълнителни занимания в приемните училища и междуучилищен обмен. </w:t>
            </w:r>
          </w:p>
          <w:p w14:paraId="398A2D3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децата и учениците от уязвими групи по операцията за утвърждаване на интеркултурното образование е 24 345, след индексация, което е 7 303 деца, обхванати в допълнителни занимания в детските градини за подпомагане прехода към формалното образование за придобиване на умения към творческо мултикултурно мислене и толерантност и 17 042 ученици от уязвими групи в занимания по интереси за придобиване на знания към литературното и културно наследство, четене, творческо мислене, природните и точните науки.</w:t>
            </w:r>
          </w:p>
          <w:p w14:paraId="04F5D7DA" w14:textId="08EE9000"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по тази СЦ е сбор от целевите стойности на децата и учениците в дейностите по тази СЦ, което е 51 864. (9 687 + 17 832 + 24 345 = 51 864).</w:t>
            </w:r>
          </w:p>
        </w:tc>
      </w:tr>
      <w:tr w:rsidR="00D857FE" w:rsidRPr="00D83669" w14:paraId="3A3EAC84" w14:textId="77777777" w:rsidTr="00DC4605">
        <w:tc>
          <w:tcPr>
            <w:tcW w:w="2405" w:type="dxa"/>
            <w:shd w:val="clear" w:color="auto" w:fill="auto"/>
            <w:vAlign w:val="center"/>
          </w:tcPr>
          <w:p w14:paraId="01B5EB6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Междинна цел</w:t>
            </w:r>
          </w:p>
        </w:tc>
        <w:tc>
          <w:tcPr>
            <w:tcW w:w="7235" w:type="dxa"/>
            <w:shd w:val="clear" w:color="auto" w:fill="auto"/>
            <w:vAlign w:val="center"/>
          </w:tcPr>
          <w:p w14:paraId="3B154682" w14:textId="1B69BB3F" w:rsidR="00D857FE" w:rsidRPr="00D83669" w:rsidRDefault="008020D8" w:rsidP="00CC7BCB">
            <w:pPr>
              <w:spacing w:after="120"/>
              <w:jc w:val="both"/>
              <w:rPr>
                <w:rFonts w:ascii="Times New Roman" w:hAnsi="Times New Roman"/>
                <w:sz w:val="24"/>
              </w:rPr>
            </w:pPr>
            <w:r w:rsidRPr="00D83669">
              <w:rPr>
                <w:rFonts w:ascii="Times New Roman" w:hAnsi="Times New Roman"/>
                <w:sz w:val="24"/>
              </w:rPr>
              <w:t>9 001</w:t>
            </w:r>
          </w:p>
        </w:tc>
      </w:tr>
      <w:tr w:rsidR="00D857FE" w:rsidRPr="00D83669" w14:paraId="72860255" w14:textId="77777777" w:rsidTr="00DC4605">
        <w:tc>
          <w:tcPr>
            <w:tcW w:w="2405" w:type="dxa"/>
            <w:shd w:val="clear" w:color="auto" w:fill="auto"/>
            <w:vAlign w:val="center"/>
          </w:tcPr>
          <w:p w14:paraId="116D12C8"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235" w:type="dxa"/>
            <w:shd w:val="clear" w:color="auto" w:fill="auto"/>
            <w:vAlign w:val="center"/>
          </w:tcPr>
          <w:p w14:paraId="2076396E" w14:textId="05FD9216" w:rsidR="00D857FE" w:rsidRPr="00D83669" w:rsidRDefault="00DD6E5B" w:rsidP="00CC7BCB">
            <w:pPr>
              <w:spacing w:after="120"/>
              <w:jc w:val="both"/>
              <w:rPr>
                <w:rFonts w:ascii="Times New Roman" w:hAnsi="Times New Roman"/>
                <w:sz w:val="24"/>
              </w:rPr>
            </w:pPr>
            <w:r w:rsidRPr="00D83669">
              <w:rPr>
                <w:rFonts w:ascii="Times New Roman" w:hAnsi="Times New Roman"/>
                <w:sz w:val="24"/>
              </w:rPr>
              <w:t>Етапната цел е съобразно планирания график на операциите по подхода ВОМР, подхода ИТИ и операцията за интеркултурно образование, които стартират в края на 2023 г. и през 2024 г. с реално изпълнение на дейности от края на 2023 г до края на 2024г. Етапната цел се определя, като се взема предвид определения финансов ресурс за всяка операция,  разделен на планирания брой години за изпълнението им и отчитането на стойности на показателя до края на 2024 г. Етапната цел представлява сбор на деца и ученици, обхванати в: операция по подхода ВОМР, която стартира в края на 2023 г.  с определения финансов ресурс с продължителност 7 години съгласно спецификите на прилагане на подхода ВОМР и обхват на не повече от 1/3 от децата и учениците от уязвими групи на показателя (4069/7*1/3 =194 деца +</w:t>
            </w:r>
            <w:r w:rsidR="00CE65F0" w:rsidRPr="00D83669">
              <w:rPr>
                <w:rFonts w:ascii="Times New Roman" w:hAnsi="Times New Roman"/>
                <w:sz w:val="24"/>
              </w:rPr>
              <w:t xml:space="preserve"> </w:t>
            </w:r>
            <w:r w:rsidRPr="00D83669">
              <w:rPr>
                <w:rFonts w:ascii="Times New Roman" w:hAnsi="Times New Roman"/>
                <w:sz w:val="24"/>
              </w:rPr>
              <w:t>5618/7*1/3=268 ученици) или 462; операцията по подхода ИТИ стартира през 2024 г. с определения финансов ресурс с продължителност от 7 години съгласно спецификите на прилагане на подхода ИТИ и обхват на не повече от 1/6 на деца и ученици от уязвими групи на показателя  или 17832/7*1/6=425; операцията за интеркултурно образование стартира в края на 2023 г. с продължителност 3 години чрез процедура за подбор на проекти, обхват на не повече от 1/3 от деца и ученици от уязвими групи (7303*1/3=2434 деца +17042*1/3=5680 ученици) или 8114. Етапната цел е сбор от децата и учениците от уязвими групи, подкрепени  по трите операции до края на 2024 г. или 462+425+8114=9001.</w:t>
            </w:r>
          </w:p>
        </w:tc>
      </w:tr>
      <w:tr w:rsidR="00D857FE" w:rsidRPr="00D83669" w14:paraId="59861290" w14:textId="77777777" w:rsidTr="00DC4605">
        <w:tc>
          <w:tcPr>
            <w:tcW w:w="2405" w:type="dxa"/>
            <w:shd w:val="clear" w:color="auto" w:fill="auto"/>
            <w:vAlign w:val="center"/>
          </w:tcPr>
          <w:p w14:paraId="1A145AC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19EAA343" w14:textId="77777777" w:rsidR="00D857FE" w:rsidRPr="00D83669" w:rsidRDefault="00D857FE" w:rsidP="00CC7BCB">
            <w:pPr>
              <w:spacing w:after="120"/>
              <w:jc w:val="both"/>
              <w:rPr>
                <w:rFonts w:ascii="Times New Roman" w:hAnsi="Times New Roman"/>
                <w:sz w:val="24"/>
                <w:lang w:val="en-US"/>
              </w:rPr>
            </w:pPr>
            <w:r w:rsidRPr="00D83669">
              <w:rPr>
                <w:rFonts w:ascii="Times New Roman" w:hAnsi="Times New Roman"/>
                <w:sz w:val="24"/>
                <w:lang w:val="en-US"/>
              </w:rPr>
              <w:t>0</w:t>
            </w:r>
          </w:p>
        </w:tc>
      </w:tr>
      <w:tr w:rsidR="00D857FE" w:rsidRPr="00D83669" w14:paraId="6EA9AC2E" w14:textId="77777777" w:rsidTr="00DC4605">
        <w:tc>
          <w:tcPr>
            <w:tcW w:w="2405" w:type="dxa"/>
            <w:shd w:val="clear" w:color="auto" w:fill="auto"/>
            <w:vAlign w:val="center"/>
          </w:tcPr>
          <w:p w14:paraId="0782F44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 xml:space="preserve">Разбивка </w:t>
            </w:r>
          </w:p>
        </w:tc>
        <w:tc>
          <w:tcPr>
            <w:tcW w:w="7235" w:type="dxa"/>
            <w:shd w:val="clear" w:color="auto" w:fill="auto"/>
            <w:vAlign w:val="center"/>
          </w:tcPr>
          <w:p w14:paraId="45E1489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децата и ученици от уязвими групи по демографски, социални характеристики, както и по териториален подход и учебно заведение.</w:t>
            </w:r>
          </w:p>
        </w:tc>
      </w:tr>
      <w:tr w:rsidR="00D857FE" w:rsidRPr="00D83669" w14:paraId="514BCBE4" w14:textId="77777777" w:rsidTr="00DC4605">
        <w:tc>
          <w:tcPr>
            <w:tcW w:w="2405" w:type="dxa"/>
            <w:shd w:val="clear" w:color="auto" w:fill="auto"/>
            <w:vAlign w:val="center"/>
          </w:tcPr>
          <w:p w14:paraId="7E3F41D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5BCCD859" w14:textId="694AD656"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са необходими с оглед постигане на заложени цели в политиките за образование, в редица стратегически документи за уязвими групи. Показателят е ориентиран към цели, заложени в стратегически документи например като Стратегическа рамка за развитие на образованието, обучението и ученето на Република България 2021 – 2030, Рамкова стратегия за ромите до 2030 г., и др., проекта на Стратегически план за развитие на земеделието и селските райони. </w:t>
            </w:r>
          </w:p>
          <w:p w14:paraId="5C94BE0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Информацията служи за ориентир/коректив при определяне на политики за приобщаващото образование, по специално за уязвимите групи. </w:t>
            </w:r>
          </w:p>
        </w:tc>
      </w:tr>
      <w:tr w:rsidR="00D857FE" w:rsidRPr="00D83669" w14:paraId="4D08466B" w14:textId="77777777" w:rsidTr="00DC4605">
        <w:tc>
          <w:tcPr>
            <w:tcW w:w="2405" w:type="dxa"/>
            <w:shd w:val="clear" w:color="auto" w:fill="auto"/>
            <w:vAlign w:val="center"/>
          </w:tcPr>
          <w:p w14:paraId="63D9DB7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37C65FA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бенефициентите, вкл. от МИГ и се представят с междинните и финални отчети (технически и финансови) на УО. Данни се събират и чрез анкетни карти сред родителите на децата и учениците в предучилищното и училищното образование. Данните се обработват и валидират от УО всяка година в годишен доклад за напредъка на Програмата. </w:t>
            </w:r>
          </w:p>
          <w:p w14:paraId="5050F65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ниво на образование, вкл. и на родителите, и др.; учебно заведение, община, район, населено място, МИГ, и др., както и информация по вида на обхванатите деца и ученици със СОП, деца с хронични заболявания, деца в риск и деца с изявени дарби, когато е приложимо.</w:t>
            </w:r>
          </w:p>
        </w:tc>
      </w:tr>
      <w:tr w:rsidR="00D857FE" w:rsidRPr="00D83669" w14:paraId="2AAFC510" w14:textId="77777777" w:rsidTr="00DC4605">
        <w:tc>
          <w:tcPr>
            <w:tcW w:w="2405" w:type="dxa"/>
            <w:shd w:val="clear" w:color="auto" w:fill="auto"/>
            <w:vAlign w:val="center"/>
          </w:tcPr>
          <w:p w14:paraId="518261A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11E8CA9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22006CEE" w14:textId="77777777" w:rsidTr="00DC4605">
        <w:tc>
          <w:tcPr>
            <w:tcW w:w="2405" w:type="dxa"/>
            <w:shd w:val="clear" w:color="auto" w:fill="auto"/>
            <w:vAlign w:val="center"/>
          </w:tcPr>
          <w:p w14:paraId="3427CCFB" w14:textId="770D95FA"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75EF8EAC" w14:textId="77777777" w:rsidR="00D857FE" w:rsidRPr="00D83669" w:rsidRDefault="00D857FE" w:rsidP="00D857FE">
            <w:pPr>
              <w:pStyle w:val="ListParagraph"/>
              <w:numPr>
                <w:ilvl w:val="0"/>
                <w:numId w:val="25"/>
              </w:numPr>
              <w:spacing w:after="0" w:line="240" w:lineRule="auto"/>
              <w:jc w:val="both"/>
              <w:rPr>
                <w:rFonts w:ascii="Times New Roman" w:hAnsi="Times New Roman"/>
                <w:sz w:val="24"/>
              </w:rPr>
            </w:pPr>
            <w:r w:rsidRPr="00D83669">
              <w:rPr>
                <w:rFonts w:ascii="Times New Roman" w:hAnsi="Times New Roman"/>
                <w:sz w:val="24"/>
              </w:rPr>
              <w:t xml:space="preserve">SRI 1.2. Брой деца и ученици от уязвими групи с подобрени образователни резултати 1 година след участие в операцията; </w:t>
            </w:r>
          </w:p>
          <w:p w14:paraId="0241665B" w14:textId="77777777" w:rsidR="00D857FE" w:rsidRPr="00D83669" w:rsidRDefault="00D857FE" w:rsidP="00D857FE">
            <w:pPr>
              <w:pStyle w:val="ListParagraph"/>
              <w:numPr>
                <w:ilvl w:val="0"/>
                <w:numId w:val="25"/>
              </w:numPr>
              <w:spacing w:after="0" w:line="240" w:lineRule="auto"/>
              <w:jc w:val="both"/>
              <w:rPr>
                <w:rFonts w:ascii="Times New Roman" w:hAnsi="Times New Roman"/>
                <w:sz w:val="24"/>
              </w:rPr>
            </w:pPr>
            <w:r w:rsidRPr="00D83669">
              <w:rPr>
                <w:rFonts w:ascii="Times New Roman" w:hAnsi="Times New Roman"/>
                <w:sz w:val="24"/>
              </w:rPr>
              <w:t>EECO15 участници от малцинства (включително маргинализирани общности като ромите).</w:t>
            </w:r>
          </w:p>
        </w:tc>
      </w:tr>
      <w:tr w:rsidR="00D857FE" w:rsidRPr="00D83669" w14:paraId="0C7AC949" w14:textId="77777777" w:rsidTr="00DC4605">
        <w:tc>
          <w:tcPr>
            <w:tcW w:w="2405" w:type="dxa"/>
            <w:shd w:val="clear" w:color="auto" w:fill="auto"/>
            <w:vAlign w:val="center"/>
          </w:tcPr>
          <w:p w14:paraId="055F9EF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40620C33" w14:textId="3FEF63AD"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децата и ученици от уязвими групи, с обучителни трудности, в риск от отпадане, вкл. със СОП, с хронични заболявания, в риск и с изявени дарби, подкрепени в дейности по СЦ по чл. 4, пар. 1, буква й) на ПО 2021 – 2027, и е по-малка от всички участници в операциите по тази специфична цел като е по-малка от целевата стойност на показател за краен продукт EECO15 малцинства (включително маргинализирани общности като ромите).</w:t>
            </w:r>
          </w:p>
        </w:tc>
      </w:tr>
    </w:tbl>
    <w:p w14:paraId="5D88B74E" w14:textId="77777777" w:rsidR="00D857FE" w:rsidRPr="00D83669" w:rsidRDefault="00D857FE" w:rsidP="00D857FE">
      <w:r w:rsidRPr="00D83669">
        <w:br w:type="page"/>
      </w:r>
    </w:p>
    <w:p w14:paraId="60ED179B" w14:textId="4391A787" w:rsidR="00D857FE" w:rsidRPr="00D83669" w:rsidRDefault="00D857FE" w:rsidP="007C64A2">
      <w:pPr>
        <w:pStyle w:val="Heading3"/>
        <w:rPr>
          <w:b/>
          <w:bCs/>
          <w:i/>
          <w:iCs/>
          <w:sz w:val="22"/>
          <w:szCs w:val="22"/>
        </w:rPr>
      </w:pPr>
      <w:bookmarkStart w:id="123" w:name="_Toc100152992"/>
      <w:bookmarkStart w:id="124" w:name="_Toc103586667"/>
      <w:r w:rsidRPr="00D83669">
        <w:rPr>
          <w:b/>
          <w:bCs/>
          <w:i/>
          <w:iCs/>
          <w:sz w:val="22"/>
          <w:szCs w:val="22"/>
        </w:rPr>
        <w:lastRenderedPageBreak/>
        <w:t>SOI 1.5. Педагогически специалисти и непедагогически персонал, обучени за работа с деца и ученици от уязвими групи</w:t>
      </w:r>
      <w:bookmarkEnd w:id="123"/>
      <w:bookmarkEnd w:id="124"/>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72458F5C" w14:textId="77777777" w:rsidTr="00DC4605">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2AF8136" w14:textId="5DCFAD33"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1FC975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47EFBC25" w14:textId="77777777" w:rsidTr="00DC4605">
        <w:tc>
          <w:tcPr>
            <w:tcW w:w="2405" w:type="dxa"/>
            <w:shd w:val="clear" w:color="auto" w:fill="auto"/>
            <w:vAlign w:val="center"/>
          </w:tcPr>
          <w:p w14:paraId="7199AF36" w14:textId="03347711"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Показател </w:t>
            </w:r>
          </w:p>
        </w:tc>
        <w:tc>
          <w:tcPr>
            <w:tcW w:w="7235" w:type="dxa"/>
            <w:shd w:val="clear" w:color="auto" w:fill="auto"/>
            <w:vAlign w:val="center"/>
          </w:tcPr>
          <w:p w14:paraId="2FE38EF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SOI 1.5. Педагогически специалисти и непедагогически персонал, обучени за работа с деца и ученици от уязвими групи</w:t>
            </w:r>
          </w:p>
        </w:tc>
      </w:tr>
      <w:tr w:rsidR="00D857FE" w:rsidRPr="00D83669" w14:paraId="27C09D15" w14:textId="77777777" w:rsidTr="00DC4605">
        <w:tc>
          <w:tcPr>
            <w:tcW w:w="2405" w:type="dxa"/>
            <w:shd w:val="clear" w:color="auto" w:fill="auto"/>
            <w:vAlign w:val="center"/>
          </w:tcPr>
          <w:p w14:paraId="5311B64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698B8029" w14:textId="0EC86C1E"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7CA17764" w14:textId="77777777" w:rsidTr="00DC4605">
        <w:tc>
          <w:tcPr>
            <w:tcW w:w="2405" w:type="dxa"/>
            <w:shd w:val="clear" w:color="auto" w:fill="auto"/>
            <w:vAlign w:val="center"/>
          </w:tcPr>
          <w:p w14:paraId="2356EF98"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5932603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й)</w:t>
            </w:r>
            <w:r w:rsidRPr="00D83669">
              <w:rPr>
                <w:rFonts w:ascii="Times New Roman" w:hAnsi="Times New Roman"/>
                <w:sz w:val="24"/>
              </w:rPr>
              <w:t xml:space="preserve"> – Насърчаване на социално-икономическата интеграция на граждани на трети държави и на маргинализирани общности, като например ромите</w:t>
            </w:r>
          </w:p>
        </w:tc>
      </w:tr>
      <w:tr w:rsidR="00D857FE" w:rsidRPr="00D83669" w14:paraId="3DA328D6" w14:textId="77777777" w:rsidTr="00DC4605">
        <w:tc>
          <w:tcPr>
            <w:tcW w:w="2405" w:type="dxa"/>
            <w:shd w:val="clear" w:color="auto" w:fill="auto"/>
            <w:vAlign w:val="center"/>
          </w:tcPr>
          <w:p w14:paraId="596E22A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7133322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Създаване на условия за достъп до образование чрез преодоляване на демографски, социални и културни бариери, </w:t>
            </w:r>
            <w:r w:rsidRPr="00D83669">
              <w:rPr>
                <w:rFonts w:ascii="Times New Roman" w:hAnsi="Times New Roman"/>
                <w:i/>
                <w:sz w:val="24"/>
              </w:rPr>
              <w:t>подход ВОМР</w:t>
            </w:r>
          </w:p>
          <w:p w14:paraId="5418272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Комплексни програми на общинско ниво за десегрегация на училищата, превенция на вторичната сегрегация и против дискриминацията</w:t>
            </w:r>
          </w:p>
        </w:tc>
      </w:tr>
      <w:tr w:rsidR="00D857FE" w:rsidRPr="00D83669" w14:paraId="7E49ECC0" w14:textId="77777777" w:rsidTr="00DC4605">
        <w:tc>
          <w:tcPr>
            <w:tcW w:w="2405" w:type="dxa"/>
            <w:shd w:val="clear" w:color="auto" w:fill="auto"/>
            <w:vAlign w:val="center"/>
          </w:tcPr>
          <w:p w14:paraId="3762648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54B726CB" w14:textId="39E8836F"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броя обучените педагогически специалисти и непедагогически персонал – образователни медиатори, помощник на учителя, социални работници, придобили и/или надградили умения за работа в мултикултурна образователна среда и десегрегация на училищата.</w:t>
            </w:r>
          </w:p>
          <w:p w14:paraId="115829D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Целта на обученията е повишаване на капацитета, квалификацията и уменията на педагогическите специалисти и непедагогическия персонал от предучилищното и училищното образование за работа в мултикултурна образователна среда и десегрегацията в училищата.</w:t>
            </w:r>
          </w:p>
        </w:tc>
      </w:tr>
      <w:tr w:rsidR="00D857FE" w:rsidRPr="00D83669" w14:paraId="377D4291" w14:textId="77777777" w:rsidTr="00DC4605">
        <w:tc>
          <w:tcPr>
            <w:tcW w:w="2405" w:type="dxa"/>
            <w:shd w:val="clear" w:color="auto" w:fill="auto"/>
            <w:vAlign w:val="center"/>
          </w:tcPr>
          <w:p w14:paraId="750C852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7C5DD9E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593919B4" w14:textId="77777777" w:rsidTr="00DC4605">
        <w:tc>
          <w:tcPr>
            <w:tcW w:w="2405" w:type="dxa"/>
            <w:shd w:val="clear" w:color="auto" w:fill="auto"/>
            <w:vAlign w:val="center"/>
          </w:tcPr>
          <w:p w14:paraId="5B6F91CF" w14:textId="34C692A2" w:rsidR="00D857FE" w:rsidRPr="00D83669" w:rsidRDefault="00C27583" w:rsidP="00CC7BCB">
            <w:pPr>
              <w:spacing w:after="120"/>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6239A9E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6</w:t>
            </w:r>
            <w:r w:rsidRPr="00D83669">
              <w:rPr>
                <w:rFonts w:ascii="Times New Roman" w:hAnsi="Times New Roman"/>
                <w:sz w:val="24"/>
                <w:lang w:val="en-US"/>
              </w:rPr>
              <w:t> </w:t>
            </w:r>
            <w:r w:rsidRPr="00D83669">
              <w:rPr>
                <w:rFonts w:ascii="Times New Roman" w:hAnsi="Times New Roman"/>
                <w:sz w:val="24"/>
              </w:rPr>
              <w:t>419</w:t>
            </w:r>
          </w:p>
        </w:tc>
      </w:tr>
      <w:tr w:rsidR="00D857FE" w:rsidRPr="00D83669" w14:paraId="4145B128" w14:textId="77777777" w:rsidTr="00DC4605">
        <w:tc>
          <w:tcPr>
            <w:tcW w:w="2405" w:type="dxa"/>
            <w:shd w:val="clear" w:color="auto" w:fill="auto"/>
            <w:vAlign w:val="center"/>
          </w:tcPr>
          <w:p w14:paraId="7E9BED19" w14:textId="40F4249F"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3EE3C8B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е определена на база изчислените единични разходи за обучения на педагогически специалисти и непедагогически персонал, прилагани през периода 2018 – 2020 г., за които е предвиден процент на индексация на база очакваното увеличение на разходите за труд в сектор „Образование“ за периода до 2027 г., имайки предвид че преобладаващата част от единичните разходи за обучения са свързани с разходи за възнаграждения (80%) и са в пряка зависимост от ръста на разходите за труд.</w:t>
            </w:r>
          </w:p>
          <w:p w14:paraId="4397552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се определя от целевите стойности на педагогически специалисти и непедагогически персонал по планираните операции с териториални подходи ВОМР и ИТИ.</w:t>
            </w:r>
          </w:p>
          <w:p w14:paraId="1FAB19C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По операция, планирана за реализиране чрез подхода ВОМР индексираният брой на педагогическите специалисти, на база налични данни по ОПНОИР и разширяване подхода ВОМР за 2021 – 2027 г., се определя на 3,035% от педагогическия персонал в предучилищното и училищно образование по данни на НСИ за 2019/2020 г. или (20 050 + 65 417) * 3,035% = 2 594. </w:t>
            </w:r>
          </w:p>
          <w:p w14:paraId="0209BCBF" w14:textId="2806FD36" w:rsidR="00D857FE" w:rsidRPr="00D83669" w:rsidRDefault="00D857FE" w:rsidP="00CC7BCB">
            <w:pPr>
              <w:spacing w:after="120"/>
              <w:jc w:val="both"/>
              <w:rPr>
                <w:rFonts w:ascii="Times New Roman" w:hAnsi="Times New Roman"/>
                <w:sz w:val="24"/>
              </w:rPr>
            </w:pPr>
            <w:r w:rsidRPr="00D83669">
              <w:rPr>
                <w:rFonts w:ascii="Times New Roman" w:hAnsi="Times New Roman"/>
                <w:sz w:val="24"/>
              </w:rPr>
              <w:lastRenderedPageBreak/>
              <w:t>По операция, планирана за реализиране чрез подхода ИТИ, индексираният брой на педагогическите специалисти на база налични данни по ОПНОИР (за обучение на педагогически специалисти за работа в мултикултурна образователна среда Показател 3212) се определя на 5,013% от педагогическия персонал в училищното образование по данни на НСИ за 2019/2020 г. или 65</w:t>
            </w:r>
            <w:r w:rsidRPr="00D83669">
              <w:rPr>
                <w:rFonts w:ascii="Times New Roman" w:hAnsi="Times New Roman"/>
                <w:sz w:val="24"/>
                <w:lang w:val="en-US"/>
              </w:rPr>
              <w:t> </w:t>
            </w:r>
            <w:r w:rsidRPr="00D83669">
              <w:rPr>
                <w:rFonts w:ascii="Times New Roman" w:hAnsi="Times New Roman"/>
                <w:sz w:val="24"/>
              </w:rPr>
              <w:t>417</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5,013% е 3</w:t>
            </w:r>
            <w:r w:rsidRPr="00D83669">
              <w:rPr>
                <w:rFonts w:ascii="Times New Roman" w:hAnsi="Times New Roman"/>
                <w:sz w:val="24"/>
                <w:lang w:val="en-US"/>
              </w:rPr>
              <w:t> </w:t>
            </w:r>
            <w:r w:rsidRPr="00D83669">
              <w:rPr>
                <w:rFonts w:ascii="Times New Roman" w:hAnsi="Times New Roman"/>
                <w:sz w:val="24"/>
              </w:rPr>
              <w:t>280.</w:t>
            </w:r>
          </w:p>
          <w:p w14:paraId="4A9A94B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545 образователни медиатори/непедагогически персонал (след индексация) ще бъдат обучени по теми за работа в мултикултурна среда и за училищната десегрегация. Прогнозната стойност на непедагогическия персонал се определя от назначените по проекти 2.011 и 3.005, които общо са 1</w:t>
            </w:r>
            <w:r w:rsidRPr="00D83669">
              <w:rPr>
                <w:rFonts w:ascii="Times New Roman" w:hAnsi="Times New Roman"/>
                <w:sz w:val="24"/>
                <w:lang w:val="en-US"/>
              </w:rPr>
              <w:t> </w:t>
            </w:r>
            <w:r w:rsidRPr="00D83669">
              <w:rPr>
                <w:rFonts w:ascii="Times New Roman" w:hAnsi="Times New Roman"/>
                <w:sz w:val="24"/>
              </w:rPr>
              <w:t>345. За целите на териториалните подходи ВОМР и ИТИ прогнозните им стойности са съответно 400 ВОМР и 440 ИТИ, а целевите стойности след индексация са 260 и 285 или общо 545.</w:t>
            </w:r>
          </w:p>
          <w:p w14:paraId="2749476C" w14:textId="2F2CC9D3"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е сбор от целевите стойности на педагогическите специалисти и непедагогическия персонал, участници в обучения за работа в мултикултурна образователна среда и за превенция и преодоляване на десегрегацията или 2</w:t>
            </w:r>
            <w:r w:rsidRPr="00D83669">
              <w:rPr>
                <w:rFonts w:ascii="Times New Roman" w:hAnsi="Times New Roman"/>
                <w:sz w:val="24"/>
                <w:lang w:val="en-US"/>
              </w:rPr>
              <w:t> </w:t>
            </w:r>
            <w:r w:rsidRPr="00D83669">
              <w:rPr>
                <w:rFonts w:ascii="Times New Roman" w:hAnsi="Times New Roman"/>
                <w:sz w:val="24"/>
              </w:rPr>
              <w:t>594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3</w:t>
            </w:r>
            <w:r w:rsidRPr="00D83669">
              <w:rPr>
                <w:rFonts w:ascii="Times New Roman" w:hAnsi="Times New Roman"/>
                <w:sz w:val="24"/>
                <w:lang w:val="en-US"/>
              </w:rPr>
              <w:t> </w:t>
            </w:r>
            <w:r w:rsidRPr="00D83669">
              <w:rPr>
                <w:rFonts w:ascii="Times New Roman" w:hAnsi="Times New Roman"/>
                <w:sz w:val="24"/>
              </w:rPr>
              <w:t>280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545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6</w:t>
            </w:r>
            <w:r w:rsidRPr="00D83669">
              <w:rPr>
                <w:rFonts w:ascii="Times New Roman" w:hAnsi="Times New Roman"/>
                <w:sz w:val="24"/>
                <w:lang w:val="en-US"/>
              </w:rPr>
              <w:t> </w:t>
            </w:r>
            <w:r w:rsidRPr="00D83669">
              <w:rPr>
                <w:rFonts w:ascii="Times New Roman" w:hAnsi="Times New Roman"/>
                <w:sz w:val="24"/>
              </w:rPr>
              <w:t>419.</w:t>
            </w:r>
          </w:p>
        </w:tc>
      </w:tr>
      <w:tr w:rsidR="00D857FE" w:rsidRPr="00D83669" w14:paraId="58F8397B" w14:textId="77777777" w:rsidTr="00DC4605">
        <w:tc>
          <w:tcPr>
            <w:tcW w:w="2405" w:type="dxa"/>
            <w:shd w:val="clear" w:color="auto" w:fill="auto"/>
            <w:vAlign w:val="center"/>
          </w:tcPr>
          <w:p w14:paraId="29AA2AD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Междинна цел</w:t>
            </w:r>
          </w:p>
        </w:tc>
        <w:tc>
          <w:tcPr>
            <w:tcW w:w="7235" w:type="dxa"/>
            <w:shd w:val="clear" w:color="auto" w:fill="auto"/>
            <w:vAlign w:val="center"/>
          </w:tcPr>
          <w:p w14:paraId="003A55BF" w14:textId="6BDA0A4A" w:rsidR="00D857FE" w:rsidRPr="00D83669" w:rsidRDefault="001E0147" w:rsidP="00CC7BCB">
            <w:pPr>
              <w:spacing w:after="120"/>
              <w:jc w:val="both"/>
              <w:rPr>
                <w:rFonts w:ascii="Times New Roman" w:hAnsi="Times New Roman"/>
                <w:sz w:val="24"/>
              </w:rPr>
            </w:pPr>
            <w:r w:rsidRPr="00D83669">
              <w:rPr>
                <w:rFonts w:ascii="Times New Roman" w:hAnsi="Times New Roman"/>
                <w:sz w:val="24"/>
              </w:rPr>
              <w:t>221</w:t>
            </w:r>
          </w:p>
        </w:tc>
      </w:tr>
      <w:tr w:rsidR="00D857FE" w:rsidRPr="00D83669" w14:paraId="10354D4C" w14:textId="77777777" w:rsidTr="00DC4605">
        <w:tc>
          <w:tcPr>
            <w:tcW w:w="2405" w:type="dxa"/>
            <w:shd w:val="clear" w:color="auto" w:fill="auto"/>
            <w:vAlign w:val="center"/>
          </w:tcPr>
          <w:p w14:paraId="45C20D4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w:t>
            </w:r>
          </w:p>
        </w:tc>
        <w:tc>
          <w:tcPr>
            <w:tcW w:w="7235" w:type="dxa"/>
            <w:shd w:val="clear" w:color="auto" w:fill="auto"/>
            <w:vAlign w:val="center"/>
          </w:tcPr>
          <w:p w14:paraId="40838294" w14:textId="4954FC9E" w:rsidR="00D857FE" w:rsidRPr="00D83669" w:rsidRDefault="0006339B" w:rsidP="00CC7BCB">
            <w:pPr>
              <w:spacing w:after="120"/>
              <w:jc w:val="both"/>
              <w:rPr>
                <w:rFonts w:ascii="Times New Roman" w:hAnsi="Times New Roman"/>
                <w:sz w:val="24"/>
              </w:rPr>
            </w:pPr>
            <w:r w:rsidRPr="00D83669">
              <w:rPr>
                <w:rFonts w:ascii="Times New Roman" w:hAnsi="Times New Roman"/>
                <w:sz w:val="24"/>
              </w:rPr>
              <w:t>Етапната цел  е съобразена с планирания график за операции по подхода ВОМР и подхода ИТИ. Операцията по подхода ВОМР стартира в края на 2023 г. с продължителност от 7 години и реално изпълнение на не повече от 1/3 от обхванатите в обучения педагогически специалисти и непедагогически персонал до края на 2024 г.(2594+260)/7*1/3=136). Операцията по подхода ИТИ стартира през 2024 г. с продължителност от 7 години и реално изпълнение на не повече от 1/6 от обхванатите в обучения педагогически специалисти и непедагогически персонал до края на 2024 г. съгласно стратегиите на регионите и концепциите за проектни предложения по ИТИ и отчитането на стойности на показателя до края на 2024 г. (3280+285)/7*1/6=85). Етапната цел е сбор от обхванатите в обучения педагогически специалисти и непедагогически персонал в операции по подхода ВОМР и подхода ИТИ съобразено със спецификите на прилагане на двата подхода и възможността за отчитане на показателя до края на 2024 г. или 136+85=221.</w:t>
            </w:r>
          </w:p>
        </w:tc>
      </w:tr>
      <w:tr w:rsidR="00D857FE" w:rsidRPr="00D83669" w14:paraId="1BBA7B43" w14:textId="77777777" w:rsidTr="00DC4605">
        <w:tc>
          <w:tcPr>
            <w:tcW w:w="2405" w:type="dxa"/>
            <w:shd w:val="clear" w:color="auto" w:fill="auto"/>
            <w:vAlign w:val="center"/>
          </w:tcPr>
          <w:p w14:paraId="67E314C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0DA2058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2080787B" w14:textId="77777777" w:rsidTr="00DC4605">
        <w:tc>
          <w:tcPr>
            <w:tcW w:w="2405" w:type="dxa"/>
            <w:shd w:val="clear" w:color="auto" w:fill="auto"/>
            <w:vAlign w:val="center"/>
          </w:tcPr>
          <w:p w14:paraId="5C1778C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0B824AE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педагогически специалисти и непедагогически персонал по демографски, социални характеристики, теми на обучение, придобита квалификация, учебно заведение, и др.</w:t>
            </w:r>
          </w:p>
        </w:tc>
      </w:tr>
      <w:tr w:rsidR="00D857FE" w:rsidRPr="00D83669" w14:paraId="34167151" w14:textId="77777777" w:rsidTr="00DC4605">
        <w:tc>
          <w:tcPr>
            <w:tcW w:w="2405" w:type="dxa"/>
            <w:shd w:val="clear" w:color="auto" w:fill="auto"/>
            <w:vAlign w:val="center"/>
          </w:tcPr>
          <w:p w14:paraId="7B9AC41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7B62D75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Събирането на данни за броя на обучените педагогически специалисти и непедагогически персонал за работа в мултикултурна </w:t>
            </w:r>
            <w:r w:rsidRPr="00D83669">
              <w:rPr>
                <w:rFonts w:ascii="Times New Roman" w:hAnsi="Times New Roman"/>
                <w:sz w:val="24"/>
              </w:rPr>
              <w:lastRenderedPageBreak/>
              <w:t xml:space="preserve">образователна среда и десегрегация на училищата е необходимо за изграждане на база от данни относно ресурсното обезпечаване на приобщаващото образование и кариерното развитие на педагогическите специалисти. Броят на извършените квалификационни дейности по програмата ще послужи на национално ниво при разработване на стратегическа визия за провеждане на политика за професионално развитие и квалификация на педагогическите специалисти, подобряване на качеството на приобщаващото образованието и ефективното планиране на мерки. Данните ще предоставят информация за броя на педагогическите специалисти, които са подготвени за нуждите на мултикултурната образователна среда като елемент на приобщаващото образование. </w:t>
            </w:r>
          </w:p>
          <w:p w14:paraId="19ECFF9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допринася за оценка на ефекта върху целевите групи – доколко и как промяната в капацитета на педагогическите специалисти се отразява на целевите групи.</w:t>
            </w:r>
          </w:p>
        </w:tc>
      </w:tr>
      <w:tr w:rsidR="00D857FE" w:rsidRPr="00D83669" w14:paraId="30C00AD2" w14:textId="77777777" w:rsidTr="00DC4605">
        <w:tc>
          <w:tcPr>
            <w:tcW w:w="2405" w:type="dxa"/>
            <w:shd w:val="clear" w:color="auto" w:fill="auto"/>
            <w:vAlign w:val="center"/>
          </w:tcPr>
          <w:p w14:paraId="5C05F70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235" w:type="dxa"/>
            <w:shd w:val="clear" w:color="auto" w:fill="auto"/>
            <w:vAlign w:val="center"/>
          </w:tcPr>
          <w:p w14:paraId="6BE1E59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от бенефициенти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5432825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преподавател в предучилищно или училищно образование, ниво на педагогическата длъжност, образователна институция, община, район, и др.</w:t>
            </w:r>
          </w:p>
        </w:tc>
      </w:tr>
      <w:tr w:rsidR="00D857FE" w:rsidRPr="00D83669" w14:paraId="06406132" w14:textId="77777777" w:rsidTr="00DC4605">
        <w:tc>
          <w:tcPr>
            <w:tcW w:w="2405" w:type="dxa"/>
            <w:shd w:val="clear" w:color="auto" w:fill="auto"/>
            <w:vAlign w:val="center"/>
          </w:tcPr>
          <w:p w14:paraId="526BD66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0E0C3B0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2E58A92" w14:textId="77777777" w:rsidTr="00DC4605">
        <w:trPr>
          <w:trHeight w:val="421"/>
        </w:trPr>
        <w:tc>
          <w:tcPr>
            <w:tcW w:w="2405" w:type="dxa"/>
            <w:shd w:val="clear" w:color="auto" w:fill="auto"/>
            <w:vAlign w:val="center"/>
          </w:tcPr>
          <w:p w14:paraId="6EDD67BE" w14:textId="644768E2"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3EE1E726"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szCs w:val="32"/>
              </w:rPr>
              <w:t>EECO15 малцинства (включително маргинализирани общности като ромите);</w:t>
            </w:r>
          </w:p>
          <w:p w14:paraId="7B6D71D8"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SOI1.6. Брой училища обхванати в дейности за десегрегация по програмата;</w:t>
            </w:r>
          </w:p>
          <w:p w14:paraId="30B571E4"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3BDF0C93"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76F22796"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SRI 1.2. Брой деца и ученици от уязвими групи с подобрени образователни резултати 1 година след участие в операцията.</w:t>
            </w:r>
          </w:p>
        </w:tc>
      </w:tr>
      <w:tr w:rsidR="00D857FE" w:rsidRPr="00D83669" w14:paraId="3C2F8891" w14:textId="77777777" w:rsidTr="00DC4605">
        <w:trPr>
          <w:trHeight w:val="421"/>
        </w:trPr>
        <w:tc>
          <w:tcPr>
            <w:tcW w:w="2405" w:type="dxa"/>
            <w:shd w:val="clear" w:color="auto" w:fill="auto"/>
            <w:vAlign w:val="center"/>
          </w:tcPr>
          <w:p w14:paraId="7B01DE3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11B73316" w14:textId="228FA003" w:rsidR="00D857FE" w:rsidRPr="00D83669" w:rsidRDefault="00D857FE" w:rsidP="00CC7BCB">
            <w:pPr>
              <w:spacing w:after="120"/>
              <w:jc w:val="both"/>
              <w:rPr>
                <w:rFonts w:ascii="Times New Roman" w:hAnsi="Times New Roman"/>
                <w:sz w:val="24"/>
                <w:szCs w:val="32"/>
              </w:rPr>
            </w:pPr>
            <w:r w:rsidRPr="00D83669">
              <w:rPr>
                <w:rFonts w:ascii="Times New Roman" w:hAnsi="Times New Roman"/>
                <w:sz w:val="24"/>
                <w:szCs w:val="32"/>
              </w:rPr>
              <w:t>Целевата стойност на показателя обхваща броя на назначените в образователната система педагогически специалисти и непедагогически персонал, участници в дейностите по СЦ по чл. 4, пар. 1, буква й) на ПО 2021 – 2027 и по-малка от броя на всички участници в дейности по тази специфична цел.</w:t>
            </w:r>
          </w:p>
        </w:tc>
      </w:tr>
    </w:tbl>
    <w:p w14:paraId="0696F7A6" w14:textId="77777777" w:rsidR="00D857FE" w:rsidRPr="00D83669" w:rsidRDefault="00D857FE" w:rsidP="00D857FE">
      <w:r w:rsidRPr="00D83669">
        <w:br w:type="page"/>
      </w:r>
    </w:p>
    <w:p w14:paraId="68A74E07" w14:textId="5985309A" w:rsidR="00D857FE" w:rsidRPr="00D83669" w:rsidRDefault="00D857FE" w:rsidP="007C64A2">
      <w:pPr>
        <w:pStyle w:val="Heading3"/>
        <w:rPr>
          <w:b/>
          <w:bCs/>
          <w:i/>
          <w:iCs/>
          <w:sz w:val="22"/>
          <w:szCs w:val="22"/>
        </w:rPr>
      </w:pPr>
      <w:bookmarkStart w:id="125" w:name="_Toc100152993"/>
      <w:bookmarkStart w:id="126" w:name="_Toc103586668"/>
      <w:r w:rsidRPr="00D83669">
        <w:rPr>
          <w:b/>
          <w:bCs/>
          <w:i/>
          <w:iCs/>
          <w:sz w:val="22"/>
          <w:szCs w:val="22"/>
        </w:rPr>
        <w:lastRenderedPageBreak/>
        <w:t>SOI</w:t>
      </w:r>
      <w:r w:rsidR="00CF3DDC" w:rsidRPr="00D83669">
        <w:rPr>
          <w:b/>
          <w:bCs/>
          <w:i/>
          <w:iCs/>
          <w:sz w:val="22"/>
          <w:szCs w:val="22"/>
        </w:rPr>
        <w:t xml:space="preserve"> </w:t>
      </w:r>
      <w:r w:rsidRPr="00D83669">
        <w:rPr>
          <w:b/>
          <w:bCs/>
          <w:i/>
          <w:iCs/>
          <w:sz w:val="22"/>
          <w:szCs w:val="22"/>
        </w:rPr>
        <w:t>1.6. Брой училища обхванати в дейности за десегрегация по програмата</w:t>
      </w:r>
      <w:bookmarkEnd w:id="125"/>
      <w:bookmarkEnd w:id="126"/>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44DAE38E" w14:textId="77777777" w:rsidTr="00BF11B7">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569619E" w14:textId="7AFA5ADE"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6D2ECF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5691086F" w14:textId="77777777" w:rsidTr="00BF11B7">
        <w:tc>
          <w:tcPr>
            <w:tcW w:w="2405" w:type="dxa"/>
            <w:shd w:val="clear" w:color="auto" w:fill="auto"/>
            <w:vAlign w:val="center"/>
          </w:tcPr>
          <w:p w14:paraId="1C588E2A" w14:textId="717CF74C"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0C5290FE" w14:textId="65A67B4E" w:rsidR="00D857FE" w:rsidRPr="00D83669" w:rsidRDefault="00D857FE" w:rsidP="00CC7BCB">
            <w:pPr>
              <w:spacing w:after="120"/>
              <w:jc w:val="both"/>
              <w:rPr>
                <w:rFonts w:ascii="Times New Roman" w:hAnsi="Times New Roman"/>
                <w:sz w:val="24"/>
              </w:rPr>
            </w:pPr>
            <w:r w:rsidRPr="00D83669">
              <w:rPr>
                <w:rFonts w:ascii="Times New Roman" w:hAnsi="Times New Roman"/>
                <w:sz w:val="24"/>
                <w:lang w:val="en-US"/>
              </w:rPr>
              <w:t>SOI</w:t>
            </w:r>
            <w:r w:rsidR="00CF3DDC" w:rsidRPr="00D83669">
              <w:rPr>
                <w:rFonts w:ascii="Times New Roman" w:hAnsi="Times New Roman"/>
                <w:sz w:val="24"/>
              </w:rPr>
              <w:t xml:space="preserve"> </w:t>
            </w:r>
            <w:r w:rsidRPr="00D83669">
              <w:rPr>
                <w:rFonts w:ascii="Times New Roman" w:hAnsi="Times New Roman"/>
                <w:sz w:val="24"/>
              </w:rPr>
              <w:t>1.6. Брой училища обхванати в дейности за десегрегация по програмата</w:t>
            </w:r>
          </w:p>
        </w:tc>
      </w:tr>
      <w:tr w:rsidR="00D857FE" w:rsidRPr="00D83669" w14:paraId="33AD4FBC" w14:textId="77777777" w:rsidTr="00BF11B7">
        <w:tc>
          <w:tcPr>
            <w:tcW w:w="2405" w:type="dxa"/>
            <w:shd w:val="clear" w:color="auto" w:fill="auto"/>
            <w:vAlign w:val="center"/>
          </w:tcPr>
          <w:p w14:paraId="14FD71F4"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5A095922" w14:textId="62281A2A"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298C9EAD" w14:textId="77777777" w:rsidTr="00BF11B7">
        <w:tc>
          <w:tcPr>
            <w:tcW w:w="2405" w:type="dxa"/>
            <w:shd w:val="clear" w:color="auto" w:fill="auto"/>
            <w:vAlign w:val="center"/>
          </w:tcPr>
          <w:p w14:paraId="1AD8A5B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045AC6E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й)</w:t>
            </w:r>
            <w:r w:rsidRPr="00D83669">
              <w:rPr>
                <w:rFonts w:ascii="Times New Roman" w:hAnsi="Times New Roman"/>
                <w:sz w:val="24"/>
              </w:rPr>
              <w:t xml:space="preserve"> – Насърчаване на социално-икономическата интеграция на граждани на трети държави и на маргинализирани общности, като например ромите</w:t>
            </w:r>
          </w:p>
        </w:tc>
      </w:tr>
      <w:tr w:rsidR="00D857FE" w:rsidRPr="00D83669" w14:paraId="59495DA3" w14:textId="77777777" w:rsidTr="00BF11B7">
        <w:tc>
          <w:tcPr>
            <w:tcW w:w="2405" w:type="dxa"/>
            <w:shd w:val="clear" w:color="auto" w:fill="auto"/>
            <w:vAlign w:val="center"/>
          </w:tcPr>
          <w:p w14:paraId="12B00CC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06E6A4B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Комплексни програми на общинско ниво за десегрегация на училищата, превенция на вторичната сегрегация и против дискриминацията</w:t>
            </w:r>
          </w:p>
        </w:tc>
      </w:tr>
      <w:tr w:rsidR="00D857FE" w:rsidRPr="00D83669" w14:paraId="20BB3DE0" w14:textId="77777777" w:rsidTr="00BF11B7">
        <w:tc>
          <w:tcPr>
            <w:tcW w:w="2405" w:type="dxa"/>
            <w:shd w:val="clear" w:color="auto" w:fill="auto"/>
            <w:vAlign w:val="center"/>
          </w:tcPr>
          <w:p w14:paraId="6E9A24A8"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2A7D3732" w14:textId="3780AB54"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броя на училищата от основното и средното образование, вкл. професионалните училища, участващи в дейности за комплексни програми за десегрегация на училищно ниво, за превенция на вторичната сегрегация и против дискриминацията.</w:t>
            </w:r>
          </w:p>
        </w:tc>
      </w:tr>
      <w:tr w:rsidR="00D857FE" w:rsidRPr="00D83669" w14:paraId="26714971" w14:textId="77777777" w:rsidTr="00BF11B7">
        <w:tc>
          <w:tcPr>
            <w:tcW w:w="2405" w:type="dxa"/>
            <w:shd w:val="clear" w:color="auto" w:fill="auto"/>
            <w:vAlign w:val="center"/>
          </w:tcPr>
          <w:p w14:paraId="4A41838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4E5ED07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683847C9" w14:textId="77777777" w:rsidTr="00BF11B7">
        <w:tc>
          <w:tcPr>
            <w:tcW w:w="2405" w:type="dxa"/>
            <w:shd w:val="clear" w:color="auto" w:fill="auto"/>
            <w:vAlign w:val="center"/>
          </w:tcPr>
          <w:p w14:paraId="631B3B75" w14:textId="6EC8EB03" w:rsidR="00D857FE" w:rsidRPr="00D83669" w:rsidRDefault="00C27583" w:rsidP="00CC7BCB">
            <w:pPr>
              <w:spacing w:after="120"/>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26C4D55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345</w:t>
            </w:r>
          </w:p>
        </w:tc>
      </w:tr>
      <w:tr w:rsidR="00D857FE" w:rsidRPr="00D83669" w14:paraId="6A4A3D83" w14:textId="77777777" w:rsidTr="00BF11B7">
        <w:tc>
          <w:tcPr>
            <w:tcW w:w="2405" w:type="dxa"/>
            <w:shd w:val="clear" w:color="auto" w:fill="auto"/>
            <w:vAlign w:val="center"/>
          </w:tcPr>
          <w:p w14:paraId="5226CF2C" w14:textId="2CECCF12"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35E6AD1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се определя на 345 училища от основно и средно образование, вкл. професионални училища, съгласно изводите от прочуване през 2020 г. по проект № 848854 „NOSEGREGATION: </w:t>
            </w:r>
            <w:r w:rsidRPr="00D83669">
              <w:rPr>
                <w:rFonts w:ascii="Times New Roman" w:hAnsi="Times New Roman"/>
                <w:sz w:val="24"/>
                <w:lang w:val="en-GB"/>
              </w:rPr>
              <w:t>Local</w:t>
            </w:r>
            <w:r w:rsidRPr="00D83669">
              <w:rPr>
                <w:rFonts w:ascii="Times New Roman" w:hAnsi="Times New Roman"/>
                <w:sz w:val="24"/>
              </w:rPr>
              <w:t xml:space="preserve"> </w:t>
            </w:r>
            <w:r w:rsidRPr="00D83669">
              <w:rPr>
                <w:rFonts w:ascii="Times New Roman" w:hAnsi="Times New Roman"/>
                <w:sz w:val="24"/>
                <w:lang w:val="en-GB"/>
              </w:rPr>
              <w:t>Action</w:t>
            </w:r>
            <w:r w:rsidRPr="00D83669">
              <w:rPr>
                <w:rFonts w:ascii="Times New Roman" w:hAnsi="Times New Roman"/>
                <w:sz w:val="24"/>
              </w:rPr>
              <w:t xml:space="preserve"> </w:t>
            </w:r>
            <w:r w:rsidRPr="00D83669">
              <w:rPr>
                <w:rFonts w:ascii="Times New Roman" w:hAnsi="Times New Roman"/>
                <w:sz w:val="24"/>
                <w:lang w:val="en-GB"/>
              </w:rPr>
              <w:t>Against</w:t>
            </w:r>
            <w:r w:rsidRPr="00D83669">
              <w:rPr>
                <w:rFonts w:ascii="Times New Roman" w:hAnsi="Times New Roman"/>
                <w:sz w:val="24"/>
              </w:rPr>
              <w:t xml:space="preserve"> </w:t>
            </w:r>
            <w:r w:rsidRPr="00D83669">
              <w:rPr>
                <w:rFonts w:ascii="Times New Roman" w:hAnsi="Times New Roman"/>
                <w:sz w:val="24"/>
                <w:lang w:val="en-GB"/>
              </w:rPr>
              <w:t>School</w:t>
            </w:r>
            <w:r w:rsidRPr="00D83669">
              <w:rPr>
                <w:rFonts w:ascii="Times New Roman" w:hAnsi="Times New Roman"/>
                <w:sz w:val="24"/>
              </w:rPr>
              <w:t xml:space="preserve"> </w:t>
            </w:r>
            <w:r w:rsidRPr="00D83669">
              <w:rPr>
                <w:rFonts w:ascii="Times New Roman" w:hAnsi="Times New Roman"/>
                <w:sz w:val="24"/>
                <w:lang w:val="en-GB"/>
              </w:rPr>
              <w:t>Segregation</w:t>
            </w:r>
            <w:r w:rsidRPr="00D83669">
              <w:rPr>
                <w:rFonts w:ascii="Times New Roman" w:hAnsi="Times New Roman"/>
                <w:sz w:val="24"/>
              </w:rPr>
              <w:t xml:space="preserve"> </w:t>
            </w:r>
            <w:r w:rsidRPr="00D83669">
              <w:rPr>
                <w:rFonts w:ascii="Times New Roman" w:hAnsi="Times New Roman"/>
                <w:sz w:val="24"/>
                <w:lang w:val="en-GB"/>
              </w:rPr>
              <w:t>of</w:t>
            </w:r>
            <w:r w:rsidRPr="00D83669">
              <w:rPr>
                <w:rFonts w:ascii="Times New Roman" w:hAnsi="Times New Roman"/>
                <w:sz w:val="24"/>
              </w:rPr>
              <w:t xml:space="preserve"> </w:t>
            </w:r>
            <w:r w:rsidRPr="00D83669">
              <w:rPr>
                <w:rFonts w:ascii="Times New Roman" w:hAnsi="Times New Roman"/>
                <w:sz w:val="24"/>
                <w:lang w:val="en-GB"/>
              </w:rPr>
              <w:t>Roma</w:t>
            </w:r>
            <w:r w:rsidRPr="00D83669">
              <w:rPr>
                <w:rFonts w:ascii="Times New Roman" w:hAnsi="Times New Roman"/>
                <w:sz w:val="24"/>
              </w:rPr>
              <w:t xml:space="preserve">“, финансиран по Програмата на Европейския съюз за права, равенство и гражданство (2014 – 2020), D2.5. Карта на училищната сегрегация в България. Според публикувания доклад – </w:t>
            </w:r>
            <w:hyperlink r:id="rId24" w:history="1">
              <w:r w:rsidRPr="00D83669">
                <w:rPr>
                  <w:rStyle w:val="Hyperlink"/>
                  <w:rFonts w:ascii="Times New Roman" w:hAnsi="Times New Roman"/>
                  <w:sz w:val="24"/>
                </w:rPr>
                <w:t>https://amalipe.bg/za-romite/resursi/knigi/</w:t>
              </w:r>
            </w:hyperlink>
            <w:r w:rsidRPr="00D83669">
              <w:rPr>
                <w:rFonts w:ascii="Times New Roman" w:hAnsi="Times New Roman"/>
                <w:sz w:val="24"/>
              </w:rPr>
              <w:t xml:space="preserve"> сегрегираните училища са 344, от които 185 основни и 159 средни, включително професионални училища като за сегрегирани училища се определят такива, които са с концентрация на уязвими групи, но не са единствени в населеното място като има и други училища в същия образователен етап без концентрация на уязвими групи.</w:t>
            </w:r>
          </w:p>
          <w:p w14:paraId="6D8A361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се определя на 345 училища и гарантира обхват на всички сегрегирани училища по методологията от проект № 848854 „NOSEGREGATION: </w:t>
            </w:r>
            <w:r w:rsidRPr="00D83669">
              <w:rPr>
                <w:rFonts w:ascii="Times New Roman" w:hAnsi="Times New Roman"/>
                <w:sz w:val="24"/>
                <w:lang w:val="en-GB"/>
              </w:rPr>
              <w:t>Local</w:t>
            </w:r>
            <w:r w:rsidRPr="00D83669">
              <w:rPr>
                <w:rFonts w:ascii="Times New Roman" w:hAnsi="Times New Roman"/>
                <w:sz w:val="24"/>
              </w:rPr>
              <w:t xml:space="preserve"> </w:t>
            </w:r>
            <w:r w:rsidRPr="00D83669">
              <w:rPr>
                <w:rFonts w:ascii="Times New Roman" w:hAnsi="Times New Roman"/>
                <w:sz w:val="24"/>
                <w:lang w:val="en-GB"/>
              </w:rPr>
              <w:t>Action</w:t>
            </w:r>
            <w:r w:rsidRPr="00D83669">
              <w:rPr>
                <w:rFonts w:ascii="Times New Roman" w:hAnsi="Times New Roman"/>
                <w:sz w:val="24"/>
              </w:rPr>
              <w:t xml:space="preserve"> </w:t>
            </w:r>
            <w:r w:rsidRPr="00D83669">
              <w:rPr>
                <w:rFonts w:ascii="Times New Roman" w:hAnsi="Times New Roman"/>
                <w:sz w:val="24"/>
                <w:lang w:val="en-GB"/>
              </w:rPr>
              <w:t>Against</w:t>
            </w:r>
            <w:r w:rsidRPr="00D83669">
              <w:rPr>
                <w:rFonts w:ascii="Times New Roman" w:hAnsi="Times New Roman"/>
                <w:sz w:val="24"/>
              </w:rPr>
              <w:t xml:space="preserve"> </w:t>
            </w:r>
            <w:r w:rsidRPr="00D83669">
              <w:rPr>
                <w:rFonts w:ascii="Times New Roman" w:hAnsi="Times New Roman"/>
                <w:sz w:val="24"/>
                <w:lang w:val="en-GB"/>
              </w:rPr>
              <w:t>School</w:t>
            </w:r>
            <w:r w:rsidRPr="00D83669">
              <w:rPr>
                <w:rFonts w:ascii="Times New Roman" w:hAnsi="Times New Roman"/>
                <w:sz w:val="24"/>
              </w:rPr>
              <w:t xml:space="preserve"> </w:t>
            </w:r>
            <w:r w:rsidRPr="00D83669">
              <w:rPr>
                <w:rFonts w:ascii="Times New Roman" w:hAnsi="Times New Roman"/>
                <w:sz w:val="24"/>
                <w:lang w:val="en-GB"/>
              </w:rPr>
              <w:t>Segregation</w:t>
            </w:r>
            <w:r w:rsidRPr="00D83669">
              <w:rPr>
                <w:rFonts w:ascii="Times New Roman" w:hAnsi="Times New Roman"/>
                <w:sz w:val="24"/>
              </w:rPr>
              <w:t xml:space="preserve"> </w:t>
            </w:r>
            <w:r w:rsidRPr="00D83669">
              <w:rPr>
                <w:rFonts w:ascii="Times New Roman" w:hAnsi="Times New Roman"/>
                <w:sz w:val="24"/>
                <w:lang w:val="en-GB"/>
              </w:rPr>
              <w:t>of</w:t>
            </w:r>
            <w:r w:rsidRPr="00D83669">
              <w:rPr>
                <w:rFonts w:ascii="Times New Roman" w:hAnsi="Times New Roman"/>
                <w:sz w:val="24"/>
              </w:rPr>
              <w:t xml:space="preserve"> </w:t>
            </w:r>
            <w:r w:rsidRPr="00D83669">
              <w:rPr>
                <w:rFonts w:ascii="Times New Roman" w:hAnsi="Times New Roman"/>
                <w:sz w:val="24"/>
                <w:lang w:val="en-GB"/>
              </w:rPr>
              <w:t>Roma</w:t>
            </w:r>
            <w:r w:rsidRPr="00D83669">
              <w:rPr>
                <w:rFonts w:ascii="Times New Roman" w:hAnsi="Times New Roman"/>
                <w:sz w:val="24"/>
              </w:rPr>
              <w:t>“, финансиран по Програмата на Европейския съюз за права, равенство и гражданство (2014 – 2020).</w:t>
            </w:r>
          </w:p>
        </w:tc>
      </w:tr>
      <w:tr w:rsidR="00D857FE" w:rsidRPr="00D83669" w14:paraId="498EA9F2" w14:textId="77777777" w:rsidTr="00BF11B7">
        <w:tc>
          <w:tcPr>
            <w:tcW w:w="2405" w:type="dxa"/>
            <w:shd w:val="clear" w:color="auto" w:fill="auto"/>
            <w:vAlign w:val="center"/>
          </w:tcPr>
          <w:p w14:paraId="3D26C21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12F12E6C" w14:textId="5C6C0945" w:rsidR="00D857FE" w:rsidRPr="00D83669" w:rsidRDefault="000A0885" w:rsidP="00CC7BCB">
            <w:pPr>
              <w:spacing w:after="120"/>
              <w:jc w:val="both"/>
              <w:rPr>
                <w:rFonts w:ascii="Times New Roman" w:hAnsi="Times New Roman"/>
                <w:sz w:val="24"/>
              </w:rPr>
            </w:pPr>
            <w:r w:rsidRPr="00D83669">
              <w:rPr>
                <w:rFonts w:ascii="Times New Roman" w:hAnsi="Times New Roman"/>
                <w:sz w:val="24"/>
              </w:rPr>
              <w:t>9</w:t>
            </w:r>
          </w:p>
        </w:tc>
      </w:tr>
      <w:tr w:rsidR="00D857FE" w:rsidRPr="00D83669" w14:paraId="09D675CC" w14:textId="77777777" w:rsidTr="00BF11B7">
        <w:tc>
          <w:tcPr>
            <w:tcW w:w="2405" w:type="dxa"/>
            <w:shd w:val="clear" w:color="auto" w:fill="auto"/>
            <w:vAlign w:val="center"/>
          </w:tcPr>
          <w:p w14:paraId="011A720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w:t>
            </w:r>
          </w:p>
        </w:tc>
        <w:tc>
          <w:tcPr>
            <w:tcW w:w="7235" w:type="dxa"/>
            <w:shd w:val="clear" w:color="auto" w:fill="auto"/>
            <w:vAlign w:val="center"/>
          </w:tcPr>
          <w:p w14:paraId="6E95F49F" w14:textId="62ABB5ED" w:rsidR="00D857FE" w:rsidRPr="00D83669" w:rsidRDefault="00AB7BA9" w:rsidP="00CC7BCB">
            <w:pPr>
              <w:spacing w:after="120"/>
              <w:jc w:val="both"/>
              <w:rPr>
                <w:rFonts w:ascii="Times New Roman" w:hAnsi="Times New Roman"/>
                <w:sz w:val="24"/>
              </w:rPr>
            </w:pPr>
            <w:r w:rsidRPr="00D83669">
              <w:rPr>
                <w:rFonts w:ascii="Times New Roman" w:hAnsi="Times New Roman"/>
                <w:sz w:val="24"/>
              </w:rPr>
              <w:t>Етапната цел  е съобразена с планирания график за операцията по подхода ИТИ, която стартира през 2024 г. с продължителност от 7 години и реално изпълнение на не повече от 1/6 от обхванатите училища в дейности по десегрегация до края на 2024 г. съгласно стратегиите на регионите и концепциите за проектни предложения по ИТИ и отчитането на стойности на показателя до края на 2024 г. или 345/7*1/6=9.</w:t>
            </w:r>
          </w:p>
        </w:tc>
      </w:tr>
      <w:tr w:rsidR="00D857FE" w:rsidRPr="00D83669" w14:paraId="006228B6" w14:textId="77777777" w:rsidTr="00BF11B7">
        <w:tc>
          <w:tcPr>
            <w:tcW w:w="2405" w:type="dxa"/>
            <w:shd w:val="clear" w:color="auto" w:fill="auto"/>
            <w:vAlign w:val="center"/>
          </w:tcPr>
          <w:p w14:paraId="0371BFB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Базова стойност</w:t>
            </w:r>
          </w:p>
        </w:tc>
        <w:tc>
          <w:tcPr>
            <w:tcW w:w="7235" w:type="dxa"/>
            <w:shd w:val="clear" w:color="auto" w:fill="auto"/>
            <w:vAlign w:val="center"/>
          </w:tcPr>
          <w:p w14:paraId="3DD3C61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26BAF8DE" w14:textId="77777777" w:rsidTr="00BF11B7">
        <w:tc>
          <w:tcPr>
            <w:tcW w:w="2405" w:type="dxa"/>
            <w:shd w:val="clear" w:color="auto" w:fill="auto"/>
            <w:vAlign w:val="center"/>
          </w:tcPr>
          <w:p w14:paraId="50C079E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0310633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правена предварителна разбивка по населено място, вид на училището и демографски и социални фактори на учениците. При отчитането ще бъдат представени данни съгласно методологията за събиране на данни за сегрегирани училища, за приемни училища и демографски и социални данни за учениците, родителите им.</w:t>
            </w:r>
          </w:p>
        </w:tc>
      </w:tr>
      <w:tr w:rsidR="00D857FE" w:rsidRPr="00D83669" w14:paraId="079942AB" w14:textId="77777777" w:rsidTr="00BF11B7">
        <w:tc>
          <w:tcPr>
            <w:tcW w:w="2405" w:type="dxa"/>
            <w:shd w:val="clear" w:color="auto" w:fill="auto"/>
            <w:vAlign w:val="center"/>
          </w:tcPr>
          <w:p w14:paraId="6DEA25D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4ABB1ECC" w14:textId="7ACCC37D"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Събирането на данни за броя на училищата, участващи в дейности за десегр</w:t>
            </w:r>
            <w:r w:rsidR="003335CA">
              <w:rPr>
                <w:rFonts w:ascii="Times New Roman" w:hAnsi="Times New Roman"/>
                <w:sz w:val="24"/>
              </w:rPr>
              <w:t>е</w:t>
            </w:r>
            <w:r w:rsidRPr="00D83669">
              <w:rPr>
                <w:rFonts w:ascii="Times New Roman" w:hAnsi="Times New Roman"/>
                <w:sz w:val="24"/>
              </w:rPr>
              <w:t>гация на ниво училище и община е необходимо за постигане на националните целите, заложени в Стратегическа рамка за развитие на образованието, обучението и ученето на Република България 2021 – 2030 като Цел 5.6 „Образователна интеграция на деца и ученици от уязвими групи, включително роми, на търсещи или получили международна закрила и мигранти“ и Националната стратегия на Република България за равенство, приобщаване и участие на ромите 2021 – 2030 чрез насърчаване на десегрегацията на училищата и формиране на подкрепяща обществена среда.</w:t>
            </w:r>
          </w:p>
        </w:tc>
      </w:tr>
      <w:tr w:rsidR="00D857FE" w:rsidRPr="00D83669" w14:paraId="3C2D5BD0" w14:textId="77777777" w:rsidTr="00BF11B7">
        <w:tc>
          <w:tcPr>
            <w:tcW w:w="2405" w:type="dxa"/>
            <w:shd w:val="clear" w:color="auto" w:fill="auto"/>
            <w:vAlign w:val="center"/>
          </w:tcPr>
          <w:p w14:paraId="1D9F435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01E6E9F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от бенефициенти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12AAC3F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данни за населено място, регион, община, училища, демографски данни на ученици, родители – пол, възраст, образование, заетост и др.</w:t>
            </w:r>
          </w:p>
        </w:tc>
      </w:tr>
      <w:tr w:rsidR="00D857FE" w:rsidRPr="00D83669" w14:paraId="1C411376" w14:textId="77777777" w:rsidTr="00BF11B7">
        <w:tc>
          <w:tcPr>
            <w:tcW w:w="2405" w:type="dxa"/>
            <w:shd w:val="clear" w:color="auto" w:fill="auto"/>
            <w:vAlign w:val="center"/>
          </w:tcPr>
          <w:p w14:paraId="33280D0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2289D1C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28B868E3" w14:textId="77777777" w:rsidTr="00BF11B7">
        <w:trPr>
          <w:trHeight w:val="421"/>
        </w:trPr>
        <w:tc>
          <w:tcPr>
            <w:tcW w:w="2405" w:type="dxa"/>
            <w:shd w:val="clear" w:color="auto" w:fill="auto"/>
            <w:vAlign w:val="center"/>
          </w:tcPr>
          <w:p w14:paraId="079465BF" w14:textId="1DCDDEC0"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630FF5A0"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szCs w:val="32"/>
              </w:rPr>
              <w:t>SOI 1.5. Педагогически специалисти и непедагогически персонал, обучени за работа с деца и ученици от уязвими групи;</w:t>
            </w:r>
          </w:p>
          <w:p w14:paraId="764EDF87"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4AE2272B"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61057077"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SRI 1.2. Брой деца и ученици от уязвими групи с подобрени образователни резултати 1 година след участие в операцията.</w:t>
            </w:r>
          </w:p>
        </w:tc>
      </w:tr>
      <w:tr w:rsidR="00D857FE" w:rsidRPr="00D83669" w14:paraId="0FF03184" w14:textId="77777777" w:rsidTr="00BF11B7">
        <w:trPr>
          <w:trHeight w:val="421"/>
        </w:trPr>
        <w:tc>
          <w:tcPr>
            <w:tcW w:w="2405" w:type="dxa"/>
            <w:shd w:val="clear" w:color="auto" w:fill="auto"/>
            <w:vAlign w:val="center"/>
          </w:tcPr>
          <w:p w14:paraId="459C964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233DABB0" w14:textId="2A7439E7" w:rsidR="00D857FE" w:rsidRPr="00D83669" w:rsidRDefault="00D857FE" w:rsidP="007F472A">
            <w:pPr>
              <w:pStyle w:val="ListParagraph"/>
              <w:spacing w:after="120"/>
              <w:jc w:val="both"/>
              <w:rPr>
                <w:rFonts w:ascii="Times New Roman" w:hAnsi="Times New Roman"/>
                <w:sz w:val="24"/>
                <w:szCs w:val="32"/>
              </w:rPr>
            </w:pPr>
            <w:r w:rsidRPr="00D83669">
              <w:rPr>
                <w:rFonts w:ascii="Times New Roman" w:hAnsi="Times New Roman"/>
                <w:sz w:val="24"/>
                <w:szCs w:val="32"/>
              </w:rPr>
              <w:t xml:space="preserve">Целевата стойност на показателя е по-малка от броя на училищата в основното и средното образование с концентрация на ученици от уязвими групи. </w:t>
            </w:r>
          </w:p>
        </w:tc>
      </w:tr>
    </w:tbl>
    <w:p w14:paraId="0CA85FBC" w14:textId="77777777" w:rsidR="00D857FE" w:rsidRPr="00D83669" w:rsidRDefault="00D857FE" w:rsidP="00D857FE">
      <w:pPr>
        <w:rPr>
          <w:rFonts w:ascii="Times New Roman" w:eastAsia="Times New Roman" w:hAnsi="Times New Roman" w:cs="Times New Roman"/>
          <w:i/>
          <w:sz w:val="24"/>
          <w:szCs w:val="20"/>
          <w:lang w:eastAsia="bg-BG" w:bidi="bg-BG"/>
        </w:rPr>
      </w:pPr>
      <w:r w:rsidRPr="00D83669">
        <w:br w:type="page"/>
      </w:r>
    </w:p>
    <w:p w14:paraId="326D6D6A" w14:textId="2685F04D" w:rsidR="00D857FE" w:rsidRPr="00D83669" w:rsidRDefault="00D857FE" w:rsidP="00D857FE">
      <w:pPr>
        <w:pStyle w:val="Heading3"/>
        <w:ind w:left="567"/>
        <w:rPr>
          <w:rFonts w:ascii="Times New Roman" w:hAnsi="Times New Roman" w:cs="Times New Roman"/>
          <w:color w:val="000000" w:themeColor="text1"/>
        </w:rPr>
      </w:pPr>
      <w:bookmarkStart w:id="127" w:name="_Toc98778791"/>
      <w:bookmarkStart w:id="128" w:name="_Toc100152994"/>
      <w:bookmarkStart w:id="129" w:name="_Toc103586669"/>
      <w:r w:rsidRPr="00D83669">
        <w:rPr>
          <w:rFonts w:ascii="Times New Roman" w:hAnsi="Times New Roman" w:cs="Times New Roman"/>
        </w:rPr>
        <w:lastRenderedPageBreak/>
        <w:t>Показатели за резултатите</w:t>
      </w:r>
      <w:bookmarkEnd w:id="127"/>
      <w:bookmarkEnd w:id="128"/>
      <w:bookmarkEnd w:id="129"/>
      <w:r w:rsidRPr="00D83669">
        <w:rPr>
          <w:rFonts w:ascii="Times New Roman" w:hAnsi="Times New Roman" w:cs="Times New Roman"/>
          <w:color w:val="000000" w:themeColor="text1"/>
        </w:rPr>
        <w:t xml:space="preserve"> </w:t>
      </w:r>
    </w:p>
    <w:p w14:paraId="2B0B453D" w14:textId="70DA9540" w:rsidR="00D857FE" w:rsidRPr="00D83669" w:rsidRDefault="00D857FE" w:rsidP="007C64A2">
      <w:pPr>
        <w:pStyle w:val="Heading3"/>
        <w:rPr>
          <w:b/>
          <w:bCs/>
          <w:i/>
          <w:iCs/>
          <w:sz w:val="22"/>
          <w:szCs w:val="22"/>
        </w:rPr>
      </w:pPr>
      <w:bookmarkStart w:id="130" w:name="_Toc100152995"/>
      <w:bookmarkStart w:id="131" w:name="_Toc103586670"/>
      <w:r w:rsidRPr="00D83669">
        <w:rPr>
          <w:b/>
          <w:bCs/>
          <w:i/>
          <w:iCs/>
          <w:sz w:val="22"/>
          <w:szCs w:val="22"/>
        </w:rPr>
        <w:t>EECR03 участници, които при напускане на операцията получават квалификация</w:t>
      </w:r>
      <w:bookmarkEnd w:id="130"/>
      <w:bookmarkEnd w:id="131"/>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475712BE" w14:textId="77777777" w:rsidTr="00D20608">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A6C04CF" w14:textId="47DE1C6C"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D01564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7A164CCD" w14:textId="77777777" w:rsidTr="00D20608">
        <w:tc>
          <w:tcPr>
            <w:tcW w:w="2405" w:type="dxa"/>
            <w:shd w:val="clear" w:color="auto" w:fill="auto"/>
            <w:vAlign w:val="center"/>
          </w:tcPr>
          <w:p w14:paraId="7276EB05" w14:textId="2EF53C58"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5723238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51A02EDD" w14:textId="77777777" w:rsidTr="00D20608">
        <w:tc>
          <w:tcPr>
            <w:tcW w:w="2405" w:type="dxa"/>
            <w:shd w:val="clear" w:color="auto" w:fill="auto"/>
            <w:vAlign w:val="center"/>
          </w:tcPr>
          <w:p w14:paraId="448D4A1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7B60F4E7" w14:textId="1118BF08"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Общ показател за резултат</w:t>
            </w:r>
          </w:p>
        </w:tc>
      </w:tr>
      <w:tr w:rsidR="00D857FE" w:rsidRPr="00D83669" w14:paraId="22740DE1" w14:textId="77777777" w:rsidTr="00D20608">
        <w:tc>
          <w:tcPr>
            <w:tcW w:w="2405" w:type="dxa"/>
            <w:shd w:val="clear" w:color="auto" w:fill="auto"/>
            <w:vAlign w:val="center"/>
          </w:tcPr>
          <w:p w14:paraId="0932B25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78EFCC0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й)</w:t>
            </w:r>
            <w:r w:rsidRPr="00D83669">
              <w:rPr>
                <w:rFonts w:ascii="Times New Roman" w:hAnsi="Times New Roman"/>
                <w:sz w:val="24"/>
              </w:rPr>
              <w:t xml:space="preserve"> – Насърчаване на социално-икономическата интеграция на граждани на трети държави и на маргинализирани общности, като например ромите</w:t>
            </w:r>
          </w:p>
        </w:tc>
      </w:tr>
      <w:tr w:rsidR="00D857FE" w:rsidRPr="00D83669" w14:paraId="25B6623A" w14:textId="77777777" w:rsidTr="00D20608">
        <w:tc>
          <w:tcPr>
            <w:tcW w:w="2405" w:type="dxa"/>
            <w:shd w:val="clear" w:color="auto" w:fill="auto"/>
            <w:vAlign w:val="center"/>
          </w:tcPr>
          <w:p w14:paraId="59452DA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4DF5535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Създаване на условия за достъп до образование чрез преодоляване на демографски, социални и културни бариери, подход ВОМР;</w:t>
            </w:r>
          </w:p>
          <w:p w14:paraId="578BB54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Комплексни програми на общинско ниво за десегрегация на училищата, превенция на вторичната сегрегация и против дискриминацията.</w:t>
            </w:r>
          </w:p>
        </w:tc>
      </w:tr>
      <w:tr w:rsidR="00D857FE" w:rsidRPr="00D83669" w14:paraId="5D73B952" w14:textId="77777777" w:rsidTr="00D20608">
        <w:tc>
          <w:tcPr>
            <w:tcW w:w="2405" w:type="dxa"/>
            <w:shd w:val="clear" w:color="auto" w:fill="auto"/>
            <w:vAlign w:val="center"/>
          </w:tcPr>
          <w:p w14:paraId="60E30118"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7FADCE21" w14:textId="7D655F2F"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броя на обучените педагогически специалисти, получили квалификация съгласно държавния образователен стандарт за статута и професионалното развитие на учителите, директорите и другите педагогически специалисти – Наредба № 15 от 22 юли 2019 г. на министъра на образованието и науката и/или повишили уменията си за работа в мултикултурна образователна среда и за десегрегацията на училищата както следва:</w:t>
            </w:r>
          </w:p>
          <w:p w14:paraId="49C9D51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броя на обучените и останали на работа в учебните заведения/в сферата на образованието след приключване на дейностите педагогически специалисти, придобили квалификация – 1, 2 и/или 3 квалификационни кредита и/или надградили умения за работа – учене и преподаване в мултикултурна образователна среда; </w:t>
            </w:r>
          </w:p>
          <w:p w14:paraId="5F003B4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броя на педагогически специалисти, обучени за недопускане и превенция на дискриминация и подпомагане на процеса на десегрегация и останали на работа в учебните заведения/в сферата на образованието след приключване на дейностите, получили 1, 2 и/или 3 квалификационни кредита;</w:t>
            </w:r>
          </w:p>
          <w:p w14:paraId="26EFED6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Целта на обученията е повишаване на капацитета, квалификацията и уменията на педагогическите специалисти за работа в мултикултурна образователна среда и за недопускане и превенция на дискриминацията в учебните заведения както с деца, ученици и родители от уязвими групи, така и с тези от неуязвими групи като страни в процеса на приобщаващо образование.</w:t>
            </w:r>
          </w:p>
        </w:tc>
      </w:tr>
      <w:tr w:rsidR="00D857FE" w:rsidRPr="00D83669" w14:paraId="5AFBC281" w14:textId="77777777" w:rsidTr="00D20608">
        <w:tc>
          <w:tcPr>
            <w:tcW w:w="2405" w:type="dxa"/>
            <w:shd w:val="clear" w:color="auto" w:fill="auto"/>
            <w:vAlign w:val="center"/>
          </w:tcPr>
          <w:p w14:paraId="3B99795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09D211A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5C67742B" w14:textId="77777777" w:rsidTr="00D20608">
        <w:tc>
          <w:tcPr>
            <w:tcW w:w="2405" w:type="dxa"/>
            <w:shd w:val="clear" w:color="auto" w:fill="auto"/>
            <w:vAlign w:val="center"/>
          </w:tcPr>
          <w:p w14:paraId="0761A75B" w14:textId="0D80F375" w:rsidR="00D857FE" w:rsidRPr="00D83669" w:rsidRDefault="00C27583" w:rsidP="00CC7BCB">
            <w:pPr>
              <w:spacing w:after="120"/>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485E156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5 874</w:t>
            </w:r>
          </w:p>
        </w:tc>
      </w:tr>
      <w:tr w:rsidR="00D857FE" w:rsidRPr="00D83669" w14:paraId="34D99544" w14:textId="77777777" w:rsidTr="00D20608">
        <w:tc>
          <w:tcPr>
            <w:tcW w:w="2405" w:type="dxa"/>
            <w:shd w:val="clear" w:color="auto" w:fill="auto"/>
            <w:vAlign w:val="center"/>
          </w:tcPr>
          <w:p w14:paraId="07E08378" w14:textId="27088FDF"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4B20510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е определена на база изчислените единични разходи за обучения на педагогически специалисти, прилагани през периода 2018 – 2020 г., за които е предвиден процент на индексация на база очакваното увеличение на разходите за труд в сектор </w:t>
            </w:r>
            <w:r w:rsidRPr="00D83669">
              <w:rPr>
                <w:rFonts w:ascii="Times New Roman" w:hAnsi="Times New Roman"/>
                <w:sz w:val="24"/>
              </w:rPr>
              <w:lastRenderedPageBreak/>
              <w:t xml:space="preserve">„Образование“ за периода до 2029 г., имайки предвид че преобладаващата част от единичните разходи за обучения са свързани с разходи за възнаграждения и са в пряка зависимост от ръста на разходите за труд. </w:t>
            </w:r>
          </w:p>
          <w:p w14:paraId="31D09F55" w14:textId="350180A4"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На база анализ за обучение от разстояние в електронна среда (ОРЕС) – </w:t>
            </w:r>
            <w:hyperlink r:id="rId25" w:history="1">
              <w:r w:rsidRPr="00D83669">
                <w:rPr>
                  <w:rStyle w:val="Hyperlink"/>
                  <w:rFonts w:ascii="Times New Roman" w:hAnsi="Times New Roman"/>
                  <w:sz w:val="24"/>
                </w:rPr>
                <w:t>https://mon.bg/bg/144</w:t>
              </w:r>
            </w:hyperlink>
            <w:r w:rsidRPr="00D83669">
              <w:rPr>
                <w:rFonts w:ascii="Times New Roman" w:hAnsi="Times New Roman"/>
                <w:sz w:val="24"/>
              </w:rPr>
              <w:t>, предоставените данни и препоръки, както и заложеното в Стратегическата рамка за развитие на образованието, обучението и ученето в Република България 2021 – 2030 целевата стойност на показателя за резултат се определя на 5</w:t>
            </w:r>
            <w:r w:rsidRPr="00D83669">
              <w:rPr>
                <w:rFonts w:ascii="Times New Roman" w:hAnsi="Times New Roman"/>
                <w:sz w:val="24"/>
                <w:lang w:val="en-US"/>
              </w:rPr>
              <w:t> </w:t>
            </w:r>
            <w:r w:rsidRPr="00D83669">
              <w:rPr>
                <w:rFonts w:ascii="Times New Roman" w:hAnsi="Times New Roman"/>
                <w:sz w:val="24"/>
              </w:rPr>
              <w:t>874.</w:t>
            </w:r>
          </w:p>
          <w:p w14:paraId="2B7D3F0C" w14:textId="3E044564"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е 5 874 и се определя от е целевата стойност на показател SOI 1.5. Педагогически специалисти и непедагогически персонал, обучени за работа с деца и ученици от уязвими групи, която обхваща обучените по двете операции педагогически специалисти, завършили обученията, получили сертификат за 1, 2 и/или 3 квалификационни кредити за педагогическите специалисти съгласно методологиите за единица продукт за обучен педагогически специалист и съгласно държавния образователен стандарт за статута и професионалното развитие на учителите, директорите и другите педагогически специалисти – Наредба № 15 от 22 юли 2019 г. на министъра на образованието и науката и останали на работа в сферата на образованието след приключване на операциите.</w:t>
            </w:r>
          </w:p>
          <w:p w14:paraId="7EE8678D" w14:textId="682B3AB5"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на показателя за обучените, повишили квалификацията и уменията си и останали на и/или ангажирани с работа в сферата на образованието педагогически специалисти се определя на 100% от стойността на педагогическите специалисти в показател SOI 1.5. Педагогически специалисти и непедагогически персонал, обучени за работа с деца и ученици от уязвими групи по тази специфична цел или 2 594 педагогически специалисти от операция по подхода ВОМР и 3 280 педагогически специалисти от операция по подхода ИТИ, общо 5 874. </w:t>
            </w:r>
          </w:p>
        </w:tc>
      </w:tr>
      <w:tr w:rsidR="00D857FE" w:rsidRPr="00D83669" w14:paraId="216C838C" w14:textId="77777777" w:rsidTr="00D20608">
        <w:tc>
          <w:tcPr>
            <w:tcW w:w="2405" w:type="dxa"/>
            <w:shd w:val="clear" w:color="auto" w:fill="auto"/>
            <w:vAlign w:val="center"/>
          </w:tcPr>
          <w:p w14:paraId="1A40341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Референтна стойност</w:t>
            </w:r>
          </w:p>
        </w:tc>
        <w:tc>
          <w:tcPr>
            <w:tcW w:w="7235" w:type="dxa"/>
            <w:shd w:val="clear" w:color="auto" w:fill="auto"/>
            <w:vAlign w:val="center"/>
          </w:tcPr>
          <w:p w14:paraId="2C1AF66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 4 459</w:t>
            </w:r>
          </w:p>
        </w:tc>
      </w:tr>
      <w:tr w:rsidR="00D857FE" w:rsidRPr="00D83669" w14:paraId="6BC22405" w14:textId="77777777" w:rsidTr="00D20608">
        <w:tc>
          <w:tcPr>
            <w:tcW w:w="2405" w:type="dxa"/>
            <w:shd w:val="clear" w:color="auto" w:fill="auto"/>
            <w:vAlign w:val="center"/>
          </w:tcPr>
          <w:p w14:paraId="5AFF646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референтна стойност</w:t>
            </w:r>
          </w:p>
        </w:tc>
        <w:tc>
          <w:tcPr>
            <w:tcW w:w="7235" w:type="dxa"/>
            <w:shd w:val="clear" w:color="auto" w:fill="auto"/>
            <w:vAlign w:val="center"/>
          </w:tcPr>
          <w:p w14:paraId="12BCB03F" w14:textId="631C43F9"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Референтната стойност за показателя отразява данните по ОПНОИР към 31.05.2021 г. от заложената стойност за показател „Педагогически специалисти, включени в обучения за работа в мултикултурна среда по процедура на BG05M2OP001-3.017 „Повишаване на капацитета на педагогическите специалисти за работа в мултикултурна среда“ – 3600 и броя на образователните медиатори и др., назначени в населени места, отговарящи на териториалните подходи по проекти „Подкрепа за успех“ – 664 и „Активно приобщаване в системата на предучилищното образование“ – 195, или 3</w:t>
            </w:r>
            <w:r w:rsidRPr="00D83669">
              <w:rPr>
                <w:rFonts w:ascii="Times New Roman" w:hAnsi="Times New Roman"/>
                <w:sz w:val="24"/>
                <w:lang w:val="en-US"/>
              </w:rPr>
              <w:t> </w:t>
            </w:r>
            <w:r w:rsidRPr="00D83669">
              <w:rPr>
                <w:rFonts w:ascii="Times New Roman" w:hAnsi="Times New Roman"/>
                <w:sz w:val="24"/>
              </w:rPr>
              <w:t>600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859</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4</w:t>
            </w:r>
            <w:r w:rsidRPr="00D83669">
              <w:rPr>
                <w:rFonts w:ascii="Times New Roman" w:hAnsi="Times New Roman"/>
                <w:sz w:val="24"/>
                <w:lang w:val="en-US"/>
              </w:rPr>
              <w:t> </w:t>
            </w:r>
            <w:r w:rsidRPr="00D83669">
              <w:rPr>
                <w:rFonts w:ascii="Times New Roman" w:hAnsi="Times New Roman"/>
                <w:sz w:val="24"/>
              </w:rPr>
              <w:t>459.</w:t>
            </w:r>
          </w:p>
        </w:tc>
      </w:tr>
      <w:tr w:rsidR="00D857FE" w:rsidRPr="00D83669" w14:paraId="66D7A3AA" w14:textId="77777777" w:rsidTr="00D20608">
        <w:tc>
          <w:tcPr>
            <w:tcW w:w="2405" w:type="dxa"/>
            <w:shd w:val="clear" w:color="auto" w:fill="auto"/>
            <w:vAlign w:val="center"/>
          </w:tcPr>
          <w:p w14:paraId="11ECCA6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441EA61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Няма да бъде правена предварителна разбивка по демографски и социални фактори, педагогически направления/степени. При отчитането ще бъдат представени данни съгласно методологията за </w:t>
            </w:r>
            <w:r w:rsidRPr="00D83669">
              <w:rPr>
                <w:rFonts w:ascii="Times New Roman" w:hAnsi="Times New Roman"/>
                <w:sz w:val="24"/>
              </w:rPr>
              <w:lastRenderedPageBreak/>
              <w:t xml:space="preserve">събиране на данни за педагогическите специалисти и непедагогическия персонал, останали в учебното заведение и/или в сферата на образованието по направление от педагогическата им квалификация в предучилищно/училищно образование, възраст, пол, училище, регион, община, институция, придобита квалификация (квалификационни кредити), и др. </w:t>
            </w:r>
          </w:p>
        </w:tc>
      </w:tr>
      <w:tr w:rsidR="00D857FE" w:rsidRPr="00D83669" w14:paraId="38D6FBDF" w14:textId="77777777" w:rsidTr="00D20608">
        <w:tc>
          <w:tcPr>
            <w:tcW w:w="2405" w:type="dxa"/>
            <w:shd w:val="clear" w:color="auto" w:fill="auto"/>
            <w:vAlign w:val="center"/>
          </w:tcPr>
          <w:p w14:paraId="79AE97A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 xml:space="preserve">Обосновка </w:t>
            </w:r>
          </w:p>
        </w:tc>
        <w:tc>
          <w:tcPr>
            <w:tcW w:w="7235" w:type="dxa"/>
            <w:shd w:val="clear" w:color="auto" w:fill="auto"/>
            <w:vAlign w:val="center"/>
          </w:tcPr>
          <w:p w14:paraId="39FC0AC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Събирането на данни за броя на останалите в сферата на образованието обучени и повишили квалификацията си, педагогически специалисти за работа в мултикултурна образователна среда и за подпомагане на процеса на десегрегация, превенция на дискриминацията е необходимо за изграждане на база от данни относно ресурсното обезпечаване на приобщаващото образование и кариерното развитие на педагогическите специалисти, както и на непедагогическия персонал. Броят на останалите в образование педагогически специалисти след приключване на извършените квалификационни дейности по програмата ще послужи на национално ниво при разработване на стратегическа визия за провеждане на политика за професионално развитие и квалификация на педагогическите специалисти, подобряване на качеството на приобщаващото образованието и ефективното планиране на мерки. Данните ще предоставят информация, която допринася за постигане на заложеното в Стратегическата рамка за развитие на образованието, обучението и ученето в Република България 2021 – 2030, че учителите, работещи на пълно и непълно работно време в основното и средно образование са 2% от общото активно население за 2030 г. </w:t>
            </w:r>
          </w:p>
          <w:p w14:paraId="15354CF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допринася и за оценка на ефекта върху целевите групи – доколко и как промяната в капацитета на педагогическите специалисти и непедагогическия персонал се отразява на целевите групи.</w:t>
            </w:r>
          </w:p>
        </w:tc>
      </w:tr>
      <w:tr w:rsidR="00D857FE" w:rsidRPr="00D83669" w14:paraId="042E4BA8" w14:textId="77777777" w:rsidTr="00D20608">
        <w:tc>
          <w:tcPr>
            <w:tcW w:w="2405" w:type="dxa"/>
            <w:shd w:val="clear" w:color="auto" w:fill="auto"/>
            <w:vAlign w:val="center"/>
          </w:tcPr>
          <w:p w14:paraId="2A8966D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743A1A5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текущо на всеки 6 месеца, след проведени дейности за обучения, от бенефициенти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74127C0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демографски данни – пол, възраст, детска градина, училище, и др. учебно заведение, община, район, територия на МИГ или др., тема на обучението, придобита квалификация, компетентности, време в образователната сфера след завършено обучение и в края на програмния период, и др.</w:t>
            </w:r>
          </w:p>
        </w:tc>
      </w:tr>
      <w:tr w:rsidR="00D857FE" w:rsidRPr="00D83669" w14:paraId="331A97E7" w14:textId="77777777" w:rsidTr="00D20608">
        <w:tc>
          <w:tcPr>
            <w:tcW w:w="2405" w:type="dxa"/>
            <w:shd w:val="clear" w:color="auto" w:fill="auto"/>
            <w:vAlign w:val="center"/>
          </w:tcPr>
          <w:p w14:paraId="7F19176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00A41DD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 до края на програмния период</w:t>
            </w:r>
          </w:p>
        </w:tc>
      </w:tr>
      <w:tr w:rsidR="00D857FE" w:rsidRPr="00D83669" w14:paraId="368A43E5" w14:textId="77777777" w:rsidTr="00D20608">
        <w:trPr>
          <w:trHeight w:val="421"/>
        </w:trPr>
        <w:tc>
          <w:tcPr>
            <w:tcW w:w="2405" w:type="dxa"/>
            <w:shd w:val="clear" w:color="auto" w:fill="auto"/>
            <w:vAlign w:val="center"/>
          </w:tcPr>
          <w:p w14:paraId="1E4252FC" w14:textId="4E689261"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71765942"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1.5. Педагогически специалисти и непедагогически персонал, обучени за работа с деца и ученици от уязвими групи;</w:t>
            </w:r>
          </w:p>
          <w:p w14:paraId="644B3B03"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lastRenderedPageBreak/>
              <w:t>EECO15 малцинства (включително маргинализирани общности като ромите);</w:t>
            </w:r>
          </w:p>
          <w:p w14:paraId="3523D841"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3B2BFA40" w14:textId="1CC474CC"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SOI</w:t>
            </w:r>
            <w:r w:rsidR="001815F9" w:rsidRPr="00D83669">
              <w:rPr>
                <w:rFonts w:ascii="Times New Roman" w:hAnsi="Times New Roman"/>
                <w:sz w:val="24"/>
              </w:rPr>
              <w:t xml:space="preserve"> </w:t>
            </w:r>
            <w:r w:rsidRPr="00D83669">
              <w:rPr>
                <w:rFonts w:ascii="Times New Roman" w:hAnsi="Times New Roman"/>
                <w:sz w:val="24"/>
              </w:rPr>
              <w:t>1.</w:t>
            </w:r>
            <w:r w:rsidR="001815F9" w:rsidRPr="00D83669">
              <w:rPr>
                <w:rFonts w:ascii="Times New Roman" w:hAnsi="Times New Roman"/>
                <w:sz w:val="24"/>
              </w:rPr>
              <w:t>6</w:t>
            </w:r>
            <w:r w:rsidRPr="00D83669">
              <w:rPr>
                <w:rFonts w:ascii="Times New Roman" w:hAnsi="Times New Roman"/>
                <w:sz w:val="24"/>
              </w:rPr>
              <w:t>. Брой училища обхванати в дейности за десегрегация по програмата;</w:t>
            </w:r>
          </w:p>
          <w:p w14:paraId="212C2B6A"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SRI 1.2. Брой деца и ученици от уязвими групи с подобрени образователни резултати след 1 година участие в операцията.</w:t>
            </w:r>
          </w:p>
        </w:tc>
      </w:tr>
      <w:tr w:rsidR="00D857FE" w:rsidRPr="00D83669" w14:paraId="6C4B7CDF" w14:textId="77777777" w:rsidTr="00D20608">
        <w:trPr>
          <w:trHeight w:val="421"/>
        </w:trPr>
        <w:tc>
          <w:tcPr>
            <w:tcW w:w="2405" w:type="dxa"/>
            <w:shd w:val="clear" w:color="auto" w:fill="auto"/>
            <w:vAlign w:val="center"/>
          </w:tcPr>
          <w:p w14:paraId="715B7F7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Валидиране</w:t>
            </w:r>
          </w:p>
        </w:tc>
        <w:tc>
          <w:tcPr>
            <w:tcW w:w="7235" w:type="dxa"/>
            <w:shd w:val="clear" w:color="auto" w:fill="auto"/>
            <w:vAlign w:val="center"/>
          </w:tcPr>
          <w:p w14:paraId="5E3682F9" w14:textId="066B41E1" w:rsidR="00D857FE" w:rsidRPr="00D83669" w:rsidRDefault="00D857FE" w:rsidP="00CC7BCB">
            <w:pPr>
              <w:spacing w:after="120"/>
              <w:jc w:val="both"/>
              <w:rPr>
                <w:rFonts w:ascii="Times New Roman" w:hAnsi="Times New Roman"/>
                <w:sz w:val="24"/>
                <w:szCs w:val="32"/>
              </w:rPr>
            </w:pPr>
            <w:r w:rsidRPr="00D83669">
              <w:rPr>
                <w:rFonts w:ascii="Times New Roman" w:hAnsi="Times New Roman"/>
                <w:sz w:val="24"/>
                <w:szCs w:val="32"/>
              </w:rPr>
              <w:t xml:space="preserve">Целевата стойност на показателя обхваща броя на педагогическите специалисти, участници в дейности по СЦ по чл. 4, пар. 1, буква й) на ПО 2021 – 2027 г. и повишили квалификацията си, останали в сферата на образованието след приключване на дейностите и в края на програмния период и е по-малка от целевата стойност на показател за краен продукт SOI 1.5. Педагогически специалисти и непедагогически персонал, обучени за работа с деца и ученици от уязвими групи, тъй като обхваща само педагогическите специалисти. </w:t>
            </w:r>
          </w:p>
        </w:tc>
      </w:tr>
    </w:tbl>
    <w:p w14:paraId="27025EDD" w14:textId="77777777" w:rsidR="00D857FE" w:rsidRPr="00D83669" w:rsidRDefault="00D857FE" w:rsidP="00D857FE">
      <w:r w:rsidRPr="00D83669">
        <w:br w:type="page"/>
      </w:r>
    </w:p>
    <w:p w14:paraId="20FE14D6" w14:textId="58B06E81" w:rsidR="00D857FE" w:rsidRPr="00D83669" w:rsidRDefault="00D857FE" w:rsidP="007C64A2">
      <w:pPr>
        <w:pStyle w:val="Heading3"/>
        <w:rPr>
          <w:b/>
          <w:bCs/>
          <w:i/>
          <w:iCs/>
          <w:sz w:val="22"/>
          <w:szCs w:val="22"/>
        </w:rPr>
      </w:pPr>
      <w:bookmarkStart w:id="132" w:name="_Toc100152996"/>
      <w:bookmarkStart w:id="133" w:name="_Toc103586671"/>
      <w:r w:rsidRPr="00D83669">
        <w:rPr>
          <w:b/>
          <w:bCs/>
          <w:i/>
          <w:iCs/>
          <w:sz w:val="22"/>
          <w:szCs w:val="22"/>
        </w:rPr>
        <w:lastRenderedPageBreak/>
        <w:t>SRI 1.2. Брой деца и ученици от уязвими групи с подобрени образователни резултати след 1 година участие в операцията</w:t>
      </w:r>
      <w:bookmarkEnd w:id="132"/>
      <w:bookmarkEnd w:id="133"/>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3E15F915" w14:textId="77777777" w:rsidTr="00046951">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E721355" w14:textId="5BCB0F08"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95C898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65B0E65E" w14:textId="77777777" w:rsidTr="00046951">
        <w:tc>
          <w:tcPr>
            <w:tcW w:w="2405" w:type="dxa"/>
            <w:shd w:val="clear" w:color="auto" w:fill="auto"/>
            <w:vAlign w:val="center"/>
          </w:tcPr>
          <w:p w14:paraId="6C017511" w14:textId="180C8BE3"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0EF4F03C"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1.2. Брой деца и ученици от уязвими групи с подобрени образователни резултати след 1 година участие в операцията</w:t>
            </w:r>
          </w:p>
        </w:tc>
      </w:tr>
      <w:tr w:rsidR="00D857FE" w:rsidRPr="00D83669" w14:paraId="57979FC1" w14:textId="77777777" w:rsidTr="00046951">
        <w:tc>
          <w:tcPr>
            <w:tcW w:w="2405" w:type="dxa"/>
            <w:shd w:val="clear" w:color="auto" w:fill="auto"/>
            <w:vAlign w:val="center"/>
          </w:tcPr>
          <w:p w14:paraId="4E82834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7FF43B65" w14:textId="345F3F1C"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5402F2BC" w14:textId="77777777" w:rsidTr="00046951">
        <w:tc>
          <w:tcPr>
            <w:tcW w:w="2405" w:type="dxa"/>
            <w:shd w:val="clear" w:color="auto" w:fill="auto"/>
            <w:vAlign w:val="center"/>
          </w:tcPr>
          <w:p w14:paraId="6ED897E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0649B073"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й)</w:t>
            </w:r>
            <w:r w:rsidRPr="00D83669">
              <w:rPr>
                <w:rFonts w:ascii="Times New Roman" w:hAnsi="Times New Roman"/>
                <w:sz w:val="24"/>
              </w:rPr>
              <w:t xml:space="preserve"> – Насърчаване на социално-икономическата интеграция на граждани на трети държави и на маргинализирани общности, като например ромите</w:t>
            </w:r>
          </w:p>
        </w:tc>
      </w:tr>
      <w:tr w:rsidR="00D857FE" w:rsidRPr="00D83669" w14:paraId="070253DC" w14:textId="77777777" w:rsidTr="00046951">
        <w:tc>
          <w:tcPr>
            <w:tcW w:w="2405" w:type="dxa"/>
            <w:shd w:val="clear" w:color="auto" w:fill="auto"/>
            <w:vAlign w:val="center"/>
          </w:tcPr>
          <w:p w14:paraId="1026F0A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40EB5F7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Създаване на условия за достъп до образование чрез преодоляване на демографски, социални и културни бариери;</w:t>
            </w:r>
          </w:p>
          <w:p w14:paraId="20BAD49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Комплексни програми на общинско ниво за десегрегация на училищата, превенция на вторичната сегрегация и против дискриминацията;</w:t>
            </w:r>
          </w:p>
          <w:p w14:paraId="3A7A75B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Утвърждаване на интеркултурното образование чрез култура, наука и спорт;</w:t>
            </w:r>
          </w:p>
        </w:tc>
      </w:tr>
      <w:tr w:rsidR="00D857FE" w:rsidRPr="00D83669" w14:paraId="6179F53E" w14:textId="77777777" w:rsidTr="00046951">
        <w:tc>
          <w:tcPr>
            <w:tcW w:w="2405" w:type="dxa"/>
            <w:shd w:val="clear" w:color="auto" w:fill="auto"/>
            <w:vAlign w:val="center"/>
          </w:tcPr>
          <w:p w14:paraId="7F57CDC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667D2CBE" w14:textId="66F0B32D"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броя на децата и учениците от уязвими групи, със затруднения в ученето, в риск от отпадане, вкл. със СОП, с хронични заболявания, в риск и с изявени дарби в предучилищното и училищното образование с подобрени образователни резултати от получената подкрепа след 1 година участие в по дейности по операции „Създаване на условия за достъп до образование чрез преодоляване на демографски, социални и културни бариери“, „Комплексни програми на общинско ниво за десегрегация на училищата, превенция на вторичната сегрегация и против дискриминацията“ и „Утвърждаване на интеркултурното образование чрез култура, наука и спорт“. В предучилищното образование показателят измерва броя на децата от уязвими групи, с обучителни затруднения, в риск от отпадане, вкл. деца със СОП, с хронични заболявания, в риск и с изявени дарби, получили обща и допълнителна подкрепа, останали в образование и подобрили уменията си след 1 година участие в операцията, отразени в детското портфолио чрез наблюдение върху физическата и двигателната сръчност, здравето, социалното, емоционалното, когнитивното, комуникативното развитие и ангажираност на децата в детската градина. </w:t>
            </w:r>
          </w:p>
          <w:p w14:paraId="6B2A67BD" w14:textId="3B16BC69" w:rsidR="00D857FE" w:rsidRPr="00D83669" w:rsidRDefault="00D857FE" w:rsidP="00CC7BCB">
            <w:pPr>
              <w:jc w:val="both"/>
              <w:rPr>
                <w:rFonts w:ascii="Times New Roman" w:hAnsi="Times New Roman"/>
                <w:i/>
                <w:sz w:val="24"/>
              </w:rPr>
            </w:pPr>
            <w:r w:rsidRPr="00D83669">
              <w:rPr>
                <w:rFonts w:ascii="Times New Roman" w:hAnsi="Times New Roman"/>
                <w:i/>
                <w:sz w:val="24"/>
              </w:rPr>
              <w:t xml:space="preserve">Съгласно Наредба № 5 от 3 юни 2016 г. за предучилищното образование (Държавния образователен стандарт за предучилищното образование) чл. 33 проследяването постиженията на детето се осъществява от учителите, вписват се в дневника на групата (чл. 34) и се отразяват в детското портфолио на всяко дете (чл. 35). Напредъкът на децата ще се измерва съгласно методиките по Наредба № 5 за предучилищното образование по реда на чл. 28 в 7 образователни направления </w:t>
            </w:r>
            <w:r w:rsidRPr="00D83669">
              <w:rPr>
                <w:rFonts w:ascii="Times New Roman" w:hAnsi="Times New Roman"/>
                <w:i/>
                <w:sz w:val="24"/>
              </w:rPr>
              <w:lastRenderedPageBreak/>
              <w:t xml:space="preserve">(български език, математика, околен свят, изобразително изкуство, музика, конструиране и технологии, физическа култура) в резултат на придобитите знания, умения и отношения от предоставената обща и допълнителна подкрепа. За децата в предучилищното образование няма предвидени количествени и качествени оценки и проследяването на показателя ще се основава на информацията в детското портфолио в началото и в края на всяка учебна година. </w:t>
            </w:r>
          </w:p>
          <w:p w14:paraId="54DA9B05" w14:textId="7246D3AB" w:rsidR="00D857FE" w:rsidRPr="00D83669" w:rsidRDefault="00D857FE" w:rsidP="00CC7BCB">
            <w:pPr>
              <w:jc w:val="both"/>
              <w:rPr>
                <w:rFonts w:ascii="Times New Roman" w:hAnsi="Times New Roman"/>
                <w:i/>
                <w:sz w:val="24"/>
              </w:rPr>
            </w:pPr>
            <w:r w:rsidRPr="00D83669">
              <w:rPr>
                <w:rFonts w:ascii="Times New Roman" w:hAnsi="Times New Roman"/>
                <w:sz w:val="24"/>
              </w:rPr>
              <w:t xml:space="preserve">В училищното образование показателят измерва броя на учениците от уязвими групи, с трудности в ученето, в риск от отпадане, вкл. ученици със СОП, с хронични заболявания, в риск и с изявени дарби, получили обща и допълнителна подкрепа за личностно развитие, останали в образование и подобрили образователните си резултати и/или намалили броя на отсъствията и, санкциите, както и награди, поощрения, и др. след 1 година участие в операцията. </w:t>
            </w:r>
            <w:r w:rsidRPr="00D83669">
              <w:rPr>
                <w:rFonts w:ascii="Times New Roman" w:hAnsi="Times New Roman"/>
                <w:i/>
                <w:sz w:val="24"/>
              </w:rPr>
              <w:t>Съгласно Наредба за приобщаващото образование (ДОС) и Наредба № 11 от 01.09.2016 г. за оценяване на резултатите от обучението на учениците (ДОС) напредъкът на учениците в училищното образование се определя чрез качествени и количествени показатели, както и с отразеното в ученическата книжка, личния картон/ личното дело на ученика, вкл. отсъствия, санкции, награди, поощрения, и др. За нуждите на измерване на промяната в образователните резултати, като следствие от получената обща и допълнителна подкрепа по операцията се прави разделение, а именно: качествен измерител: отличен – 100%, много добър – 85%, добър – 70%, среден – 55% и слаб – 40% съгласно разпоредбите на Наредба № 11/2016 г. – минимални изисквания на ДОС за оценяване на резултатите, което се прилага се за ученици от 1 – 3 клас. За учениците от 4 клас до гимназиална степен включително се прилага количествено измерване на придобития напредък в образователните умения като всяка промяна в оценката на ученика се сравнява с началната стойност, където 0,05 единици от количествената оценка се равняват на 1% повишение, а качествените измерители са същите като по-горе. За ученици със СОП се използва следната скала: постига изискванията – 100%; справя се – 70%; среща затруднения – 40%. Проследяват се и отразените в ученическата книжка, личния картон/личното дело на ученика за брой отсъствия и причините за тях, санкции, ако има такива, награди и поощрения.</w:t>
            </w:r>
          </w:p>
        </w:tc>
      </w:tr>
      <w:tr w:rsidR="00D857FE" w:rsidRPr="00D83669" w14:paraId="47DEA8F2" w14:textId="77777777" w:rsidTr="00046951">
        <w:tc>
          <w:tcPr>
            <w:tcW w:w="2405" w:type="dxa"/>
            <w:shd w:val="clear" w:color="auto" w:fill="auto"/>
            <w:vAlign w:val="center"/>
          </w:tcPr>
          <w:p w14:paraId="1EC230F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235" w:type="dxa"/>
            <w:shd w:val="clear" w:color="auto" w:fill="auto"/>
            <w:vAlign w:val="center"/>
          </w:tcPr>
          <w:p w14:paraId="1ADDBE6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42A95A9A" w14:textId="77777777" w:rsidTr="00046951">
        <w:tc>
          <w:tcPr>
            <w:tcW w:w="2405" w:type="dxa"/>
            <w:shd w:val="clear" w:color="auto" w:fill="auto"/>
            <w:vAlign w:val="center"/>
          </w:tcPr>
          <w:p w14:paraId="44042DD8" w14:textId="5C769120" w:rsidR="00D857FE" w:rsidRPr="00D83669" w:rsidRDefault="003E71AB"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6F5FA0D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46 678</w:t>
            </w:r>
          </w:p>
        </w:tc>
      </w:tr>
      <w:tr w:rsidR="00D857FE" w:rsidRPr="00D83669" w14:paraId="008CF767" w14:textId="77777777" w:rsidTr="00046951">
        <w:tc>
          <w:tcPr>
            <w:tcW w:w="2405" w:type="dxa"/>
            <w:shd w:val="clear" w:color="auto" w:fill="auto"/>
            <w:vAlign w:val="center"/>
          </w:tcPr>
          <w:p w14:paraId="76059657" w14:textId="4BAA6ABE" w:rsidR="00D857FE" w:rsidRPr="00D83669" w:rsidRDefault="00522E94"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4F6583FC" w14:textId="4AE4EBD8"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на показателя представлява 90% от целевата стойност на специфичен показател за краен продукт </w:t>
            </w:r>
            <w:r w:rsidRPr="00D83669">
              <w:rPr>
                <w:rFonts w:ascii="Times New Roman" w:hAnsi="Times New Roman"/>
                <w:sz w:val="24"/>
                <w:lang w:val="en-US"/>
              </w:rPr>
              <w:t>SOI</w:t>
            </w:r>
            <w:r w:rsidRPr="00D83669">
              <w:rPr>
                <w:rFonts w:ascii="Times New Roman" w:hAnsi="Times New Roman"/>
                <w:sz w:val="24"/>
              </w:rPr>
              <w:t xml:space="preserve"> 1.4. Брой деца и ученици от уязвими групи, с обучителни затруднения, в риск от отпадане от образование, поучили подкрепа, която е 51 864. Показателят измерва броя на децата и учениците от уязвими групи, подобрили образователните си резултати след оказаната подкрепа по </w:t>
            </w:r>
            <w:r w:rsidRPr="00D83669">
              <w:rPr>
                <w:rFonts w:ascii="Times New Roman" w:hAnsi="Times New Roman"/>
                <w:sz w:val="24"/>
              </w:rPr>
              <w:lastRenderedPageBreak/>
              <w:t>трите операции на тази специфична цел, като се ползва опитът и постигнатото по ОПНОИР.</w:t>
            </w:r>
          </w:p>
          <w:p w14:paraId="04854878" w14:textId="566D53B9" w:rsidR="00D857FE" w:rsidRPr="00D83669" w:rsidRDefault="00D857FE" w:rsidP="00CC7BCB">
            <w:pPr>
              <w:jc w:val="both"/>
            </w:pPr>
            <w:r w:rsidRPr="00D83669">
              <w:rPr>
                <w:rFonts w:ascii="Times New Roman" w:hAnsi="Times New Roman"/>
                <w:sz w:val="24"/>
              </w:rPr>
              <w:t>1.</w:t>
            </w:r>
            <w:r w:rsidRPr="00D83669">
              <w:t xml:space="preserve"> </w:t>
            </w:r>
            <w:r w:rsidRPr="00D83669">
              <w:rPr>
                <w:rFonts w:ascii="Times New Roman" w:hAnsi="Times New Roman"/>
                <w:sz w:val="24"/>
              </w:rPr>
              <w:t>За гарантиране на устойчивост на резултатите по трите операции 90% от подкрепените деца от целевите групи в предучилищното образование, получили подкрепа по тази специфична цел, няма да напуснат системата на образованието, ще подобрят поведението, мотивацията и образователните си резултати след 1 година участие в дейности по операциите. Показателят се базира на опита на ОПНОИР по проект „Активно приобщаване в системата на предучилищното образование“ и по проект „Подкрепа за приобщаващо образование“ на база отчети и анализи, представени от МОН. За децата в предучилищното образование няма предвидени количествени и качествени оценки и проследяването на показателя ще се основава на информацията в детското портфолио в началото и в края на всяка учебна година. За нуждите на измерване на промяната в постигане на образователните резултати за децата в предучилищно образование, като следствие от получената обща и допълнителна подкрепа по операцията се прави разделение на четири качествени степени на постигане на образователните резултати от съответния ДОС:</w:t>
            </w:r>
            <w:r w:rsidRPr="00D83669">
              <w:t xml:space="preserve"> </w:t>
            </w:r>
          </w:p>
          <w:p w14:paraId="0839E8FB" w14:textId="77777777" w:rsidR="00D857FE" w:rsidRPr="00D83669" w:rsidRDefault="00D857FE" w:rsidP="00CC7BCB">
            <w:pPr>
              <w:jc w:val="both"/>
              <w:rPr>
                <w:rFonts w:ascii="Times New Roman" w:hAnsi="Times New Roman"/>
                <w:sz w:val="24"/>
              </w:rPr>
            </w:pPr>
            <w:r w:rsidRPr="00D83669">
              <w:t xml:space="preserve">- </w:t>
            </w:r>
            <w:r w:rsidRPr="00D83669">
              <w:rPr>
                <w:rFonts w:ascii="Times New Roman" w:hAnsi="Times New Roman"/>
                <w:sz w:val="24"/>
              </w:rPr>
              <w:t>Постига очакваните резултати –</w:t>
            </w:r>
            <w:r w:rsidRPr="00D83669">
              <w:rPr>
                <w:rFonts w:ascii="Times New Roman" w:hAnsi="Times New Roman"/>
                <w:sz w:val="24"/>
                <w:lang w:val="en-US"/>
              </w:rPr>
              <w:t> </w:t>
            </w:r>
            <w:r w:rsidRPr="00D83669">
              <w:rPr>
                <w:rFonts w:ascii="Times New Roman" w:hAnsi="Times New Roman"/>
                <w:sz w:val="24"/>
              </w:rPr>
              <w:t>100%;</w:t>
            </w:r>
          </w:p>
          <w:p w14:paraId="30ABA04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В голяма степен постига очакваните резултати –</w:t>
            </w:r>
            <w:r w:rsidRPr="00D83669">
              <w:rPr>
                <w:rFonts w:ascii="Times New Roman" w:hAnsi="Times New Roman"/>
                <w:sz w:val="24"/>
                <w:lang w:val="en-US"/>
              </w:rPr>
              <w:t> </w:t>
            </w:r>
            <w:r w:rsidRPr="00D83669">
              <w:rPr>
                <w:rFonts w:ascii="Times New Roman" w:hAnsi="Times New Roman"/>
                <w:sz w:val="24"/>
              </w:rPr>
              <w:t>80%;</w:t>
            </w:r>
          </w:p>
          <w:p w14:paraId="43318FE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Частично постига очакваните резултати –</w:t>
            </w:r>
            <w:r w:rsidRPr="00D83669">
              <w:rPr>
                <w:rFonts w:ascii="Times New Roman" w:hAnsi="Times New Roman"/>
                <w:sz w:val="24"/>
                <w:lang w:val="en-US"/>
              </w:rPr>
              <w:t> </w:t>
            </w:r>
            <w:r w:rsidRPr="00D83669">
              <w:rPr>
                <w:rFonts w:ascii="Times New Roman" w:hAnsi="Times New Roman"/>
                <w:sz w:val="24"/>
              </w:rPr>
              <w:t>65%;</w:t>
            </w:r>
          </w:p>
          <w:p w14:paraId="5F695F6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Не постига очакваните резултати</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50%.</w:t>
            </w:r>
          </w:p>
          <w:p w14:paraId="687E339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За деца със СОП:</w:t>
            </w:r>
          </w:p>
          <w:p w14:paraId="4C8DBF4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Постига изискванията – 100%;</w:t>
            </w:r>
          </w:p>
          <w:p w14:paraId="74F10DE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Справя се –</w:t>
            </w:r>
            <w:r w:rsidRPr="00D83669">
              <w:rPr>
                <w:rFonts w:ascii="Times New Roman" w:hAnsi="Times New Roman"/>
                <w:sz w:val="24"/>
                <w:lang w:val="en-US"/>
              </w:rPr>
              <w:t> </w:t>
            </w:r>
            <w:r w:rsidRPr="00D83669">
              <w:rPr>
                <w:rFonts w:ascii="Times New Roman" w:hAnsi="Times New Roman"/>
                <w:sz w:val="24"/>
              </w:rPr>
              <w:t>70%;</w:t>
            </w:r>
          </w:p>
          <w:p w14:paraId="5EAFD08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Среща затруднения – 40%.</w:t>
            </w:r>
          </w:p>
          <w:p w14:paraId="19DEC08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В резултат от оказаната подкрепа тези деца ще се считат за приобщени в мултикултурна образователна среда, т.к. са останали в образование и са показали подобрение средно с 10% на образователните резултати след 1 година участие в дейности за подкрепа по трите операции. Например дете в детската градина с входно ниво от 65% 1 година след участие в дейности за обща подкрепа по операцията постига 75% . За дете със СОП например с входно ниво от 50% 1 година след участие в дейности за обща и допълнителна подкрепа постига 60%.</w:t>
            </w:r>
          </w:p>
          <w:p w14:paraId="118BCDF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w:t>
            </w:r>
            <w:r w:rsidRPr="00D83669">
              <w:t xml:space="preserve"> </w:t>
            </w:r>
            <w:r w:rsidRPr="00D83669">
              <w:rPr>
                <w:rFonts w:ascii="Times New Roman" w:hAnsi="Times New Roman"/>
                <w:sz w:val="24"/>
              </w:rPr>
              <w:t xml:space="preserve">За гарантиране на устойчивост на резултатите по трите операции 90% от подкрепените ученици от целевите групи в училищното образование, получили подкрепа за учене в мултикултурна образователна среда, няма да напуснат системата на образованието </w:t>
            </w:r>
            <w:r w:rsidRPr="00D83669">
              <w:rPr>
                <w:rFonts w:ascii="Times New Roman" w:hAnsi="Times New Roman"/>
                <w:sz w:val="24"/>
              </w:rPr>
              <w:lastRenderedPageBreak/>
              <w:t>и ще подобрят поведението, мотивацията и образователните си резултати след приключване на операциите.</w:t>
            </w:r>
          </w:p>
          <w:p w14:paraId="3B69199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Съгласно Наредба за приобщаващото образование (ДОС) и Наредба № 11 от 01.09.2016 г. за оценяване на резултатите от обучението на учениците (ДОС) напредъкът на учениците в училищното образование се определя чрез качествени и количествени показатели, както и с отразеното в ученическата книжка, личния картон/ личното дело на ученика, вкл. отсъствия, санкции, награди, поощрения, и др. За нуждите на измерване на промяната в образователните резултати, като следствие от получената подкрепа по операциите се прави разделение, а именно:- качествен измерител: отличен – 100%, много добър – 85%, добър – 70%, среден – 55% и слаб – 40% съгласно разпоредбите на Наредба № 11/2016 г. – минимални изисквания на ДОС за оценяване на резултатите, което се прилага се за ученици от 1 – 3 клас. За учениците от 4 клас до гимназиална степен включително се прилага количествено измерване на придобития напредък в образователните умения като всяка промяна в оценката на ученика се сравнява с началната стойност, където 0,05 единици от количествената оценка се равняват на 1% повишение, а качествените измерители са същите като по-горе. За ученици със СОП се използва следната скала: постига изискванията – 100%; справя се – 70%; среща затруднения – 40%. Проследяват се и отразените в ученическата книжка, личния картон/личното дело на ученика за брой отсъствия и причините за тях, санкции, ако има такива, награди и поощрения.</w:t>
            </w:r>
          </w:p>
          <w:p w14:paraId="4A0719FB" w14:textId="3B31B9AC" w:rsidR="00D857FE" w:rsidRPr="00D83669" w:rsidRDefault="00D857FE" w:rsidP="00CC7BCB">
            <w:pPr>
              <w:jc w:val="both"/>
              <w:rPr>
                <w:rFonts w:ascii="Times New Roman" w:hAnsi="Times New Roman"/>
                <w:sz w:val="24"/>
              </w:rPr>
            </w:pPr>
            <w:r w:rsidRPr="00D83669">
              <w:rPr>
                <w:rFonts w:ascii="Times New Roman" w:hAnsi="Times New Roman"/>
                <w:sz w:val="24"/>
              </w:rPr>
              <w:t>В резултат от оказаната подкрепа след 1 година участие в операцията тези ученици ще се считат за приобщени в мултикултурната образователна среда, т.к. са останали в образование и са показали подобрение на резултати средно с 10% (например средният успех от 3,00 се повишил до 3,50), като са намалили и броя на отсъствията по неуважителни причини и санкциите.</w:t>
            </w:r>
            <w:r w:rsidRPr="00D83669">
              <w:t xml:space="preserve"> </w:t>
            </w:r>
            <w:r w:rsidRPr="00D83669">
              <w:rPr>
                <w:rFonts w:ascii="Times New Roman" w:hAnsi="Times New Roman"/>
                <w:sz w:val="24"/>
              </w:rPr>
              <w:t>Определянето на целевата стойност на показателя за ученици от целевите групи се базира на опита на ОПНОИР по проект „Подкрепа за успех“, където според анализ на постигнатото за учебната 2019/2020 г. 65 930 ученици са подобрили образователните си резултати с 1 единица (което е 20%) по учебни предмети, по които са участвали в допълнителни обучения, резултатите от ДЗИ и НВО и от началния етап подобрението на общ среден образователен резултат се определя на 10% или 0,50 по количествената оценка за 1 учебна година.</w:t>
            </w:r>
          </w:p>
          <w:p w14:paraId="0D7C9C83" w14:textId="69CE6AD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на показателя „Брой деца и ученици от уязвими групи с подобрени образователни резултати след 1 година участие в операцията“ по тази специфична цел представлява 90% от целевата стойност на микроиндикатор ИП 1.4. й) Брой деца и ученици от уязвими групи, с обучителни затруднения, в риск от отпадане от образование, поучили подкрепа, която е 51 864. Показателят измерва броя на децата и учениците от уязвими групи, подобрили </w:t>
            </w:r>
            <w:r w:rsidRPr="00D83669">
              <w:rPr>
                <w:rFonts w:ascii="Times New Roman" w:hAnsi="Times New Roman"/>
                <w:sz w:val="24"/>
              </w:rPr>
              <w:lastRenderedPageBreak/>
              <w:t>образователните си резултати след оказаната подкрепа по трите операции на тази специфична цел“ или 51</w:t>
            </w:r>
            <w:r w:rsidRPr="00D83669">
              <w:rPr>
                <w:rFonts w:ascii="Times New Roman" w:hAnsi="Times New Roman"/>
                <w:sz w:val="24"/>
                <w:lang w:val="en-US"/>
              </w:rPr>
              <w:t> </w:t>
            </w:r>
            <w:r w:rsidRPr="00D83669">
              <w:rPr>
                <w:rFonts w:ascii="Times New Roman" w:hAnsi="Times New Roman"/>
                <w:sz w:val="24"/>
              </w:rPr>
              <w:t>864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90%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46</w:t>
            </w:r>
            <w:r w:rsidRPr="00D83669">
              <w:rPr>
                <w:rFonts w:ascii="Times New Roman" w:hAnsi="Times New Roman"/>
                <w:sz w:val="24"/>
                <w:lang w:val="en-US"/>
              </w:rPr>
              <w:t> </w:t>
            </w:r>
            <w:r w:rsidRPr="00D83669">
              <w:rPr>
                <w:rFonts w:ascii="Times New Roman" w:hAnsi="Times New Roman"/>
                <w:sz w:val="24"/>
              </w:rPr>
              <w:t>678.</w:t>
            </w:r>
          </w:p>
        </w:tc>
      </w:tr>
      <w:tr w:rsidR="00D857FE" w:rsidRPr="00D83669" w14:paraId="05522A3E" w14:textId="77777777" w:rsidTr="00046951">
        <w:tc>
          <w:tcPr>
            <w:tcW w:w="2405" w:type="dxa"/>
            <w:shd w:val="clear" w:color="auto" w:fill="auto"/>
            <w:vAlign w:val="center"/>
          </w:tcPr>
          <w:p w14:paraId="3AFBEB8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Референтна стойност</w:t>
            </w:r>
          </w:p>
        </w:tc>
        <w:tc>
          <w:tcPr>
            <w:tcW w:w="7235" w:type="dxa"/>
            <w:shd w:val="clear" w:color="auto" w:fill="auto"/>
            <w:vAlign w:val="center"/>
          </w:tcPr>
          <w:p w14:paraId="6D87945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w:t>
            </w:r>
            <w:r w:rsidRPr="00D83669">
              <w:rPr>
                <w:rFonts w:ascii="Times New Roman" w:hAnsi="Times New Roman"/>
                <w:sz w:val="24"/>
                <w:lang w:val="en-US"/>
              </w:rPr>
              <w:t> </w:t>
            </w:r>
            <w:r w:rsidRPr="00D83669">
              <w:rPr>
                <w:rFonts w:ascii="Times New Roman" w:hAnsi="Times New Roman"/>
                <w:sz w:val="24"/>
              </w:rPr>
              <w:t>292</w:t>
            </w:r>
          </w:p>
        </w:tc>
      </w:tr>
      <w:tr w:rsidR="00D857FE" w:rsidRPr="00D83669" w14:paraId="57720E01" w14:textId="77777777" w:rsidTr="00046951">
        <w:tc>
          <w:tcPr>
            <w:tcW w:w="2405" w:type="dxa"/>
            <w:shd w:val="clear" w:color="auto" w:fill="auto"/>
            <w:vAlign w:val="center"/>
          </w:tcPr>
          <w:p w14:paraId="3C2B4A3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референтна стойност</w:t>
            </w:r>
          </w:p>
        </w:tc>
        <w:tc>
          <w:tcPr>
            <w:tcW w:w="7235" w:type="dxa"/>
            <w:shd w:val="clear" w:color="auto" w:fill="auto"/>
            <w:vAlign w:val="center"/>
          </w:tcPr>
          <w:p w14:paraId="63CA0015" w14:textId="3C23D1A6" w:rsidR="00D857FE" w:rsidRPr="00D83669" w:rsidRDefault="00D857FE" w:rsidP="00CC7BCB">
            <w:pPr>
              <w:jc w:val="both"/>
              <w:rPr>
                <w:rFonts w:ascii="Times New Roman" w:hAnsi="Times New Roman"/>
                <w:sz w:val="24"/>
              </w:rPr>
            </w:pPr>
            <w:r w:rsidRPr="00D83669">
              <w:rPr>
                <w:rFonts w:ascii="Times New Roman" w:hAnsi="Times New Roman"/>
                <w:sz w:val="24"/>
              </w:rPr>
              <w:t>Референтната стойност на показателя отчита наличните данни по 16 процедури за БФП по подхода ВОМР, където по сключените до септември 49 договора заложената обща стойност на показател Р3211 „Деца, ученици, младежи от етнически малцинства (включително роми), интегрирани в образователната система“ е 3</w:t>
            </w:r>
            <w:r w:rsidRPr="00D83669">
              <w:rPr>
                <w:rFonts w:ascii="Times New Roman" w:hAnsi="Times New Roman"/>
                <w:sz w:val="24"/>
                <w:lang w:val="en-US"/>
              </w:rPr>
              <w:t> </w:t>
            </w:r>
            <w:r w:rsidRPr="00D83669">
              <w:rPr>
                <w:rFonts w:ascii="Times New Roman" w:hAnsi="Times New Roman"/>
                <w:sz w:val="24"/>
              </w:rPr>
              <w:t>292.</w:t>
            </w:r>
          </w:p>
        </w:tc>
      </w:tr>
      <w:tr w:rsidR="00D857FE" w:rsidRPr="00D83669" w14:paraId="4AB9C048" w14:textId="77777777" w:rsidTr="00046951">
        <w:tc>
          <w:tcPr>
            <w:tcW w:w="2405" w:type="dxa"/>
            <w:shd w:val="clear" w:color="auto" w:fill="auto"/>
            <w:vAlign w:val="center"/>
          </w:tcPr>
          <w:p w14:paraId="4D90172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2BD5F8E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група в предучилищното образование или клас в училищното образование. При отчитането ще бъдат представени данни съгласно методологията за събиране на данни за децата и учениците от уязвими групи, с обучителни затруднения, в риск от отпадане, деца със СОП, в риск, с хронични заболявания или с изявени дарби, по демографски, социални характеристики, група или клас в предучилищното и училищното образование, напредък по постигнатите образователни резултати и ангажираност, отразени в личното портфолио, личния картон след участието им в дейностите.</w:t>
            </w:r>
          </w:p>
        </w:tc>
      </w:tr>
      <w:tr w:rsidR="00D857FE" w:rsidRPr="00D83669" w14:paraId="0CA59EAC" w14:textId="77777777" w:rsidTr="00046951">
        <w:tc>
          <w:tcPr>
            <w:tcW w:w="2405" w:type="dxa"/>
            <w:shd w:val="clear" w:color="auto" w:fill="auto"/>
            <w:vAlign w:val="center"/>
          </w:tcPr>
          <w:p w14:paraId="53125D4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02904AF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Дейностите за подкрепа в предучилищното образование ще надградят изключително резултатните и обхватни проекти по ОПНОИР – „Активно приобщаване в системата на предучилищното образование“, „Подкрепа за приобщаващо образование“, „Подкрепа за успех“, както и 49 проекта по подхода ВОМР, финансирани по програмата, които са насочени към индивидуалните потребности на децата и учениците за развитието на способностите, за повишаване на успеваемостта им и приобщаването им в мултикултурната образователна среда.</w:t>
            </w:r>
          </w:p>
          <w:p w14:paraId="749818ED" w14:textId="452EB395"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е ориентиран към цели, заложени в стратегически документи например като Стратегическа рамка за развитие на образованието, обучението и ученето на Република България (2021 – 2030). </w:t>
            </w:r>
          </w:p>
          <w:p w14:paraId="0A01355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В резултат на предоставената подкрепа подобрените резултати и мотивация за учене в мултикултурна образователна среда на децата и учениците от уязвими групи, с обучителни затруднения, в риск от отпадане, със СОП, с хронични заболявания, в риск и с изявени дарби в предучилищното образование и родителите им ще доведе до приобщаването им в образователната система, като допринесе за постигането на националната цел за 2030 намаляване дела на преждевременно напусналите образование на 7%, делът на учениците с резултати, по ниски от критичните (средно за трите области на изследването) от 46% за 2018 г. по данни на ОИСР (PISA) да намалее на 25% през 2030 г., дял на обхванатите деца на възраст 4 г. в предучилищно образование спрямо общият брой на децата на 4 годишна възраст – 91%, дял на децата на възраст 4 – 6 години, </w:t>
            </w:r>
            <w:r w:rsidRPr="00D83669">
              <w:rPr>
                <w:rFonts w:ascii="Times New Roman" w:hAnsi="Times New Roman"/>
                <w:sz w:val="24"/>
              </w:rPr>
              <w:lastRenderedPageBreak/>
              <w:t>необхванати в предучилищното образование – 5% от Стратегическа рамка за развитие на образованието, обучението и ученето на Република България (2021 – 2030).</w:t>
            </w:r>
          </w:p>
          <w:p w14:paraId="6B67EABF" w14:textId="2BAC32A6"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приобщаващото образование. Показателят е насочен и към изпълнение препоръки на ЕК от докладите по Европейския семестър за напредък и обхват на приобщаващото образование.</w:t>
            </w:r>
          </w:p>
        </w:tc>
      </w:tr>
      <w:tr w:rsidR="00D857FE" w:rsidRPr="00D83669" w14:paraId="323C73D1" w14:textId="77777777" w:rsidTr="00046951">
        <w:tc>
          <w:tcPr>
            <w:tcW w:w="2405" w:type="dxa"/>
            <w:shd w:val="clear" w:color="auto" w:fill="auto"/>
            <w:vAlign w:val="center"/>
          </w:tcPr>
          <w:p w14:paraId="48C4D49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235" w:type="dxa"/>
            <w:shd w:val="clear" w:color="auto" w:fill="auto"/>
            <w:vAlign w:val="center"/>
          </w:tcPr>
          <w:p w14:paraId="421BC5B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Ще бъде предоставена информация от детското портфолио или личния картон на всички деца и ученици, получаващи подкрепа по и участващи в дейности по трите операции. Тези данни ще бъдат на ниво образователна институция. </w:t>
            </w:r>
          </w:p>
          <w:p w14:paraId="3E7C23A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За всяко дете ще бъде определено входно ниво преди получаването на подкрепа по операциите. Всички бъдещи подобрения ще бъдат измерени спрямо това входно ниво. </w:t>
            </w:r>
          </w:p>
          <w:p w14:paraId="3B702C9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Освен това дете, участвало и подкрепено в дейности по тази специфична цел, също ще бъде проследено чрез базата данни на МОН, за да потвърди дали то е останало в образователната система или не. </w:t>
            </w:r>
          </w:p>
          <w:p w14:paraId="596B407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Потвърждаване и валидиране на отчетените резултати и предоставяне на подробен анализ на отчетената промяна е чрез наблюдение в класната стая и интервюта с ученици, учители, администратори, родители и други доставчици на услуги ангажирани в процеса на предоставяне на обща и допълнителна подкрепа за личностно развитие.</w:t>
            </w:r>
          </w:p>
          <w:p w14:paraId="029439F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В допълнение към 7-те образователни направления, измерени в портфолиото на децата, наблюдението ще валидира и оцени такива въпроси като: наблюдавана физическа и двигателна сръчност, здраве, социално, емоционално, когнитивно, комуникативно развитие и ангажираност в класната стая.</w:t>
            </w:r>
          </w:p>
          <w:p w14:paraId="0B80AFC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за учениците се събират текущо за всяка учебна година като отчитат постигнатите образователни резултати от началото и края на всяка учебна година и се представя с техническите доклади за изпълнение и приложенията към тях като част от системата за мониторинг на проекта.</w:t>
            </w:r>
          </w:p>
          <w:p w14:paraId="62E4CA4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може да бъдат използвани за периодични оценки на ефекта, обхвата и устойчивостта, както и за промени в мерките по политиките в сферата на образованието.</w:t>
            </w:r>
          </w:p>
          <w:p w14:paraId="7E30D3D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ще бъде измерена като проследяваща процеса на изпълнение чрез прилагане на различни инструменти за идентифициране на нуждите, на базата на които ще се изготвят индивидуалните обучителни планове и ще се измерва напредъкът на учениците.</w:t>
            </w:r>
          </w:p>
        </w:tc>
      </w:tr>
      <w:tr w:rsidR="00D857FE" w:rsidRPr="00D83669" w14:paraId="5106ABEB" w14:textId="77777777" w:rsidTr="00046951">
        <w:tc>
          <w:tcPr>
            <w:tcW w:w="2405" w:type="dxa"/>
            <w:shd w:val="clear" w:color="auto" w:fill="auto"/>
            <w:vAlign w:val="center"/>
          </w:tcPr>
          <w:p w14:paraId="5433EB1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235" w:type="dxa"/>
            <w:shd w:val="clear" w:color="auto" w:fill="auto"/>
            <w:vAlign w:val="center"/>
          </w:tcPr>
          <w:p w14:paraId="66CFE81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27DEAD54" w14:textId="77777777" w:rsidTr="00046951">
        <w:tc>
          <w:tcPr>
            <w:tcW w:w="2405" w:type="dxa"/>
            <w:shd w:val="clear" w:color="auto" w:fill="auto"/>
            <w:vAlign w:val="center"/>
          </w:tcPr>
          <w:p w14:paraId="07FE24C0" w14:textId="081FC3C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3BD48D14"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SOI 1.4. Брой деца и ученици от предучилищното и училищното образование от уязвими групи, получили подкрепа;</w:t>
            </w:r>
          </w:p>
          <w:p w14:paraId="6434FC00"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5FB46DA1" w14:textId="19AF0D65"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SOI</w:t>
            </w:r>
            <w:r w:rsidR="001815F9" w:rsidRPr="00D83669">
              <w:rPr>
                <w:rFonts w:ascii="Times New Roman" w:hAnsi="Times New Roman"/>
                <w:sz w:val="24"/>
              </w:rPr>
              <w:t xml:space="preserve"> </w:t>
            </w:r>
            <w:r w:rsidRPr="00D83669">
              <w:rPr>
                <w:rFonts w:ascii="Times New Roman" w:hAnsi="Times New Roman"/>
                <w:sz w:val="24"/>
              </w:rPr>
              <w:t>1.6. Брой училища обхванати в дейности за десегрегация по програмата.</w:t>
            </w:r>
          </w:p>
        </w:tc>
      </w:tr>
      <w:tr w:rsidR="00D857FE" w:rsidRPr="00D83669" w14:paraId="574C729A" w14:textId="77777777" w:rsidTr="00046951">
        <w:tc>
          <w:tcPr>
            <w:tcW w:w="2405" w:type="dxa"/>
            <w:shd w:val="clear" w:color="auto" w:fill="auto"/>
            <w:vAlign w:val="center"/>
          </w:tcPr>
          <w:p w14:paraId="24AC425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7F78C5E2" w14:textId="1EC140BB"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децата и ученици от уязвими групи, с обучителни трудности, в риск от отпадане, вкл. със СОП, с хронични заболявания, в риск и с изявени дарби, участници в дейности за обща и допълнителна подкрепа по СЦ по чл. 4, пар. 1, буква й) на ПО 2021 – 2027, подобрили образователните резултати след 1 година участие в операциите и е по-малка от всички участници в операциите по тази специфична цел като е по-малка от целевата стойност на показател за краен продукт EECO15 малцинства (включително маргинализирани общности като ромите).</w:t>
            </w:r>
          </w:p>
        </w:tc>
      </w:tr>
    </w:tbl>
    <w:p w14:paraId="2AD54F65" w14:textId="77777777" w:rsidR="00D857FE" w:rsidRPr="00D83669" w:rsidRDefault="00D857FE" w:rsidP="00D857FE"/>
    <w:p w14:paraId="54539A2D" w14:textId="77777777" w:rsidR="00D857FE" w:rsidRPr="00D83669" w:rsidRDefault="00D857FE" w:rsidP="00D857FE">
      <w:r w:rsidRPr="00D83669">
        <w:br w:type="page"/>
      </w:r>
    </w:p>
    <w:p w14:paraId="264E8AF0" w14:textId="64A247D0" w:rsidR="00D857FE" w:rsidRPr="00D83669" w:rsidRDefault="00D857FE" w:rsidP="005D7C1C">
      <w:pPr>
        <w:pStyle w:val="Heading1"/>
        <w:jc w:val="both"/>
        <w:rPr>
          <w:rFonts w:ascii="Times New Roman" w:hAnsi="Times New Roman" w:cs="Times New Roman"/>
          <w:lang w:val="bg-BG"/>
        </w:rPr>
      </w:pPr>
      <w:bookmarkStart w:id="134" w:name="_Toc98778792"/>
      <w:bookmarkStart w:id="135" w:name="_Toc100152997"/>
      <w:bookmarkStart w:id="136" w:name="_Toc103586672"/>
      <w:r w:rsidRPr="00D83669">
        <w:rPr>
          <w:rFonts w:ascii="Times New Roman" w:hAnsi="Times New Roman" w:cs="Times New Roman"/>
          <w:lang w:val="bg-BG"/>
        </w:rPr>
        <w:lastRenderedPageBreak/>
        <w:t>ПРИОРИТЕТ 2 – МОДЕРНИЗАЦИЯ И КАЧЕСТВО НА ОБРАЗОВАНИЕТО</w:t>
      </w:r>
      <w:bookmarkEnd w:id="134"/>
      <w:bookmarkEnd w:id="135"/>
      <w:bookmarkEnd w:id="136"/>
    </w:p>
    <w:p w14:paraId="4FF7D6FA" w14:textId="77777777" w:rsidR="005D7C1C" w:rsidRPr="00D83669" w:rsidRDefault="00D857FE" w:rsidP="005D7C1C">
      <w:pPr>
        <w:pStyle w:val="Heading2"/>
        <w:ind w:left="426"/>
        <w:jc w:val="both"/>
        <w:rPr>
          <w:rFonts w:ascii="Times New Roman" w:hAnsi="Times New Roman" w:cs="Times New Roman"/>
          <w:b/>
          <w:bCs/>
          <w:sz w:val="28"/>
          <w:szCs w:val="28"/>
        </w:rPr>
      </w:pPr>
      <w:bookmarkStart w:id="137" w:name="_Toc103586673"/>
      <w:bookmarkStart w:id="138" w:name="_Toc98778793"/>
      <w:bookmarkStart w:id="139" w:name="_Toc100152998"/>
      <w:r w:rsidRPr="00D83669">
        <w:rPr>
          <w:rFonts w:ascii="Times New Roman" w:hAnsi="Times New Roman" w:cs="Times New Roman"/>
          <w:b/>
          <w:bCs/>
          <w:sz w:val="28"/>
          <w:szCs w:val="28"/>
        </w:rPr>
        <w:t>СЦ по чл. 4, пар. 1, буква д)</w:t>
      </w:r>
      <w:bookmarkEnd w:id="137"/>
      <w:r w:rsidRPr="00D83669">
        <w:rPr>
          <w:rFonts w:ascii="Times New Roman" w:hAnsi="Times New Roman" w:cs="Times New Roman"/>
          <w:b/>
          <w:bCs/>
          <w:sz w:val="28"/>
          <w:szCs w:val="28"/>
        </w:rPr>
        <w:t xml:space="preserve">  </w:t>
      </w:r>
    </w:p>
    <w:p w14:paraId="2E34E3D1" w14:textId="468AA564" w:rsidR="00D857FE" w:rsidRPr="00D83669" w:rsidRDefault="00D857FE" w:rsidP="00C66982">
      <w:pPr>
        <w:jc w:val="both"/>
        <w:rPr>
          <w:rFonts w:ascii="Times New Roman" w:hAnsi="Times New Roman" w:cs="Times New Roman"/>
          <w:color w:val="2E74B5" w:themeColor="accent1" w:themeShade="BF"/>
          <w:sz w:val="24"/>
          <w:szCs w:val="24"/>
        </w:rPr>
      </w:pPr>
      <w:r w:rsidRPr="00D83669">
        <w:rPr>
          <w:rFonts w:ascii="Times New Roman" w:hAnsi="Times New Roman" w:cs="Times New Roman"/>
          <w:color w:val="2E74B5" w:themeColor="accent1" w:themeShade="BF"/>
          <w:sz w:val="24"/>
          <w:szCs w:val="24"/>
        </w:rPr>
        <w:t>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самостоятелното учене, така че да допринасят за придобиването на ключови компетентности, в т.ч. предприемачески и цифрови умения също и чрез насърчаване на въвеждането на дуални системи на обучение и чиракуване</w:t>
      </w:r>
      <w:bookmarkEnd w:id="138"/>
      <w:bookmarkEnd w:id="139"/>
    </w:p>
    <w:p w14:paraId="3E149F78" w14:textId="4770C065" w:rsidR="00D857FE" w:rsidRPr="00D83669" w:rsidRDefault="00D857FE" w:rsidP="00D857FE">
      <w:pPr>
        <w:pStyle w:val="Heading3"/>
        <w:ind w:left="567"/>
        <w:rPr>
          <w:rFonts w:ascii="Times New Roman" w:hAnsi="Times New Roman" w:cs="Times New Roman"/>
          <w:color w:val="000000" w:themeColor="text1"/>
        </w:rPr>
      </w:pPr>
      <w:bookmarkStart w:id="140" w:name="_Toc98778794"/>
      <w:bookmarkStart w:id="141" w:name="_Toc100152999"/>
      <w:bookmarkStart w:id="142" w:name="_Toc103586674"/>
      <w:r w:rsidRPr="00D83669">
        <w:rPr>
          <w:rFonts w:ascii="Times New Roman" w:hAnsi="Times New Roman" w:cs="Times New Roman"/>
        </w:rPr>
        <w:t>Показатели за крайни продукти</w:t>
      </w:r>
      <w:bookmarkEnd w:id="140"/>
      <w:bookmarkEnd w:id="141"/>
      <w:bookmarkEnd w:id="142"/>
      <w:r w:rsidRPr="00D83669">
        <w:rPr>
          <w:rFonts w:ascii="Times New Roman" w:hAnsi="Times New Roman" w:cs="Times New Roman"/>
          <w:color w:val="000000" w:themeColor="text1"/>
        </w:rPr>
        <w:t xml:space="preserve"> </w:t>
      </w:r>
    </w:p>
    <w:p w14:paraId="38369091" w14:textId="5AD5408F" w:rsidR="00D857FE" w:rsidRPr="00D83669" w:rsidRDefault="00D857FE" w:rsidP="007C64A2">
      <w:pPr>
        <w:pStyle w:val="Heading3"/>
        <w:rPr>
          <w:b/>
          <w:bCs/>
          <w:i/>
          <w:iCs/>
          <w:sz w:val="22"/>
          <w:szCs w:val="22"/>
        </w:rPr>
      </w:pPr>
      <w:bookmarkStart w:id="143" w:name="_Toc100153000"/>
      <w:bookmarkStart w:id="144" w:name="_Toc103586675"/>
      <w:r w:rsidRPr="00D83669">
        <w:rPr>
          <w:b/>
          <w:bCs/>
          <w:i/>
          <w:iCs/>
          <w:sz w:val="22"/>
          <w:szCs w:val="22"/>
        </w:rPr>
        <w:t>EECO15 малцинства (включително маргинализирани общности като ромите)</w:t>
      </w:r>
      <w:bookmarkEnd w:id="143"/>
      <w:bookmarkEnd w:id="144"/>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1385087B" w14:textId="77777777" w:rsidTr="00F00442">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054D994" w14:textId="3F2D45C5"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22BC08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1D70B4E9" w14:textId="77777777" w:rsidTr="00F00442">
        <w:tc>
          <w:tcPr>
            <w:tcW w:w="2405" w:type="dxa"/>
            <w:shd w:val="clear" w:color="auto" w:fill="auto"/>
            <w:vAlign w:val="center"/>
          </w:tcPr>
          <w:p w14:paraId="71A314A6" w14:textId="46DA7919"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185C067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tc>
      </w:tr>
      <w:tr w:rsidR="00D857FE" w:rsidRPr="00D83669" w14:paraId="3C25B045" w14:textId="77777777" w:rsidTr="00F00442">
        <w:tc>
          <w:tcPr>
            <w:tcW w:w="2405" w:type="dxa"/>
            <w:shd w:val="clear" w:color="auto" w:fill="auto"/>
            <w:vAlign w:val="center"/>
          </w:tcPr>
          <w:p w14:paraId="07D9128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2DA8B49D" w14:textId="46648874"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3E5EEC37" w14:textId="77777777" w:rsidTr="00F00442">
        <w:tc>
          <w:tcPr>
            <w:tcW w:w="2405" w:type="dxa"/>
            <w:shd w:val="clear" w:color="auto" w:fill="auto"/>
            <w:vAlign w:val="center"/>
          </w:tcPr>
          <w:p w14:paraId="0CE81A9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3F51C0D1"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71F7CF4F" w14:textId="77777777" w:rsidTr="00F00442">
        <w:tc>
          <w:tcPr>
            <w:tcW w:w="2405" w:type="dxa"/>
            <w:shd w:val="clear" w:color="auto" w:fill="auto"/>
            <w:vAlign w:val="center"/>
          </w:tcPr>
          <w:p w14:paraId="5A98CF1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334DD91C"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Ефективно прилагане на компетентностния модел чрез въвеждане на училищни методически планове за действие за развитие на ключови компетентности;</w:t>
            </w:r>
          </w:p>
          <w:p w14:paraId="4C8ED7A5"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Дигитална трансформация на училищното образование в т.ч. професионалното образование и обучение;</w:t>
            </w:r>
          </w:p>
          <w:p w14:paraId="1EF3B1EE"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Подкрепа за създаване и прилагане на култура за иновации, иновативни детски градини и училища;</w:t>
            </w:r>
          </w:p>
          <w:p w14:paraId="05FDBAE6"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Подкрепа за ученици с таланти.</w:t>
            </w:r>
          </w:p>
        </w:tc>
      </w:tr>
      <w:tr w:rsidR="00D857FE" w:rsidRPr="00D83669" w14:paraId="6E0C5DF8" w14:textId="77777777" w:rsidTr="00F00442">
        <w:tc>
          <w:tcPr>
            <w:tcW w:w="2405" w:type="dxa"/>
            <w:shd w:val="clear" w:color="auto" w:fill="auto"/>
            <w:vAlign w:val="center"/>
          </w:tcPr>
          <w:p w14:paraId="4AD90E06"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235" w:type="dxa"/>
            <w:shd w:val="clear" w:color="auto" w:fill="auto"/>
            <w:vAlign w:val="center"/>
          </w:tcPr>
          <w:p w14:paraId="03FBCDA1" w14:textId="19D391DA" w:rsidR="00D857FE" w:rsidRPr="00D83669" w:rsidRDefault="00D857FE" w:rsidP="00CC7BCB">
            <w:pPr>
              <w:jc w:val="both"/>
              <w:rPr>
                <w:rFonts w:ascii="Times New Roman" w:hAnsi="Times New Roman"/>
                <w:sz w:val="24"/>
                <w:lang w:val="en-US"/>
              </w:rPr>
            </w:pPr>
            <w:r w:rsidRPr="00D83669">
              <w:rPr>
                <w:rFonts w:ascii="Times New Roman" w:hAnsi="Times New Roman"/>
                <w:sz w:val="24"/>
              </w:rPr>
              <w:t>Показателят измерва броя на представителите на малцинства, вкл. маргинализирани групи като ромите, които са включени в дейности по операции на Приоритет 2 на ПО 2021 – 2027 г., в т.ч. деца от детски градини и ученици от всички етапи и степени на училищното образование, родители и образователни медиатори.</w:t>
            </w:r>
          </w:p>
        </w:tc>
      </w:tr>
      <w:tr w:rsidR="00D857FE" w:rsidRPr="00D83669" w14:paraId="08CEB267" w14:textId="77777777" w:rsidTr="00F00442">
        <w:tc>
          <w:tcPr>
            <w:tcW w:w="2405" w:type="dxa"/>
            <w:shd w:val="clear" w:color="auto" w:fill="auto"/>
            <w:vAlign w:val="center"/>
          </w:tcPr>
          <w:p w14:paraId="6B7DF40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5A083B1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6735C713" w14:textId="77777777" w:rsidTr="00F00442">
        <w:tc>
          <w:tcPr>
            <w:tcW w:w="2405" w:type="dxa"/>
            <w:shd w:val="clear" w:color="auto" w:fill="auto"/>
            <w:vAlign w:val="center"/>
          </w:tcPr>
          <w:p w14:paraId="7C9EC7D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7266A786"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81 217</w:t>
            </w:r>
          </w:p>
        </w:tc>
      </w:tr>
      <w:tr w:rsidR="00D857FE" w:rsidRPr="00D83669" w14:paraId="2ED191EC" w14:textId="77777777" w:rsidTr="00F00442">
        <w:tc>
          <w:tcPr>
            <w:tcW w:w="2405" w:type="dxa"/>
            <w:shd w:val="clear" w:color="auto" w:fill="auto"/>
            <w:vAlign w:val="center"/>
          </w:tcPr>
          <w:p w14:paraId="1523067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7BBAA4B1" w14:textId="648F0526"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е определена на база единичните разходи за обучения на целевите групи, прилагани през периода 2018 –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занимания по интереси на ученици/допълнителни занимания на деца/обучения на родители и образователни медиатори са свързани с разходи за възнаграждения и са в пряка зависимост от ръста на разходите за труд. За определяне на целевата стойност на показателя се прилага процент за относителния дял на средствата от </w:t>
            </w:r>
            <w:r w:rsidRPr="00D83669">
              <w:rPr>
                <w:rFonts w:ascii="Times New Roman" w:hAnsi="Times New Roman"/>
                <w:sz w:val="24"/>
              </w:rPr>
              <w:lastRenderedPageBreak/>
              <w:t>бюджета на Приоритет 2 на Програмата за код 154</w:t>
            </w:r>
            <w:r w:rsidRPr="00D83669">
              <w:t xml:space="preserve"> </w:t>
            </w:r>
            <w:r w:rsidRPr="00D83669">
              <w:rPr>
                <w:rFonts w:ascii="Times New Roman" w:hAnsi="Times New Roman" w:cs="Times New Roman"/>
              </w:rPr>
              <w:t>„</w:t>
            </w:r>
            <w:r w:rsidRPr="00D83669">
              <w:rPr>
                <w:rFonts w:ascii="Times New Roman" w:hAnsi="Times New Roman"/>
                <w:sz w:val="24"/>
              </w:rPr>
              <w:t xml:space="preserve">Мерки за подобряване на достъпа на маргинализирани групи като ромите до образование, заетост и за насърчаване на социалното им приобщаване“. Целевата стойност представлява 14% от кумулативната стойност на ученици, родители, образователни медиатори и деца в предучилищното образование, участници в четирите групи дейности по тази специфична цел, както следва: </w:t>
            </w:r>
          </w:p>
          <w:p w14:paraId="424D085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броя на учениците, които ще бъдат обучени в рамките на група дейности „Дигитална трансформация на училищното образование в т.ч. професионалното образование и обучение“, „Ефективно прилагане на компетентностния модел чрез въвеждане на училищни методически планове за действие за развитие на ключови компетентности“, „Подкрепа за създаване и прилагане на култура за иновации, иновативни детски градини и училища“ и „Подкрепа за ученици с таланти“,</w:t>
            </w:r>
          </w:p>
          <w:p w14:paraId="2046F7E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броя на родителите и образователните медиатори, които ще бъдат обучени в рамките на група дейности „Дигитална трансформация на училищното образование в т.ч. професионалното образование и обучение“, </w:t>
            </w:r>
          </w:p>
          <w:p w14:paraId="5DA15F7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броя на деца от ДГ, участващи в допълнителни занимания за прилагане на иновативно учебно съдържание и др. в рамките на</w:t>
            </w:r>
            <w:r w:rsidRPr="00D83669">
              <w:t xml:space="preserve"> </w:t>
            </w:r>
            <w:r w:rsidRPr="00D83669">
              <w:rPr>
                <w:rFonts w:ascii="Times New Roman" w:hAnsi="Times New Roman"/>
                <w:sz w:val="24"/>
              </w:rPr>
              <w:t>група дейности</w:t>
            </w:r>
            <w:r w:rsidRPr="00D83669">
              <w:t xml:space="preserve"> </w:t>
            </w:r>
            <w:r w:rsidRPr="00D83669">
              <w:rPr>
                <w:rFonts w:ascii="Times New Roman" w:hAnsi="Times New Roman"/>
                <w:sz w:val="24"/>
              </w:rPr>
              <w:t>„Подкрепа за създаване и прилагане на култура за иновации, иновативни детски градини и училища“, или</w:t>
            </w:r>
          </w:p>
          <w:p w14:paraId="12D920F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(356 922</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212 539</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10 660)</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14%</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81 217.</w:t>
            </w:r>
          </w:p>
        </w:tc>
      </w:tr>
      <w:tr w:rsidR="00D857FE" w:rsidRPr="00D83669" w14:paraId="053471C1" w14:textId="77777777" w:rsidTr="00F00442">
        <w:tc>
          <w:tcPr>
            <w:tcW w:w="2405" w:type="dxa"/>
            <w:shd w:val="clear" w:color="auto" w:fill="auto"/>
            <w:vAlign w:val="center"/>
          </w:tcPr>
          <w:p w14:paraId="38D7D27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7235" w:type="dxa"/>
            <w:shd w:val="clear" w:color="auto" w:fill="auto"/>
            <w:vAlign w:val="center"/>
          </w:tcPr>
          <w:p w14:paraId="4AB10C5F" w14:textId="706F321E" w:rsidR="00D857FE" w:rsidRPr="00D83669" w:rsidRDefault="00920E5A" w:rsidP="00CC7BCB">
            <w:pPr>
              <w:jc w:val="both"/>
              <w:rPr>
                <w:rFonts w:ascii="Times New Roman" w:hAnsi="Times New Roman"/>
                <w:sz w:val="24"/>
                <w:lang w:val="en-US"/>
              </w:rPr>
            </w:pPr>
            <w:r w:rsidRPr="00D83669">
              <w:rPr>
                <w:rFonts w:ascii="Times New Roman" w:hAnsi="Times New Roman"/>
                <w:sz w:val="24"/>
              </w:rPr>
              <w:t>1</w:t>
            </w:r>
            <w:r w:rsidR="00F302F5" w:rsidRPr="00D83669">
              <w:rPr>
                <w:rFonts w:ascii="Times New Roman" w:hAnsi="Times New Roman"/>
                <w:sz w:val="24"/>
              </w:rPr>
              <w:t xml:space="preserve"> </w:t>
            </w:r>
            <w:r w:rsidRPr="00D83669">
              <w:rPr>
                <w:rFonts w:ascii="Times New Roman" w:hAnsi="Times New Roman"/>
                <w:sz w:val="24"/>
              </w:rPr>
              <w:t>695</w:t>
            </w:r>
            <w:r w:rsidR="00F302F5" w:rsidRPr="00D83669">
              <w:rPr>
                <w:rFonts w:ascii="Times New Roman" w:hAnsi="Times New Roman"/>
                <w:sz w:val="24"/>
              </w:rPr>
              <w:t xml:space="preserve"> </w:t>
            </w:r>
          </w:p>
        </w:tc>
      </w:tr>
      <w:tr w:rsidR="00D857FE" w:rsidRPr="00D83669" w14:paraId="475545BC" w14:textId="77777777" w:rsidTr="00F00442">
        <w:tc>
          <w:tcPr>
            <w:tcW w:w="2405" w:type="dxa"/>
            <w:shd w:val="clear" w:color="auto" w:fill="auto"/>
            <w:vAlign w:val="center"/>
          </w:tcPr>
          <w:p w14:paraId="47FCB96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4561786A" w14:textId="141E944D" w:rsidR="00D857FE" w:rsidRPr="00D83669" w:rsidRDefault="00920E5A" w:rsidP="00CC7BCB">
            <w:pPr>
              <w:jc w:val="both"/>
              <w:rPr>
                <w:rFonts w:ascii="Times New Roman" w:hAnsi="Times New Roman"/>
                <w:sz w:val="24"/>
              </w:rPr>
            </w:pPr>
            <w:r w:rsidRPr="00D83669">
              <w:rPr>
                <w:rFonts w:ascii="Times New Roman" w:hAnsi="Times New Roman"/>
                <w:sz w:val="24"/>
              </w:rPr>
              <w:t>Етапната цел се определя от обхванатите ученици  от малцинства (включително от маргинализирани общности, като ромите) по операция "Ефективно прилагане на компетентностния модел чрез въвеждане на училищни методически планове за действие за развитие на ключови компетентности", като е приложена методологията за определяне на етапната цел на индикатор SOI 2.7 Брой подкрепени деца и ученици и  е приложен процент за относителния дял на средствата от бюджета на Приоритет 2 на програмата за код 154 „Мерки за подобряване на достъпа на маргинализирани групи като ромите до образование, заетост и за насърчаване на социалното им приобщаване“.</w:t>
            </w:r>
          </w:p>
        </w:tc>
      </w:tr>
      <w:tr w:rsidR="00D857FE" w:rsidRPr="00D83669" w14:paraId="12F751CD" w14:textId="77777777" w:rsidTr="00F00442">
        <w:tc>
          <w:tcPr>
            <w:tcW w:w="2405" w:type="dxa"/>
            <w:shd w:val="clear" w:color="auto" w:fill="auto"/>
            <w:vAlign w:val="center"/>
          </w:tcPr>
          <w:p w14:paraId="2D61253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02DDD31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7891AF1D" w14:textId="77777777" w:rsidTr="00F00442">
        <w:tc>
          <w:tcPr>
            <w:tcW w:w="2405" w:type="dxa"/>
            <w:shd w:val="clear" w:color="auto" w:fill="auto"/>
            <w:vAlign w:val="center"/>
          </w:tcPr>
          <w:p w14:paraId="3509ED6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58E587A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 по други демографски фактори. На етап отчитане ще бъдат представени данни за пол, възраст, район, област и община, ниво на образование, вид уязвима група и друга демографска информация за участниците.</w:t>
            </w:r>
          </w:p>
        </w:tc>
      </w:tr>
      <w:tr w:rsidR="00D857FE" w:rsidRPr="00D83669" w14:paraId="02E5E1B7" w14:textId="77777777" w:rsidTr="00F00442">
        <w:tc>
          <w:tcPr>
            <w:tcW w:w="2405" w:type="dxa"/>
            <w:shd w:val="clear" w:color="auto" w:fill="auto"/>
            <w:vAlign w:val="center"/>
          </w:tcPr>
          <w:p w14:paraId="07F7D42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49920C12" w14:textId="5DC58268"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са необходими с оглед постигане на заложени цели в политиките за образование, в редица стратегически документи за уязвими групи. Показателят е ориентиран към цели, заложени в </w:t>
            </w:r>
            <w:r w:rsidRPr="00D83669">
              <w:rPr>
                <w:rFonts w:ascii="Times New Roman" w:hAnsi="Times New Roman"/>
                <w:sz w:val="24"/>
              </w:rPr>
              <w:lastRenderedPageBreak/>
              <w:t xml:space="preserve">Стратегическата рамка за развитие на образованието, обучението и ученето на Република България 2021 – 2030, в проекта на Националната стратегия на Република България за приобщаване и участие на ромите 2021 – 2030 и в други национални стратегически документи. Данните ще се събират, за да се проследи броя на децата и учениците от малцинствата, включително и на техните родители, които участват в мерки по Приоритет 2 на Програмата, с цел осигуряване на равен достъп до качествено за всички участници в образователния процес. </w:t>
            </w:r>
          </w:p>
        </w:tc>
      </w:tr>
      <w:tr w:rsidR="00D857FE" w:rsidRPr="00D83669" w14:paraId="08ADA559" w14:textId="77777777" w:rsidTr="00F00442">
        <w:tc>
          <w:tcPr>
            <w:tcW w:w="2405" w:type="dxa"/>
            <w:shd w:val="clear" w:color="auto" w:fill="auto"/>
            <w:vAlign w:val="center"/>
          </w:tcPr>
          <w:p w14:paraId="4810CE6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235" w:type="dxa"/>
            <w:shd w:val="clear" w:color="auto" w:fill="auto"/>
            <w:vAlign w:val="center"/>
          </w:tcPr>
          <w:p w14:paraId="47CBCDC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70A1C27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видът и името на образователната институция; местоположение – област, населено място, район; брой и демографски данни на деца и ученици от малцинствата, техните родители и образователните медиатори, участвали в дейности по СЦ по чл. 4, ал. 1, буква д) на Приоритет 2 на Програмата; демографски данни като пол и възраст, ниво на образование на родителите и образователните медиатори, и др.</w:t>
            </w:r>
          </w:p>
        </w:tc>
      </w:tr>
      <w:tr w:rsidR="00D857FE" w:rsidRPr="00D83669" w14:paraId="0BB7BE62" w14:textId="77777777" w:rsidTr="00F00442">
        <w:tc>
          <w:tcPr>
            <w:tcW w:w="2405" w:type="dxa"/>
            <w:shd w:val="clear" w:color="auto" w:fill="auto"/>
            <w:vAlign w:val="center"/>
          </w:tcPr>
          <w:p w14:paraId="08AD0CA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71CACA1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3E5D1320" w14:textId="77777777" w:rsidTr="00F00442">
        <w:trPr>
          <w:trHeight w:val="1250"/>
        </w:trPr>
        <w:tc>
          <w:tcPr>
            <w:tcW w:w="2405" w:type="dxa"/>
            <w:shd w:val="clear" w:color="auto" w:fill="auto"/>
            <w:vAlign w:val="center"/>
          </w:tcPr>
          <w:p w14:paraId="230F69FB" w14:textId="7D28B66E"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21617463"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SOI 2.7 Брой подкрепени деца и ученици;</w:t>
            </w:r>
          </w:p>
          <w:p w14:paraId="32BAC844"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2.1 Брой подкрепени родители и образователни медиатори;</w:t>
            </w:r>
          </w:p>
          <w:p w14:paraId="42A1AB6D"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2.1. Подобрени образователни резултати на подкрепените деца и ученици;</w:t>
            </w:r>
          </w:p>
          <w:p w14:paraId="4F3A3C74"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082E0F67"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2.2 Дял на училищата, които изпълняват методически планове за действие с разширена група ключови компетентности 2 години след въвеждането им;</w:t>
            </w:r>
          </w:p>
          <w:p w14:paraId="6A118D0D"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2.3 Брой потребители на разработените иновативни обучителни пакети.</w:t>
            </w:r>
          </w:p>
        </w:tc>
      </w:tr>
      <w:tr w:rsidR="00D857FE" w:rsidRPr="00D83669" w14:paraId="64FB8C1D" w14:textId="77777777" w:rsidTr="00F00442">
        <w:trPr>
          <w:trHeight w:val="1774"/>
        </w:trPr>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13B37F9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tcBorders>
              <w:top w:val="single" w:sz="4" w:space="0" w:color="auto"/>
              <w:left w:val="single" w:sz="4" w:space="0" w:color="auto"/>
              <w:bottom w:val="single" w:sz="4" w:space="0" w:color="auto"/>
              <w:right w:val="single" w:sz="4" w:space="0" w:color="auto"/>
            </w:tcBorders>
            <w:shd w:val="clear" w:color="auto" w:fill="auto"/>
            <w:vAlign w:val="center"/>
          </w:tcPr>
          <w:p w14:paraId="68321925" w14:textId="71A5D91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от малцинства, вкл. от маргинализирани общности като ромите – деца, ученици, родители и образователни медиатори, включени в дейности по операции по СЦ по чл. 4, пар. 1, буква д) на Приоритет 2 на ПО 2021 – 2027 и е по-малка от броя на всички участници в дейности по Приоритет 2 на Програмата и по тази специфична цел.</w:t>
            </w:r>
          </w:p>
        </w:tc>
      </w:tr>
    </w:tbl>
    <w:p w14:paraId="213B0F0D" w14:textId="77777777" w:rsidR="00D857FE" w:rsidRPr="00D83669" w:rsidRDefault="00D857FE" w:rsidP="00D857FE"/>
    <w:p w14:paraId="71BD2961" w14:textId="77777777" w:rsidR="00D857FE" w:rsidRPr="00D83669" w:rsidRDefault="00D857FE" w:rsidP="00D857FE">
      <w:r w:rsidRPr="00D83669">
        <w:br w:type="page"/>
      </w:r>
    </w:p>
    <w:p w14:paraId="00E96F45" w14:textId="1A4806E6" w:rsidR="00D857FE" w:rsidRPr="00D83669" w:rsidRDefault="00D857FE" w:rsidP="007C64A2">
      <w:pPr>
        <w:pStyle w:val="Heading3"/>
        <w:rPr>
          <w:b/>
          <w:bCs/>
          <w:i/>
          <w:iCs/>
          <w:sz w:val="22"/>
          <w:szCs w:val="22"/>
        </w:rPr>
      </w:pPr>
      <w:bookmarkStart w:id="145" w:name="_Toc100153001"/>
      <w:bookmarkStart w:id="146" w:name="_Toc103586676"/>
      <w:r w:rsidRPr="00D83669">
        <w:rPr>
          <w:b/>
          <w:bCs/>
          <w:i/>
          <w:iCs/>
          <w:sz w:val="22"/>
          <w:szCs w:val="22"/>
        </w:rPr>
        <w:lastRenderedPageBreak/>
        <w:t>SOI 2.1 Брой подкрепени родители и образователни медиатори</w:t>
      </w:r>
      <w:bookmarkEnd w:id="145"/>
      <w:bookmarkEnd w:id="146"/>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0CFBFD53" w14:textId="77777777" w:rsidTr="004A1B61">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65E5574" w14:textId="02863641"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C00FD2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2525B4DD" w14:textId="77777777" w:rsidTr="004A1B61">
        <w:tc>
          <w:tcPr>
            <w:tcW w:w="2405" w:type="dxa"/>
            <w:shd w:val="clear" w:color="auto" w:fill="auto"/>
            <w:vAlign w:val="center"/>
          </w:tcPr>
          <w:p w14:paraId="3A320D9A" w14:textId="71DC087E"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2D40AC7B"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2.1 Брой подкрепени родители и образователни медиатори</w:t>
            </w:r>
          </w:p>
        </w:tc>
      </w:tr>
      <w:tr w:rsidR="00D857FE" w:rsidRPr="00D83669" w14:paraId="229747D7" w14:textId="77777777" w:rsidTr="004A1B61">
        <w:tc>
          <w:tcPr>
            <w:tcW w:w="2405" w:type="dxa"/>
            <w:shd w:val="clear" w:color="auto" w:fill="auto"/>
            <w:vAlign w:val="center"/>
          </w:tcPr>
          <w:p w14:paraId="3298556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191054F0" w14:textId="213EC26A"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61DD390C" w14:textId="77777777" w:rsidTr="004A1B61">
        <w:tc>
          <w:tcPr>
            <w:tcW w:w="2405" w:type="dxa"/>
            <w:shd w:val="clear" w:color="auto" w:fill="auto"/>
            <w:vAlign w:val="center"/>
          </w:tcPr>
          <w:p w14:paraId="20ABD5F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7B3CAD9C"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240EEAE6" w14:textId="77777777" w:rsidTr="004A1B61">
        <w:tc>
          <w:tcPr>
            <w:tcW w:w="2405" w:type="dxa"/>
            <w:shd w:val="clear" w:color="auto" w:fill="auto"/>
            <w:vAlign w:val="center"/>
          </w:tcPr>
          <w:p w14:paraId="7EE2797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515AD0F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Дигитална трансформация на училищното образование в т.ч. професионалното образование и обучение;</w:t>
            </w:r>
          </w:p>
        </w:tc>
      </w:tr>
      <w:tr w:rsidR="00D857FE" w:rsidRPr="00D83669" w14:paraId="47880DE7" w14:textId="77777777" w:rsidTr="004A1B61">
        <w:tc>
          <w:tcPr>
            <w:tcW w:w="2405" w:type="dxa"/>
            <w:shd w:val="clear" w:color="auto" w:fill="auto"/>
            <w:vAlign w:val="center"/>
          </w:tcPr>
          <w:p w14:paraId="6B562D41"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235" w:type="dxa"/>
            <w:shd w:val="clear" w:color="auto" w:fill="auto"/>
            <w:vAlign w:val="center"/>
          </w:tcPr>
          <w:p w14:paraId="6412FD30" w14:textId="7FB511A1"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родителите и образователните медиатори, които са преминали обучение с електронни ресурси с отворен достъп и уеб базирани приложения, насочени към повишаване на ангажираността им в обучението на учениците</w:t>
            </w:r>
            <w:r w:rsidRPr="00D83669">
              <w:t xml:space="preserve"> </w:t>
            </w:r>
            <w:r w:rsidRPr="00D83669">
              <w:rPr>
                <w:rFonts w:ascii="Times New Roman" w:hAnsi="Times New Roman"/>
                <w:sz w:val="24"/>
              </w:rPr>
              <w:t>и са участници в дейности по операция „Дигитална трансформация на училищното образование в т.ч. ПОО“.</w:t>
            </w:r>
          </w:p>
        </w:tc>
      </w:tr>
      <w:tr w:rsidR="00D857FE" w:rsidRPr="00D83669" w14:paraId="05249E56" w14:textId="77777777" w:rsidTr="004A1B61">
        <w:tc>
          <w:tcPr>
            <w:tcW w:w="2405" w:type="dxa"/>
            <w:shd w:val="clear" w:color="auto" w:fill="auto"/>
            <w:vAlign w:val="center"/>
          </w:tcPr>
          <w:p w14:paraId="498A2D3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54F63A3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092F4802" w14:textId="77777777" w:rsidTr="004A1B61">
        <w:tc>
          <w:tcPr>
            <w:tcW w:w="2405" w:type="dxa"/>
            <w:shd w:val="clear" w:color="auto" w:fill="auto"/>
            <w:vAlign w:val="center"/>
          </w:tcPr>
          <w:p w14:paraId="68DB05D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357CA0B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212 539</w:t>
            </w:r>
          </w:p>
        </w:tc>
      </w:tr>
      <w:tr w:rsidR="00D857FE" w:rsidRPr="00D83669" w14:paraId="3F7AEE02" w14:textId="77777777" w:rsidTr="004A1B61">
        <w:tc>
          <w:tcPr>
            <w:tcW w:w="2405" w:type="dxa"/>
            <w:shd w:val="clear" w:color="auto" w:fill="auto"/>
            <w:vAlign w:val="center"/>
          </w:tcPr>
          <w:p w14:paraId="75EA23E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32714BE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е определена на база единичните разходи за обучения на родители и образователни медиатори, прилагани през периода 2018 –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обучения са свързани с разходи за възнаграждения и са в пряка зависимост от ръста на разходите за труд. Целевата стойност представлява 15% от общия брой родители, които по данни на НСИ от преброяването на населението в България през 2011 г. са 1 387 057. Изчислената целева стойност ще гарантира широк обхват на целевата група, отчитайки че по проект „Равен достъп до училищно образование в условията на кризи“ са включени 210 000 родители.</w:t>
            </w:r>
          </w:p>
        </w:tc>
      </w:tr>
      <w:tr w:rsidR="00D857FE" w:rsidRPr="00D83669" w14:paraId="6888C7AE" w14:textId="77777777" w:rsidTr="004A1B61">
        <w:tc>
          <w:tcPr>
            <w:tcW w:w="2405" w:type="dxa"/>
            <w:shd w:val="clear" w:color="auto" w:fill="auto"/>
            <w:vAlign w:val="center"/>
          </w:tcPr>
          <w:p w14:paraId="6A09A8E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0FA28303" w14:textId="742C092A" w:rsidR="00D857FE" w:rsidRPr="00D83669" w:rsidRDefault="007973A2" w:rsidP="00CC7BCB">
            <w:pPr>
              <w:jc w:val="both"/>
              <w:rPr>
                <w:rFonts w:ascii="Times New Roman" w:hAnsi="Times New Roman"/>
                <w:sz w:val="24"/>
              </w:rPr>
            </w:pPr>
            <w:r w:rsidRPr="00D83669">
              <w:rPr>
                <w:rFonts w:ascii="Times New Roman" w:hAnsi="Times New Roman"/>
                <w:sz w:val="24"/>
              </w:rPr>
              <w:t xml:space="preserve"> 0</w:t>
            </w:r>
          </w:p>
        </w:tc>
      </w:tr>
      <w:tr w:rsidR="00D857FE" w:rsidRPr="00D83669" w14:paraId="7CB382CD" w14:textId="77777777" w:rsidTr="004A1B61">
        <w:tc>
          <w:tcPr>
            <w:tcW w:w="2405" w:type="dxa"/>
            <w:shd w:val="clear" w:color="auto" w:fill="auto"/>
            <w:vAlign w:val="center"/>
          </w:tcPr>
          <w:p w14:paraId="626143E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487647F6" w14:textId="0EC4FC0A" w:rsidR="00D857FE" w:rsidRPr="00D83669" w:rsidRDefault="007973A2" w:rsidP="00CC7BCB">
            <w:pPr>
              <w:jc w:val="both"/>
              <w:rPr>
                <w:rFonts w:ascii="Times New Roman" w:hAnsi="Times New Roman"/>
                <w:sz w:val="24"/>
              </w:rPr>
            </w:pPr>
            <w:r w:rsidRPr="00D83669">
              <w:rPr>
                <w:rFonts w:ascii="Times New Roman" w:hAnsi="Times New Roman"/>
                <w:sz w:val="24"/>
              </w:rPr>
              <w:t>Планираният период за стартиране на физическото изпълнение на дейностите по  операция "Дигитална трансформация на училищното образование в т.ч. професионалното образование и обучение" е средата на 2024 г. В тази връзка няма да бъде възможно отчитане на стойности на индикатори в края на 2024 г., поради което не се планира етапна цел за изпълнение на индикатора.</w:t>
            </w:r>
          </w:p>
        </w:tc>
      </w:tr>
      <w:tr w:rsidR="00D857FE" w:rsidRPr="00D83669" w14:paraId="6B7F6FFF" w14:textId="77777777" w:rsidTr="004A1B61">
        <w:tc>
          <w:tcPr>
            <w:tcW w:w="2405" w:type="dxa"/>
            <w:shd w:val="clear" w:color="auto" w:fill="auto"/>
            <w:vAlign w:val="center"/>
          </w:tcPr>
          <w:p w14:paraId="0DADFBE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66A538C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7A995F43" w14:textId="77777777" w:rsidTr="004A1B61">
        <w:tc>
          <w:tcPr>
            <w:tcW w:w="2405" w:type="dxa"/>
            <w:shd w:val="clear" w:color="auto" w:fill="auto"/>
            <w:vAlign w:val="center"/>
          </w:tcPr>
          <w:p w14:paraId="12F87DB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61FB23C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направена предварителна разбивка по пол и по други демографски фактори. На етап отчитане ще бъдат представени данни </w:t>
            </w:r>
            <w:r w:rsidRPr="00D83669">
              <w:rPr>
                <w:rFonts w:ascii="Times New Roman" w:hAnsi="Times New Roman"/>
                <w:sz w:val="24"/>
              </w:rPr>
              <w:lastRenderedPageBreak/>
              <w:t>за пол, образование на участниците, възраст, образователна институция, район, област и община и друга демографска информация за участниците.</w:t>
            </w:r>
          </w:p>
        </w:tc>
      </w:tr>
      <w:tr w:rsidR="00D857FE" w:rsidRPr="00D83669" w14:paraId="6FBCD571" w14:textId="77777777" w:rsidTr="004A1B61">
        <w:tc>
          <w:tcPr>
            <w:tcW w:w="2405" w:type="dxa"/>
            <w:shd w:val="clear" w:color="auto" w:fill="auto"/>
            <w:vAlign w:val="center"/>
          </w:tcPr>
          <w:p w14:paraId="68E88DD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Обосновка </w:t>
            </w:r>
          </w:p>
        </w:tc>
        <w:tc>
          <w:tcPr>
            <w:tcW w:w="7235" w:type="dxa"/>
            <w:shd w:val="clear" w:color="auto" w:fill="auto"/>
            <w:vAlign w:val="center"/>
          </w:tcPr>
          <w:p w14:paraId="3C965EB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данните за броя на обучените медиатори и родители ще подпомогне процеса на проследяване на ефекта от мерките за дигитална трансформация на училищното образование, с цел да не се прекъсне учебният процес след началото на пандемията от COVID-19.</w:t>
            </w:r>
          </w:p>
        </w:tc>
      </w:tr>
      <w:tr w:rsidR="00D857FE" w:rsidRPr="00D83669" w14:paraId="4DC0783C" w14:textId="77777777" w:rsidTr="004A1B61">
        <w:tc>
          <w:tcPr>
            <w:tcW w:w="2405" w:type="dxa"/>
            <w:shd w:val="clear" w:color="auto" w:fill="auto"/>
            <w:vAlign w:val="center"/>
          </w:tcPr>
          <w:p w14:paraId="3A55420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73D277E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6C4FD58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пол, възраст, ниво на образование, други демографски данни; период на провеждане на обученията и продължителност.</w:t>
            </w:r>
          </w:p>
        </w:tc>
      </w:tr>
      <w:tr w:rsidR="00D857FE" w:rsidRPr="00D83669" w14:paraId="0A67BE32" w14:textId="77777777" w:rsidTr="004A1B61">
        <w:tc>
          <w:tcPr>
            <w:tcW w:w="2405" w:type="dxa"/>
            <w:shd w:val="clear" w:color="auto" w:fill="auto"/>
            <w:vAlign w:val="center"/>
          </w:tcPr>
          <w:p w14:paraId="6BD172E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5D330C3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378FE135" w14:textId="77777777" w:rsidTr="004A1B61">
        <w:tc>
          <w:tcPr>
            <w:tcW w:w="2405" w:type="dxa"/>
            <w:shd w:val="clear" w:color="auto" w:fill="auto"/>
            <w:vAlign w:val="center"/>
          </w:tcPr>
          <w:p w14:paraId="48F84A72" w14:textId="6072455F"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784CDFC9" w14:textId="77777777" w:rsidR="00D857FE" w:rsidRPr="00D83669" w:rsidRDefault="00D857FE" w:rsidP="00D857FE">
            <w:pPr>
              <w:pStyle w:val="ListParagraph"/>
              <w:numPr>
                <w:ilvl w:val="0"/>
                <w:numId w:val="28"/>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38322332" w14:textId="77777777" w:rsidR="00D857FE" w:rsidRPr="00D83669" w:rsidRDefault="00D857FE" w:rsidP="00D857FE">
            <w:pPr>
              <w:pStyle w:val="ListParagraph"/>
              <w:numPr>
                <w:ilvl w:val="0"/>
                <w:numId w:val="28"/>
              </w:numPr>
              <w:spacing w:after="0" w:line="240" w:lineRule="auto"/>
              <w:jc w:val="both"/>
              <w:rPr>
                <w:rFonts w:ascii="Times New Roman" w:hAnsi="Times New Roman"/>
                <w:sz w:val="24"/>
              </w:rPr>
            </w:pPr>
            <w:r w:rsidRPr="00D83669">
              <w:rPr>
                <w:rFonts w:ascii="Times New Roman" w:hAnsi="Times New Roman"/>
                <w:sz w:val="24"/>
              </w:rPr>
              <w:t>SOI 2.7 Брой подкрепени деца и ученици;</w:t>
            </w:r>
          </w:p>
          <w:p w14:paraId="767D14B2" w14:textId="77777777" w:rsidR="00D857FE" w:rsidRPr="00D83669" w:rsidRDefault="00D857FE" w:rsidP="00D857FE">
            <w:pPr>
              <w:pStyle w:val="ListParagraph"/>
              <w:numPr>
                <w:ilvl w:val="0"/>
                <w:numId w:val="28"/>
              </w:numPr>
              <w:spacing w:after="0" w:line="240" w:lineRule="auto"/>
              <w:jc w:val="both"/>
              <w:rPr>
                <w:rFonts w:ascii="Times New Roman" w:hAnsi="Times New Roman"/>
                <w:sz w:val="24"/>
              </w:rPr>
            </w:pPr>
            <w:r w:rsidRPr="00D83669">
              <w:rPr>
                <w:rFonts w:ascii="Times New Roman" w:hAnsi="Times New Roman"/>
                <w:sz w:val="24"/>
              </w:rPr>
              <w:t>SRI 2.1. Подобрени образователни резултати на подкрепените деца и ученици</w:t>
            </w:r>
          </w:p>
        </w:tc>
      </w:tr>
      <w:tr w:rsidR="00D857FE" w:rsidRPr="00D83669" w14:paraId="7A63B956" w14:textId="77777777" w:rsidTr="004A1B61">
        <w:tc>
          <w:tcPr>
            <w:tcW w:w="2405" w:type="dxa"/>
            <w:shd w:val="clear" w:color="auto" w:fill="auto"/>
            <w:vAlign w:val="center"/>
          </w:tcPr>
          <w:p w14:paraId="25BF818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3ED7DDC6" w14:textId="1ADC3F55"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родителите и образователните медиатори, включени в група дейности 2 по СЦ по чл. 4, пар. 1, буква д) на Приоритет 2 на ПО 2021 – 2027 и е по-малка от броя на всички участници в дейности по Приоритет 2 на Програмата и по тази специфична цел.</w:t>
            </w:r>
          </w:p>
        </w:tc>
      </w:tr>
    </w:tbl>
    <w:p w14:paraId="5ECA1239" w14:textId="77777777" w:rsidR="00D857FE" w:rsidRPr="00D83669" w:rsidRDefault="00D857FE" w:rsidP="00D857FE"/>
    <w:p w14:paraId="092A09D3" w14:textId="77777777" w:rsidR="00D857FE" w:rsidRPr="00D83669" w:rsidRDefault="00D857FE" w:rsidP="00D857FE">
      <w:r w:rsidRPr="00D83669">
        <w:br w:type="page"/>
      </w:r>
    </w:p>
    <w:p w14:paraId="2CC79375" w14:textId="2E7DA6FD" w:rsidR="00D857FE" w:rsidRPr="00D83669" w:rsidRDefault="00D857FE" w:rsidP="007C64A2">
      <w:pPr>
        <w:pStyle w:val="Heading3"/>
        <w:rPr>
          <w:b/>
          <w:bCs/>
          <w:i/>
          <w:iCs/>
          <w:sz w:val="22"/>
          <w:szCs w:val="22"/>
        </w:rPr>
      </w:pPr>
      <w:bookmarkStart w:id="147" w:name="_Toc100153002"/>
      <w:bookmarkStart w:id="148" w:name="_Toc103586677"/>
      <w:r w:rsidRPr="00D83669">
        <w:rPr>
          <w:b/>
          <w:bCs/>
          <w:i/>
          <w:iCs/>
          <w:sz w:val="22"/>
          <w:szCs w:val="22"/>
        </w:rPr>
        <w:lastRenderedPageBreak/>
        <w:t>SOI 2.2 Брой училища, въвели методически планове за действие за развитие на ключови компетентности</w:t>
      </w:r>
      <w:bookmarkEnd w:id="147"/>
      <w:bookmarkEnd w:id="148"/>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1EBC9D50" w14:textId="77777777" w:rsidTr="008A3A5D">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F70C4FE" w14:textId="0E764FFC"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4424E2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7747D2E6" w14:textId="77777777" w:rsidTr="008A3A5D">
        <w:tc>
          <w:tcPr>
            <w:tcW w:w="2405" w:type="dxa"/>
            <w:shd w:val="clear" w:color="auto" w:fill="auto"/>
            <w:vAlign w:val="center"/>
          </w:tcPr>
          <w:p w14:paraId="44EBBE8F" w14:textId="6BE7418C"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Показател </w:t>
            </w:r>
          </w:p>
        </w:tc>
        <w:tc>
          <w:tcPr>
            <w:tcW w:w="7235" w:type="dxa"/>
            <w:shd w:val="clear" w:color="auto" w:fill="auto"/>
            <w:vAlign w:val="center"/>
          </w:tcPr>
          <w:p w14:paraId="22FA4C2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2.2 Брой училища, въвели методически планове за действие за развитие на ключови компетентности</w:t>
            </w:r>
          </w:p>
        </w:tc>
      </w:tr>
      <w:tr w:rsidR="00D857FE" w:rsidRPr="00D83669" w14:paraId="606A745D" w14:textId="77777777" w:rsidTr="008A3A5D">
        <w:tc>
          <w:tcPr>
            <w:tcW w:w="2405" w:type="dxa"/>
            <w:shd w:val="clear" w:color="auto" w:fill="auto"/>
            <w:vAlign w:val="center"/>
          </w:tcPr>
          <w:p w14:paraId="1972A8E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5EC5AC28" w14:textId="21CA913F"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48C1E009" w14:textId="77777777" w:rsidTr="008A3A5D">
        <w:tc>
          <w:tcPr>
            <w:tcW w:w="2405" w:type="dxa"/>
            <w:shd w:val="clear" w:color="auto" w:fill="auto"/>
            <w:vAlign w:val="center"/>
          </w:tcPr>
          <w:p w14:paraId="6EFEFAF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46EE8DC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4FB9F77A" w14:textId="77777777" w:rsidTr="008A3A5D">
        <w:tc>
          <w:tcPr>
            <w:tcW w:w="2405" w:type="dxa"/>
            <w:shd w:val="clear" w:color="auto" w:fill="auto"/>
            <w:vAlign w:val="center"/>
          </w:tcPr>
          <w:p w14:paraId="50BCA3D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6FE56E0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Ефективно прилагане на компетентностния модел чрез въвеждане на училищни методически планове за действие за развитие на ключови компетентности</w:t>
            </w:r>
          </w:p>
        </w:tc>
      </w:tr>
      <w:tr w:rsidR="00D857FE" w:rsidRPr="00D83669" w14:paraId="4214FE10" w14:textId="77777777" w:rsidTr="008A3A5D">
        <w:tc>
          <w:tcPr>
            <w:tcW w:w="2405" w:type="dxa"/>
            <w:shd w:val="clear" w:color="auto" w:fill="auto"/>
            <w:vAlign w:val="center"/>
          </w:tcPr>
          <w:p w14:paraId="2C57D85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411447D8" w14:textId="7332DB40"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броя на училищата от всички етапи и степени на училищното образование, разработили методически планове за действие, които са валидирани от независими експерти и въведени от участващите училища за прилагане на компетентностен модел в преподаването и ученето. Училищните методически планове за действие са свързани с придобиване на поне 5 от посочените в ЗПУО ключови компетентности през един или група учебни предмети, като задължително включва четивна грамотност, грамотност в областта на математиката и природните науки и дигитални умения, и надгражда придобиването на съответната компетентност във всички класове и етапи на образователните степени в училището. В училищният методически план за действие за всяка от избраните компетентности се включват мерки за повишаване квалификацията на учителите, за модернизиране на методите на преподаване, за осъществяване на междупредметни връзки, за разработване и прилагане на компетентностно базирани учебни материали и помагала, за актуализиране на методите и средствата на вътрешното оценяване, в т.ч. и за подготовка на изпитни материали и развитие на система от инструменти за измерване на постигането на основни резултати от обучението.</w:t>
            </w:r>
          </w:p>
        </w:tc>
      </w:tr>
      <w:tr w:rsidR="00D857FE" w:rsidRPr="00D83669" w14:paraId="126B15F4" w14:textId="77777777" w:rsidTr="008A3A5D">
        <w:tc>
          <w:tcPr>
            <w:tcW w:w="2405" w:type="dxa"/>
            <w:shd w:val="clear" w:color="auto" w:fill="auto"/>
            <w:vAlign w:val="center"/>
          </w:tcPr>
          <w:p w14:paraId="3A63886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1775848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36EF0026" w14:textId="77777777" w:rsidTr="008A3A5D">
        <w:tc>
          <w:tcPr>
            <w:tcW w:w="2405" w:type="dxa"/>
            <w:shd w:val="clear" w:color="auto" w:fill="auto"/>
            <w:vAlign w:val="center"/>
          </w:tcPr>
          <w:p w14:paraId="3135E75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7BF9BDB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1 439</w:t>
            </w:r>
          </w:p>
        </w:tc>
      </w:tr>
      <w:tr w:rsidR="00D857FE" w:rsidRPr="00D83669" w14:paraId="348755EE" w14:textId="77777777" w:rsidTr="008A3A5D">
        <w:tc>
          <w:tcPr>
            <w:tcW w:w="2405" w:type="dxa"/>
            <w:shd w:val="clear" w:color="auto" w:fill="auto"/>
            <w:vAlign w:val="center"/>
          </w:tcPr>
          <w:p w14:paraId="09E58B5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461F8B2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представлява 60% от общия брой училища в страната, които по данни на НСИ през учебната 2019/2020 година са 2 399. </w:t>
            </w:r>
          </w:p>
          <w:p w14:paraId="43295AD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Операцията ще се реализира с вътрешен подбор на училища от страна на конкретния бенефициент, въз основа на подадени заявления за участие в проекта. Целевата стойност е определена на база опита от изпълнение на подобен тип операции по ОПНОИР, базиран на подаване на заявления от училища, въз основа на оценка на конкретните им потребности. В такъв тип операции по ОПНОИР </w:t>
            </w:r>
            <w:r w:rsidRPr="00D83669">
              <w:rPr>
                <w:rFonts w:ascii="Times New Roman" w:hAnsi="Times New Roman"/>
                <w:sz w:val="24"/>
              </w:rPr>
              <w:lastRenderedPageBreak/>
              <w:t>обхватът на образователните институции е около 60% от всички институции. Определената целева стойност ще осигури възможност за осъществяване на прехода в образователната система от учебна програма по предметни знания, към рамка, основана на компетентност с оглед решаване на предизвикателствата в обучението на учениците и подобряване на образователните им резултати.</w:t>
            </w:r>
          </w:p>
          <w:p w14:paraId="248F9D0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Независимо от факта, че постигането на ключови компетентности от всички ученици във всички училища е национална цел, практиката доказва необходимост от изграждане на активно ядро от училища, които развиват капацитет за ефективно прилагане на компетентностния модел и го превръщат от задължение на хартия в промяна в мисленето и ефективен начин на преподаване и учене. Веднъж създадена тази нагласа може да се мултиплицира както по отношение на разширяване на броя на методическите планове за действие с групата от ключови компетентности, така и по отношение на включване на повече училища.</w:t>
            </w:r>
          </w:p>
        </w:tc>
      </w:tr>
      <w:tr w:rsidR="00D857FE" w:rsidRPr="00D83669" w14:paraId="131DD940" w14:textId="77777777" w:rsidTr="008A3A5D">
        <w:tc>
          <w:tcPr>
            <w:tcW w:w="2405" w:type="dxa"/>
            <w:shd w:val="clear" w:color="auto" w:fill="auto"/>
            <w:vAlign w:val="center"/>
          </w:tcPr>
          <w:p w14:paraId="46F85D2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Междинна цел</w:t>
            </w:r>
          </w:p>
        </w:tc>
        <w:tc>
          <w:tcPr>
            <w:tcW w:w="7235" w:type="dxa"/>
            <w:shd w:val="clear" w:color="auto" w:fill="auto"/>
            <w:vAlign w:val="center"/>
          </w:tcPr>
          <w:p w14:paraId="4119BABE" w14:textId="3605C3E8" w:rsidR="00D857FE" w:rsidRPr="00D83669" w:rsidRDefault="006E3304" w:rsidP="00CC7BCB">
            <w:pPr>
              <w:spacing w:after="120"/>
              <w:jc w:val="both"/>
              <w:rPr>
                <w:rFonts w:ascii="Times New Roman" w:hAnsi="Times New Roman"/>
                <w:sz w:val="24"/>
                <w:lang w:val="en-US"/>
              </w:rPr>
            </w:pPr>
            <w:r w:rsidRPr="00D83669">
              <w:rPr>
                <w:rFonts w:ascii="Times New Roman" w:hAnsi="Times New Roman"/>
                <w:sz w:val="24"/>
                <w:lang w:val="en-US"/>
              </w:rPr>
              <w:t>216</w:t>
            </w:r>
            <w:r w:rsidRPr="00D83669">
              <w:rPr>
                <w:rFonts w:ascii="Times New Roman" w:hAnsi="Times New Roman"/>
                <w:sz w:val="24"/>
              </w:rPr>
              <w:t xml:space="preserve"> </w:t>
            </w:r>
          </w:p>
        </w:tc>
      </w:tr>
      <w:tr w:rsidR="00D857FE" w:rsidRPr="00D83669" w14:paraId="0F81CCA4" w14:textId="77777777" w:rsidTr="008A3A5D">
        <w:tc>
          <w:tcPr>
            <w:tcW w:w="2405" w:type="dxa"/>
            <w:shd w:val="clear" w:color="auto" w:fill="auto"/>
            <w:vAlign w:val="center"/>
          </w:tcPr>
          <w:p w14:paraId="7B24380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2CAD6A8F" w14:textId="6984F28A" w:rsidR="006E3304" w:rsidRPr="00D83669" w:rsidRDefault="00A56A85" w:rsidP="006E3304">
            <w:pPr>
              <w:spacing w:after="120"/>
              <w:jc w:val="both"/>
              <w:rPr>
                <w:rFonts w:ascii="Times New Roman" w:hAnsi="Times New Roman"/>
                <w:sz w:val="24"/>
              </w:rPr>
            </w:pPr>
            <w:bookmarkStart w:id="149" w:name="_Hlk103170768"/>
            <w:r w:rsidRPr="00D83669">
              <w:rPr>
                <w:rFonts w:ascii="Times New Roman" w:hAnsi="Times New Roman"/>
                <w:sz w:val="24"/>
              </w:rPr>
              <w:t>За операциите от стратегическо значение, предвидени в програмата, предположението на Управляващия орган, което е взето предвид при изчисляването на етапните цели е, че тези операции ще бъдат  договорени първоначално за период от 5 години със 75% от общия предвиден финансов ресурс, а останалите 25 % ще бъдат разпределени за операции след оценка на постигнатия напредък в тяхното изпълнение.</w:t>
            </w:r>
            <w:bookmarkEnd w:id="149"/>
            <w:r w:rsidRPr="00D83669">
              <w:rPr>
                <w:rFonts w:ascii="Times New Roman" w:hAnsi="Times New Roman"/>
                <w:sz w:val="24"/>
              </w:rPr>
              <w:t xml:space="preserve"> </w:t>
            </w:r>
            <w:r w:rsidR="006E3304" w:rsidRPr="00D83669">
              <w:rPr>
                <w:rFonts w:ascii="Times New Roman" w:hAnsi="Times New Roman"/>
                <w:sz w:val="24"/>
              </w:rPr>
              <w:t xml:space="preserve">Съответно етапната цел се определя, като се взема предвид определения финансовия ресурс за операциите, който се разделя на планирания брой години за изпълнението им и отчитането на стойности на индикаторите преди 2024 г. </w:t>
            </w:r>
          </w:p>
          <w:p w14:paraId="37854A57" w14:textId="2BC1A496" w:rsidR="00D857FE" w:rsidRPr="00D83669" w:rsidRDefault="006E3304" w:rsidP="006E3304">
            <w:pPr>
              <w:spacing w:after="120"/>
              <w:jc w:val="both"/>
              <w:rPr>
                <w:rFonts w:ascii="Times New Roman" w:hAnsi="Times New Roman"/>
                <w:sz w:val="24"/>
              </w:rPr>
            </w:pPr>
            <w:r w:rsidRPr="00D83669">
              <w:rPr>
                <w:rFonts w:ascii="Times New Roman" w:hAnsi="Times New Roman"/>
                <w:sz w:val="24"/>
              </w:rPr>
              <w:t>Етапната цел представлява 15% от броя на училищата, които се планира да въведат методически планове за действие за развитие на ключови компетентности (1 439 училища) в рамките на  операция "Ефективно прилагане на компетентностния модел чрез въвеждане на училищни методически планове за действие за развитие на ключови компетентности". Определена е на база 75% финансов ресурс за 5-годишна продължителност на операцията, при планирано стартиране на реалното изпълнение на дейностите през втората половина на 2023 г. и отчитане стойности на индикатора през 2024 г., т.е. до края на 2024 г. физическото изпълнение на дейностите по проекта се очаква да обхваща около една година от общо петгодишния период на операцията (216 =1439*75%*1/5).</w:t>
            </w:r>
          </w:p>
        </w:tc>
      </w:tr>
      <w:tr w:rsidR="00D857FE" w:rsidRPr="00D83669" w14:paraId="578B3A4B" w14:textId="77777777" w:rsidTr="008A3A5D">
        <w:tc>
          <w:tcPr>
            <w:tcW w:w="2405" w:type="dxa"/>
            <w:shd w:val="clear" w:color="auto" w:fill="auto"/>
            <w:vAlign w:val="center"/>
          </w:tcPr>
          <w:p w14:paraId="01946BA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35F372E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1C03487B" w14:textId="77777777" w:rsidTr="008A3A5D">
        <w:tc>
          <w:tcPr>
            <w:tcW w:w="2405" w:type="dxa"/>
            <w:shd w:val="clear" w:color="auto" w:fill="auto"/>
            <w:vAlign w:val="center"/>
          </w:tcPr>
          <w:p w14:paraId="13482DA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530C5AC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направена предварителна разбивка по отделни признаци на училищата. На етап отчитане ще бъдат представени данни за вид, местоположение и друга информация за училищата.</w:t>
            </w:r>
          </w:p>
        </w:tc>
      </w:tr>
      <w:tr w:rsidR="00D857FE" w:rsidRPr="00D83669" w14:paraId="78A817A9" w14:textId="77777777" w:rsidTr="008A3A5D">
        <w:tc>
          <w:tcPr>
            <w:tcW w:w="2405" w:type="dxa"/>
            <w:shd w:val="clear" w:color="auto" w:fill="auto"/>
            <w:vAlign w:val="center"/>
          </w:tcPr>
          <w:p w14:paraId="4500556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38D9052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ще се събират, за да се проследи броят на училищата, които разработват и въвеждат училищни методически планове за действие </w:t>
            </w:r>
            <w:r w:rsidRPr="00D83669">
              <w:rPr>
                <w:rFonts w:ascii="Times New Roman" w:hAnsi="Times New Roman"/>
                <w:sz w:val="24"/>
              </w:rPr>
              <w:lastRenderedPageBreak/>
              <w:t xml:space="preserve">за развитие на ключови компетентности. Мониторинг на напредъка и на ефекта от прилагането на компетентностния модел ще се осъществява периодично, като се осъществяват наблюдения на уроци, методическа подкрепа – при необходимост, анкети, изследвания, включващи контролни групи, резултати от регионални външни оценявания, национални външни оценявания, международни изследвания. Анализът на данните от мониторинга и оценките ще се съсредоточат върху ефекта от прилагането на компетентностния модел и по-тясно обвързване на знанията и уменията на учениците, придобити в училище, с практическото им приложение. </w:t>
            </w:r>
          </w:p>
        </w:tc>
      </w:tr>
      <w:tr w:rsidR="00D857FE" w:rsidRPr="00D83669" w14:paraId="31E5ACAC" w14:textId="77777777" w:rsidTr="008A3A5D">
        <w:tc>
          <w:tcPr>
            <w:tcW w:w="2405" w:type="dxa"/>
            <w:shd w:val="clear" w:color="auto" w:fill="auto"/>
            <w:vAlign w:val="center"/>
          </w:tcPr>
          <w:p w14:paraId="63A0B4D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235" w:type="dxa"/>
            <w:shd w:val="clear" w:color="auto" w:fill="auto"/>
            <w:vAlign w:val="center"/>
          </w:tcPr>
          <w:p w14:paraId="27458AA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Данните ще се събрат текущо на база технически отчети и ще съдържат видът и името на училището; местоположението; видът на методическия план за действие; резултатите от мониторинга и др.</w:t>
            </w:r>
          </w:p>
        </w:tc>
      </w:tr>
      <w:tr w:rsidR="00D857FE" w:rsidRPr="00D83669" w14:paraId="24BD54A0" w14:textId="77777777" w:rsidTr="008A3A5D">
        <w:tc>
          <w:tcPr>
            <w:tcW w:w="2405" w:type="dxa"/>
            <w:shd w:val="clear" w:color="auto" w:fill="auto"/>
            <w:vAlign w:val="center"/>
          </w:tcPr>
          <w:p w14:paraId="531E013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4120DCA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5FD885B6" w14:textId="77777777" w:rsidTr="008A3A5D">
        <w:tc>
          <w:tcPr>
            <w:tcW w:w="2405" w:type="dxa"/>
            <w:shd w:val="clear" w:color="auto" w:fill="auto"/>
            <w:vAlign w:val="center"/>
          </w:tcPr>
          <w:p w14:paraId="0E6437D3" w14:textId="01121D64"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35BE47E2"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2.2 Дял на училищата, които изпълняват методически планове за действие с разширена група ключови компетентности 2 години след въвеждането им.</w:t>
            </w:r>
          </w:p>
        </w:tc>
      </w:tr>
      <w:tr w:rsidR="00D857FE" w:rsidRPr="00D83669" w14:paraId="0E5EA9D0" w14:textId="77777777" w:rsidTr="008A3A5D">
        <w:tc>
          <w:tcPr>
            <w:tcW w:w="2405" w:type="dxa"/>
            <w:shd w:val="clear" w:color="auto" w:fill="auto"/>
            <w:vAlign w:val="center"/>
          </w:tcPr>
          <w:p w14:paraId="108E847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467B970D" w14:textId="68C214EC"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училищата, които са получили подкрепа за разработване на методически планове за действия за развитие на ключови компетентности по СЦ по чл. 4, пар. 1, буква д) на Приоритет 2 на ПО 2021 – 2027 и е по-малка от броя на всички образователни институции (училища и детски градини), включени в дейности по Приоритет 2 на Програмата и по тази специфична цел.</w:t>
            </w:r>
          </w:p>
        </w:tc>
      </w:tr>
    </w:tbl>
    <w:p w14:paraId="60A54D1A" w14:textId="77777777" w:rsidR="00D857FE" w:rsidRPr="00D83669" w:rsidRDefault="00D857FE" w:rsidP="00D857FE"/>
    <w:p w14:paraId="408BD5A8" w14:textId="77777777" w:rsidR="00D857FE" w:rsidRPr="00D83669" w:rsidRDefault="00D857FE" w:rsidP="00D857FE">
      <w:r w:rsidRPr="00D83669">
        <w:br w:type="page"/>
      </w:r>
    </w:p>
    <w:p w14:paraId="4F90677F" w14:textId="2B67F588" w:rsidR="00D857FE" w:rsidRPr="00D83669" w:rsidRDefault="00D857FE" w:rsidP="007C64A2">
      <w:pPr>
        <w:pStyle w:val="Heading3"/>
        <w:rPr>
          <w:b/>
          <w:bCs/>
          <w:i/>
          <w:iCs/>
          <w:sz w:val="22"/>
          <w:szCs w:val="22"/>
        </w:rPr>
      </w:pPr>
      <w:bookmarkStart w:id="150" w:name="_Toc100153003"/>
      <w:bookmarkStart w:id="151" w:name="_Toc103586678"/>
      <w:r w:rsidRPr="00D83669">
        <w:rPr>
          <w:b/>
          <w:bCs/>
          <w:i/>
          <w:iCs/>
          <w:sz w:val="22"/>
          <w:szCs w:val="22"/>
        </w:rPr>
        <w:lastRenderedPageBreak/>
        <w:t>SOI 2.3 Брой образователни институции, разработили иновативни обучителни пакети</w:t>
      </w:r>
      <w:bookmarkEnd w:id="150"/>
      <w:bookmarkEnd w:id="151"/>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3574E9F1" w14:textId="77777777" w:rsidTr="00261715">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1DF4854" w14:textId="78A9929C"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DE6AC8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08C59C41" w14:textId="77777777" w:rsidTr="00261715">
        <w:tc>
          <w:tcPr>
            <w:tcW w:w="2405" w:type="dxa"/>
            <w:shd w:val="clear" w:color="auto" w:fill="auto"/>
            <w:vAlign w:val="center"/>
          </w:tcPr>
          <w:p w14:paraId="613F9FE9" w14:textId="1C6A7059"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60E693EC"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2.3 Брой образователни институции, разработили иновативни обучителни пакети</w:t>
            </w:r>
          </w:p>
        </w:tc>
      </w:tr>
      <w:tr w:rsidR="00D857FE" w:rsidRPr="00D83669" w14:paraId="16D77630" w14:textId="77777777" w:rsidTr="00261715">
        <w:tc>
          <w:tcPr>
            <w:tcW w:w="2405" w:type="dxa"/>
            <w:shd w:val="clear" w:color="auto" w:fill="auto"/>
            <w:vAlign w:val="center"/>
          </w:tcPr>
          <w:p w14:paraId="2008231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7336C2AE" w14:textId="3A64BB9B"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251919B5" w14:textId="77777777" w:rsidTr="00261715">
        <w:tc>
          <w:tcPr>
            <w:tcW w:w="2405" w:type="dxa"/>
            <w:shd w:val="clear" w:color="auto" w:fill="auto"/>
            <w:vAlign w:val="center"/>
          </w:tcPr>
          <w:p w14:paraId="62DDD55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734E7CDD"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2563F484" w14:textId="77777777" w:rsidTr="00261715">
        <w:tc>
          <w:tcPr>
            <w:tcW w:w="2405" w:type="dxa"/>
            <w:shd w:val="clear" w:color="auto" w:fill="auto"/>
            <w:vAlign w:val="center"/>
          </w:tcPr>
          <w:p w14:paraId="4EFBEC2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319E6A6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създаване и прилагане на култура за иновации, иновативни детски градини и училища.</w:t>
            </w:r>
          </w:p>
        </w:tc>
      </w:tr>
      <w:tr w:rsidR="00D857FE" w:rsidRPr="00D83669" w14:paraId="02FCDEC4" w14:textId="77777777" w:rsidTr="00261715">
        <w:tc>
          <w:tcPr>
            <w:tcW w:w="2405" w:type="dxa"/>
            <w:shd w:val="clear" w:color="auto" w:fill="auto"/>
            <w:vAlign w:val="center"/>
          </w:tcPr>
          <w:p w14:paraId="06A8274D"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235" w:type="dxa"/>
            <w:shd w:val="clear" w:color="auto" w:fill="auto"/>
            <w:vAlign w:val="center"/>
          </w:tcPr>
          <w:p w14:paraId="7BF8630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Индикаторът измерва броя на образователните институции, които са разработили иновативни обучителни пакети с оглед тяхното мултиплициране в рамките на партньорството с други образователни институции. Иновативният обучителен пакет включва иновативни учебни програми/иновативни програмни системи, разработени иновативни инструменти и модели в организацията и съдържанието на обучението в детските градини и училищата и разработени иновативни методики за оценяване на образователните резултати на децата и учениците в партниращите си училища.</w:t>
            </w:r>
          </w:p>
        </w:tc>
      </w:tr>
      <w:tr w:rsidR="00D857FE" w:rsidRPr="00D83669" w14:paraId="575831CD" w14:textId="77777777" w:rsidTr="00261715">
        <w:tc>
          <w:tcPr>
            <w:tcW w:w="2405" w:type="dxa"/>
            <w:shd w:val="clear" w:color="auto" w:fill="auto"/>
            <w:vAlign w:val="center"/>
          </w:tcPr>
          <w:p w14:paraId="39FAAE3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60F94EF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3AF44D97" w14:textId="77777777" w:rsidTr="00261715">
        <w:tc>
          <w:tcPr>
            <w:tcW w:w="2405" w:type="dxa"/>
            <w:shd w:val="clear" w:color="auto" w:fill="auto"/>
            <w:vAlign w:val="center"/>
          </w:tcPr>
          <w:p w14:paraId="6D7B62E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318E4B8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152</w:t>
            </w:r>
          </w:p>
        </w:tc>
      </w:tr>
      <w:tr w:rsidR="00D857FE" w:rsidRPr="00D83669" w14:paraId="04B71DFC" w14:textId="77777777" w:rsidTr="00261715">
        <w:tc>
          <w:tcPr>
            <w:tcW w:w="2405" w:type="dxa"/>
            <w:shd w:val="clear" w:color="auto" w:fill="auto"/>
            <w:vAlign w:val="center"/>
          </w:tcPr>
          <w:p w14:paraId="495161A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521B848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представлява 30% от иновативните училища в България през учебната 2020/2021 г. (504 училища), и детските градини, които са разработили иновативни програмни системи по Национална програма „Успяваме заедно“ (45 детски градини) с оглед осигуряване на възможност за провеждане на конкурентен подбор на проектните предложения, но същевременно и партньорство с още поне две иновативни училища или детски градини, което да осигури възможност за мултиплициране на резултатите от проектите.</w:t>
            </w:r>
          </w:p>
        </w:tc>
      </w:tr>
      <w:tr w:rsidR="00D857FE" w:rsidRPr="00D83669" w14:paraId="3B71CC58" w14:textId="77777777" w:rsidTr="00261715">
        <w:tc>
          <w:tcPr>
            <w:tcW w:w="2405" w:type="dxa"/>
            <w:shd w:val="clear" w:color="auto" w:fill="auto"/>
            <w:vAlign w:val="center"/>
          </w:tcPr>
          <w:p w14:paraId="00060D3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0335A118" w14:textId="457E08C4" w:rsidR="00D857FE" w:rsidRPr="00D83669" w:rsidRDefault="006E3304" w:rsidP="00CC7BCB">
            <w:pPr>
              <w:jc w:val="both"/>
              <w:rPr>
                <w:rFonts w:ascii="Times New Roman" w:hAnsi="Times New Roman"/>
                <w:sz w:val="24"/>
              </w:rPr>
            </w:pPr>
            <w:r w:rsidRPr="00D83669">
              <w:rPr>
                <w:rFonts w:ascii="Times New Roman" w:hAnsi="Times New Roman"/>
                <w:sz w:val="24"/>
              </w:rPr>
              <w:t xml:space="preserve"> 0</w:t>
            </w:r>
          </w:p>
        </w:tc>
      </w:tr>
      <w:tr w:rsidR="00D857FE" w:rsidRPr="00D83669" w14:paraId="1CF08CB3" w14:textId="77777777" w:rsidTr="00261715">
        <w:tc>
          <w:tcPr>
            <w:tcW w:w="2405" w:type="dxa"/>
            <w:shd w:val="clear" w:color="auto" w:fill="auto"/>
            <w:vAlign w:val="center"/>
          </w:tcPr>
          <w:p w14:paraId="17B91D1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339CAEF4" w14:textId="42474D7C" w:rsidR="00D857FE" w:rsidRPr="00D83669" w:rsidRDefault="006E3304" w:rsidP="00CC7BCB">
            <w:pPr>
              <w:jc w:val="both"/>
              <w:rPr>
                <w:rFonts w:ascii="Times New Roman" w:hAnsi="Times New Roman"/>
                <w:sz w:val="24"/>
              </w:rPr>
            </w:pPr>
            <w:r w:rsidRPr="00D83669">
              <w:rPr>
                <w:rFonts w:ascii="Times New Roman" w:hAnsi="Times New Roman"/>
                <w:sz w:val="24"/>
              </w:rPr>
              <w:t>Планираният период  за стартиране на физическото изпълнение на дейностите по операция "Подкрепа за създаване и прилагане на култура за иновации, иновативни детски градини и училища" е средата на 2025 г., поради което не се планира етапна цел за изпълнение на индикатора.</w:t>
            </w:r>
          </w:p>
        </w:tc>
      </w:tr>
      <w:tr w:rsidR="00D857FE" w:rsidRPr="00D83669" w14:paraId="06EEC07A" w14:textId="77777777" w:rsidTr="00261715">
        <w:tc>
          <w:tcPr>
            <w:tcW w:w="2405" w:type="dxa"/>
            <w:shd w:val="clear" w:color="auto" w:fill="auto"/>
            <w:vAlign w:val="center"/>
          </w:tcPr>
          <w:p w14:paraId="5352827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235" w:type="dxa"/>
            <w:shd w:val="clear" w:color="auto" w:fill="auto"/>
            <w:vAlign w:val="center"/>
          </w:tcPr>
          <w:p w14:paraId="1F65295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78377B7A" w14:textId="77777777" w:rsidTr="00261715">
        <w:tc>
          <w:tcPr>
            <w:tcW w:w="2405" w:type="dxa"/>
            <w:shd w:val="clear" w:color="auto" w:fill="auto"/>
            <w:vAlign w:val="center"/>
          </w:tcPr>
          <w:p w14:paraId="105AB6B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031FDB9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направена предварителна разбивка по отделни признаци на образователните институции (училища и детски градини). На етап отчитане ще бъдат представени данни за вид и </w:t>
            </w:r>
            <w:r w:rsidRPr="00D83669">
              <w:rPr>
                <w:rFonts w:ascii="Times New Roman" w:hAnsi="Times New Roman"/>
                <w:sz w:val="24"/>
              </w:rPr>
              <w:lastRenderedPageBreak/>
              <w:t>местоположение на училищата/детските градини, и друга информация.</w:t>
            </w:r>
          </w:p>
        </w:tc>
      </w:tr>
      <w:tr w:rsidR="00D857FE" w:rsidRPr="00D83669" w14:paraId="5C393364" w14:textId="77777777" w:rsidTr="00261715">
        <w:tc>
          <w:tcPr>
            <w:tcW w:w="2405" w:type="dxa"/>
            <w:shd w:val="clear" w:color="auto" w:fill="auto"/>
            <w:vAlign w:val="center"/>
          </w:tcPr>
          <w:p w14:paraId="0388F8C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Обосновка </w:t>
            </w:r>
          </w:p>
        </w:tc>
        <w:tc>
          <w:tcPr>
            <w:tcW w:w="7235" w:type="dxa"/>
            <w:shd w:val="clear" w:color="auto" w:fill="auto"/>
            <w:vAlign w:val="center"/>
          </w:tcPr>
          <w:p w14:paraId="38BD963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с оглед подпомагане на оценката на ефекта от изпълнението на операцията, като проследяване на изготвените иновативни обучителни пакети и тяхното мултиплициране в партньорски образователни институции, както и ефекта върху учениците/децата.</w:t>
            </w:r>
          </w:p>
        </w:tc>
      </w:tr>
      <w:tr w:rsidR="00D857FE" w:rsidRPr="00D83669" w14:paraId="75575623" w14:textId="77777777" w:rsidTr="00261715">
        <w:tc>
          <w:tcPr>
            <w:tcW w:w="2405" w:type="dxa"/>
            <w:shd w:val="clear" w:color="auto" w:fill="auto"/>
            <w:vAlign w:val="center"/>
          </w:tcPr>
          <w:p w14:paraId="19757AF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4AFC18D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4451131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съдържат информация за: видът и името на училището/детската градина; местоположението; видът на обучителния пакет; методология за оценяване на учениците/децата; брой потребители на разработените иновативни обучителни пакети и др.</w:t>
            </w:r>
          </w:p>
        </w:tc>
      </w:tr>
      <w:tr w:rsidR="00D857FE" w:rsidRPr="00D83669" w14:paraId="0998AECB" w14:textId="77777777" w:rsidTr="00261715">
        <w:tc>
          <w:tcPr>
            <w:tcW w:w="2405" w:type="dxa"/>
            <w:shd w:val="clear" w:color="auto" w:fill="auto"/>
            <w:vAlign w:val="center"/>
          </w:tcPr>
          <w:p w14:paraId="329080A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6CA4CEA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6301742" w14:textId="77777777" w:rsidTr="00261715">
        <w:tc>
          <w:tcPr>
            <w:tcW w:w="2405" w:type="dxa"/>
            <w:shd w:val="clear" w:color="auto" w:fill="auto"/>
            <w:vAlign w:val="center"/>
          </w:tcPr>
          <w:p w14:paraId="41765838" w14:textId="44747632"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74233834" w14:textId="77777777" w:rsidR="00D857FE" w:rsidRPr="00D83669" w:rsidRDefault="00D857FE" w:rsidP="00D857FE">
            <w:pPr>
              <w:pStyle w:val="ListParagraph"/>
              <w:numPr>
                <w:ilvl w:val="0"/>
                <w:numId w:val="28"/>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2.3 Брой потребители на разработените иновативни обучителни пакети.</w:t>
            </w:r>
          </w:p>
        </w:tc>
      </w:tr>
      <w:tr w:rsidR="00D857FE" w:rsidRPr="00D83669" w14:paraId="027D94ED" w14:textId="77777777" w:rsidTr="00261715">
        <w:tc>
          <w:tcPr>
            <w:tcW w:w="2405" w:type="dxa"/>
            <w:shd w:val="clear" w:color="auto" w:fill="auto"/>
            <w:vAlign w:val="center"/>
          </w:tcPr>
          <w:p w14:paraId="7DF8F5E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52FE57DD" w14:textId="3DD2B639"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училищата и детските градини, които са получили подкрепа за разработване на иновативни обучителни пакети по СЦ по чл. 4, пар. 1, буква д) на Приоритет 2 на ПО 2021 – 2027 и е по-малка от броя на всички образователни институции (училища и детски градини), включени в дейности по Приоритет 2 на Програмата и по тази специфична цел.</w:t>
            </w:r>
          </w:p>
        </w:tc>
      </w:tr>
    </w:tbl>
    <w:p w14:paraId="26C70132" w14:textId="77777777" w:rsidR="00D857FE" w:rsidRPr="00D83669" w:rsidRDefault="00D857FE" w:rsidP="00D857FE"/>
    <w:p w14:paraId="3B859E61" w14:textId="77777777" w:rsidR="00D857FE" w:rsidRPr="00D83669" w:rsidRDefault="00D857FE" w:rsidP="00D857FE">
      <w:r w:rsidRPr="00D83669">
        <w:br w:type="page"/>
      </w:r>
    </w:p>
    <w:p w14:paraId="1019B719" w14:textId="454935D9" w:rsidR="00D857FE" w:rsidRPr="00D83669" w:rsidRDefault="00D857FE" w:rsidP="007C64A2">
      <w:pPr>
        <w:pStyle w:val="Heading3"/>
        <w:rPr>
          <w:b/>
          <w:bCs/>
          <w:i/>
          <w:iCs/>
          <w:sz w:val="22"/>
          <w:szCs w:val="22"/>
        </w:rPr>
      </w:pPr>
      <w:bookmarkStart w:id="152" w:name="_Toc100153004"/>
      <w:bookmarkStart w:id="153" w:name="_Toc103586679"/>
      <w:r w:rsidRPr="00D83669">
        <w:rPr>
          <w:b/>
          <w:bCs/>
          <w:i/>
          <w:iCs/>
          <w:sz w:val="22"/>
          <w:szCs w:val="22"/>
        </w:rPr>
        <w:lastRenderedPageBreak/>
        <w:t>SOI 2.4 Участници, придобили умения за преподаване в STEM среда</w:t>
      </w:r>
      <w:bookmarkEnd w:id="152"/>
      <w:bookmarkEnd w:id="153"/>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5FB69853" w14:textId="77777777" w:rsidTr="00EB1D61">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591F4FA" w14:textId="57A571C3"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B6FEBD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35A7C648" w14:textId="77777777" w:rsidTr="00EB1D61">
        <w:tc>
          <w:tcPr>
            <w:tcW w:w="2405" w:type="dxa"/>
            <w:shd w:val="clear" w:color="auto" w:fill="auto"/>
            <w:vAlign w:val="center"/>
          </w:tcPr>
          <w:p w14:paraId="7AFE9B77" w14:textId="010A2381"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149F12F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2.4 Участници, придобили умения за преподаване в STEM среда</w:t>
            </w:r>
          </w:p>
        </w:tc>
      </w:tr>
      <w:tr w:rsidR="00D857FE" w:rsidRPr="00D83669" w14:paraId="297E51C0" w14:textId="77777777" w:rsidTr="00EB1D61">
        <w:tc>
          <w:tcPr>
            <w:tcW w:w="2405" w:type="dxa"/>
            <w:shd w:val="clear" w:color="auto" w:fill="auto"/>
            <w:vAlign w:val="center"/>
          </w:tcPr>
          <w:p w14:paraId="006E7A3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29547E4E" w14:textId="7D00C149"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69DA06FD" w14:textId="77777777" w:rsidTr="00EB1D61">
        <w:tc>
          <w:tcPr>
            <w:tcW w:w="2405" w:type="dxa"/>
            <w:shd w:val="clear" w:color="auto" w:fill="auto"/>
            <w:vAlign w:val="center"/>
          </w:tcPr>
          <w:p w14:paraId="6E1308C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6B45A50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0F9FE02B" w14:textId="77777777" w:rsidTr="00EB1D61">
        <w:tc>
          <w:tcPr>
            <w:tcW w:w="2405" w:type="dxa"/>
            <w:shd w:val="clear" w:color="auto" w:fill="auto"/>
            <w:vAlign w:val="center"/>
          </w:tcPr>
          <w:p w14:paraId="6C4B105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16BDEFA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Ефективно прилагане на компетентностния модел</w:t>
            </w:r>
            <w:r w:rsidRPr="00D83669">
              <w:t xml:space="preserve"> </w:t>
            </w:r>
            <w:r w:rsidRPr="00D83669">
              <w:rPr>
                <w:rFonts w:ascii="Times New Roman" w:hAnsi="Times New Roman"/>
                <w:sz w:val="24"/>
              </w:rPr>
              <w:t>чрез въвеждане на училищни методически планове за действие за развитие на ключови компетентности</w:t>
            </w:r>
          </w:p>
        </w:tc>
      </w:tr>
      <w:tr w:rsidR="00D857FE" w:rsidRPr="00D83669" w14:paraId="225A05FD" w14:textId="77777777" w:rsidTr="00EB1D61">
        <w:tc>
          <w:tcPr>
            <w:tcW w:w="2405" w:type="dxa"/>
            <w:shd w:val="clear" w:color="auto" w:fill="auto"/>
            <w:vAlign w:val="center"/>
          </w:tcPr>
          <w:p w14:paraId="036786D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35ABFEC8" w14:textId="2103FAEB"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педагогическите специалисти, които са завършили обучение по теми, пряко свързани с използване на компетентностния подход и на ценностно-ориентиран подход в образователния процес,</w:t>
            </w:r>
            <w:r w:rsidRPr="00D83669">
              <w:t xml:space="preserve"> </w:t>
            </w:r>
            <w:r w:rsidRPr="00D83669">
              <w:rPr>
                <w:rFonts w:ascii="Times New Roman" w:hAnsi="Times New Roman"/>
                <w:sz w:val="24"/>
              </w:rPr>
              <w:t>за засилване на интердисциплинарния характер на преподаването, подобряване на работата в екип, насърчаване на използването на научни методи и модели в преподаването на ученици.</w:t>
            </w:r>
          </w:p>
        </w:tc>
      </w:tr>
      <w:tr w:rsidR="00D857FE" w:rsidRPr="00D83669" w14:paraId="5B1E8C25" w14:textId="77777777" w:rsidTr="00EB1D61">
        <w:tc>
          <w:tcPr>
            <w:tcW w:w="2405" w:type="dxa"/>
            <w:shd w:val="clear" w:color="auto" w:fill="auto"/>
            <w:vAlign w:val="center"/>
          </w:tcPr>
          <w:p w14:paraId="72A491C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2E78609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6E14D6E6" w14:textId="77777777" w:rsidTr="00EB1D61">
        <w:tc>
          <w:tcPr>
            <w:tcW w:w="2405" w:type="dxa"/>
            <w:shd w:val="clear" w:color="auto" w:fill="auto"/>
            <w:vAlign w:val="center"/>
          </w:tcPr>
          <w:p w14:paraId="3DF35AF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3BF62C7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38 962</w:t>
            </w:r>
          </w:p>
        </w:tc>
      </w:tr>
      <w:tr w:rsidR="00D857FE" w:rsidRPr="00D83669" w14:paraId="0376C972" w14:textId="77777777" w:rsidTr="00EB1D61">
        <w:tc>
          <w:tcPr>
            <w:tcW w:w="2405" w:type="dxa"/>
            <w:shd w:val="clear" w:color="auto" w:fill="auto"/>
            <w:vAlign w:val="center"/>
          </w:tcPr>
          <w:p w14:paraId="3085378E"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01B12220"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е определена на база единичните разходи за обучения на педагогически специалисти, прилагани през периода 2018 –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обучения са свързани с разходи за възнаграждения и са в пряка зависимост от ръста на разходите за труд. Целевата стойност представлява 60 % от общия брой учители, които по данни на НСИ през 2019/2020 г. са 65 417. Представителите на целевата група ще бъдат включвани в съответните обучения след извършена оценка на конкретните нужди от придобиване/подобряване на умения и компетенции на всеки представител на целевата група и на образователната система.</w:t>
            </w:r>
          </w:p>
        </w:tc>
      </w:tr>
      <w:tr w:rsidR="00D857FE" w:rsidRPr="00D83669" w14:paraId="3BAE6B17" w14:textId="77777777" w:rsidTr="00EB1D61">
        <w:tc>
          <w:tcPr>
            <w:tcW w:w="2405" w:type="dxa"/>
            <w:shd w:val="clear" w:color="auto" w:fill="auto"/>
            <w:vAlign w:val="center"/>
          </w:tcPr>
          <w:p w14:paraId="7F1AC72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4156D822" w14:textId="3ED3CCFC" w:rsidR="00D857FE" w:rsidRPr="00D83669" w:rsidRDefault="00C76492" w:rsidP="00CC7BCB">
            <w:pPr>
              <w:spacing w:after="120"/>
              <w:jc w:val="both"/>
              <w:rPr>
                <w:rFonts w:ascii="Times New Roman" w:hAnsi="Times New Roman"/>
                <w:sz w:val="24"/>
              </w:rPr>
            </w:pPr>
            <w:r w:rsidRPr="00D83669">
              <w:rPr>
                <w:rFonts w:ascii="Times New Roman" w:hAnsi="Times New Roman"/>
                <w:sz w:val="24"/>
              </w:rPr>
              <w:t>5</w:t>
            </w:r>
            <w:r w:rsidR="00F302F5" w:rsidRPr="00D83669">
              <w:rPr>
                <w:rFonts w:ascii="Times New Roman" w:hAnsi="Times New Roman"/>
                <w:sz w:val="24"/>
              </w:rPr>
              <w:t xml:space="preserve"> </w:t>
            </w:r>
            <w:r w:rsidRPr="00D83669">
              <w:rPr>
                <w:rFonts w:ascii="Times New Roman" w:hAnsi="Times New Roman"/>
                <w:sz w:val="24"/>
              </w:rPr>
              <w:t xml:space="preserve">844 </w:t>
            </w:r>
          </w:p>
        </w:tc>
      </w:tr>
      <w:tr w:rsidR="00D857FE" w:rsidRPr="00D83669" w14:paraId="3D8258FE" w14:textId="77777777" w:rsidTr="00EB1D61">
        <w:tc>
          <w:tcPr>
            <w:tcW w:w="2405" w:type="dxa"/>
            <w:shd w:val="clear" w:color="auto" w:fill="auto"/>
            <w:vAlign w:val="center"/>
          </w:tcPr>
          <w:p w14:paraId="2D4F29E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07668E73" w14:textId="62C2BE85" w:rsidR="00C76492" w:rsidRPr="00D83669" w:rsidRDefault="00A56A85" w:rsidP="00C76492">
            <w:pPr>
              <w:spacing w:after="120"/>
              <w:jc w:val="both"/>
              <w:rPr>
                <w:rFonts w:ascii="Times New Roman" w:hAnsi="Times New Roman"/>
                <w:sz w:val="24"/>
              </w:rPr>
            </w:pPr>
            <w:r w:rsidRPr="00D83669">
              <w:rPr>
                <w:rFonts w:ascii="Times New Roman" w:hAnsi="Times New Roman"/>
                <w:sz w:val="24"/>
              </w:rPr>
              <w:t xml:space="preserve">За операциите от стратегическо значение, предвидени в програмата, предположението на Управляващия орган, което е взето предвид при изчисляването на етапните цели е, че тези операции ще бъдат  договорени първоначално за период от 5 години със 75% от общия предвиден финансов ресурс, а останалите 25 % ще бъдат разпределени за операции след оценка на постигнатия напредък в тяхното изпълнение. </w:t>
            </w:r>
            <w:r w:rsidR="00C76492" w:rsidRPr="00D83669">
              <w:rPr>
                <w:rFonts w:ascii="Times New Roman" w:hAnsi="Times New Roman"/>
                <w:sz w:val="24"/>
              </w:rPr>
              <w:t xml:space="preserve">Съответно етапната цел се определя, като се взема предвид определения финансовия ресурс за операциите, който </w:t>
            </w:r>
            <w:r w:rsidR="00C76492" w:rsidRPr="00D83669">
              <w:rPr>
                <w:rFonts w:ascii="Times New Roman" w:hAnsi="Times New Roman"/>
                <w:sz w:val="24"/>
              </w:rPr>
              <w:lastRenderedPageBreak/>
              <w:t xml:space="preserve">се разделя на планирания брой години за изпълнението им и отчитането на стойности на индикаторите преди 2024 г. </w:t>
            </w:r>
          </w:p>
          <w:p w14:paraId="51081109" w14:textId="6EDCD02B" w:rsidR="00D857FE" w:rsidRPr="00D83669" w:rsidRDefault="00C76492" w:rsidP="00C76492">
            <w:pPr>
              <w:spacing w:after="120"/>
              <w:jc w:val="both"/>
              <w:rPr>
                <w:rFonts w:ascii="Times New Roman" w:hAnsi="Times New Roman"/>
                <w:sz w:val="24"/>
              </w:rPr>
            </w:pPr>
            <w:r w:rsidRPr="00D83669">
              <w:rPr>
                <w:rFonts w:ascii="Times New Roman" w:hAnsi="Times New Roman"/>
                <w:sz w:val="24"/>
              </w:rPr>
              <w:t>Етапната цел представлява 15% от броя на учителите, които се планира да придобият умения за преподаване в STEМ среда (38 962 учители) в рамките на операция "Ефективно прилагане на компетентностния модел чрез въвеждане на училищни методически планове за действие за развитие на ключови компетентности". Определена е на база 75% финансов ресурс за 5-годишна продължителност на операцията, при планирано стартиране на реалното изпълнение на дейностите през втората половина на 2023 г. и отчитане стойности на индикатора през 2024 г., т.е. до края на 2024 г. физическото изпълнение на дейностите по проекта се очаква да обхваща около една година от общо петгодишния период на операцията (5 844 =38 962*75%*1/5).</w:t>
            </w:r>
          </w:p>
        </w:tc>
      </w:tr>
      <w:tr w:rsidR="00D857FE" w:rsidRPr="00D83669" w14:paraId="329138E3" w14:textId="77777777" w:rsidTr="00EB1D61">
        <w:tc>
          <w:tcPr>
            <w:tcW w:w="2405" w:type="dxa"/>
            <w:shd w:val="clear" w:color="auto" w:fill="auto"/>
            <w:vAlign w:val="center"/>
          </w:tcPr>
          <w:p w14:paraId="4C9CD02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Базова стойност</w:t>
            </w:r>
          </w:p>
        </w:tc>
        <w:tc>
          <w:tcPr>
            <w:tcW w:w="7235" w:type="dxa"/>
            <w:shd w:val="clear" w:color="auto" w:fill="auto"/>
            <w:vAlign w:val="center"/>
          </w:tcPr>
          <w:p w14:paraId="36E9633F"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2D7DDC4F" w14:textId="77777777" w:rsidTr="00EB1D61">
        <w:tc>
          <w:tcPr>
            <w:tcW w:w="2405" w:type="dxa"/>
            <w:shd w:val="clear" w:color="auto" w:fill="auto"/>
            <w:vAlign w:val="center"/>
          </w:tcPr>
          <w:p w14:paraId="08401D8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1EB8AAD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район за планиране, област и община, както и по вид училище.</w:t>
            </w:r>
          </w:p>
        </w:tc>
      </w:tr>
      <w:tr w:rsidR="00D857FE" w:rsidRPr="00D83669" w14:paraId="437B012F" w14:textId="77777777" w:rsidTr="00EB1D61">
        <w:tc>
          <w:tcPr>
            <w:tcW w:w="2405" w:type="dxa"/>
            <w:shd w:val="clear" w:color="auto" w:fill="auto"/>
            <w:vAlign w:val="center"/>
          </w:tcPr>
          <w:p w14:paraId="5079880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61638F3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Събирането на данни за броя на обучените педагогически специалисти за преподаване в </w:t>
            </w:r>
            <w:r w:rsidRPr="00D83669">
              <w:rPr>
                <w:rFonts w:ascii="Times New Roman" w:hAnsi="Times New Roman"/>
                <w:sz w:val="24"/>
                <w:lang w:val="en-US"/>
              </w:rPr>
              <w:t>STEM</w:t>
            </w:r>
            <w:r w:rsidRPr="00D83669">
              <w:rPr>
                <w:rFonts w:ascii="Times New Roman" w:hAnsi="Times New Roman"/>
                <w:sz w:val="24"/>
              </w:rPr>
              <w:t xml:space="preserve"> среда е необходимо за изграждане на база от данни относно кариерното развитие на педагогическите специалисти, обхванат по програмата и тяхното съотношение спрямо всички педагогически специалисти в страната. Броят на извършените квалификационни дейности по програмата ще послужи на национално ниво при разработване на стратегическа визия за провеждане на политика за тяхното професионално развитие и квалификация, подобряване на качеството на образованието и ефективното прилагане на компетентностния модел, Данните ще предоставят информация какъв е броя на педагогическите специалисти, които са подготвени за тяхното ефективно прилагане /</w:t>
            </w:r>
            <w:r w:rsidRPr="00D83669">
              <w:t xml:space="preserve"> </w:t>
            </w:r>
            <w:r w:rsidRPr="00D83669">
              <w:rPr>
                <w:rFonts w:ascii="Times New Roman" w:hAnsi="Times New Roman" w:cs="Times New Roman"/>
                <w:sz w:val="24"/>
                <w:szCs w:val="24"/>
              </w:rPr>
              <w:t>за</w:t>
            </w:r>
            <w:r w:rsidRPr="00D83669">
              <w:t xml:space="preserve"> </w:t>
            </w:r>
            <w:r w:rsidRPr="00D83669">
              <w:rPr>
                <w:rFonts w:ascii="Times New Roman" w:hAnsi="Times New Roman"/>
                <w:sz w:val="24"/>
              </w:rPr>
              <w:t>подобряване на качеството на образованието, вкл. въвеждане на нови педагогически роли в училище, екипно планиране и/или преподаване между учителите и целенасочено професионално учене на учителите в реална работна среда, както и за да се проследи ефекта от създадените междуучилищни партньорства.</w:t>
            </w:r>
          </w:p>
        </w:tc>
      </w:tr>
      <w:tr w:rsidR="00D857FE" w:rsidRPr="00D83669" w14:paraId="665FC766" w14:textId="77777777" w:rsidTr="00EB1D61">
        <w:tc>
          <w:tcPr>
            <w:tcW w:w="2405" w:type="dxa"/>
            <w:shd w:val="clear" w:color="auto" w:fill="auto"/>
            <w:vAlign w:val="center"/>
          </w:tcPr>
          <w:p w14:paraId="60E942B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6FB21E4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ще се събират текущо на база технически отчети за изпълнение на проекта с изчерпателен обхват на всички участници. </w:t>
            </w:r>
          </w:p>
          <w:p w14:paraId="1F3F9C6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пол и възраст на участника; друга демографска информация; участие в предишни обучения, финансирани от ЕСИФ; период на провеждане на обучението и продължителност; тема на обучението; обучаваща организация; брой придобити квалификационни кредити; участие в разработване и прилагане на училищни методически пакети във връзка с една или повече ключови компетентности.</w:t>
            </w:r>
          </w:p>
        </w:tc>
      </w:tr>
      <w:tr w:rsidR="00D857FE" w:rsidRPr="00D83669" w14:paraId="289ED9CC" w14:textId="77777777" w:rsidTr="00EB1D61">
        <w:tc>
          <w:tcPr>
            <w:tcW w:w="2405" w:type="dxa"/>
            <w:shd w:val="clear" w:color="auto" w:fill="auto"/>
            <w:vAlign w:val="center"/>
          </w:tcPr>
          <w:p w14:paraId="037185C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235" w:type="dxa"/>
            <w:shd w:val="clear" w:color="auto" w:fill="auto"/>
            <w:vAlign w:val="center"/>
          </w:tcPr>
          <w:p w14:paraId="3526B29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27C00A51" w14:textId="77777777" w:rsidTr="00EB1D61">
        <w:tc>
          <w:tcPr>
            <w:tcW w:w="2405" w:type="dxa"/>
            <w:shd w:val="clear" w:color="auto" w:fill="auto"/>
            <w:vAlign w:val="center"/>
          </w:tcPr>
          <w:p w14:paraId="711639C1" w14:textId="30BDCFE1"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7CB2885C" w14:textId="77777777" w:rsidR="00D857FE" w:rsidRPr="00D83669" w:rsidRDefault="00D857FE" w:rsidP="00D857FE">
            <w:pPr>
              <w:pStyle w:val="ListParagraph"/>
              <w:numPr>
                <w:ilvl w:val="0"/>
                <w:numId w:val="29"/>
              </w:numPr>
              <w:spacing w:after="120" w:line="240" w:lineRule="auto"/>
              <w:contextualSpacing w:val="0"/>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68263D50" w14:textId="77777777" w:rsidR="00D857FE" w:rsidRPr="00D83669" w:rsidRDefault="00D857FE" w:rsidP="00D857FE">
            <w:pPr>
              <w:pStyle w:val="ListParagraph"/>
              <w:numPr>
                <w:ilvl w:val="0"/>
                <w:numId w:val="29"/>
              </w:numPr>
              <w:spacing w:after="120" w:line="240" w:lineRule="auto"/>
              <w:contextualSpacing w:val="0"/>
              <w:jc w:val="both"/>
              <w:rPr>
                <w:rFonts w:ascii="Times New Roman" w:hAnsi="Times New Roman"/>
                <w:sz w:val="24"/>
              </w:rPr>
            </w:pPr>
            <w:r w:rsidRPr="00D83669">
              <w:rPr>
                <w:rFonts w:ascii="Times New Roman" w:hAnsi="Times New Roman"/>
                <w:sz w:val="24"/>
              </w:rPr>
              <w:t>SRI 2.2 Дял на училищата, които изпълняват методически планове за действие с разширена група ключови компетентности 2 години след въвеждането им;</w:t>
            </w:r>
          </w:p>
          <w:p w14:paraId="1E0B04B3" w14:textId="77777777" w:rsidR="00D857FE" w:rsidRPr="00D83669" w:rsidRDefault="00D857FE" w:rsidP="00D857FE">
            <w:pPr>
              <w:pStyle w:val="ListParagraph"/>
              <w:numPr>
                <w:ilvl w:val="0"/>
                <w:numId w:val="29"/>
              </w:numPr>
              <w:spacing w:after="120" w:line="240" w:lineRule="auto"/>
              <w:contextualSpacing w:val="0"/>
              <w:jc w:val="both"/>
              <w:rPr>
                <w:rFonts w:ascii="Times New Roman" w:hAnsi="Times New Roman"/>
                <w:sz w:val="24"/>
              </w:rPr>
            </w:pPr>
            <w:r w:rsidRPr="00D83669">
              <w:rPr>
                <w:rFonts w:ascii="Times New Roman" w:hAnsi="Times New Roman"/>
                <w:sz w:val="24"/>
              </w:rPr>
              <w:t>SRI 2.1. Подобрени образователни резултати на подкрепените деца и ученици.</w:t>
            </w:r>
          </w:p>
        </w:tc>
      </w:tr>
      <w:tr w:rsidR="00D857FE" w:rsidRPr="00D83669" w14:paraId="54DB02E7" w14:textId="77777777" w:rsidTr="00EB1D61">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0D587D4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Валидиране</w:t>
            </w:r>
          </w:p>
        </w:tc>
        <w:tc>
          <w:tcPr>
            <w:tcW w:w="7235" w:type="dxa"/>
            <w:tcBorders>
              <w:top w:val="single" w:sz="4" w:space="0" w:color="auto"/>
              <w:left w:val="single" w:sz="4" w:space="0" w:color="auto"/>
              <w:bottom w:val="single" w:sz="4" w:space="0" w:color="auto"/>
              <w:right w:val="single" w:sz="4" w:space="0" w:color="auto"/>
            </w:tcBorders>
            <w:shd w:val="clear" w:color="auto" w:fill="auto"/>
            <w:vAlign w:val="center"/>
          </w:tcPr>
          <w:p w14:paraId="16C9C017" w14:textId="7CDCC1A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на показателя обхваща броя на педагогическите специалисти, обучени да преподават в </w:t>
            </w:r>
            <w:r w:rsidRPr="00D83669">
              <w:rPr>
                <w:rFonts w:ascii="Times New Roman" w:hAnsi="Times New Roman"/>
                <w:sz w:val="24"/>
                <w:lang w:val="en-US"/>
              </w:rPr>
              <w:t>STEM</w:t>
            </w:r>
            <w:r w:rsidRPr="00D83669">
              <w:rPr>
                <w:rFonts w:ascii="Times New Roman" w:hAnsi="Times New Roman"/>
                <w:sz w:val="24"/>
              </w:rPr>
              <w:t xml:space="preserve"> среда по СЦ по чл. 4, пар. 1, буква д) на Приоритет 2 на ПО 2021 – 2027 и е по-малка от броя на всички педагогически специалисти в дейности по Приоритет 2 на Програмата и по тази специфична цел.</w:t>
            </w:r>
          </w:p>
        </w:tc>
      </w:tr>
    </w:tbl>
    <w:p w14:paraId="710B3BDF" w14:textId="77777777" w:rsidR="00D857FE" w:rsidRPr="00D83669" w:rsidRDefault="00D857FE" w:rsidP="00D857FE"/>
    <w:p w14:paraId="5704BFB0" w14:textId="77777777" w:rsidR="00D857FE" w:rsidRPr="00D83669" w:rsidRDefault="00D857FE" w:rsidP="00D857FE">
      <w:r w:rsidRPr="00D83669">
        <w:br w:type="page"/>
      </w:r>
    </w:p>
    <w:p w14:paraId="6C3AAF82" w14:textId="07148A21" w:rsidR="00D857FE" w:rsidRPr="00D83669" w:rsidRDefault="00D857FE" w:rsidP="00077E8D">
      <w:pPr>
        <w:pStyle w:val="Heading3"/>
        <w:rPr>
          <w:b/>
          <w:bCs/>
          <w:i/>
          <w:iCs/>
          <w:sz w:val="22"/>
          <w:szCs w:val="22"/>
        </w:rPr>
      </w:pPr>
      <w:bookmarkStart w:id="154" w:name="_Toc100153005"/>
      <w:bookmarkStart w:id="155" w:name="_Toc103586680"/>
      <w:r w:rsidRPr="00D83669">
        <w:rPr>
          <w:b/>
          <w:bCs/>
          <w:i/>
          <w:iCs/>
          <w:sz w:val="22"/>
          <w:szCs w:val="22"/>
        </w:rPr>
        <w:lastRenderedPageBreak/>
        <w:t>SOI 2.5 Участници, които са завършили обучение за подобряване на уменията за работа в образователната система</w:t>
      </w:r>
      <w:bookmarkEnd w:id="154"/>
      <w:bookmarkEnd w:id="155"/>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0259162F" w14:textId="77777777" w:rsidTr="006A3527">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26BEFA3" w14:textId="3BFE187B"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1D4F8C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1694C54D" w14:textId="77777777" w:rsidTr="006A3527">
        <w:tc>
          <w:tcPr>
            <w:tcW w:w="2405" w:type="dxa"/>
            <w:shd w:val="clear" w:color="auto" w:fill="auto"/>
            <w:vAlign w:val="center"/>
          </w:tcPr>
          <w:p w14:paraId="2EB4B06A" w14:textId="1DFE076B"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Показател </w:t>
            </w:r>
          </w:p>
        </w:tc>
        <w:tc>
          <w:tcPr>
            <w:tcW w:w="7235" w:type="dxa"/>
            <w:shd w:val="clear" w:color="auto" w:fill="auto"/>
            <w:vAlign w:val="center"/>
          </w:tcPr>
          <w:p w14:paraId="64E093D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2.5 Участници, които са завършили обучение за подобряване на уменията за работа в образователната система</w:t>
            </w:r>
          </w:p>
        </w:tc>
      </w:tr>
      <w:tr w:rsidR="00D857FE" w:rsidRPr="00D83669" w14:paraId="6DC9E6F1" w14:textId="77777777" w:rsidTr="006A3527">
        <w:tc>
          <w:tcPr>
            <w:tcW w:w="2405" w:type="dxa"/>
            <w:shd w:val="clear" w:color="auto" w:fill="auto"/>
            <w:vAlign w:val="center"/>
          </w:tcPr>
          <w:p w14:paraId="6461C9C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1687AB78" w14:textId="356F5A74"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1BF01517" w14:textId="77777777" w:rsidTr="006A3527">
        <w:tc>
          <w:tcPr>
            <w:tcW w:w="2405" w:type="dxa"/>
            <w:shd w:val="clear" w:color="auto" w:fill="auto"/>
            <w:vAlign w:val="center"/>
          </w:tcPr>
          <w:p w14:paraId="75ADAF4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2329F6D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692055E9" w14:textId="77777777" w:rsidTr="006A3527">
        <w:tc>
          <w:tcPr>
            <w:tcW w:w="2405" w:type="dxa"/>
            <w:shd w:val="clear" w:color="auto" w:fill="auto"/>
            <w:vAlign w:val="center"/>
          </w:tcPr>
          <w:p w14:paraId="6465CB8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303EC2E8" w14:textId="77777777" w:rsidR="00D857FE" w:rsidRPr="00D83669" w:rsidRDefault="00D857FE" w:rsidP="00D857FE">
            <w:pPr>
              <w:pStyle w:val="ListParagraph"/>
              <w:numPr>
                <w:ilvl w:val="0"/>
                <w:numId w:val="30"/>
              </w:numPr>
              <w:spacing w:after="120" w:line="240" w:lineRule="auto"/>
              <w:jc w:val="both"/>
              <w:rPr>
                <w:rFonts w:ascii="Times New Roman" w:hAnsi="Times New Roman"/>
                <w:sz w:val="24"/>
              </w:rPr>
            </w:pPr>
            <w:r w:rsidRPr="00D83669">
              <w:rPr>
                <w:rFonts w:ascii="Times New Roman" w:hAnsi="Times New Roman"/>
                <w:sz w:val="24"/>
              </w:rPr>
              <w:t>Ефективно прилагане на компетентностния модел</w:t>
            </w:r>
            <w:r w:rsidRPr="00D83669">
              <w:t xml:space="preserve"> ч</w:t>
            </w:r>
            <w:r w:rsidRPr="00D83669">
              <w:rPr>
                <w:rFonts w:ascii="Times New Roman" w:hAnsi="Times New Roman"/>
                <w:sz w:val="24"/>
              </w:rPr>
              <w:t>рез въвеждане на училищни методически планове за действие за развитие на ключови компетентности;</w:t>
            </w:r>
          </w:p>
          <w:p w14:paraId="72C7FA39" w14:textId="77777777" w:rsidR="00D857FE" w:rsidRPr="00D83669" w:rsidRDefault="00D857FE" w:rsidP="00D857FE">
            <w:pPr>
              <w:pStyle w:val="ListParagraph"/>
              <w:numPr>
                <w:ilvl w:val="0"/>
                <w:numId w:val="30"/>
              </w:numPr>
              <w:spacing w:after="120" w:line="240" w:lineRule="auto"/>
              <w:jc w:val="both"/>
              <w:rPr>
                <w:rFonts w:ascii="Times New Roman" w:hAnsi="Times New Roman"/>
                <w:sz w:val="24"/>
              </w:rPr>
            </w:pPr>
            <w:r w:rsidRPr="00D83669">
              <w:rPr>
                <w:rFonts w:ascii="Times New Roman" w:hAnsi="Times New Roman"/>
                <w:sz w:val="24"/>
              </w:rPr>
              <w:t>Дигитална трансформация на училищното образование в т.ч. професионалното образование и обучение;</w:t>
            </w:r>
          </w:p>
          <w:p w14:paraId="7CD74288" w14:textId="77777777" w:rsidR="00D857FE" w:rsidRPr="00D83669" w:rsidRDefault="00D857FE" w:rsidP="00D857FE">
            <w:pPr>
              <w:pStyle w:val="ListParagraph"/>
              <w:numPr>
                <w:ilvl w:val="0"/>
                <w:numId w:val="30"/>
              </w:numPr>
              <w:spacing w:after="120" w:line="240" w:lineRule="auto"/>
              <w:jc w:val="both"/>
              <w:rPr>
                <w:rFonts w:ascii="Times New Roman" w:hAnsi="Times New Roman"/>
                <w:sz w:val="24"/>
              </w:rPr>
            </w:pPr>
            <w:r w:rsidRPr="00D83669">
              <w:rPr>
                <w:rFonts w:ascii="Times New Roman" w:hAnsi="Times New Roman"/>
                <w:sz w:val="24"/>
              </w:rPr>
              <w:t>Подкрепа за създаване и прилагане на култура за иновации, иновативни детски градини и училища.</w:t>
            </w:r>
          </w:p>
        </w:tc>
      </w:tr>
      <w:tr w:rsidR="00D857FE" w:rsidRPr="00D83669" w14:paraId="70938020" w14:textId="77777777" w:rsidTr="006A3527">
        <w:tc>
          <w:tcPr>
            <w:tcW w:w="2405" w:type="dxa"/>
            <w:shd w:val="clear" w:color="auto" w:fill="auto"/>
            <w:vAlign w:val="center"/>
          </w:tcPr>
          <w:p w14:paraId="188CCB4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6C5E1689" w14:textId="0BEDF20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педагогическите специалисти, ръководители, РУО и ключови експерти в образованието, които са завършили обучение по теми, пряко свързани с управлението на и в образованието, вкл. за повишаване на лидерските умения; обучение за създаване на дигитално образователно съдържание; обучение за събиране на данни за образователната система и образователните резултати на учениците, и за формулиране на решения на база на данни и анализ; обучение за прилагане на образователни иновации, и са подобрили уменията си за работа в образователната система.</w:t>
            </w:r>
          </w:p>
        </w:tc>
      </w:tr>
      <w:tr w:rsidR="00D857FE" w:rsidRPr="00D83669" w14:paraId="4EFD3B69" w14:textId="77777777" w:rsidTr="006A3527">
        <w:tc>
          <w:tcPr>
            <w:tcW w:w="2405" w:type="dxa"/>
            <w:shd w:val="clear" w:color="auto" w:fill="auto"/>
            <w:vAlign w:val="center"/>
          </w:tcPr>
          <w:p w14:paraId="65A73D4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5BE72ED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5C26FBCA" w14:textId="77777777" w:rsidTr="006A3527">
        <w:tc>
          <w:tcPr>
            <w:tcW w:w="2405" w:type="dxa"/>
            <w:shd w:val="clear" w:color="auto" w:fill="auto"/>
            <w:vAlign w:val="center"/>
          </w:tcPr>
          <w:p w14:paraId="63DCF94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2F549D6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12 069</w:t>
            </w:r>
          </w:p>
        </w:tc>
      </w:tr>
      <w:tr w:rsidR="00D857FE" w:rsidRPr="00D83669" w14:paraId="6199DCE5" w14:textId="77777777" w:rsidTr="006A3527">
        <w:tc>
          <w:tcPr>
            <w:tcW w:w="2405" w:type="dxa"/>
            <w:shd w:val="clear" w:color="auto" w:fill="auto"/>
            <w:vAlign w:val="center"/>
          </w:tcPr>
          <w:p w14:paraId="5E9654E4"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484386D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е определена на база единичните разходи за обучения на педагогически специалисти и непедагогически персонал, прилагани през периода 2018 –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обучения са свързани с разходи за възнаграждения и са в пряка зависимост от ръста на разходите за труд. Целевата стойност представлява 18% от общия брой учители, които по данни на НСИ през 2019/2020 г. са 65 417. Целевата стойност отразява кумулативния брой на педагогическите специалисти, ръководителите, РУО и ключовите експерти в образованието, които ще бъдат обучение в рамките на група дейности „Ефективно прилагане на компетентностния модел чрез въвеждане на училищни методически планове за действие за развитие на ключови компетентности“, „Дигитална трансформация на училищното образование в т.ч. професионалното образование и обучение“ и </w:t>
            </w:r>
            <w:r w:rsidRPr="00D83669">
              <w:rPr>
                <w:rFonts w:ascii="Times New Roman" w:hAnsi="Times New Roman"/>
                <w:sz w:val="24"/>
              </w:rPr>
              <w:lastRenderedPageBreak/>
              <w:t>„Подкрепа за създаване и прилагане на култура за иновации, иновативни детски градини и училища“, като е отчетено, че обученията са насочени към придобиване на умения в различни области. Изчислената целева стойност ще гарантира широк обхват на целевата група, отчитайки че по проект „Квалификация на педагогическите специалисти“ са включени 43 278 педагогически специалисти, по проект „Образование за утрешния ден“ са включени за подкрепа 26 900 педагогически специалисти. Представителите на целевата група ще бъдат включвани в съответните обучения след извършена оценка на конкретните нужди от придобиване/подобряване на умения и компетенции на всеки представител на целевата група и на образователната система.</w:t>
            </w:r>
          </w:p>
        </w:tc>
      </w:tr>
      <w:tr w:rsidR="00D857FE" w:rsidRPr="00D83669" w14:paraId="1F3F7E73" w14:textId="77777777" w:rsidTr="006A3527">
        <w:tc>
          <w:tcPr>
            <w:tcW w:w="2405" w:type="dxa"/>
            <w:shd w:val="clear" w:color="auto" w:fill="auto"/>
            <w:vAlign w:val="center"/>
          </w:tcPr>
          <w:p w14:paraId="66BC2CC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Междинна цел</w:t>
            </w:r>
          </w:p>
        </w:tc>
        <w:tc>
          <w:tcPr>
            <w:tcW w:w="7235" w:type="dxa"/>
            <w:shd w:val="clear" w:color="auto" w:fill="auto"/>
            <w:vAlign w:val="center"/>
          </w:tcPr>
          <w:p w14:paraId="5C0DFA12" w14:textId="282AEA73" w:rsidR="00D857FE" w:rsidRPr="00D83669" w:rsidRDefault="004D6C66" w:rsidP="00CC7BCB">
            <w:pPr>
              <w:spacing w:after="120"/>
              <w:jc w:val="both"/>
              <w:rPr>
                <w:rFonts w:ascii="Times New Roman" w:hAnsi="Times New Roman"/>
                <w:sz w:val="24"/>
              </w:rPr>
            </w:pPr>
            <w:r w:rsidRPr="00D83669">
              <w:rPr>
                <w:rFonts w:ascii="Times New Roman" w:hAnsi="Times New Roman"/>
                <w:sz w:val="24"/>
              </w:rPr>
              <w:t xml:space="preserve">292 </w:t>
            </w:r>
          </w:p>
        </w:tc>
      </w:tr>
      <w:tr w:rsidR="00D857FE" w:rsidRPr="00D83669" w14:paraId="4DAEF247" w14:textId="77777777" w:rsidTr="006A3527">
        <w:tc>
          <w:tcPr>
            <w:tcW w:w="2405" w:type="dxa"/>
            <w:shd w:val="clear" w:color="auto" w:fill="auto"/>
            <w:vAlign w:val="center"/>
          </w:tcPr>
          <w:p w14:paraId="61E2C98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6DF40717" w14:textId="069EC75A" w:rsidR="004D6C66" w:rsidRPr="00D83669" w:rsidRDefault="00A56A85" w:rsidP="004D6C66">
            <w:pPr>
              <w:spacing w:after="120"/>
              <w:jc w:val="both"/>
              <w:rPr>
                <w:rFonts w:ascii="Times New Roman" w:hAnsi="Times New Roman"/>
                <w:sz w:val="24"/>
              </w:rPr>
            </w:pPr>
            <w:r w:rsidRPr="00D83669">
              <w:rPr>
                <w:rFonts w:ascii="Times New Roman" w:hAnsi="Times New Roman"/>
                <w:sz w:val="24"/>
              </w:rPr>
              <w:t xml:space="preserve">За операциите от стратегическо значение, предвидени в програмата, предположението на Управляващия орган, което е взето предвид при изчисляването на етапните цели е, че тези операции ще бъдат  договорени първоначално за период от 5 години със 75% от общия предвиден финансов ресурс, а останалите 25 % ще бъдат разпределени за операции след оценка на постигнатия напредък в тяхното изпълнение. </w:t>
            </w:r>
            <w:r w:rsidR="004D6C66" w:rsidRPr="00D83669">
              <w:rPr>
                <w:rFonts w:ascii="Times New Roman" w:hAnsi="Times New Roman"/>
                <w:sz w:val="24"/>
              </w:rPr>
              <w:t xml:space="preserve">Съответно етапната цел се определя, като се взема предвид определения финансовия ресурс за операциите, който се разделя на планирания брой години за изпълнението им и отчитането на стойности на индикаторите преди 2024 г. </w:t>
            </w:r>
          </w:p>
          <w:p w14:paraId="545B4D3D" w14:textId="2600322D" w:rsidR="00D857FE" w:rsidRPr="00D83669" w:rsidRDefault="004D6C66" w:rsidP="004D6C66">
            <w:pPr>
              <w:spacing w:after="120"/>
              <w:jc w:val="both"/>
              <w:rPr>
                <w:rFonts w:ascii="Times New Roman" w:hAnsi="Times New Roman"/>
                <w:sz w:val="24"/>
              </w:rPr>
            </w:pPr>
            <w:r w:rsidRPr="00D83669">
              <w:rPr>
                <w:rFonts w:ascii="Times New Roman" w:hAnsi="Times New Roman"/>
                <w:sz w:val="24"/>
              </w:rPr>
              <w:t xml:space="preserve">Етапната цел представлява 15% от броя на педагогическите специалисти, ръководителите, РУО и ключовите експерти в образованието, които се планира да завършат обучение за подобряване на уменията за работа в образователната система в рамките на операция "Ефективно прилагане на компетентностния модел чрез въвеждане на училищни методически планове за действие за развитие на ключови компетентности" (1 948 лица). Определена е на база 75% финансов ресурс за 5-годишна продължителност на операцията, при планирано стартиране на реалното изпълнение на дейностите през втората половина на 2023 г. и отчитане стойности на индикатора през 2024 г., т.е. до края на 2024 г. физическото изпълнение на дейностите по проекта се очаква да обхваща около една година от общо петгодишния период на операцията (292 =1 948*75%*1/5). Етапната цел е съобразена с планирания период на стартиране на операциите по приоритет 2, поради което при изчисленията не се вземат предвид броя на участниците, които се планира да бъдат обучени  за подобряване на уменията за работа в образователната система в рамките на операции "Дигитална трансформация на училищното образование в т.ч. професионалното образование и обучение"  и  "Подкрепа за създаване и прилагане на култура за иновации, иновативни детски градини и училища", тъй като тези две  операции са планирани да стартират физическото си изпълнение  през 2024 г. и през 2025 г, и </w:t>
            </w:r>
            <w:r w:rsidRPr="00D83669">
              <w:rPr>
                <w:rFonts w:ascii="Times New Roman" w:hAnsi="Times New Roman"/>
                <w:sz w:val="24"/>
              </w:rPr>
              <w:lastRenderedPageBreak/>
              <w:t>няма да бъде възможно отчитане на стойности на индикатори  в края на 2024 г.</w:t>
            </w:r>
          </w:p>
        </w:tc>
      </w:tr>
      <w:tr w:rsidR="00D857FE" w:rsidRPr="00D83669" w14:paraId="50C851D3" w14:textId="77777777" w:rsidTr="006A3527">
        <w:tc>
          <w:tcPr>
            <w:tcW w:w="2405" w:type="dxa"/>
            <w:shd w:val="clear" w:color="auto" w:fill="auto"/>
            <w:vAlign w:val="center"/>
          </w:tcPr>
          <w:p w14:paraId="4B9174D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Базова стойност</w:t>
            </w:r>
          </w:p>
        </w:tc>
        <w:tc>
          <w:tcPr>
            <w:tcW w:w="7235" w:type="dxa"/>
            <w:shd w:val="clear" w:color="auto" w:fill="auto"/>
            <w:vAlign w:val="center"/>
          </w:tcPr>
          <w:p w14:paraId="263B6CC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737DDD83" w14:textId="77777777" w:rsidTr="006A3527">
        <w:tc>
          <w:tcPr>
            <w:tcW w:w="2405" w:type="dxa"/>
            <w:shd w:val="clear" w:color="auto" w:fill="auto"/>
            <w:vAlign w:val="center"/>
          </w:tcPr>
          <w:p w14:paraId="2FF7F574"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569028E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район за планиране, област и община, както и по вид училище.</w:t>
            </w:r>
          </w:p>
        </w:tc>
      </w:tr>
      <w:tr w:rsidR="00D857FE" w:rsidRPr="00D83669" w14:paraId="09207D99" w14:textId="77777777" w:rsidTr="006A3527">
        <w:tc>
          <w:tcPr>
            <w:tcW w:w="2405" w:type="dxa"/>
            <w:shd w:val="clear" w:color="auto" w:fill="auto"/>
            <w:vAlign w:val="center"/>
          </w:tcPr>
          <w:p w14:paraId="3EA7E24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499F8E3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Събирането на данни за броя на обучените педагогически специалисти, ръководители, РУО и ключови експерти в образованието е необходимо за изграждане на база от данни относно кариерното развитие на педагогическите специалисти и другия персонал, обхванат по програмата и тяхното съотношение спрямо всички педагогически специалисти,</w:t>
            </w:r>
            <w:r w:rsidRPr="00D83669">
              <w:t xml:space="preserve"> </w:t>
            </w:r>
            <w:r w:rsidRPr="00D83669">
              <w:rPr>
                <w:rFonts w:ascii="Times New Roman" w:hAnsi="Times New Roman"/>
                <w:sz w:val="24"/>
              </w:rPr>
              <w:t>ръководители, РУО и ключови експерти в образователната система в страната. Броят на извършените квалификационни дейности по програмата ще послужи на национално ниво при разработване на стратегическа визия за провеждане на политика за тяхното професионално развитие и квалификация, за прилагане на дигитално образователно съдържание и образователни иновации в обучението на ученици, за събиране на данни за образователната система и образователните резултати на учениците, и за формулиране на решения на база на данни и анализ. Данните ще предоставят информация какъв е броя на педагогическите специалисти, ръководителите, РУО и ключовите експерти в образователната система които са подготвени за подобряване на качеството на образованието и цифровата му трансформация / за мултиплицирането на добри иновативни решения, вкл. въвеждане на нови педагогически роли в училище, екипно планиране и/или преподаване между учителите и целенасочено професионално учене на учителите в реална работна среда, както и за да се проследи ефекта от създадените междуучилищни партньорства.</w:t>
            </w:r>
          </w:p>
        </w:tc>
      </w:tr>
      <w:tr w:rsidR="00D857FE" w:rsidRPr="00D83669" w14:paraId="719D975E" w14:textId="77777777" w:rsidTr="006A3527">
        <w:tc>
          <w:tcPr>
            <w:tcW w:w="2405" w:type="dxa"/>
            <w:shd w:val="clear" w:color="auto" w:fill="auto"/>
            <w:vAlign w:val="center"/>
          </w:tcPr>
          <w:p w14:paraId="3E7F1C5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2D6F139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ще се събират текущо на база технически отчети за изпълнение на проекта с изчерпателен обхват на всички участници. </w:t>
            </w:r>
          </w:p>
          <w:p w14:paraId="194E72F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ще включва: пол и възраст на участника; друга демографска информация; участие в предишни обучения, финансирани от ЕСИФ; период на провеждане на обучението и продължителност; тема на обучението; обучаваща организация; продължителност на обучението; степен на прилагане на дигитално образователно съдържание в обучението на ученици / степен на прилагане на образователни иновации в обучението на ученици.</w:t>
            </w:r>
          </w:p>
        </w:tc>
      </w:tr>
      <w:tr w:rsidR="00D857FE" w:rsidRPr="00D83669" w14:paraId="7BFC3944" w14:textId="77777777" w:rsidTr="006A3527">
        <w:tc>
          <w:tcPr>
            <w:tcW w:w="2405" w:type="dxa"/>
            <w:shd w:val="clear" w:color="auto" w:fill="auto"/>
            <w:vAlign w:val="center"/>
          </w:tcPr>
          <w:p w14:paraId="45C4D3F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2B050E2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2526C13E" w14:textId="77777777" w:rsidTr="006A3527">
        <w:tc>
          <w:tcPr>
            <w:tcW w:w="2405" w:type="dxa"/>
            <w:shd w:val="clear" w:color="auto" w:fill="auto"/>
            <w:vAlign w:val="center"/>
          </w:tcPr>
          <w:p w14:paraId="162DDCC4" w14:textId="426AC0DF"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787B16CD" w14:textId="77777777" w:rsidR="00D857FE" w:rsidRPr="00D83669" w:rsidRDefault="00D857FE" w:rsidP="00D857FE">
            <w:pPr>
              <w:pStyle w:val="ListParagraph"/>
              <w:numPr>
                <w:ilvl w:val="0"/>
                <w:numId w:val="29"/>
              </w:numPr>
              <w:spacing w:after="120" w:line="240" w:lineRule="auto"/>
              <w:contextualSpacing w:val="0"/>
              <w:jc w:val="both"/>
              <w:rPr>
                <w:rFonts w:ascii="Times New Roman" w:hAnsi="Times New Roman"/>
                <w:sz w:val="24"/>
              </w:rPr>
            </w:pPr>
            <w:r w:rsidRPr="00D83669">
              <w:rPr>
                <w:rFonts w:ascii="Times New Roman" w:hAnsi="Times New Roman"/>
                <w:sz w:val="24"/>
              </w:rPr>
              <w:t>SRI 2.1. Подобрени образователни резултати на подкрепените деца и ученици.</w:t>
            </w:r>
          </w:p>
        </w:tc>
      </w:tr>
      <w:tr w:rsidR="00D857FE" w:rsidRPr="00D83669" w14:paraId="4C452192" w14:textId="77777777" w:rsidTr="006A3527">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5AD02A4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Валидиране</w:t>
            </w:r>
          </w:p>
        </w:tc>
        <w:tc>
          <w:tcPr>
            <w:tcW w:w="7235" w:type="dxa"/>
            <w:tcBorders>
              <w:top w:val="single" w:sz="4" w:space="0" w:color="auto"/>
              <w:left w:val="single" w:sz="4" w:space="0" w:color="auto"/>
              <w:bottom w:val="single" w:sz="4" w:space="0" w:color="auto"/>
              <w:right w:val="single" w:sz="4" w:space="0" w:color="auto"/>
            </w:tcBorders>
            <w:shd w:val="clear" w:color="auto" w:fill="auto"/>
            <w:vAlign w:val="center"/>
          </w:tcPr>
          <w:p w14:paraId="7EF30649" w14:textId="14760C0C"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обхваща броя на педагогическите специалисти, ръководители, РУО и ключови експерти в образованието, включени в обучения за подобряване на уменията им за работа в образователната система по СЦ по чл. 4, пар. 1, буква д) на Приоритет 2 на ПО 2021 – 2027 и е по-малка от броя на всички участници в дейности по Приоритет 2 на Програмата и по тази специфична цел.</w:t>
            </w:r>
          </w:p>
        </w:tc>
      </w:tr>
    </w:tbl>
    <w:p w14:paraId="1325AC0B" w14:textId="77777777" w:rsidR="00D857FE" w:rsidRPr="00D83669" w:rsidRDefault="00D857FE" w:rsidP="00D857FE"/>
    <w:p w14:paraId="2745D8D8" w14:textId="77777777" w:rsidR="00D857FE" w:rsidRPr="00D83669" w:rsidRDefault="00D857FE" w:rsidP="00D857FE">
      <w:r w:rsidRPr="00D83669">
        <w:br w:type="page"/>
      </w:r>
    </w:p>
    <w:p w14:paraId="3D9CAECF" w14:textId="33054D97" w:rsidR="00D857FE" w:rsidRPr="00D83669" w:rsidRDefault="00D857FE" w:rsidP="00077E8D">
      <w:pPr>
        <w:pStyle w:val="Heading3"/>
        <w:rPr>
          <w:b/>
          <w:bCs/>
          <w:i/>
          <w:iCs/>
          <w:sz w:val="22"/>
          <w:szCs w:val="22"/>
        </w:rPr>
      </w:pPr>
      <w:bookmarkStart w:id="156" w:name="_Toc100153006"/>
      <w:bookmarkStart w:id="157" w:name="_Toc103586681"/>
      <w:r w:rsidRPr="00D83669">
        <w:rPr>
          <w:b/>
          <w:bCs/>
          <w:i/>
          <w:iCs/>
          <w:sz w:val="22"/>
          <w:szCs w:val="22"/>
        </w:rPr>
        <w:lastRenderedPageBreak/>
        <w:t>SOI 2.6 Брой високо квалифицирани специалисти, които са привлечени към учителската професия чрез алтернативни мерки за достъп</w:t>
      </w:r>
      <w:bookmarkEnd w:id="156"/>
      <w:bookmarkEnd w:id="157"/>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77"/>
      </w:tblGrid>
      <w:tr w:rsidR="00D857FE" w:rsidRPr="00D83669" w14:paraId="37212117" w14:textId="77777777" w:rsidTr="00EC6245">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EEB1AF5" w14:textId="0FB8E475"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C76081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6ECC6CDE" w14:textId="77777777" w:rsidTr="00EC6245">
        <w:tc>
          <w:tcPr>
            <w:tcW w:w="2263" w:type="dxa"/>
            <w:shd w:val="clear" w:color="auto" w:fill="auto"/>
            <w:vAlign w:val="center"/>
          </w:tcPr>
          <w:p w14:paraId="0CFF34D1" w14:textId="4321038B"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3599F803"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2.6 Брой високо квалифицирани специалисти, които са привлечени към учителската професия чрез алтернативни мерки за достъп</w:t>
            </w:r>
          </w:p>
        </w:tc>
      </w:tr>
      <w:tr w:rsidR="00D857FE" w:rsidRPr="00D83669" w14:paraId="64C859BD" w14:textId="77777777" w:rsidTr="00EC6245">
        <w:tc>
          <w:tcPr>
            <w:tcW w:w="2263" w:type="dxa"/>
            <w:shd w:val="clear" w:color="auto" w:fill="auto"/>
            <w:vAlign w:val="center"/>
          </w:tcPr>
          <w:p w14:paraId="3379826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578D5A26" w14:textId="6491B752"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1E07D3DD" w14:textId="77777777" w:rsidTr="00EC6245">
        <w:tc>
          <w:tcPr>
            <w:tcW w:w="2263" w:type="dxa"/>
            <w:shd w:val="clear" w:color="auto" w:fill="auto"/>
            <w:vAlign w:val="center"/>
          </w:tcPr>
          <w:p w14:paraId="7527A41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0CCFE16D"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03959749" w14:textId="77777777" w:rsidTr="00EC6245">
        <w:tc>
          <w:tcPr>
            <w:tcW w:w="2263" w:type="dxa"/>
            <w:shd w:val="clear" w:color="auto" w:fill="auto"/>
            <w:vAlign w:val="center"/>
          </w:tcPr>
          <w:p w14:paraId="2D5780C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10F434A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създаване и прилагане на култура за иновации, иновативни детски градини и училища.</w:t>
            </w:r>
          </w:p>
        </w:tc>
      </w:tr>
      <w:tr w:rsidR="00D857FE" w:rsidRPr="00D83669" w14:paraId="6E4DEC85" w14:textId="77777777" w:rsidTr="00EC6245">
        <w:tc>
          <w:tcPr>
            <w:tcW w:w="2263" w:type="dxa"/>
            <w:shd w:val="clear" w:color="auto" w:fill="auto"/>
            <w:vAlign w:val="center"/>
          </w:tcPr>
          <w:p w14:paraId="1CD9751B"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7" w:type="dxa"/>
            <w:shd w:val="clear" w:color="auto" w:fill="auto"/>
            <w:vAlign w:val="center"/>
          </w:tcPr>
          <w:p w14:paraId="5D6E5F61" w14:textId="4532BE19"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високо квалифицирани специалисти в различни професионални области, които са привлечени към учителската професия чрез алтернативни мерки за достъп и преподават на ученици поне 1 учебна година. Алтернативните мерки за достъп ще позволят на тези специалисти да работят едновременно като учители и да упражняват професията си. Те ще получат подкрепата на обучен преподавателски персонал или ментор и краткосрочно обучение в реална среда за развиване на ключови компетенции в различните нива на образование.</w:t>
            </w:r>
          </w:p>
        </w:tc>
      </w:tr>
      <w:tr w:rsidR="00D857FE" w:rsidRPr="00D83669" w14:paraId="07914B6F" w14:textId="77777777" w:rsidTr="00EC6245">
        <w:tc>
          <w:tcPr>
            <w:tcW w:w="2263" w:type="dxa"/>
            <w:shd w:val="clear" w:color="auto" w:fill="auto"/>
            <w:vAlign w:val="center"/>
          </w:tcPr>
          <w:p w14:paraId="3E7793D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7" w:type="dxa"/>
            <w:shd w:val="clear" w:color="auto" w:fill="auto"/>
            <w:vAlign w:val="center"/>
          </w:tcPr>
          <w:p w14:paraId="0C6E892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0DBB4D7C" w14:textId="77777777" w:rsidTr="00EC6245">
        <w:tc>
          <w:tcPr>
            <w:tcW w:w="2263" w:type="dxa"/>
            <w:shd w:val="clear" w:color="auto" w:fill="auto"/>
            <w:vAlign w:val="center"/>
          </w:tcPr>
          <w:p w14:paraId="6C078AC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78631F79"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lang w:val="en-US"/>
              </w:rPr>
              <w:t>188</w:t>
            </w:r>
          </w:p>
        </w:tc>
      </w:tr>
      <w:tr w:rsidR="00D857FE" w:rsidRPr="00D83669" w14:paraId="2ABCA738" w14:textId="77777777" w:rsidTr="00EC6245">
        <w:tc>
          <w:tcPr>
            <w:tcW w:w="2263" w:type="dxa"/>
            <w:shd w:val="clear" w:color="auto" w:fill="auto"/>
            <w:vAlign w:val="center"/>
          </w:tcPr>
          <w:p w14:paraId="6598508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1F55697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е определена на база единични разходи за преподаване на ученици, чрез стандартна таблица за почасово възнаграждение, приложима за периода 2018 – 2020 г. Приложен е процент на индексация на база очакваното увеличение на разходите за труд в сектор „Образование“ за периода до 2029 г., имайки предвид че единичните разходи за преподаване на ученици са свързани единствено с разходи за възнаграждения и са в пряка зависимост от ръста на разходите за труд. Целевата стойност гарантира широк обхват на целевата група и увеличение с повече от три пъти в броя на висококвалифицираните специалисти, които са привлечени към учителската професия по Национална програма „Мотивирани учители“ (към 2020 г. са привлечени 56 високоспециализирани специалисти).</w:t>
            </w:r>
          </w:p>
        </w:tc>
      </w:tr>
      <w:tr w:rsidR="00D857FE" w:rsidRPr="00D83669" w14:paraId="5A674B59" w14:textId="77777777" w:rsidTr="00EC6245">
        <w:tc>
          <w:tcPr>
            <w:tcW w:w="2263" w:type="dxa"/>
            <w:shd w:val="clear" w:color="auto" w:fill="auto"/>
            <w:vAlign w:val="center"/>
          </w:tcPr>
          <w:p w14:paraId="2267DBC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377" w:type="dxa"/>
            <w:shd w:val="clear" w:color="auto" w:fill="auto"/>
            <w:vAlign w:val="center"/>
          </w:tcPr>
          <w:p w14:paraId="0566F8E6" w14:textId="7091A5F0" w:rsidR="00D857FE" w:rsidRPr="00D83669" w:rsidRDefault="00F56CBF" w:rsidP="00CC7BCB">
            <w:pPr>
              <w:jc w:val="both"/>
              <w:rPr>
                <w:rFonts w:ascii="Times New Roman" w:hAnsi="Times New Roman"/>
                <w:sz w:val="24"/>
              </w:rPr>
            </w:pPr>
            <w:r w:rsidRPr="00D83669">
              <w:rPr>
                <w:rFonts w:ascii="Times New Roman" w:hAnsi="Times New Roman"/>
                <w:sz w:val="24"/>
              </w:rPr>
              <w:t>0</w:t>
            </w:r>
          </w:p>
        </w:tc>
      </w:tr>
      <w:tr w:rsidR="00D857FE" w:rsidRPr="00D83669" w14:paraId="543E9143" w14:textId="77777777" w:rsidTr="00EC6245">
        <w:tc>
          <w:tcPr>
            <w:tcW w:w="2263" w:type="dxa"/>
            <w:shd w:val="clear" w:color="auto" w:fill="auto"/>
            <w:vAlign w:val="center"/>
          </w:tcPr>
          <w:p w14:paraId="47C26D3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7" w:type="dxa"/>
            <w:shd w:val="clear" w:color="auto" w:fill="auto"/>
            <w:vAlign w:val="center"/>
          </w:tcPr>
          <w:p w14:paraId="08E50006" w14:textId="35DE67AA" w:rsidR="00D857FE" w:rsidRPr="00D83669" w:rsidRDefault="00F56CBF" w:rsidP="00CC7BCB">
            <w:pPr>
              <w:jc w:val="both"/>
              <w:rPr>
                <w:rFonts w:ascii="Times New Roman" w:hAnsi="Times New Roman"/>
                <w:sz w:val="24"/>
              </w:rPr>
            </w:pPr>
            <w:r w:rsidRPr="00D83669">
              <w:rPr>
                <w:rFonts w:ascii="Times New Roman" w:hAnsi="Times New Roman"/>
                <w:sz w:val="24"/>
              </w:rPr>
              <w:t xml:space="preserve">Планираният период за стартиране на физическото изпълнение на дейностите по операция "Подкрепа за създаване и прилагане на култура за иновации, иновативни детски градини и училища" е </w:t>
            </w:r>
            <w:r w:rsidRPr="00D83669">
              <w:rPr>
                <w:rFonts w:ascii="Times New Roman" w:hAnsi="Times New Roman"/>
                <w:sz w:val="24"/>
              </w:rPr>
              <w:lastRenderedPageBreak/>
              <w:t>средата на 2025 г., поради което не се планира етапна цел за изпълнение на индикатора.</w:t>
            </w:r>
          </w:p>
        </w:tc>
      </w:tr>
      <w:tr w:rsidR="00D857FE" w:rsidRPr="00D83669" w14:paraId="7786653E" w14:textId="77777777" w:rsidTr="00EC6245">
        <w:tc>
          <w:tcPr>
            <w:tcW w:w="2263" w:type="dxa"/>
            <w:shd w:val="clear" w:color="auto" w:fill="auto"/>
            <w:vAlign w:val="center"/>
          </w:tcPr>
          <w:p w14:paraId="7F57A22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Базова стойност</w:t>
            </w:r>
          </w:p>
        </w:tc>
        <w:tc>
          <w:tcPr>
            <w:tcW w:w="7377" w:type="dxa"/>
            <w:shd w:val="clear" w:color="auto" w:fill="auto"/>
            <w:vAlign w:val="center"/>
          </w:tcPr>
          <w:p w14:paraId="5FF5E60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2148C8A2" w14:textId="77777777" w:rsidTr="00EC6245">
        <w:tc>
          <w:tcPr>
            <w:tcW w:w="2263" w:type="dxa"/>
            <w:shd w:val="clear" w:color="auto" w:fill="auto"/>
            <w:vAlign w:val="center"/>
          </w:tcPr>
          <w:p w14:paraId="79E6FF6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2DE0B9E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и друга демографска информация за участниците.</w:t>
            </w:r>
          </w:p>
        </w:tc>
      </w:tr>
      <w:tr w:rsidR="00D857FE" w:rsidRPr="00D83669" w14:paraId="0A5AB6D3" w14:textId="77777777" w:rsidTr="00EC6245">
        <w:tc>
          <w:tcPr>
            <w:tcW w:w="2263" w:type="dxa"/>
            <w:shd w:val="clear" w:color="auto" w:fill="auto"/>
            <w:vAlign w:val="center"/>
          </w:tcPr>
          <w:p w14:paraId="0045B00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0C7F4A8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за да се проследи доколко включването на подобен тип специалисти допринася за намаляване на недостига на учители по различни учебни предмети, както и ефекта от включването на квалифицирани специалисти от различни професионални области в подобряване на развитието на знания, умения и компетенции от учениците. Данните за броя на учебните години, в които квалифицираните специалисти преподават на ученици, ще бъдат използвани за анализ на това доколко предложените мерки за достъп до учителската професия са ефективни в дългосрочен план.</w:t>
            </w:r>
          </w:p>
        </w:tc>
      </w:tr>
      <w:tr w:rsidR="00D857FE" w:rsidRPr="00D83669" w14:paraId="30D0779B" w14:textId="77777777" w:rsidTr="00EC6245">
        <w:tc>
          <w:tcPr>
            <w:tcW w:w="2263" w:type="dxa"/>
            <w:shd w:val="clear" w:color="auto" w:fill="auto"/>
            <w:vAlign w:val="center"/>
          </w:tcPr>
          <w:p w14:paraId="55246AB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7" w:type="dxa"/>
            <w:shd w:val="clear" w:color="auto" w:fill="auto"/>
            <w:vAlign w:val="center"/>
          </w:tcPr>
          <w:p w14:paraId="711F20F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52415E6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бъдат събрани от училищата, които наемат допълнителните учители и ще съдържат: пълна демографска информация, включително пол, професия, години опит, преподаван предмет и клас, квалификация, ниво на образование и други демографски данни.</w:t>
            </w:r>
          </w:p>
        </w:tc>
      </w:tr>
      <w:tr w:rsidR="00D857FE" w:rsidRPr="00D83669" w14:paraId="183D4340" w14:textId="77777777" w:rsidTr="00EC6245">
        <w:tc>
          <w:tcPr>
            <w:tcW w:w="2263" w:type="dxa"/>
            <w:shd w:val="clear" w:color="auto" w:fill="auto"/>
            <w:vAlign w:val="center"/>
          </w:tcPr>
          <w:p w14:paraId="4889406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5477EFF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150D008" w14:textId="77777777" w:rsidTr="00EC6245">
        <w:tc>
          <w:tcPr>
            <w:tcW w:w="2263" w:type="dxa"/>
            <w:shd w:val="clear" w:color="auto" w:fill="auto"/>
            <w:vAlign w:val="center"/>
          </w:tcPr>
          <w:p w14:paraId="0149BF67" w14:textId="46B3A1D8"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05407B08" w14:textId="77777777" w:rsidR="00D857FE" w:rsidRPr="00D83669" w:rsidRDefault="00D857FE" w:rsidP="00D857FE">
            <w:pPr>
              <w:pStyle w:val="ListParagraph"/>
              <w:numPr>
                <w:ilvl w:val="0"/>
                <w:numId w:val="31"/>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15BCA69F" w14:textId="77777777" w:rsidR="00D857FE" w:rsidRPr="00D83669" w:rsidRDefault="00D857FE" w:rsidP="00D857FE">
            <w:pPr>
              <w:pStyle w:val="ListParagraph"/>
              <w:numPr>
                <w:ilvl w:val="0"/>
                <w:numId w:val="31"/>
              </w:numPr>
              <w:spacing w:after="0" w:line="240" w:lineRule="auto"/>
              <w:jc w:val="both"/>
              <w:rPr>
                <w:rFonts w:ascii="Times New Roman" w:hAnsi="Times New Roman"/>
                <w:sz w:val="24"/>
              </w:rPr>
            </w:pPr>
            <w:r w:rsidRPr="00D83669">
              <w:rPr>
                <w:rFonts w:ascii="Times New Roman" w:hAnsi="Times New Roman"/>
                <w:sz w:val="24"/>
              </w:rPr>
              <w:t>SRI 2.1. Подобрени образователни резултати на подкрепените деца и ученици</w:t>
            </w:r>
          </w:p>
        </w:tc>
      </w:tr>
      <w:tr w:rsidR="00D857FE" w:rsidRPr="00D83669" w14:paraId="1A17F4CF" w14:textId="77777777" w:rsidTr="00EC6245">
        <w:tc>
          <w:tcPr>
            <w:tcW w:w="2263" w:type="dxa"/>
            <w:tcBorders>
              <w:top w:val="single" w:sz="4" w:space="0" w:color="auto"/>
              <w:left w:val="single" w:sz="4" w:space="0" w:color="auto"/>
              <w:bottom w:val="single" w:sz="4" w:space="0" w:color="auto"/>
              <w:right w:val="single" w:sz="4" w:space="0" w:color="auto"/>
            </w:tcBorders>
            <w:shd w:val="clear" w:color="auto" w:fill="auto"/>
            <w:vAlign w:val="center"/>
          </w:tcPr>
          <w:p w14:paraId="144961D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7" w:type="dxa"/>
            <w:tcBorders>
              <w:top w:val="single" w:sz="4" w:space="0" w:color="auto"/>
              <w:left w:val="single" w:sz="4" w:space="0" w:color="auto"/>
              <w:bottom w:val="single" w:sz="4" w:space="0" w:color="auto"/>
              <w:right w:val="single" w:sz="4" w:space="0" w:color="auto"/>
            </w:tcBorders>
            <w:shd w:val="clear" w:color="auto" w:fill="auto"/>
            <w:vAlign w:val="center"/>
          </w:tcPr>
          <w:p w14:paraId="5E3B0ABE" w14:textId="7454B05C"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висококвалифицираните специалисти, привлечени към учителската професия чрез алтернативни мерки за достъп по СЦ по чл. 4, пар. 1, буква д) на Приоритет 2 на ПО 2021 – 2027 и е по-малка от броя на всички участници в дейности по Приоритет 2 на Програмата и по тази специфична цел.</w:t>
            </w:r>
          </w:p>
        </w:tc>
      </w:tr>
    </w:tbl>
    <w:p w14:paraId="24176C0A" w14:textId="77777777" w:rsidR="00D857FE" w:rsidRPr="00D83669" w:rsidRDefault="00D857FE" w:rsidP="00D857FE">
      <w:r w:rsidRPr="00D83669">
        <w:br w:type="page"/>
      </w:r>
    </w:p>
    <w:p w14:paraId="31987002" w14:textId="4FB8AC45" w:rsidR="00D857FE" w:rsidRPr="00D83669" w:rsidRDefault="00D857FE" w:rsidP="00077E8D">
      <w:pPr>
        <w:pStyle w:val="Heading3"/>
        <w:rPr>
          <w:b/>
          <w:bCs/>
          <w:i/>
          <w:iCs/>
          <w:sz w:val="22"/>
          <w:szCs w:val="22"/>
        </w:rPr>
      </w:pPr>
      <w:bookmarkStart w:id="158" w:name="_Toc100153007"/>
      <w:bookmarkStart w:id="159" w:name="_Toc103586682"/>
      <w:r w:rsidRPr="00D83669">
        <w:rPr>
          <w:b/>
          <w:bCs/>
          <w:i/>
          <w:iCs/>
          <w:sz w:val="22"/>
          <w:szCs w:val="22"/>
        </w:rPr>
        <w:lastRenderedPageBreak/>
        <w:t>SOI 2.7 Брой подкрепени деца и ученици</w:t>
      </w:r>
      <w:bookmarkEnd w:id="158"/>
      <w:bookmarkEnd w:id="159"/>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77"/>
      </w:tblGrid>
      <w:tr w:rsidR="00D857FE" w:rsidRPr="00D83669" w14:paraId="709D0994" w14:textId="77777777" w:rsidTr="001E1E01">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00DD54B" w14:textId="6FFEB1E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DBC6C8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2C8483B5" w14:textId="77777777" w:rsidTr="001E1E01">
        <w:tc>
          <w:tcPr>
            <w:tcW w:w="2263" w:type="dxa"/>
            <w:shd w:val="clear" w:color="auto" w:fill="auto"/>
            <w:vAlign w:val="center"/>
          </w:tcPr>
          <w:p w14:paraId="538560FC" w14:textId="18FBEE1F"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3EE684E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SOI 2.7 Брой подкрепени деца и ученици</w:t>
            </w:r>
          </w:p>
        </w:tc>
      </w:tr>
      <w:tr w:rsidR="00D857FE" w:rsidRPr="00D83669" w14:paraId="73A7A26B" w14:textId="77777777" w:rsidTr="001E1E01">
        <w:tc>
          <w:tcPr>
            <w:tcW w:w="2263" w:type="dxa"/>
            <w:shd w:val="clear" w:color="auto" w:fill="auto"/>
            <w:vAlign w:val="center"/>
          </w:tcPr>
          <w:p w14:paraId="72BD73A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690B5ACF" w14:textId="13EAD0D7"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022F4F95" w14:textId="77777777" w:rsidTr="001E1E01">
        <w:tc>
          <w:tcPr>
            <w:tcW w:w="2263" w:type="dxa"/>
            <w:shd w:val="clear" w:color="auto" w:fill="auto"/>
            <w:vAlign w:val="center"/>
          </w:tcPr>
          <w:p w14:paraId="010EE04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32BFC683"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1A148365" w14:textId="77777777" w:rsidTr="001E1E01">
        <w:tc>
          <w:tcPr>
            <w:tcW w:w="2263" w:type="dxa"/>
            <w:shd w:val="clear" w:color="auto" w:fill="auto"/>
            <w:vAlign w:val="center"/>
          </w:tcPr>
          <w:p w14:paraId="6C0CCAC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41CB121D"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Ефективно прилагане на компетентностния модел чрез въвеждане на училищни методически планове за действие за развитие на ключови компетентности;</w:t>
            </w:r>
          </w:p>
          <w:p w14:paraId="2682BA21"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Дигитална трансформация на училищното образование в т.ч. професионалното образование и обучение;</w:t>
            </w:r>
          </w:p>
          <w:p w14:paraId="002B446E"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Подкрепа за създаване и прилагане на култура за иновации, иновативни детски градини и училища;</w:t>
            </w:r>
          </w:p>
          <w:p w14:paraId="16ECEB88"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Подкрепа за ученици с таланти.</w:t>
            </w:r>
          </w:p>
        </w:tc>
      </w:tr>
      <w:tr w:rsidR="00D857FE" w:rsidRPr="00D83669" w14:paraId="3254B98B" w14:textId="77777777" w:rsidTr="001E1E01">
        <w:tc>
          <w:tcPr>
            <w:tcW w:w="2263" w:type="dxa"/>
            <w:shd w:val="clear" w:color="auto" w:fill="auto"/>
            <w:vAlign w:val="center"/>
          </w:tcPr>
          <w:p w14:paraId="20018A5F"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7" w:type="dxa"/>
            <w:shd w:val="clear" w:color="auto" w:fill="auto"/>
            <w:vAlign w:val="center"/>
          </w:tcPr>
          <w:p w14:paraId="762631E3" w14:textId="325A76B6" w:rsidR="00D857FE" w:rsidRPr="00D83669" w:rsidRDefault="00D857FE" w:rsidP="00CC7BCB">
            <w:pPr>
              <w:jc w:val="both"/>
              <w:rPr>
                <w:rFonts w:ascii="Times New Roman" w:hAnsi="Times New Roman"/>
                <w:sz w:val="24"/>
                <w:lang w:val="en-US"/>
              </w:rPr>
            </w:pPr>
            <w:r w:rsidRPr="00D83669">
              <w:rPr>
                <w:rFonts w:ascii="Times New Roman" w:hAnsi="Times New Roman"/>
                <w:sz w:val="24"/>
              </w:rPr>
              <w:t xml:space="preserve">Показателят измерва броя на учениците, вкл. от маргинализирани общности, от всички етапи и степени на училищното образование, които са подкрепени по програмата за надграждане на придобитата общообразователна подготовка в областта на дигиталните умения в съответния етап на образование, в областта на STEAM, за практическа работа на ученици в лабораторна среда за натрупване на знания и умения, свързани с природни науки, математика и информатика, добавена виртуална реалност и др., за пилотно въвеждане на интердисциплинарно обучение, за насърчаване на участието им в регионални олимпиади и състезания чрез участия в занимания по интереси (извънкласни дейности) и са получили сертификат за участие в такива дейности, и броя на децата, вкл. от маргинализираните общности, които участват в допълнителни занимания за прилагане на иновативно учебно съдържание, иновативни методи на преподаване и учене, иновативни модели за оценка на образователните резултати, въвличане на иновативна учебна среда в учебния процес и др., и са получили сертификат за участие в такива занимания. </w:t>
            </w:r>
          </w:p>
        </w:tc>
      </w:tr>
      <w:tr w:rsidR="00D857FE" w:rsidRPr="00D83669" w14:paraId="31DD748B" w14:textId="77777777" w:rsidTr="001E1E01">
        <w:tc>
          <w:tcPr>
            <w:tcW w:w="2263" w:type="dxa"/>
            <w:shd w:val="clear" w:color="auto" w:fill="auto"/>
            <w:vAlign w:val="center"/>
          </w:tcPr>
          <w:p w14:paraId="775EC88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7" w:type="dxa"/>
            <w:shd w:val="clear" w:color="auto" w:fill="auto"/>
            <w:vAlign w:val="center"/>
          </w:tcPr>
          <w:p w14:paraId="0A3F1A3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2A9A031E" w14:textId="77777777" w:rsidTr="001E1E01">
        <w:tc>
          <w:tcPr>
            <w:tcW w:w="2263" w:type="dxa"/>
            <w:shd w:val="clear" w:color="auto" w:fill="auto"/>
            <w:vAlign w:val="center"/>
          </w:tcPr>
          <w:p w14:paraId="17CCB3B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231653C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367 582</w:t>
            </w:r>
          </w:p>
        </w:tc>
      </w:tr>
      <w:tr w:rsidR="00D857FE" w:rsidRPr="00D83669" w14:paraId="7184F209" w14:textId="77777777" w:rsidTr="001E1E01">
        <w:tc>
          <w:tcPr>
            <w:tcW w:w="2263" w:type="dxa"/>
            <w:shd w:val="clear" w:color="auto" w:fill="auto"/>
            <w:vAlign w:val="center"/>
          </w:tcPr>
          <w:p w14:paraId="7176645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65F48AF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е определена на база единичните разходи за обучения на ученици (занимания по интереси), и на база единичните разходи за допълнителни занимания за деца, прилагани през периода 2018 –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занимания по интереси/допълнителни занимания са свързани с разходи за възнаграждения и са в пряка </w:t>
            </w:r>
            <w:r w:rsidRPr="00D83669">
              <w:rPr>
                <w:rFonts w:ascii="Times New Roman" w:hAnsi="Times New Roman"/>
                <w:sz w:val="24"/>
              </w:rPr>
              <w:lastRenderedPageBreak/>
              <w:t>зависимост от ръста на разходите за труд. Целевата стойност представлява 40% от общия брой деца в детските градини и ученици в училищата, които по данни на НСИ през 2019/2020 г. са общо 926 125. Целевата стойност отразява кумулативния брой на учениците, които ще получат подкрепа в занимания по интереси в рамките на група дейности „Ефективно прилагане на компетентностния модел чрез въвеждане на училищни методически планове за действие за развитие на ключови компетентности“ (80 717 ученици), „Дигитална трансформация на училищното образование в т.ч. професионалното образование и обучение“ (202 839 ученици), „Подкрепа за създаване и прилагане на култура за иновации, иновативни детски градини и училища“ (53 655 ученици) и „Подкрепа за ученици с таланти“ (19 711 ученици), и броя на децата от детските гради, които ще получат подкрепа за допълнителни занимания в рамките на група дейности „Подкрепа за създаване и прилагане на култура за иновации, иновативни детски градини и училища“ (10 660 деца). Изчислената целева стойност ще гарантира широк обхват на целевата група.</w:t>
            </w:r>
          </w:p>
        </w:tc>
      </w:tr>
      <w:tr w:rsidR="00D857FE" w:rsidRPr="00D83669" w14:paraId="5B6CD958" w14:textId="77777777" w:rsidTr="001E1E01">
        <w:tc>
          <w:tcPr>
            <w:tcW w:w="2263" w:type="dxa"/>
            <w:shd w:val="clear" w:color="auto" w:fill="auto"/>
            <w:vAlign w:val="center"/>
          </w:tcPr>
          <w:p w14:paraId="1446333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7377" w:type="dxa"/>
            <w:shd w:val="clear" w:color="auto" w:fill="auto"/>
            <w:vAlign w:val="center"/>
          </w:tcPr>
          <w:p w14:paraId="642786D7" w14:textId="303BC3EB" w:rsidR="00D857FE" w:rsidRPr="00D83669" w:rsidRDefault="004C0FEF" w:rsidP="00CC7BCB">
            <w:pPr>
              <w:jc w:val="both"/>
              <w:rPr>
                <w:rFonts w:ascii="Times New Roman" w:hAnsi="Times New Roman"/>
                <w:sz w:val="24"/>
              </w:rPr>
            </w:pPr>
            <w:r w:rsidRPr="00D83669">
              <w:rPr>
                <w:rFonts w:ascii="Times New Roman" w:hAnsi="Times New Roman"/>
                <w:sz w:val="24"/>
              </w:rPr>
              <w:t>12</w:t>
            </w:r>
            <w:r w:rsidR="00D66C93" w:rsidRPr="00D83669">
              <w:rPr>
                <w:rFonts w:ascii="Times New Roman" w:hAnsi="Times New Roman"/>
                <w:sz w:val="24"/>
              </w:rPr>
              <w:t xml:space="preserve"> </w:t>
            </w:r>
            <w:r w:rsidRPr="00D83669">
              <w:rPr>
                <w:rFonts w:ascii="Times New Roman" w:hAnsi="Times New Roman"/>
                <w:sz w:val="24"/>
              </w:rPr>
              <w:t>108</w:t>
            </w:r>
          </w:p>
        </w:tc>
      </w:tr>
      <w:tr w:rsidR="00D857FE" w:rsidRPr="00D83669" w14:paraId="7FC64010" w14:textId="77777777" w:rsidTr="001E1E01">
        <w:tc>
          <w:tcPr>
            <w:tcW w:w="2263" w:type="dxa"/>
            <w:shd w:val="clear" w:color="auto" w:fill="auto"/>
            <w:vAlign w:val="center"/>
          </w:tcPr>
          <w:p w14:paraId="79DAECB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7" w:type="dxa"/>
            <w:shd w:val="clear" w:color="auto" w:fill="auto"/>
            <w:vAlign w:val="center"/>
          </w:tcPr>
          <w:p w14:paraId="30EECD05" w14:textId="1722863E" w:rsidR="004C0FEF" w:rsidRPr="00D83669" w:rsidRDefault="00AC0C61" w:rsidP="004C0FEF">
            <w:pPr>
              <w:jc w:val="both"/>
              <w:rPr>
                <w:rFonts w:ascii="Times New Roman" w:hAnsi="Times New Roman"/>
                <w:sz w:val="24"/>
              </w:rPr>
            </w:pPr>
            <w:r w:rsidRPr="00D83669">
              <w:rPr>
                <w:rFonts w:ascii="Times New Roman" w:hAnsi="Times New Roman"/>
                <w:sz w:val="24"/>
              </w:rPr>
              <w:t xml:space="preserve">За операциите от стратегическо значение, предвидени в програмата, предположението на Управляващия орган, което е взето предвид при изчисляването на етапните цели е, че тези операции ще бъдат  договорени първоначално за период от 5 години със 75% от общия предвиден финансов ресурс, а останалите 25 % ще бъдат разпределени за операции след оценка на постигнатия напредък в тяхното изпълнение. </w:t>
            </w:r>
            <w:r w:rsidR="00644DE4" w:rsidRPr="00D83669">
              <w:rPr>
                <w:rFonts w:ascii="Times New Roman" w:hAnsi="Times New Roman"/>
                <w:sz w:val="24"/>
              </w:rPr>
              <w:t xml:space="preserve"> </w:t>
            </w:r>
            <w:r w:rsidR="004C0FEF" w:rsidRPr="00D83669">
              <w:rPr>
                <w:rFonts w:ascii="Times New Roman" w:hAnsi="Times New Roman"/>
                <w:sz w:val="24"/>
              </w:rPr>
              <w:t xml:space="preserve">Съответно етапната цел се определя, като се взема предвид определения финансовия ресурс за операциите, който се разделя на планирания брой години за изпълнението им и отчитането на стойности на индикаторите преди 2024 г. </w:t>
            </w:r>
          </w:p>
          <w:p w14:paraId="5EB924D1" w14:textId="74E3337D" w:rsidR="00D857FE" w:rsidRPr="00D83669" w:rsidRDefault="004C0FEF" w:rsidP="004C0FEF">
            <w:pPr>
              <w:jc w:val="both"/>
              <w:rPr>
                <w:rFonts w:ascii="Times New Roman" w:hAnsi="Times New Roman"/>
                <w:sz w:val="24"/>
              </w:rPr>
            </w:pPr>
            <w:r w:rsidRPr="00D83669">
              <w:rPr>
                <w:rFonts w:ascii="Times New Roman" w:hAnsi="Times New Roman"/>
                <w:sz w:val="24"/>
              </w:rPr>
              <w:t xml:space="preserve">Етапната цел представлява 15% от броя на учениците, които се планира да бъдат обхванати в занимания по интереси в рамките на операция ""Ефективно прилагане на компетентностния модел чрез въвеждане на училищни методически планове за действие за развитие на ключови компетентности"" (80 717 ученици). Определена е на база 75% финансов ресурс за 5-годишна продължителност на операцията, при планирано стартиране на реалното изпълнение на дейностите през втората половина на 2023 г. и отчитане стойности на индикатора през 2024 г., т.е. до края на 2024 г. физическото изпълнение на дейностите по проекта се очаква да обхваща около една година от общо петгодишния период на операцията (12108 = 80717*75%*1/5). Етапната цел е съобразена с планирания период на стартиране на операциите по приоритет 2, поради което при изчисленията не се вземат предвид броя на децата и учениците, които се планира да бъдат обхванати в операции "Дигитална трансформация на училищното образование в т.ч. професионалното образование и обучение" (202 839 ученици), "Подкрепа за създаване и прилагане на култура за иновации, иновативни детски градини и училища" (64 325 деца и ученици) и "Подкрепа за ученици с таланти" (19 711 ученици), тъй </w:t>
            </w:r>
            <w:r w:rsidRPr="00D83669">
              <w:rPr>
                <w:rFonts w:ascii="Times New Roman" w:hAnsi="Times New Roman"/>
                <w:sz w:val="24"/>
              </w:rPr>
              <w:lastRenderedPageBreak/>
              <w:t>като тези три операции са планирани да стартират физическото си изпълнение  през 2024 г. и през 2025 г, и няма да бъде възможно отчитане на стойности на индикатори  в края на 2024 г.</w:t>
            </w:r>
          </w:p>
        </w:tc>
      </w:tr>
      <w:tr w:rsidR="00D857FE" w:rsidRPr="00D83669" w14:paraId="02A09B0F" w14:textId="77777777" w:rsidTr="001E1E01">
        <w:tc>
          <w:tcPr>
            <w:tcW w:w="2263" w:type="dxa"/>
            <w:shd w:val="clear" w:color="auto" w:fill="auto"/>
            <w:vAlign w:val="center"/>
          </w:tcPr>
          <w:p w14:paraId="7394935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Базова стойност</w:t>
            </w:r>
          </w:p>
        </w:tc>
        <w:tc>
          <w:tcPr>
            <w:tcW w:w="7377" w:type="dxa"/>
            <w:shd w:val="clear" w:color="auto" w:fill="auto"/>
            <w:vAlign w:val="center"/>
          </w:tcPr>
          <w:p w14:paraId="25E5F97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07B398F4" w14:textId="77777777" w:rsidTr="001E1E01">
        <w:tc>
          <w:tcPr>
            <w:tcW w:w="2263" w:type="dxa"/>
            <w:shd w:val="clear" w:color="auto" w:fill="auto"/>
            <w:vAlign w:val="center"/>
          </w:tcPr>
          <w:p w14:paraId="66694AD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7069036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 по други демографски фактори. На етап отчитане ще бъдат представени данни за пол, възраст, образователна институция, район, област и община и друга демографска информация за участниците.</w:t>
            </w:r>
          </w:p>
        </w:tc>
      </w:tr>
      <w:tr w:rsidR="00D857FE" w:rsidRPr="00D83669" w14:paraId="79B9B6D0" w14:textId="77777777" w:rsidTr="001E1E01">
        <w:tc>
          <w:tcPr>
            <w:tcW w:w="2263" w:type="dxa"/>
            <w:shd w:val="clear" w:color="auto" w:fill="auto"/>
            <w:vAlign w:val="center"/>
          </w:tcPr>
          <w:p w14:paraId="0FFF6DB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5521756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за броя на учениците, вкл. от маргинализирани общности, които са подкрепени по програмата за надграждане на придобитата общообразователна подготовка в областта на дигиталните умения в съответния етап на образование, в областта на STEAM, за практическа работа на ученици в лабораторна среда за натрупване на знания и умения, свързани с природни науки, математика и информатика, добавена виртуална реалност и др., за пилотно въвеждане на интердисциплинарно обучение, за насърчаване на участието им в регионални олимпиади и състезания чрез участия в занимания по интереси (извънкласни дейности) и са получили сертификат за участие в такива дейности, е необходимо за съставяне на цялостна картина за броя на учениците, участващи в извънкласни дейности, които придобиват допълнителни знания и умения с оглед оценка на ефекта от такива дейности върху образователните резултати на учениците. Данните ще предоставят информация за териториалния обхват на учениците като участници в образователния процес, които придобиват, усъвършенстват и надграждат цифрови си умения – базови и за напреднали – посредством включването им в обучения, осъществявани чрез използване на иновативни методи на преподаване, в които се комбинират едновременно разнообразен набор от цифрови технологии, както и обучения по компютърно моделиране.</w:t>
            </w:r>
          </w:p>
          <w:p w14:paraId="7FA1BB6B" w14:textId="5388FD35" w:rsidR="00D857FE" w:rsidRPr="00D83669" w:rsidRDefault="00D857FE" w:rsidP="00CC7BCB">
            <w:pPr>
              <w:jc w:val="both"/>
              <w:rPr>
                <w:rFonts w:ascii="Times New Roman" w:hAnsi="Times New Roman"/>
                <w:sz w:val="24"/>
              </w:rPr>
            </w:pPr>
            <w:r w:rsidRPr="00D83669">
              <w:rPr>
                <w:rFonts w:ascii="Times New Roman" w:hAnsi="Times New Roman"/>
                <w:sz w:val="24"/>
              </w:rPr>
              <w:t>Данните за участието на ученици в занимания по интереси в областта на STEAM и в занимания по интереси за въвеждане на интердисциплинарно обучение, заедно с демографската разбивка, се събират, за да се използват при оценката на ефекта от въвеждането на интегрирана учебна среда от ново поколение. Фокусът върху учениците, чието участие е по-задълбочено, ще осигури оценката на кариерното им ориентиране. Въпреки че показателят не измерва тези фактори директно, събраните данни ще бъдат основополагащи за оценката на проектите.</w:t>
            </w:r>
          </w:p>
          <w:p w14:paraId="7A9FF14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за подкрепените ученици с таланти за участие в регионални олимпиади и състезания ще се събират, за да се проследи приноса на програмата върху осигуряването на допълнителни възможности за подготовка на талантливи ученици от всички етапи и степени на училищното образование за участие в регионални конкурси, олимпиади и състезания, с оглед проследяване, чрез периодични оценки, въздействието на подкрепата върху мотивацията им за </w:t>
            </w:r>
            <w:r w:rsidRPr="00D83669">
              <w:rPr>
                <w:rFonts w:ascii="Times New Roman" w:hAnsi="Times New Roman"/>
                <w:sz w:val="24"/>
              </w:rPr>
              <w:lastRenderedPageBreak/>
              <w:t>постигане на по-високи постижения в съответните области и възможността повече ученици да повишат образователните си резултати.</w:t>
            </w:r>
          </w:p>
          <w:p w14:paraId="64F72E5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данните за броя на децата от детските градини ще подпомогне процеса на проследяване на ефекта от въвеждането на иновативно учебно съдържание, иновативни методи на преподаване и обучение, иновативни модели за оценка на образователните резултати и включване на иновативна учебна среда в учебния процес в българските детски градини през текущия програмен период, с цел да се насърчават и подкрепят образователните иновации в детските градини и да се оцени доколко прилагането на иновативни подходи в детските градини се отразят положително върху образователните резултати на децата.</w:t>
            </w:r>
          </w:p>
        </w:tc>
      </w:tr>
      <w:tr w:rsidR="00D857FE" w:rsidRPr="00D83669" w14:paraId="47AE0F32" w14:textId="77777777" w:rsidTr="001E1E01">
        <w:tc>
          <w:tcPr>
            <w:tcW w:w="2263" w:type="dxa"/>
            <w:shd w:val="clear" w:color="auto" w:fill="auto"/>
            <w:vAlign w:val="center"/>
          </w:tcPr>
          <w:p w14:paraId="64A7496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7" w:type="dxa"/>
            <w:shd w:val="clear" w:color="auto" w:fill="auto"/>
            <w:vAlign w:val="center"/>
          </w:tcPr>
          <w:p w14:paraId="00B756A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1484DA0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пол, възраст, ниво на образование, други демографски данни; период на провеждане на заниманията по интереси/ допълнителните занимания и продължителност; тема/област на заниманията по интереси/ допълнителните занимания.</w:t>
            </w:r>
          </w:p>
        </w:tc>
      </w:tr>
      <w:tr w:rsidR="00D857FE" w:rsidRPr="00D83669" w14:paraId="37884FDC" w14:textId="77777777" w:rsidTr="001E1E01">
        <w:tc>
          <w:tcPr>
            <w:tcW w:w="2263" w:type="dxa"/>
            <w:shd w:val="clear" w:color="auto" w:fill="auto"/>
            <w:vAlign w:val="center"/>
          </w:tcPr>
          <w:p w14:paraId="7B89DAC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729ACBC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847A59E" w14:textId="77777777" w:rsidTr="001E1E01">
        <w:trPr>
          <w:trHeight w:val="1610"/>
        </w:trPr>
        <w:tc>
          <w:tcPr>
            <w:tcW w:w="2263" w:type="dxa"/>
            <w:shd w:val="clear" w:color="auto" w:fill="auto"/>
            <w:vAlign w:val="center"/>
          </w:tcPr>
          <w:p w14:paraId="036C782D" w14:textId="4966B2F8"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734B143C"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2254435A"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2.1. Подобрени образователни резултати на подкрепените деца и ученици;</w:t>
            </w:r>
          </w:p>
          <w:p w14:paraId="15A8896C"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7DACB0C6"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2.2 Дял на училищата, които изпълняват методически планове за действие с разширена група ключови компетентности 2 години след въвеждането им;</w:t>
            </w:r>
          </w:p>
          <w:p w14:paraId="65069323"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2.3 Брой потребители на разработените иновативни обучителни пакети.</w:t>
            </w:r>
          </w:p>
        </w:tc>
      </w:tr>
      <w:tr w:rsidR="00D857FE" w:rsidRPr="00D83669" w14:paraId="70B2D074" w14:textId="77777777" w:rsidTr="001E1E01">
        <w:trPr>
          <w:trHeight w:val="1774"/>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tcPr>
          <w:p w14:paraId="7FA97A8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7" w:type="dxa"/>
            <w:tcBorders>
              <w:top w:val="single" w:sz="4" w:space="0" w:color="auto"/>
              <w:left w:val="single" w:sz="4" w:space="0" w:color="auto"/>
              <w:bottom w:val="single" w:sz="4" w:space="0" w:color="auto"/>
              <w:right w:val="single" w:sz="4" w:space="0" w:color="auto"/>
            </w:tcBorders>
            <w:shd w:val="clear" w:color="auto" w:fill="auto"/>
            <w:vAlign w:val="center"/>
          </w:tcPr>
          <w:p w14:paraId="23CFA9D3" w14:textId="03ECB056"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на възраст под 18 г. – деца и ученици, включени в дейности по операции по СЦ по чл. 4, пар. 1, буква д) на Приоритет 2 на ПО 2021 – 2027 и е по-малка от броя на всички участници в дейности по Приоритет 2 на Програмата и по тази специфична цел.</w:t>
            </w:r>
          </w:p>
        </w:tc>
      </w:tr>
    </w:tbl>
    <w:p w14:paraId="16F3D2F3" w14:textId="77777777" w:rsidR="00D857FE" w:rsidRPr="00D83669" w:rsidRDefault="00D857FE" w:rsidP="00D857FE">
      <w:r w:rsidRPr="00D83669">
        <w:br w:type="page"/>
      </w:r>
    </w:p>
    <w:p w14:paraId="22F081D5" w14:textId="1FE931A8" w:rsidR="00D857FE" w:rsidRPr="00D83669" w:rsidRDefault="00D857FE" w:rsidP="00D857FE">
      <w:pPr>
        <w:pStyle w:val="Heading3"/>
        <w:ind w:left="567"/>
        <w:rPr>
          <w:rFonts w:ascii="Times New Roman" w:hAnsi="Times New Roman" w:cs="Times New Roman"/>
          <w:color w:val="000000" w:themeColor="text1"/>
        </w:rPr>
      </w:pPr>
      <w:bookmarkStart w:id="160" w:name="_Toc98778795"/>
      <w:bookmarkStart w:id="161" w:name="_Toc100153008"/>
      <w:bookmarkStart w:id="162" w:name="_Toc103586683"/>
      <w:r w:rsidRPr="00D83669">
        <w:rPr>
          <w:rFonts w:ascii="Times New Roman" w:hAnsi="Times New Roman" w:cs="Times New Roman"/>
        </w:rPr>
        <w:lastRenderedPageBreak/>
        <w:t>Показатели за резултатите</w:t>
      </w:r>
      <w:bookmarkEnd w:id="160"/>
      <w:bookmarkEnd w:id="161"/>
      <w:bookmarkEnd w:id="162"/>
      <w:r w:rsidRPr="00D83669">
        <w:rPr>
          <w:rFonts w:ascii="Times New Roman" w:hAnsi="Times New Roman" w:cs="Times New Roman"/>
          <w:color w:val="000000" w:themeColor="text1"/>
        </w:rPr>
        <w:t xml:space="preserve"> </w:t>
      </w:r>
    </w:p>
    <w:p w14:paraId="7FB17BC7" w14:textId="007CE1A4" w:rsidR="00D857FE" w:rsidRPr="00D83669" w:rsidRDefault="00D857FE" w:rsidP="00077E8D">
      <w:pPr>
        <w:pStyle w:val="Heading3"/>
        <w:rPr>
          <w:b/>
          <w:bCs/>
          <w:i/>
          <w:iCs/>
          <w:sz w:val="22"/>
          <w:szCs w:val="22"/>
        </w:rPr>
      </w:pPr>
      <w:bookmarkStart w:id="163" w:name="_Toc100153009"/>
      <w:bookmarkStart w:id="164" w:name="_Toc103586684"/>
      <w:r w:rsidRPr="00D83669">
        <w:rPr>
          <w:b/>
          <w:bCs/>
          <w:i/>
          <w:iCs/>
          <w:sz w:val="22"/>
          <w:szCs w:val="22"/>
        </w:rPr>
        <w:t>EECR03 участници, които при напускане на операцията получават квалификация</w:t>
      </w:r>
      <w:bookmarkEnd w:id="163"/>
      <w:bookmarkEnd w:id="164"/>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539F4E8B" w14:textId="77777777" w:rsidTr="00E3254A">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6E6725C" w14:textId="2A35775C"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1BE110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411D27D9" w14:textId="77777777" w:rsidTr="00E3254A">
        <w:tc>
          <w:tcPr>
            <w:tcW w:w="2269" w:type="dxa"/>
            <w:shd w:val="clear" w:color="auto" w:fill="auto"/>
            <w:vAlign w:val="center"/>
          </w:tcPr>
          <w:p w14:paraId="21951C04" w14:textId="6030CD0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7060800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787520F2" w14:textId="77777777" w:rsidTr="00E3254A">
        <w:tc>
          <w:tcPr>
            <w:tcW w:w="2269" w:type="dxa"/>
            <w:shd w:val="clear" w:color="auto" w:fill="auto"/>
            <w:vAlign w:val="center"/>
          </w:tcPr>
          <w:p w14:paraId="168E816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74082B61" w14:textId="4B365FC2"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резултат</w:t>
            </w:r>
          </w:p>
        </w:tc>
      </w:tr>
      <w:tr w:rsidR="00D857FE" w:rsidRPr="00D83669" w14:paraId="7DAC434A" w14:textId="77777777" w:rsidTr="00E3254A">
        <w:tc>
          <w:tcPr>
            <w:tcW w:w="2269" w:type="dxa"/>
            <w:shd w:val="clear" w:color="auto" w:fill="auto"/>
            <w:vAlign w:val="center"/>
          </w:tcPr>
          <w:p w14:paraId="407DD5B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367D3D7A"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0D4884FE" w14:textId="77777777" w:rsidTr="00E3254A">
        <w:tc>
          <w:tcPr>
            <w:tcW w:w="2269" w:type="dxa"/>
            <w:shd w:val="clear" w:color="auto" w:fill="auto"/>
            <w:vAlign w:val="center"/>
          </w:tcPr>
          <w:p w14:paraId="549E632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5B4E669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Ефективно прилагане на компетентностния модел чрез въвеждане на училищни методически планове за действие за развитие на ключови компетентности;</w:t>
            </w:r>
          </w:p>
          <w:p w14:paraId="69C3B5F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Дигитална трансформация на училищното образование в т.ч. професионалното образование и обучение;</w:t>
            </w:r>
          </w:p>
          <w:p w14:paraId="14293E5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създаване и прилагане на култура за иновации, иновативни детски градини и училища.</w:t>
            </w:r>
          </w:p>
        </w:tc>
      </w:tr>
      <w:tr w:rsidR="00D857FE" w:rsidRPr="00D83669" w14:paraId="6C0C2097" w14:textId="77777777" w:rsidTr="00E3254A">
        <w:tc>
          <w:tcPr>
            <w:tcW w:w="2269" w:type="dxa"/>
            <w:shd w:val="clear" w:color="auto" w:fill="auto"/>
            <w:vAlign w:val="center"/>
          </w:tcPr>
          <w:p w14:paraId="3222B66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371" w:type="dxa"/>
            <w:shd w:val="clear" w:color="auto" w:fill="auto"/>
            <w:vAlign w:val="center"/>
          </w:tcPr>
          <w:p w14:paraId="78BC54BF" w14:textId="000463A2"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педагогическите специалисти, които са завършили обучение с придобиване на поне един квалификационен кредит за прилагане на компетентностен подход и участват в разработване и прилагане на училищни методически планове за действие; и броя на учениците, които след положен изпит са придобили сертификат за постигнато равнище на знания и умения в областта на дигиталните умения/в областта на STEAM.</w:t>
            </w:r>
          </w:p>
        </w:tc>
      </w:tr>
      <w:tr w:rsidR="00D857FE" w:rsidRPr="00D83669" w14:paraId="4209A733" w14:textId="77777777" w:rsidTr="00E3254A">
        <w:tc>
          <w:tcPr>
            <w:tcW w:w="2269" w:type="dxa"/>
            <w:shd w:val="clear" w:color="auto" w:fill="auto"/>
            <w:vAlign w:val="center"/>
          </w:tcPr>
          <w:p w14:paraId="284B2EC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674E4DC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7B294616" w14:textId="77777777" w:rsidTr="00E3254A">
        <w:tc>
          <w:tcPr>
            <w:tcW w:w="2269" w:type="dxa"/>
            <w:shd w:val="clear" w:color="auto" w:fill="auto"/>
            <w:vAlign w:val="center"/>
          </w:tcPr>
          <w:p w14:paraId="0760315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10507F1D"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 xml:space="preserve">115 910 </w:t>
            </w:r>
          </w:p>
        </w:tc>
      </w:tr>
      <w:tr w:rsidR="00D857FE" w:rsidRPr="00D83669" w14:paraId="4604BCED" w14:textId="77777777" w:rsidTr="00E3254A">
        <w:tc>
          <w:tcPr>
            <w:tcW w:w="2269" w:type="dxa"/>
            <w:shd w:val="clear" w:color="auto" w:fill="auto"/>
            <w:vAlign w:val="center"/>
          </w:tcPr>
          <w:p w14:paraId="7972AFE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3FD413B4" w14:textId="436EDC46"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представлява кумулативен сбор от педагогически специалисти, обучени в рамките на група дейности Ефективно прилагане на компетентностния модел чрез въвеждане на училищни методически планове за действие за развитие на ключови компетентности (38 962), учениците, които са придобили на ниво на дигитални умения по Рамката за дигитални компетентности в рамките на група дейности Дигитална трансформация на училищното образование (60 852) и учениците, които са придобили ниво на умения в областта на STEAM в рамките на група дейности Подкрепа за създаване и прилагане на култура за иновации, иновативни детски градини и училища (16 096), определена на база експертна оценка.</w:t>
            </w:r>
          </w:p>
        </w:tc>
      </w:tr>
      <w:tr w:rsidR="00D857FE" w:rsidRPr="00D83669" w14:paraId="1F1F3E0E" w14:textId="77777777" w:rsidTr="00E3254A">
        <w:tc>
          <w:tcPr>
            <w:tcW w:w="2269" w:type="dxa"/>
            <w:shd w:val="clear" w:color="auto" w:fill="auto"/>
            <w:vAlign w:val="center"/>
          </w:tcPr>
          <w:p w14:paraId="3ED0B67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371" w:type="dxa"/>
            <w:shd w:val="clear" w:color="auto" w:fill="auto"/>
            <w:vAlign w:val="center"/>
          </w:tcPr>
          <w:p w14:paraId="67F43843" w14:textId="0F053988" w:rsidR="00D857FE" w:rsidRPr="00D83669" w:rsidRDefault="00D857FE" w:rsidP="00CC7BCB">
            <w:pPr>
              <w:jc w:val="both"/>
              <w:rPr>
                <w:rFonts w:ascii="Times New Roman" w:hAnsi="Times New Roman"/>
                <w:sz w:val="24"/>
                <w:lang w:val="en-US"/>
              </w:rPr>
            </w:pPr>
            <w:r w:rsidRPr="00D83669">
              <w:rPr>
                <w:rFonts w:ascii="Times New Roman" w:hAnsi="Times New Roman"/>
                <w:sz w:val="24"/>
                <w:lang w:val="en-US"/>
              </w:rPr>
              <w:t xml:space="preserve"> 87 116</w:t>
            </w:r>
          </w:p>
        </w:tc>
      </w:tr>
      <w:tr w:rsidR="00D857FE" w:rsidRPr="00D83669" w14:paraId="3A86DE4D" w14:textId="77777777" w:rsidTr="00E3254A">
        <w:tc>
          <w:tcPr>
            <w:tcW w:w="2269" w:type="dxa"/>
            <w:shd w:val="clear" w:color="auto" w:fill="auto"/>
            <w:vAlign w:val="center"/>
          </w:tcPr>
          <w:p w14:paraId="0C9C5F2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Методология за определяне на </w:t>
            </w:r>
            <w:r w:rsidRPr="00D83669">
              <w:rPr>
                <w:rFonts w:ascii="Times New Roman" w:hAnsi="Times New Roman"/>
                <w:b/>
                <w:bCs/>
                <w:sz w:val="24"/>
              </w:rPr>
              <w:lastRenderedPageBreak/>
              <w:t xml:space="preserve">референтната стойност </w:t>
            </w:r>
          </w:p>
        </w:tc>
        <w:tc>
          <w:tcPr>
            <w:tcW w:w="7371" w:type="dxa"/>
            <w:shd w:val="clear" w:color="auto" w:fill="auto"/>
            <w:vAlign w:val="center"/>
          </w:tcPr>
          <w:p w14:paraId="65FB1A41" w14:textId="567CDE69" w:rsidR="00D857FE" w:rsidRPr="00D83669" w:rsidRDefault="00D857FE" w:rsidP="00CC7BCB">
            <w:pPr>
              <w:jc w:val="both"/>
              <w:rPr>
                <w:rFonts w:ascii="Times New Roman" w:hAnsi="Times New Roman"/>
                <w:sz w:val="24"/>
              </w:rPr>
            </w:pPr>
            <w:r w:rsidRPr="00D83669">
              <w:rPr>
                <w:rFonts w:ascii="Times New Roman" w:hAnsi="Times New Roman"/>
                <w:sz w:val="24"/>
              </w:rPr>
              <w:lastRenderedPageBreak/>
              <w:t>Данните са към 202</w:t>
            </w:r>
            <w:r w:rsidR="00F37804" w:rsidRPr="00D83669">
              <w:rPr>
                <w:rFonts w:ascii="Times New Roman" w:hAnsi="Times New Roman"/>
                <w:sz w:val="24"/>
              </w:rPr>
              <w:t>2</w:t>
            </w:r>
            <w:r w:rsidRPr="00D83669">
              <w:rPr>
                <w:rFonts w:ascii="Times New Roman" w:hAnsi="Times New Roman"/>
                <w:sz w:val="24"/>
              </w:rPr>
              <w:t xml:space="preserve"> г. и отразяват:</w:t>
            </w:r>
          </w:p>
          <w:p w14:paraId="6D2B2D91" w14:textId="66D59175" w:rsidR="00D857FE" w:rsidRPr="00D83669" w:rsidRDefault="00D857FE" w:rsidP="00CC7BCB">
            <w:pPr>
              <w:jc w:val="both"/>
              <w:rPr>
                <w:rFonts w:ascii="Times New Roman" w:hAnsi="Times New Roman"/>
                <w:sz w:val="24"/>
              </w:rPr>
            </w:pPr>
            <w:r w:rsidRPr="00D83669">
              <w:rPr>
                <w:rFonts w:ascii="Times New Roman" w:hAnsi="Times New Roman"/>
                <w:sz w:val="24"/>
              </w:rPr>
              <w:lastRenderedPageBreak/>
              <w:t>- верифициран брой педагогически специалисти, завършили обучения и придобили квалификационни кредити за подобряване на уменията им за преподаване и оценяване по процедура „Квалификация на педагогическите специалисти“, финансиран по ОПНОИР (проектът е в процес на изпълнение)</w:t>
            </w:r>
            <w:r w:rsidR="00F37804" w:rsidRPr="00D83669">
              <w:rPr>
                <w:rFonts w:ascii="Times New Roman" w:hAnsi="Times New Roman"/>
                <w:sz w:val="24"/>
              </w:rPr>
              <w:t>,</w:t>
            </w:r>
            <w:r w:rsidR="00F37804" w:rsidRPr="00D83669">
              <w:t xml:space="preserve"> </w:t>
            </w:r>
            <w:r w:rsidR="00F37804" w:rsidRPr="00D83669">
              <w:rPr>
                <w:rFonts w:ascii="Times New Roman" w:hAnsi="Times New Roman"/>
                <w:sz w:val="24"/>
              </w:rPr>
              <w:t xml:space="preserve">като е отчетен и планирания резултат по процедурата, съответно 95% от ПС до 34 г. и 80% от ПС на възраст между 35 и 54 г. да останат в образователната система, т.е. 8 534*95% + 34 990*80% = </w:t>
            </w:r>
            <w:r w:rsidR="00F37804" w:rsidRPr="00D83669">
              <w:rPr>
                <w:rFonts w:ascii="Times New Roman" w:hAnsi="Times New Roman"/>
                <w:b/>
                <w:bCs/>
                <w:sz w:val="24"/>
              </w:rPr>
              <w:t>36 099</w:t>
            </w:r>
            <w:r w:rsidRPr="00D83669">
              <w:rPr>
                <w:rFonts w:ascii="Times New Roman" w:hAnsi="Times New Roman"/>
                <w:sz w:val="24"/>
              </w:rPr>
              <w:t xml:space="preserve">; </w:t>
            </w:r>
          </w:p>
          <w:p w14:paraId="2C7FFA7B" w14:textId="2A3A2F5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верифициран брой ученици, успешно завършили обучение за допълнителни занимания по ключови дигитални умения – базови и за напреднали и за компютърно моделиране/кодиране, с издаден сертификат, по процедура „Образование за утрешния ден“ по ОПНОИР – </w:t>
            </w:r>
            <w:r w:rsidR="00F37804" w:rsidRPr="00D83669">
              <w:rPr>
                <w:rFonts w:ascii="Times New Roman" w:hAnsi="Times New Roman"/>
                <w:sz w:val="24"/>
              </w:rPr>
              <w:t>49 157</w:t>
            </w:r>
            <w:r w:rsidRPr="00D83669">
              <w:rPr>
                <w:rFonts w:ascii="Times New Roman" w:hAnsi="Times New Roman"/>
                <w:sz w:val="24"/>
              </w:rPr>
              <w:t>;</w:t>
            </w:r>
          </w:p>
          <w:p w14:paraId="07B20C9A" w14:textId="2060648E" w:rsidR="00D857FE" w:rsidRPr="00D83669" w:rsidRDefault="00D857FE" w:rsidP="00CC7BCB">
            <w:pPr>
              <w:jc w:val="both"/>
              <w:rPr>
                <w:rFonts w:ascii="Times New Roman" w:hAnsi="Times New Roman"/>
                <w:sz w:val="24"/>
              </w:rPr>
            </w:pPr>
            <w:r w:rsidRPr="00D83669">
              <w:rPr>
                <w:rFonts w:ascii="Times New Roman" w:hAnsi="Times New Roman"/>
                <w:sz w:val="24"/>
              </w:rPr>
              <w:t>- броя на учениците, които са положили изпит за придобити умения по специалности в сферата на ИТ в рамките на Национална програма „Обучение за ИТ кариера“ (</w:t>
            </w:r>
            <w:r w:rsidR="001F77B5" w:rsidRPr="00D83669">
              <w:rPr>
                <w:rFonts w:ascii="Times New Roman" w:hAnsi="Times New Roman"/>
                <w:sz w:val="24"/>
              </w:rPr>
              <w:t>1 860</w:t>
            </w:r>
            <w:r w:rsidRPr="00D83669">
              <w:rPr>
                <w:rFonts w:ascii="Times New Roman" w:hAnsi="Times New Roman"/>
                <w:sz w:val="24"/>
              </w:rPr>
              <w:t xml:space="preserve"> ученици)</w:t>
            </w:r>
            <w:r w:rsidR="001F77B5" w:rsidRPr="00D83669">
              <w:rPr>
                <w:rFonts w:ascii="Times New Roman" w:hAnsi="Times New Roman"/>
                <w:sz w:val="24"/>
              </w:rPr>
              <w:t>.</w:t>
            </w:r>
          </w:p>
          <w:p w14:paraId="549A3242" w14:textId="4B3B2B02" w:rsidR="00D857FE" w:rsidRPr="00D83669" w:rsidRDefault="00D857FE" w:rsidP="00CC7BCB">
            <w:pPr>
              <w:jc w:val="both"/>
              <w:rPr>
                <w:rFonts w:ascii="Times New Roman" w:hAnsi="Times New Roman"/>
                <w:sz w:val="24"/>
              </w:rPr>
            </w:pPr>
            <w:r w:rsidRPr="00D83669">
              <w:rPr>
                <w:rFonts w:ascii="Times New Roman" w:hAnsi="Times New Roman"/>
                <w:sz w:val="24"/>
              </w:rPr>
              <w:t>Референтната стойност се определя на</w:t>
            </w:r>
            <w:r w:rsidR="001F77B5" w:rsidRPr="00D83669">
              <w:rPr>
                <w:rFonts w:ascii="Times New Roman" w:hAnsi="Times New Roman"/>
                <w:sz w:val="24"/>
              </w:rPr>
              <w:t xml:space="preserve"> 87 116 (36 099+49 157+1 860=87 116).</w:t>
            </w:r>
            <w:r w:rsidRPr="00D83669">
              <w:rPr>
                <w:rFonts w:ascii="Times New Roman" w:hAnsi="Times New Roman"/>
                <w:sz w:val="24"/>
              </w:rPr>
              <w:t xml:space="preserve"> </w:t>
            </w:r>
          </w:p>
        </w:tc>
      </w:tr>
      <w:tr w:rsidR="00D857FE" w:rsidRPr="00D83669" w14:paraId="1A5240EF" w14:textId="77777777" w:rsidTr="00E3254A">
        <w:tc>
          <w:tcPr>
            <w:tcW w:w="2269" w:type="dxa"/>
            <w:shd w:val="clear" w:color="auto" w:fill="auto"/>
            <w:vAlign w:val="center"/>
          </w:tcPr>
          <w:p w14:paraId="630AFF0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Разбивка </w:t>
            </w:r>
          </w:p>
        </w:tc>
        <w:tc>
          <w:tcPr>
            <w:tcW w:w="7371" w:type="dxa"/>
            <w:shd w:val="clear" w:color="auto" w:fill="auto"/>
            <w:vAlign w:val="center"/>
          </w:tcPr>
          <w:p w14:paraId="37E654D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и друга демографска информация за участниците.</w:t>
            </w:r>
          </w:p>
        </w:tc>
      </w:tr>
      <w:tr w:rsidR="00D857FE" w:rsidRPr="00D83669" w14:paraId="6BA3280A" w14:textId="77777777" w:rsidTr="00E3254A">
        <w:tc>
          <w:tcPr>
            <w:tcW w:w="2269" w:type="dxa"/>
            <w:shd w:val="clear" w:color="auto" w:fill="auto"/>
            <w:vAlign w:val="center"/>
          </w:tcPr>
          <w:p w14:paraId="6091CF7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54D0DC6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е необходимо, за да се гарантира устойчивостта на операциите. Данните ще бъдат допълвани от периодични оценки, за да се подпомогне определянето на ефекта от квалификацията на педагогическите специалисти върху учениците в класната стая и ефекта от квалификацията на учениците върху нивото на образователните им резултати.</w:t>
            </w:r>
          </w:p>
        </w:tc>
      </w:tr>
      <w:tr w:rsidR="00D857FE" w:rsidRPr="00D83669" w14:paraId="5EAB6A5B" w14:textId="77777777" w:rsidTr="00E3254A">
        <w:tc>
          <w:tcPr>
            <w:tcW w:w="2269" w:type="dxa"/>
            <w:shd w:val="clear" w:color="auto" w:fill="auto"/>
            <w:vAlign w:val="center"/>
          </w:tcPr>
          <w:p w14:paraId="6D43E75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610DE69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Измерено, чрез социологическо проучване на база разработен по проекта и утвърден от МОН въпросник за педагогическите специалисти, учениците и родителите.</w:t>
            </w:r>
          </w:p>
          <w:p w14:paraId="6D550D4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Необходимостта от събиране на данни за броя на учениците, които са получили квалификация, е с оглед на измерване на постиженията на учениците в придобиването на специфична дигитална квалификация, измерване на ефекта от обученията на учениците и за да мотивира други ученици за включване в занимания по интереси за надграждане на придобитата общообразователна подготовка в областта на дигиталните умения в съответния етап на образование и постигане на по-високи равнища на дигитални умения по Рамката за дигитални компетентности.</w:t>
            </w:r>
          </w:p>
          <w:p w14:paraId="72EBE48A" w14:textId="28834655"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за участието на ученици в занимания по интереси в областта на STEAM, заедно с демографската разбивка се събират, за да могат да се използват при оценката на ефекта от тази операция, а именно въвеждането на интегрирана учебна среда от ново поколение. Фокусът върху учениците, чието участие е по-задълбочено, ще осигури оценката на кариерното ориентиране. Въпреки че показателят </w:t>
            </w:r>
            <w:r w:rsidRPr="00D83669">
              <w:rPr>
                <w:rFonts w:ascii="Times New Roman" w:hAnsi="Times New Roman"/>
                <w:sz w:val="24"/>
              </w:rPr>
              <w:lastRenderedPageBreak/>
              <w:t>не измерва тези фактори директно, събраните данни са основополагащи за периодичните оценки на проектите.</w:t>
            </w:r>
          </w:p>
        </w:tc>
      </w:tr>
      <w:tr w:rsidR="00D857FE" w:rsidRPr="00D83669" w14:paraId="711E206F" w14:textId="77777777" w:rsidTr="00E3254A">
        <w:tc>
          <w:tcPr>
            <w:tcW w:w="2269" w:type="dxa"/>
            <w:shd w:val="clear" w:color="auto" w:fill="auto"/>
            <w:vAlign w:val="center"/>
          </w:tcPr>
          <w:p w14:paraId="711C185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371" w:type="dxa"/>
            <w:shd w:val="clear" w:color="auto" w:fill="auto"/>
            <w:vAlign w:val="center"/>
          </w:tcPr>
          <w:p w14:paraId="5DDFE34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67D6542" w14:textId="77777777" w:rsidTr="00E3254A">
        <w:tc>
          <w:tcPr>
            <w:tcW w:w="2269" w:type="dxa"/>
            <w:shd w:val="clear" w:color="auto" w:fill="auto"/>
            <w:vAlign w:val="center"/>
          </w:tcPr>
          <w:p w14:paraId="2BCF2AC7" w14:textId="4F2DF223"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45A8CFDC"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SOI 2.4 Участници, придобили умения за преподаване в STEM среда;</w:t>
            </w:r>
          </w:p>
          <w:p w14:paraId="783B1445"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SOI 2.7 Брой подкрепени деца и ученици;</w:t>
            </w:r>
          </w:p>
          <w:p w14:paraId="0D8583BF"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561BE06C"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2.1. Подобрени образователни резултати на подкрепените деца и ученици.</w:t>
            </w:r>
          </w:p>
        </w:tc>
      </w:tr>
      <w:tr w:rsidR="00D857FE" w:rsidRPr="00D83669" w14:paraId="472C26A1" w14:textId="77777777" w:rsidTr="00E3254A">
        <w:tc>
          <w:tcPr>
            <w:tcW w:w="2269" w:type="dxa"/>
            <w:shd w:val="clear" w:color="auto" w:fill="auto"/>
            <w:vAlign w:val="center"/>
          </w:tcPr>
          <w:p w14:paraId="13A2362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shd w:val="clear" w:color="auto" w:fill="auto"/>
            <w:vAlign w:val="center"/>
          </w:tcPr>
          <w:p w14:paraId="5104FB5E" w14:textId="43838475"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които са получили квалификация – педагогически специалисти и ученици, родители и образователни медиатори, включени в дейности по операции по СЦ по чл. 4, пар. 1, буква д) на Приоритет 2 на ПО 2021 – 2027 и е по-малка от броя на всички участници в дейности по Приоритет 2 на Програмата и по тази специфична цел.</w:t>
            </w:r>
          </w:p>
        </w:tc>
      </w:tr>
    </w:tbl>
    <w:p w14:paraId="03D2D465" w14:textId="77777777" w:rsidR="00D857FE" w:rsidRPr="00D83669" w:rsidRDefault="00D857FE" w:rsidP="00D857FE"/>
    <w:p w14:paraId="4A2ADB5E" w14:textId="77777777" w:rsidR="00D857FE" w:rsidRPr="00D83669" w:rsidRDefault="00D857FE" w:rsidP="00D857FE">
      <w:r w:rsidRPr="00D83669">
        <w:br w:type="page"/>
      </w:r>
    </w:p>
    <w:p w14:paraId="692E7339" w14:textId="366F7896" w:rsidR="00D857FE" w:rsidRPr="00D83669" w:rsidRDefault="00D857FE" w:rsidP="002B495C">
      <w:pPr>
        <w:pStyle w:val="Heading3"/>
        <w:rPr>
          <w:b/>
          <w:bCs/>
          <w:i/>
          <w:iCs/>
          <w:sz w:val="22"/>
          <w:szCs w:val="22"/>
        </w:rPr>
      </w:pPr>
      <w:bookmarkStart w:id="165" w:name="_Toc100153010"/>
      <w:bookmarkStart w:id="166" w:name="_Toc103586685"/>
      <w:r w:rsidRPr="00D83669">
        <w:rPr>
          <w:b/>
          <w:bCs/>
          <w:i/>
          <w:iCs/>
          <w:sz w:val="22"/>
          <w:szCs w:val="22"/>
        </w:rPr>
        <w:lastRenderedPageBreak/>
        <w:t>SRI 2.1. Подобрени образователни резултати на подкрепените деца и ученици</w:t>
      </w:r>
      <w:bookmarkEnd w:id="165"/>
      <w:bookmarkEnd w:id="166"/>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77"/>
      </w:tblGrid>
      <w:tr w:rsidR="00D857FE" w:rsidRPr="00D83669" w14:paraId="38052EB5" w14:textId="77777777" w:rsidTr="00296869">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60735E3" w14:textId="277D60E9"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DAB19AF" w14:textId="77777777" w:rsidR="00D857FE" w:rsidRPr="00D83669" w:rsidRDefault="00D857FE" w:rsidP="00296869">
            <w:pPr>
              <w:ind w:left="-103"/>
              <w:jc w:val="both"/>
              <w:rPr>
                <w:rFonts w:ascii="Times New Roman" w:hAnsi="Times New Roman"/>
                <w:sz w:val="24"/>
              </w:rPr>
            </w:pPr>
            <w:r w:rsidRPr="00D83669">
              <w:rPr>
                <w:rFonts w:ascii="Times New Roman" w:hAnsi="Times New Roman"/>
                <w:sz w:val="24"/>
              </w:rPr>
              <w:t xml:space="preserve">Да. </w:t>
            </w:r>
          </w:p>
        </w:tc>
      </w:tr>
      <w:tr w:rsidR="00D857FE" w:rsidRPr="00D83669" w14:paraId="524226B4" w14:textId="77777777" w:rsidTr="00296869">
        <w:tc>
          <w:tcPr>
            <w:tcW w:w="2263" w:type="dxa"/>
            <w:shd w:val="clear" w:color="auto" w:fill="auto"/>
            <w:vAlign w:val="center"/>
          </w:tcPr>
          <w:p w14:paraId="39DDB151" w14:textId="0FFB8D69"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08E848EB"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2.1. Подобрени образователни резултати на подкрепените деца и ученици</w:t>
            </w:r>
          </w:p>
        </w:tc>
      </w:tr>
      <w:tr w:rsidR="00D857FE" w:rsidRPr="00D83669" w14:paraId="2F0B2793" w14:textId="77777777" w:rsidTr="00296869">
        <w:tc>
          <w:tcPr>
            <w:tcW w:w="2263" w:type="dxa"/>
            <w:shd w:val="clear" w:color="auto" w:fill="auto"/>
            <w:vAlign w:val="center"/>
          </w:tcPr>
          <w:p w14:paraId="4ED39E3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276A2B48" w14:textId="406CA28D"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02CF185F" w14:textId="77777777" w:rsidTr="00296869">
        <w:tc>
          <w:tcPr>
            <w:tcW w:w="2263" w:type="dxa"/>
            <w:shd w:val="clear" w:color="auto" w:fill="auto"/>
            <w:vAlign w:val="center"/>
          </w:tcPr>
          <w:p w14:paraId="59F9F1A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64B8061B"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4A6FFF17" w14:textId="77777777" w:rsidTr="00296869">
        <w:tc>
          <w:tcPr>
            <w:tcW w:w="2263" w:type="dxa"/>
            <w:shd w:val="clear" w:color="auto" w:fill="auto"/>
            <w:vAlign w:val="center"/>
          </w:tcPr>
          <w:p w14:paraId="5DE6B0D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761A975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Ефективно прилагане на компетентностния модел чрез въвеждане на училищни методически планове за действие за развитие на ключови компетентности;</w:t>
            </w:r>
          </w:p>
          <w:p w14:paraId="752C219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Дигитална трансформация на училищното образование в т.ч. професионалното образование и обучение;</w:t>
            </w:r>
          </w:p>
          <w:p w14:paraId="39129BE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създаване и прилагане на култура за иновации, иновативни детски градини и училища;</w:t>
            </w:r>
          </w:p>
          <w:p w14:paraId="19F4410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ученици с таланти.</w:t>
            </w:r>
          </w:p>
        </w:tc>
      </w:tr>
      <w:tr w:rsidR="00D857FE" w:rsidRPr="00D83669" w14:paraId="1E6D3940" w14:textId="77777777" w:rsidTr="00296869">
        <w:tc>
          <w:tcPr>
            <w:tcW w:w="2263" w:type="dxa"/>
            <w:shd w:val="clear" w:color="auto" w:fill="auto"/>
            <w:vAlign w:val="center"/>
          </w:tcPr>
          <w:p w14:paraId="4599E2C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377" w:type="dxa"/>
            <w:shd w:val="clear" w:color="auto" w:fill="auto"/>
            <w:vAlign w:val="center"/>
          </w:tcPr>
          <w:p w14:paraId="3B9CF84E" w14:textId="22A4D7E9"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промяната в образователните резултати на децата и учениците за всяка учебна година вследствие на участието им в група дейности: </w:t>
            </w:r>
          </w:p>
          <w:p w14:paraId="0FEE9B4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Ефективно прилагане на компетентностния модел чрез въвеждане на училищни методически планове за действие за развитие на ключови компетентности;</w:t>
            </w:r>
          </w:p>
          <w:p w14:paraId="4FC7F5E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Дигитална трансформация на училищното образование в т.ч. професионалното образование и обучение;</w:t>
            </w:r>
          </w:p>
          <w:p w14:paraId="45320D4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създаване и прилагане на култура за иновации, иновативни детски градини и училища;</w:t>
            </w:r>
          </w:p>
          <w:p w14:paraId="2C33BBD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Подкрепа за ученици с таланти, </w:t>
            </w:r>
          </w:p>
          <w:p w14:paraId="57B96A7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съгласно държавните образователни стандартни (ДОС) за оценяване на резултатите от обучението на децата и учениците в предучилищното и училищното образование.</w:t>
            </w:r>
          </w:p>
          <w:p w14:paraId="7F371945" w14:textId="28FBD392"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показва средното изменение, съгласно ДОС, от входното и изходното ниво за всяка учебна година участие на децата от детски градини, вкл. от маргинализирани общности като ромите, в допълнителни занимания</w:t>
            </w:r>
            <w:r w:rsidRPr="00D83669">
              <w:rPr>
                <w:rFonts w:ascii="Times New Roman" w:hAnsi="Times New Roman"/>
                <w:color w:val="000000"/>
                <w:sz w:val="24"/>
                <w:lang w:eastAsia="bg-BG" w:bidi="bg-BG"/>
              </w:rPr>
              <w:t xml:space="preserve"> за разумното и устойчиво ползване на енергията</w:t>
            </w:r>
            <w:r w:rsidRPr="00D83669">
              <w:rPr>
                <w:rFonts w:ascii="Times New Roman" w:hAnsi="Times New Roman"/>
                <w:sz w:val="24"/>
              </w:rPr>
              <w:t xml:space="preserve">, за прилагане на иновативно учебно съдържание, иновативни методи на преподаване и учене, иновативни модели за оценка на образователните резултати, въвличане на иновативна учебна среда в учебния процес. Средното изменение на </w:t>
            </w:r>
            <w:r w:rsidRPr="00D83669">
              <w:rPr>
                <w:rFonts w:ascii="Times New Roman" w:hAnsi="Times New Roman"/>
                <w:sz w:val="24"/>
              </w:rPr>
              <w:lastRenderedPageBreak/>
              <w:t xml:space="preserve">образователните резултати, изразено в проценти, е общо от всички образователни направления, като се отразява в детското портфолио. </w:t>
            </w:r>
          </w:p>
          <w:p w14:paraId="7FD1606D" w14:textId="5FF05E48"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Показателят показва промяна в средната годишна оценка и/или средния годишен успех, изразена в проценти, на учениците, вкл. от маргинализирани общности като ромите, участници в занимания по интереси в областта на дигиталните умения, в областта на STEAM и прехода към зелената икономика, за практическа работа на ученици в лабораторна среда за натрупване на знания и умения, свързани с природни науки, математика и информатика, добавена виртуална реалност и др., за насърчаване на участието им в регионални олимпиади и състезания, които са подобрили образователните си резултати в края на всяка учебна година от периода на изпълнението на дейностите, спрямо нивото на образователните им резултати преди стартирането на дейностите по операциите.</w:t>
            </w:r>
          </w:p>
        </w:tc>
      </w:tr>
      <w:tr w:rsidR="00D857FE" w:rsidRPr="00D83669" w14:paraId="3A4B43D3" w14:textId="77777777" w:rsidTr="00296869">
        <w:tc>
          <w:tcPr>
            <w:tcW w:w="2263" w:type="dxa"/>
            <w:shd w:val="clear" w:color="auto" w:fill="auto"/>
            <w:vAlign w:val="center"/>
          </w:tcPr>
          <w:p w14:paraId="5F3A054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377" w:type="dxa"/>
            <w:shd w:val="clear" w:color="auto" w:fill="auto"/>
            <w:vAlign w:val="center"/>
          </w:tcPr>
          <w:p w14:paraId="4FE90AA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Процент</w:t>
            </w:r>
          </w:p>
        </w:tc>
      </w:tr>
      <w:tr w:rsidR="00D857FE" w:rsidRPr="00D83669" w14:paraId="15D5A35B" w14:textId="77777777" w:rsidTr="00296869">
        <w:tc>
          <w:tcPr>
            <w:tcW w:w="2263" w:type="dxa"/>
            <w:shd w:val="clear" w:color="auto" w:fill="auto"/>
            <w:vAlign w:val="center"/>
          </w:tcPr>
          <w:p w14:paraId="7475B93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63502CDA"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 xml:space="preserve">10% </w:t>
            </w:r>
          </w:p>
        </w:tc>
      </w:tr>
      <w:tr w:rsidR="00D857FE" w:rsidRPr="00D83669" w14:paraId="568FB594" w14:textId="77777777" w:rsidTr="00296869">
        <w:tc>
          <w:tcPr>
            <w:tcW w:w="2263" w:type="dxa"/>
            <w:shd w:val="clear" w:color="auto" w:fill="auto"/>
            <w:vAlign w:val="center"/>
          </w:tcPr>
          <w:p w14:paraId="3FE88CB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576AF3D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Съгласно Наредба № 11 от 01.09.2016 г. за оценяване на резултатите от обучението на учениците (ДОС) напредъкът на учениците в училищното образование се определя чрез качествени и количествени показатели, отразени в ученическата книжка, личния картон/ личното дело на ученика. За нуждите на измерване на промяната в образователните резултати, като следствие от участието в дейности по тази специфична цел се прави разделение, а именно: качествен измерител: отличен – 100%, много добър – 85%, добър – 70%, среден – 55% и слаб – 40% съгласно разпоредбите на Наредба № 11/2016 г. – минимални изисквания на ДОС за оценяване на резултатите, което се прилага за ученици от 1 – 3 клас. За учениците от 4 клас до гимназиална степен включително се прилага количествено измерване на придобития напредък в образователните умения като всяка промяна в оценката на ученика се сравнява с началната стойност, където 0,05 единици от количествената оценка се равняват на 1% повишение, а качествените измерители са същите като по-горе. За ученици със СОП се използва следната скала: постига изискванията – 100%; справя се – 70%; среща затруднения – 40%. Проследяват се и отразените в ученическата книжка, личния картон/личното дело на ученика за брой отсъствия и причините за тях, санкции, ако има такива, награди и поощрения.</w:t>
            </w:r>
          </w:p>
          <w:p w14:paraId="3D1A45A5" w14:textId="235DCC9F" w:rsidR="00D857FE" w:rsidRPr="00D83669" w:rsidRDefault="00D857FE" w:rsidP="00CC7BCB">
            <w:pPr>
              <w:jc w:val="both"/>
              <w:rPr>
                <w:rFonts w:ascii="Times New Roman" w:hAnsi="Times New Roman"/>
                <w:sz w:val="24"/>
              </w:rPr>
            </w:pPr>
            <w:r w:rsidRPr="00D83669">
              <w:rPr>
                <w:rFonts w:ascii="Times New Roman" w:hAnsi="Times New Roman"/>
                <w:sz w:val="24"/>
              </w:rPr>
              <w:t xml:space="preserve">В резултат от участието в дейности по „Ефективно прилагане на компетентностния модел чрез въвеждане на училищни методически планове за действие за развитие на ключови компетентности“; „ Дигитална трансформация на училищното образование в т.ч. професионалното образование и обучение“, „Подкрепа за създаване и прилагане на култура за иновации, иновативни детски градини и училища“ и „Подкрепа за ученици с таланти“ тези ученици ще са показали подобрение на образователните си резултати средно с 10% в рамките на всяка учебна година (например средният успех от 3,00 се </w:t>
            </w:r>
            <w:r w:rsidRPr="00D83669">
              <w:rPr>
                <w:rFonts w:ascii="Times New Roman" w:hAnsi="Times New Roman"/>
                <w:sz w:val="24"/>
              </w:rPr>
              <w:lastRenderedPageBreak/>
              <w:t>повишил до 3,50). Определянето на целевата стойност на показателя за ученици от целевите групи се базира на опита на ОПНОИР по проект „Подкрепа за успех“, където според анализ на постигнатото за учебната 2019/2020 г. 65 930 ученици са подобрили образователните си резултати с 1 единица (което е 20%) по учебни предмети, по които са участвали в допълнителни обучения, резултатите от ДЗИ и НВО и от началния етап подобрението на общ среден образователен резултат се определя на 10% или 0,50 по количествената оценка за 1 учебна година.</w:t>
            </w:r>
          </w:p>
          <w:p w14:paraId="33EE950C" w14:textId="607FA8C8" w:rsidR="00D857FE" w:rsidRPr="00D83669" w:rsidRDefault="00D857FE" w:rsidP="00CC7BCB">
            <w:pPr>
              <w:jc w:val="both"/>
              <w:rPr>
                <w:rFonts w:ascii="Times New Roman" w:hAnsi="Times New Roman"/>
                <w:sz w:val="24"/>
              </w:rPr>
            </w:pPr>
            <w:r w:rsidRPr="00D83669">
              <w:rPr>
                <w:rFonts w:ascii="Times New Roman" w:hAnsi="Times New Roman"/>
                <w:sz w:val="24"/>
              </w:rPr>
              <w:t xml:space="preserve">За децата в предучилищното образование няма предвидени количествени и качествени оценки и проследяването на показателя ще се основава на информацията в детското портфолио в началото и в края на всяка учебна година. За нуждите на измерване на промяната на образователните резултати за децата в предучилищно образование, като следствие от участието им в трите групи дейности по тази специфична цел се прави разделение на четири качествени степени на постигане на образователните резултати от съответния ДОС: </w:t>
            </w:r>
          </w:p>
          <w:p w14:paraId="62D8B97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Постига очакваните резултати – 100%;</w:t>
            </w:r>
          </w:p>
          <w:p w14:paraId="2F50B8D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В голяма степен постига очакваните резултати – 80%;</w:t>
            </w:r>
          </w:p>
          <w:p w14:paraId="46D0E8E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Частично постига очакваните резултати – 65%;</w:t>
            </w:r>
          </w:p>
          <w:p w14:paraId="5784A27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Не постига очакваните резултати – 50%.</w:t>
            </w:r>
          </w:p>
          <w:p w14:paraId="165A7FD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За деца със СОП:</w:t>
            </w:r>
          </w:p>
          <w:p w14:paraId="28E5FF5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Постига изискванията – 100%;</w:t>
            </w:r>
          </w:p>
          <w:p w14:paraId="1A818FF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Справя се – 70%;</w:t>
            </w:r>
          </w:p>
          <w:p w14:paraId="777CA4A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Среща затруднения – 40%. В резултат от оказаната подкрепа по тази специфична цел тези деца ще са показали подобрение средно с 10% на образователните резултати за всяка учебна година участие в дейности по тази специфична цел. Например дете в детската градина с входно ниво от 65% за една учебна година след участие в цитираните дейности постига 75%. За дете със СОП например с входно ниво от 50% за една учебна година след участие в цитираните дейности постига 60%.</w:t>
            </w:r>
          </w:p>
          <w:p w14:paraId="03C5CE80" w14:textId="1C7AE344"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представлява 10% подобрение на средните образователни резултати на деца и ученици, вкл. от маргинализирани общности, участници в допълнителни занимания, занимания по интереси, практическа /лабораторна работа по групи дейности „Дигитална трансформация на училищното образование в т.ч. професионалното образование и обучение“, „Подкрепа за създаване и прилагане на култура за иновации, иновативни детски градини и училища“ и „Подкрепа за ученици с таланти“ за всяка една учебна година в рамките на изпълнение на групите дейности.</w:t>
            </w:r>
          </w:p>
        </w:tc>
      </w:tr>
      <w:tr w:rsidR="00D857FE" w:rsidRPr="00D83669" w14:paraId="403B1CFF" w14:textId="77777777" w:rsidTr="00296869">
        <w:tc>
          <w:tcPr>
            <w:tcW w:w="2263" w:type="dxa"/>
            <w:shd w:val="clear" w:color="auto" w:fill="auto"/>
            <w:vAlign w:val="center"/>
          </w:tcPr>
          <w:p w14:paraId="6235C7A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Референтна стойност</w:t>
            </w:r>
          </w:p>
        </w:tc>
        <w:tc>
          <w:tcPr>
            <w:tcW w:w="7377" w:type="dxa"/>
            <w:shd w:val="clear" w:color="auto" w:fill="auto"/>
            <w:vAlign w:val="center"/>
          </w:tcPr>
          <w:p w14:paraId="443855A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10%</w:t>
            </w:r>
          </w:p>
        </w:tc>
      </w:tr>
      <w:tr w:rsidR="00D857FE" w:rsidRPr="00D83669" w14:paraId="4FA11AB7" w14:textId="77777777" w:rsidTr="00296869">
        <w:tc>
          <w:tcPr>
            <w:tcW w:w="2263" w:type="dxa"/>
            <w:shd w:val="clear" w:color="auto" w:fill="auto"/>
            <w:vAlign w:val="center"/>
          </w:tcPr>
          <w:p w14:paraId="36D42BF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Методология за определяне на референтната стойност </w:t>
            </w:r>
          </w:p>
        </w:tc>
        <w:tc>
          <w:tcPr>
            <w:tcW w:w="7377" w:type="dxa"/>
            <w:shd w:val="clear" w:color="auto" w:fill="auto"/>
            <w:vAlign w:val="center"/>
          </w:tcPr>
          <w:p w14:paraId="04A8827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От наличната информация по ОПНОИР и анализи на МОН по проекти „Подкрепа за успех“, „Приобщаващо образование“ и предвид методиките и стъпката, с която за отделните целеви групи и възрасти се измерват образователните резултати, са планирани средно подобрение от 10% на годишна база и допускане от 15% в определени случаи и условия. Проектите не са приключили, реализират се в периода на пандемичната обстановка през последните две учебни години и за референтната стойност се приема 10%, което е по-ниската от двете планирани стойности, базирана и на анализ на МОН за учебната 2019/2020 година. </w:t>
            </w:r>
          </w:p>
        </w:tc>
      </w:tr>
      <w:tr w:rsidR="00D857FE" w:rsidRPr="00D83669" w14:paraId="594C0A9B" w14:textId="77777777" w:rsidTr="00296869">
        <w:tc>
          <w:tcPr>
            <w:tcW w:w="2263" w:type="dxa"/>
            <w:shd w:val="clear" w:color="auto" w:fill="auto"/>
            <w:vAlign w:val="center"/>
          </w:tcPr>
          <w:p w14:paraId="728ACD5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51F5AF1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образователни етапи/степени, образователни направления, учебни заведения, целеви групи.</w:t>
            </w:r>
          </w:p>
        </w:tc>
      </w:tr>
      <w:tr w:rsidR="00D857FE" w:rsidRPr="00D83669" w14:paraId="05CDAC6F" w14:textId="77777777" w:rsidTr="00296869">
        <w:tc>
          <w:tcPr>
            <w:tcW w:w="2263" w:type="dxa"/>
            <w:shd w:val="clear" w:color="auto" w:fill="auto"/>
            <w:vAlign w:val="center"/>
          </w:tcPr>
          <w:p w14:paraId="553FCE0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0BD0983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е необходимо, за да се гарантира устойчивостта на операциите. Данните ще бъдат допълвани от периодични оценки, за да се подпомогне определянето на ефекта от предоставената подкрепа чрез допълнителни занимания за деца и занимания по интереси за ученици върху нивото на образователните им резултати.</w:t>
            </w:r>
          </w:p>
          <w:p w14:paraId="5C6C91D4" w14:textId="4B8942CC"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за да се проследи напредъка във всяко дете и ученик, които са получили подкрепа за допълнителни занимания/занимания по интереси, по отношение на образователните му резултати за всяка година от изпълнението на операциите и след тяхното приключване. Данни ще бъдат използвани за периодични оценки на ефекта, обхвата и устойчивостта, чрез които да се анализира доколко и по какъв начин подобен вид подкрепа повишава мотивацията за учене. Показателят е ориентиран към цели, заложени в стратегически документи като Стратегическа рамка за развитие на образованието, обучението и ученето на Република България (2021 – 2030). по приоритетните области като „Ранно детско развитие“, „Компетентности и таланти“, „Ефективно включване, трайно приобщаване и образователна интеграция‘, „Образователни иновации, дигитална трансформация и устойчиво развитие“. Показателят допринася за постигане на</w:t>
            </w:r>
            <w:r w:rsidRPr="00D83669">
              <w:t xml:space="preserve"> </w:t>
            </w:r>
            <w:r w:rsidRPr="00D83669">
              <w:rPr>
                <w:rFonts w:ascii="Times New Roman" w:hAnsi="Times New Roman"/>
                <w:sz w:val="24"/>
              </w:rPr>
              <w:t>националната цел за 2030 за 37% население, притежаващо основни цифрови умения и 58% дял на лицата с основни или над основни общи цифрови умения на възраст от 16 до 74 години, живеещи в домакинство с деца под 16 годишна възраст.</w:t>
            </w:r>
          </w:p>
          <w:p w14:paraId="4C236B06" w14:textId="6BD45FCD"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служи за ориентир/коректив при определяне на политики за развитие на образованието. Показателят е насочен и към изпълнение препоръки на ЕК от докладите по Европейския семестър за напредък и обхват на приобщаващото образование.</w:t>
            </w:r>
          </w:p>
        </w:tc>
      </w:tr>
      <w:tr w:rsidR="00D857FE" w:rsidRPr="00D83669" w14:paraId="15C4BBD5" w14:textId="77777777" w:rsidTr="00296869">
        <w:tc>
          <w:tcPr>
            <w:tcW w:w="2263" w:type="dxa"/>
            <w:shd w:val="clear" w:color="auto" w:fill="auto"/>
            <w:vAlign w:val="center"/>
          </w:tcPr>
          <w:p w14:paraId="3E5CDD5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7" w:type="dxa"/>
            <w:shd w:val="clear" w:color="auto" w:fill="auto"/>
            <w:vAlign w:val="center"/>
          </w:tcPr>
          <w:p w14:paraId="0BA4233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събират текущо на база технически отчети с изчерпателен обхват на всички участници. </w:t>
            </w:r>
          </w:p>
          <w:p w14:paraId="32E852F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образователна институция, средна обща промяна в проценти на образователните резултати спрямо входно и изходно ниво, отразена в детското портфолио, ученическата книжка за всяка учебна година, образователни направления, учебни предмети, допринесли за общата средна промяна, клас/етап/степен от училищното образование, група от предучилищното образование, тематичен обхват/предмет на допълнителните занимания и заниманията по интереси, местоположение, демографски данни за децата и учениците.</w:t>
            </w:r>
          </w:p>
        </w:tc>
      </w:tr>
      <w:tr w:rsidR="00D857FE" w:rsidRPr="00D83669" w14:paraId="1356AD0E" w14:textId="77777777" w:rsidTr="00296869">
        <w:tc>
          <w:tcPr>
            <w:tcW w:w="2263" w:type="dxa"/>
            <w:shd w:val="clear" w:color="auto" w:fill="auto"/>
            <w:vAlign w:val="center"/>
          </w:tcPr>
          <w:p w14:paraId="3766A0E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7736FB6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7630DCF4" w14:textId="77777777" w:rsidTr="00296869">
        <w:tc>
          <w:tcPr>
            <w:tcW w:w="2263" w:type="dxa"/>
            <w:shd w:val="clear" w:color="auto" w:fill="auto"/>
            <w:vAlign w:val="center"/>
          </w:tcPr>
          <w:p w14:paraId="7F39AC74" w14:textId="4D6C378E"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6299CB16"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SOI 2.7 Брой подкрепени деца и ученици;</w:t>
            </w:r>
          </w:p>
          <w:p w14:paraId="4110E907"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40C889CF"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SOI 2.1 Брой подкрепени родители и образователни медиатори;</w:t>
            </w:r>
          </w:p>
          <w:p w14:paraId="685BA2FD"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SOI 2.4 Участници, придобили умения за преподаване в STEM среда;</w:t>
            </w:r>
          </w:p>
          <w:p w14:paraId="1E88A71E"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SOI 2.5 Участници, които са завършили обучение за подобряване на уменията за работа в образователната система;</w:t>
            </w:r>
          </w:p>
          <w:p w14:paraId="7B7FF041"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SOI 2.6 Брой високо квалифицирани специалисти, които са привлечени към учителската професия чрез алтернативни мерки за достъп.</w:t>
            </w:r>
          </w:p>
        </w:tc>
      </w:tr>
      <w:tr w:rsidR="00D857FE" w:rsidRPr="00D83669" w14:paraId="24AD5EB7" w14:textId="77777777" w:rsidTr="00296869">
        <w:tc>
          <w:tcPr>
            <w:tcW w:w="2263" w:type="dxa"/>
            <w:shd w:val="clear" w:color="auto" w:fill="auto"/>
            <w:vAlign w:val="center"/>
          </w:tcPr>
          <w:p w14:paraId="4B9979D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7" w:type="dxa"/>
            <w:shd w:val="clear" w:color="auto" w:fill="auto"/>
            <w:vAlign w:val="center"/>
          </w:tcPr>
          <w:p w14:paraId="59E44163" w14:textId="3DD060B8"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отразява повишение на образователните резултати на деца и ученици в рамките на всяка учебна година, вследствие на участието им в допълнителни занимания/занимания по интереси – при изпълнение на трите операции по СЦ по чл. 4, пар. 1, буква д) на Приоритет 2 на ПО 2021 – 2027 г.</w:t>
            </w:r>
          </w:p>
        </w:tc>
      </w:tr>
    </w:tbl>
    <w:p w14:paraId="2A174D9A" w14:textId="77777777" w:rsidR="00D857FE" w:rsidRPr="00D83669" w:rsidRDefault="00D857FE" w:rsidP="00D857FE"/>
    <w:p w14:paraId="5B08CC7C" w14:textId="77777777" w:rsidR="00D857FE" w:rsidRPr="00D83669" w:rsidRDefault="00D857FE" w:rsidP="00D857FE">
      <w:pPr>
        <w:rPr>
          <w:rFonts w:ascii="Times New Roman" w:eastAsia="Times New Roman" w:hAnsi="Times New Roman" w:cs="Times New Roman"/>
          <w:sz w:val="24"/>
          <w:szCs w:val="20"/>
          <w:lang w:eastAsia="bg-BG" w:bidi="bg-BG"/>
        </w:rPr>
      </w:pPr>
      <w:r w:rsidRPr="00D83669">
        <w:br w:type="page"/>
      </w:r>
    </w:p>
    <w:p w14:paraId="7B998C15" w14:textId="0AE11EA5" w:rsidR="00D857FE" w:rsidRPr="00D83669" w:rsidRDefault="00D857FE" w:rsidP="002B495C">
      <w:pPr>
        <w:pStyle w:val="Heading3"/>
        <w:rPr>
          <w:b/>
          <w:bCs/>
          <w:i/>
          <w:iCs/>
          <w:sz w:val="22"/>
          <w:szCs w:val="22"/>
        </w:rPr>
      </w:pPr>
      <w:bookmarkStart w:id="167" w:name="_Toc100153011"/>
      <w:bookmarkStart w:id="168" w:name="_Toc103586686"/>
      <w:r w:rsidRPr="00D83669">
        <w:rPr>
          <w:b/>
          <w:bCs/>
          <w:i/>
          <w:iCs/>
          <w:sz w:val="22"/>
          <w:szCs w:val="22"/>
        </w:rPr>
        <w:lastRenderedPageBreak/>
        <w:t>SRI 2.2 Дял на училищата, които изпълняват методически планове за действие с разширена група ключови компетентности 2 години след въвеждането им</w:t>
      </w:r>
      <w:bookmarkEnd w:id="167"/>
      <w:bookmarkEnd w:id="168"/>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06920D06" w14:textId="77777777" w:rsidTr="00912C92">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C9FF611" w14:textId="7E1B52D3"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FAFCE8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4926B99F" w14:textId="77777777" w:rsidTr="00912C92">
        <w:tc>
          <w:tcPr>
            <w:tcW w:w="2269" w:type="dxa"/>
            <w:shd w:val="clear" w:color="auto" w:fill="auto"/>
            <w:vAlign w:val="center"/>
          </w:tcPr>
          <w:p w14:paraId="2C0A50B5" w14:textId="79455CA3"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22C70C11"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2.2 Дял на училищата, които изпълняват методически планове за действие с разширена група ключови компетентности 2 години след въвеждането им</w:t>
            </w:r>
          </w:p>
        </w:tc>
      </w:tr>
      <w:tr w:rsidR="00D857FE" w:rsidRPr="00D83669" w14:paraId="336B0F0B" w14:textId="77777777" w:rsidTr="00912C92">
        <w:tc>
          <w:tcPr>
            <w:tcW w:w="2269" w:type="dxa"/>
            <w:shd w:val="clear" w:color="auto" w:fill="auto"/>
            <w:vAlign w:val="center"/>
          </w:tcPr>
          <w:p w14:paraId="6DABF39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78AD8242" w14:textId="74FFE04F"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62D1E36E" w14:textId="77777777" w:rsidTr="00912C92">
        <w:tc>
          <w:tcPr>
            <w:tcW w:w="2269" w:type="dxa"/>
            <w:shd w:val="clear" w:color="auto" w:fill="auto"/>
            <w:vAlign w:val="center"/>
          </w:tcPr>
          <w:p w14:paraId="2D2CF69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30FC86F3"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39BAFE72" w14:textId="77777777" w:rsidTr="00912C92">
        <w:tc>
          <w:tcPr>
            <w:tcW w:w="2269" w:type="dxa"/>
            <w:shd w:val="clear" w:color="auto" w:fill="auto"/>
            <w:vAlign w:val="center"/>
          </w:tcPr>
          <w:p w14:paraId="290ED3E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38E4B9D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Ефективно прилагане на компетентностния модел чрез въвеждане на училищни методически планове за действие за развитие на ключови компетентности</w:t>
            </w:r>
          </w:p>
        </w:tc>
      </w:tr>
      <w:tr w:rsidR="00D857FE" w:rsidRPr="00D83669" w14:paraId="5CBEEEE6" w14:textId="77777777" w:rsidTr="00912C92">
        <w:tc>
          <w:tcPr>
            <w:tcW w:w="2269" w:type="dxa"/>
            <w:shd w:val="clear" w:color="auto" w:fill="auto"/>
            <w:vAlign w:val="center"/>
          </w:tcPr>
          <w:p w14:paraId="55C026D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371" w:type="dxa"/>
            <w:shd w:val="clear" w:color="auto" w:fill="auto"/>
            <w:vAlign w:val="center"/>
          </w:tcPr>
          <w:p w14:paraId="479FE91E" w14:textId="174D23B9"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дела на училищата, които 2 години след въвеждането методически планове за действие за прилагане на компетентностен модел са разширили групата ключови компетентности</w:t>
            </w:r>
          </w:p>
        </w:tc>
      </w:tr>
      <w:tr w:rsidR="00D857FE" w:rsidRPr="00D83669" w14:paraId="4DE4D025" w14:textId="77777777" w:rsidTr="00912C92">
        <w:tc>
          <w:tcPr>
            <w:tcW w:w="2269" w:type="dxa"/>
            <w:shd w:val="clear" w:color="auto" w:fill="auto"/>
            <w:vAlign w:val="center"/>
          </w:tcPr>
          <w:p w14:paraId="23DFE6F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5FAB68E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процент</w:t>
            </w:r>
          </w:p>
        </w:tc>
      </w:tr>
      <w:tr w:rsidR="00D857FE" w:rsidRPr="00D83669" w14:paraId="25C7C11F" w14:textId="77777777" w:rsidTr="00912C92">
        <w:tc>
          <w:tcPr>
            <w:tcW w:w="2269" w:type="dxa"/>
            <w:shd w:val="clear" w:color="auto" w:fill="auto"/>
            <w:vAlign w:val="center"/>
          </w:tcPr>
          <w:p w14:paraId="5E11EDF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70E1E980" w14:textId="6AE83EFA" w:rsidR="00D857FE" w:rsidRPr="00D83669" w:rsidRDefault="00D857FE" w:rsidP="00CC7BCB">
            <w:pPr>
              <w:jc w:val="both"/>
              <w:rPr>
                <w:rFonts w:ascii="Times New Roman" w:hAnsi="Times New Roman"/>
                <w:sz w:val="24"/>
              </w:rPr>
            </w:pPr>
            <w:r w:rsidRPr="00D83669">
              <w:rPr>
                <w:rFonts w:ascii="Times New Roman" w:hAnsi="Times New Roman"/>
                <w:sz w:val="24"/>
              </w:rPr>
              <w:t>80</w:t>
            </w:r>
            <w:r w:rsidR="00E84D80" w:rsidRPr="00D83669">
              <w:rPr>
                <w:rFonts w:ascii="Times New Roman" w:hAnsi="Times New Roman"/>
                <w:sz w:val="24"/>
              </w:rPr>
              <w:t>%</w:t>
            </w:r>
          </w:p>
        </w:tc>
      </w:tr>
      <w:tr w:rsidR="00D857FE" w:rsidRPr="00D83669" w14:paraId="26A6FD16" w14:textId="77777777" w:rsidTr="00912C92">
        <w:tc>
          <w:tcPr>
            <w:tcW w:w="2269" w:type="dxa"/>
            <w:shd w:val="clear" w:color="auto" w:fill="auto"/>
            <w:vAlign w:val="center"/>
          </w:tcPr>
          <w:p w14:paraId="7B48923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2A1DF43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е определена на база опита по ОПНОИР в изпълнението на системни операции, в които е предвидено разработването на специализирани методики и други продукти, насочени към обучението на деца, и дела на образователните институции, в които се прилагат разработените продукти.</w:t>
            </w:r>
          </w:p>
          <w:p w14:paraId="5A2DB5D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За въвеждане и развитие на компетентностния модел на ниво училище и за гарантиране на устойчивост на резултатите по процедурата най-малко 80% от училищата, разработили училищни програми /методически пакети, следва да разработят и прилагат пакет за поне още една ключова компетентност, и продължат да се прилагат и след приключване на операцията. </w:t>
            </w:r>
          </w:p>
        </w:tc>
      </w:tr>
      <w:tr w:rsidR="00D857FE" w:rsidRPr="00D83669" w14:paraId="1CD00123" w14:textId="77777777" w:rsidTr="00912C92">
        <w:tc>
          <w:tcPr>
            <w:tcW w:w="2269" w:type="dxa"/>
            <w:shd w:val="clear" w:color="auto" w:fill="auto"/>
            <w:vAlign w:val="center"/>
          </w:tcPr>
          <w:p w14:paraId="6F47FCF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371" w:type="dxa"/>
            <w:shd w:val="clear" w:color="auto" w:fill="auto"/>
            <w:vAlign w:val="center"/>
          </w:tcPr>
          <w:p w14:paraId="37C1B1D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80%</w:t>
            </w:r>
          </w:p>
        </w:tc>
      </w:tr>
      <w:tr w:rsidR="00D857FE" w:rsidRPr="00D83669" w14:paraId="28A9E88A" w14:textId="77777777" w:rsidTr="00912C92">
        <w:tc>
          <w:tcPr>
            <w:tcW w:w="2269" w:type="dxa"/>
            <w:shd w:val="clear" w:color="auto" w:fill="auto"/>
            <w:vAlign w:val="center"/>
          </w:tcPr>
          <w:p w14:paraId="72C85D8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референтната стойност</w:t>
            </w:r>
          </w:p>
        </w:tc>
        <w:tc>
          <w:tcPr>
            <w:tcW w:w="7371" w:type="dxa"/>
            <w:shd w:val="clear" w:color="auto" w:fill="auto"/>
            <w:vAlign w:val="center"/>
          </w:tcPr>
          <w:p w14:paraId="0BB7E3C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са към 2020 г. и отразяват планирания в операция „Образование за утрешния ден“ обхват на училищата, които да прилагат педагогически иновации и съвременни подходи на преподаване.</w:t>
            </w:r>
          </w:p>
        </w:tc>
      </w:tr>
      <w:tr w:rsidR="00D857FE" w:rsidRPr="00D83669" w14:paraId="06DB7CB4" w14:textId="77777777" w:rsidTr="00912C92">
        <w:tc>
          <w:tcPr>
            <w:tcW w:w="2269" w:type="dxa"/>
            <w:shd w:val="clear" w:color="auto" w:fill="auto"/>
            <w:vAlign w:val="center"/>
          </w:tcPr>
          <w:p w14:paraId="194AC62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1" w:type="dxa"/>
            <w:shd w:val="clear" w:color="auto" w:fill="auto"/>
            <w:vAlign w:val="center"/>
          </w:tcPr>
          <w:p w14:paraId="64A0C61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отделни признаци на училищата. На етап отчитане ще бъдат представени данни за вид и местоположение на училищата, и друга информация.</w:t>
            </w:r>
          </w:p>
        </w:tc>
      </w:tr>
      <w:tr w:rsidR="00D857FE" w:rsidRPr="00D83669" w14:paraId="40431DC8" w14:textId="77777777" w:rsidTr="00912C92">
        <w:tc>
          <w:tcPr>
            <w:tcW w:w="2269" w:type="dxa"/>
            <w:shd w:val="clear" w:color="auto" w:fill="auto"/>
            <w:vAlign w:val="center"/>
          </w:tcPr>
          <w:p w14:paraId="2D4BC8E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Обосновка </w:t>
            </w:r>
          </w:p>
        </w:tc>
        <w:tc>
          <w:tcPr>
            <w:tcW w:w="7371" w:type="dxa"/>
            <w:shd w:val="clear" w:color="auto" w:fill="auto"/>
            <w:vAlign w:val="center"/>
          </w:tcPr>
          <w:p w14:paraId="4F6712A5" w14:textId="05602EC7" w:rsidR="00D857FE" w:rsidRPr="00D83669" w:rsidRDefault="00D857FE" w:rsidP="00CC7BCB">
            <w:pPr>
              <w:jc w:val="both"/>
              <w:rPr>
                <w:rFonts w:ascii="Times New Roman" w:hAnsi="Times New Roman"/>
                <w:sz w:val="24"/>
              </w:rPr>
            </w:pPr>
            <w:r w:rsidRPr="00D83669">
              <w:rPr>
                <w:rFonts w:ascii="Times New Roman" w:hAnsi="Times New Roman"/>
                <w:sz w:val="24"/>
              </w:rPr>
              <w:t>Данните от мониторинга, събрани за този показател ще предоставят важна информация за обхвата и ефекта от прилагането на училищните методически планове за действие, базирани на компетентностния модел. Данните от мониторинга ще бъдат основа за измерване на тенденциите за повишаване на образователните резултати в училищното образование.</w:t>
            </w:r>
          </w:p>
        </w:tc>
      </w:tr>
      <w:tr w:rsidR="00D857FE" w:rsidRPr="00D83669" w14:paraId="751B16FA" w14:textId="77777777" w:rsidTr="00912C92">
        <w:tc>
          <w:tcPr>
            <w:tcW w:w="2269" w:type="dxa"/>
            <w:shd w:val="clear" w:color="auto" w:fill="auto"/>
            <w:vAlign w:val="center"/>
          </w:tcPr>
          <w:p w14:paraId="69DA535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77BB96E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Измерва се текущо чрез техническите отчети за изпълнение на проекта на база системата за оценка, наблюдение и докладване, установена в проекта.</w:t>
            </w:r>
          </w:p>
          <w:p w14:paraId="7299108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за да се проследи какъв е дела на училищата, които разработват и въвеждат в училищните методически планове за действие допълнителни на групи ключови компетентности в рамките на две години след приключване на проекта. Мониторинг на напредъка и на ефекта от прилагането на компетентностния модел при нововключените групи ключови компетентности ще се осъществява периодично, като се осъществяват наблюдения на уроци, методическа подкрепа – при необходимост, анкети, изследвания, включващи контролни групи, резултати от регионални външни оценявания, национални външни оценявания, международни изследвания.</w:t>
            </w:r>
          </w:p>
        </w:tc>
      </w:tr>
      <w:tr w:rsidR="00D857FE" w:rsidRPr="00D83669" w14:paraId="2FEBA093" w14:textId="77777777" w:rsidTr="00912C92">
        <w:tc>
          <w:tcPr>
            <w:tcW w:w="2269" w:type="dxa"/>
            <w:shd w:val="clear" w:color="auto" w:fill="auto"/>
            <w:vAlign w:val="center"/>
          </w:tcPr>
          <w:p w14:paraId="2B4D673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537E50B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48FF6EE" w14:textId="77777777" w:rsidTr="00912C92">
        <w:tc>
          <w:tcPr>
            <w:tcW w:w="2269" w:type="dxa"/>
            <w:shd w:val="clear" w:color="auto" w:fill="auto"/>
            <w:vAlign w:val="center"/>
          </w:tcPr>
          <w:p w14:paraId="7D7BF94C" w14:textId="55EF2F1B"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1817C6E8"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2.2 Брой училища, въвели методически планове за действие за развитие на ключови компетентности;</w:t>
            </w:r>
          </w:p>
          <w:p w14:paraId="63367424"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SOI 2.7 Брой подкрепени деца и ученици;</w:t>
            </w:r>
          </w:p>
          <w:p w14:paraId="3B127C52"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SOI 2.4 Участници, придобили умения за преподаване в STEM среда;</w:t>
            </w:r>
          </w:p>
          <w:p w14:paraId="4F381733"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35DEEF52"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SRI 2.1 Подобрени образователни резултати на подкрепените деца и ученици</w:t>
            </w:r>
          </w:p>
        </w:tc>
      </w:tr>
      <w:tr w:rsidR="00D857FE" w:rsidRPr="00D83669" w14:paraId="058F158F" w14:textId="77777777" w:rsidTr="00912C92">
        <w:tc>
          <w:tcPr>
            <w:tcW w:w="2269" w:type="dxa"/>
            <w:shd w:val="clear" w:color="auto" w:fill="auto"/>
            <w:vAlign w:val="center"/>
          </w:tcPr>
          <w:p w14:paraId="6200CFA4" w14:textId="77777777" w:rsidR="00D857FE" w:rsidRPr="00D83669" w:rsidRDefault="00D857FE" w:rsidP="00CC7BCB">
            <w:pPr>
              <w:rPr>
                <w:rFonts w:ascii="Times New Roman" w:hAnsi="Times New Roman"/>
                <w:bCs/>
                <w:sz w:val="24"/>
              </w:rPr>
            </w:pPr>
            <w:r w:rsidRPr="00D83669">
              <w:rPr>
                <w:rFonts w:ascii="Times New Roman" w:hAnsi="Times New Roman"/>
                <w:b/>
                <w:bCs/>
                <w:sz w:val="24"/>
              </w:rPr>
              <w:t>Валидиране</w:t>
            </w:r>
          </w:p>
        </w:tc>
        <w:tc>
          <w:tcPr>
            <w:tcW w:w="7371" w:type="dxa"/>
            <w:shd w:val="clear" w:color="auto" w:fill="auto"/>
            <w:vAlign w:val="center"/>
          </w:tcPr>
          <w:p w14:paraId="542AB5D9" w14:textId="53EEFC18"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е равна на поне 80% от броя на училищата, въвели методически планове, разработили училищни методически програми/пакети и приложили поне още една ключова компетентност 2 години след приключване на дейностите, в резултат на получената подкрепа по операции по СЦ по чл. 4, пар. 1, буква д) на Приоритет 2 на ПО 2021 – 2027</w:t>
            </w:r>
            <w:r w:rsidR="005A09D7" w:rsidRPr="00D83669">
              <w:rPr>
                <w:rFonts w:ascii="Times New Roman" w:hAnsi="Times New Roman"/>
                <w:sz w:val="24"/>
              </w:rPr>
              <w:t>.</w:t>
            </w:r>
            <w:r w:rsidRPr="00D83669">
              <w:rPr>
                <w:rFonts w:ascii="Times New Roman" w:hAnsi="Times New Roman"/>
                <w:sz w:val="24"/>
              </w:rPr>
              <w:t xml:space="preserve"> </w:t>
            </w:r>
          </w:p>
        </w:tc>
      </w:tr>
    </w:tbl>
    <w:p w14:paraId="5D3ACC9D" w14:textId="77777777" w:rsidR="00D857FE" w:rsidRPr="00D83669" w:rsidRDefault="00D857FE" w:rsidP="00D857FE">
      <w:pPr>
        <w:rPr>
          <w:sz w:val="12"/>
          <w:szCs w:val="12"/>
        </w:rPr>
      </w:pPr>
      <w:r w:rsidRPr="00D83669">
        <w:br w:type="page"/>
      </w:r>
    </w:p>
    <w:p w14:paraId="33C88FAF" w14:textId="09E39C2D" w:rsidR="00D857FE" w:rsidRPr="00D83669" w:rsidRDefault="00D857FE" w:rsidP="002B495C">
      <w:pPr>
        <w:pStyle w:val="Heading3"/>
        <w:rPr>
          <w:b/>
          <w:bCs/>
          <w:i/>
          <w:iCs/>
          <w:sz w:val="22"/>
          <w:szCs w:val="22"/>
        </w:rPr>
      </w:pPr>
      <w:bookmarkStart w:id="169" w:name="_Toc100153012"/>
      <w:bookmarkStart w:id="170" w:name="_Toc103586687"/>
      <w:r w:rsidRPr="00D83669">
        <w:rPr>
          <w:b/>
          <w:bCs/>
          <w:i/>
          <w:iCs/>
          <w:sz w:val="22"/>
          <w:szCs w:val="22"/>
        </w:rPr>
        <w:lastRenderedPageBreak/>
        <w:t>SRI 2.3 Брой потребители на разработените иновативни обучителни пакети</w:t>
      </w:r>
      <w:bookmarkEnd w:id="169"/>
      <w:bookmarkEnd w:id="170"/>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23194EDF" w14:textId="77777777" w:rsidTr="0069380E">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03CEE96" w14:textId="124A0408"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C99CB4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2D95A0E4" w14:textId="77777777" w:rsidTr="0069380E">
        <w:tc>
          <w:tcPr>
            <w:tcW w:w="2269" w:type="dxa"/>
            <w:shd w:val="clear" w:color="auto" w:fill="auto"/>
            <w:vAlign w:val="center"/>
          </w:tcPr>
          <w:p w14:paraId="1CF38B31" w14:textId="3C895C2E"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7371" w:type="dxa"/>
            <w:shd w:val="clear" w:color="auto" w:fill="auto"/>
            <w:vAlign w:val="center"/>
          </w:tcPr>
          <w:p w14:paraId="462FA9E5"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2.3 Брой потребители на разработените иновативни обучителни пакети</w:t>
            </w:r>
          </w:p>
        </w:tc>
      </w:tr>
      <w:tr w:rsidR="00D857FE" w:rsidRPr="00D83669" w14:paraId="0F49C962" w14:textId="77777777" w:rsidTr="0069380E">
        <w:tc>
          <w:tcPr>
            <w:tcW w:w="2269" w:type="dxa"/>
            <w:shd w:val="clear" w:color="auto" w:fill="auto"/>
            <w:vAlign w:val="center"/>
          </w:tcPr>
          <w:p w14:paraId="604A177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15739C8F" w14:textId="7CA2302B"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05D97BC9" w14:textId="77777777" w:rsidTr="0069380E">
        <w:tc>
          <w:tcPr>
            <w:tcW w:w="2269" w:type="dxa"/>
            <w:shd w:val="clear" w:color="auto" w:fill="auto"/>
            <w:vAlign w:val="center"/>
          </w:tcPr>
          <w:p w14:paraId="1CBF674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75E8FA5B"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 xml:space="preserve">СЦ по чл. 4, пар. 1, буква д) </w:t>
            </w:r>
            <w:r w:rsidRPr="00D83669">
              <w:rPr>
                <w:rFonts w:ascii="Times New Roman" w:hAnsi="Times New Roman"/>
                <w:sz w:val="24"/>
              </w:rPr>
              <w:t>– Подобряване на качеството, ефективността и съответствието на системите за образование и обучение с нуждите на пазара на труда в подкрепа на придобиването на ключови умения, включително цифрови умения</w:t>
            </w:r>
          </w:p>
        </w:tc>
      </w:tr>
      <w:tr w:rsidR="00D857FE" w:rsidRPr="00D83669" w14:paraId="1CBDF355" w14:textId="77777777" w:rsidTr="0069380E">
        <w:tc>
          <w:tcPr>
            <w:tcW w:w="2269" w:type="dxa"/>
            <w:shd w:val="clear" w:color="auto" w:fill="auto"/>
            <w:vAlign w:val="center"/>
          </w:tcPr>
          <w:p w14:paraId="036E71E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3F14D1B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създаване и прилагане на култура за иновации, иновативни детски градини и училища.</w:t>
            </w:r>
          </w:p>
        </w:tc>
      </w:tr>
      <w:tr w:rsidR="00D857FE" w:rsidRPr="00D83669" w14:paraId="21FEBF0B" w14:textId="77777777" w:rsidTr="0069380E">
        <w:tc>
          <w:tcPr>
            <w:tcW w:w="2269" w:type="dxa"/>
            <w:shd w:val="clear" w:color="auto" w:fill="auto"/>
            <w:vAlign w:val="center"/>
          </w:tcPr>
          <w:p w14:paraId="3E2CD0E8"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1" w:type="dxa"/>
            <w:shd w:val="clear" w:color="auto" w:fill="auto"/>
            <w:vAlign w:val="center"/>
          </w:tcPr>
          <w:p w14:paraId="585723A1" w14:textId="751ECB31"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отчита броя на децата и учениците, които се обучават по разработените иновативни обучителни пакети в партниращите си училища/детски градини.</w:t>
            </w:r>
          </w:p>
        </w:tc>
      </w:tr>
      <w:tr w:rsidR="00D857FE" w:rsidRPr="00D83669" w14:paraId="6E79A758" w14:textId="77777777" w:rsidTr="0069380E">
        <w:tc>
          <w:tcPr>
            <w:tcW w:w="2269" w:type="dxa"/>
            <w:shd w:val="clear" w:color="auto" w:fill="auto"/>
            <w:vAlign w:val="center"/>
          </w:tcPr>
          <w:p w14:paraId="44F3BD8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55BA7DD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7A45B574" w14:textId="77777777" w:rsidTr="0069380E">
        <w:tc>
          <w:tcPr>
            <w:tcW w:w="2269" w:type="dxa"/>
            <w:shd w:val="clear" w:color="auto" w:fill="auto"/>
            <w:vAlign w:val="center"/>
          </w:tcPr>
          <w:p w14:paraId="4C15D4C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7C91A3C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94 848</w:t>
            </w:r>
          </w:p>
        </w:tc>
      </w:tr>
      <w:tr w:rsidR="00D857FE" w:rsidRPr="00D83669" w14:paraId="5E515814" w14:textId="77777777" w:rsidTr="0069380E">
        <w:tc>
          <w:tcPr>
            <w:tcW w:w="2269" w:type="dxa"/>
            <w:shd w:val="clear" w:color="auto" w:fill="auto"/>
            <w:vAlign w:val="center"/>
          </w:tcPr>
          <w:p w14:paraId="5F4F162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7811CF79" w14:textId="39661475"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е определена на база показателя за краен продукт, съгласно който 152 училища/детски градини се очаква да разработят иновативни обучителни пакети, като е взето предвид, че разработените продукти трябва да бъдат мултиплицирани в поне две партньорски институции, т.е. да се приложат общо в три образователни институции във всяко проектно предложение или в общо 456 училища и детски градини. Общият брой на обхванатите по операцията образователни институции е умножен по средния брой деца/ ученици в 1 детска градина/ училище (по данни на НСИ през учебната 2019/2020 г. средно 295 ученици се обучават в 1 училище и средно 119 деца в 1 детска градина, т.е. средно 208 деца/ученици се обучават в образователна институция).</w:t>
            </w:r>
          </w:p>
        </w:tc>
      </w:tr>
      <w:tr w:rsidR="00D857FE" w:rsidRPr="00D83669" w14:paraId="3243F93E" w14:textId="77777777" w:rsidTr="0069380E">
        <w:tc>
          <w:tcPr>
            <w:tcW w:w="2269" w:type="dxa"/>
            <w:shd w:val="clear" w:color="auto" w:fill="auto"/>
            <w:vAlign w:val="center"/>
          </w:tcPr>
          <w:p w14:paraId="71ACF2A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371" w:type="dxa"/>
            <w:shd w:val="clear" w:color="auto" w:fill="auto"/>
            <w:vAlign w:val="center"/>
          </w:tcPr>
          <w:p w14:paraId="12E6908C" w14:textId="1C2B9782" w:rsidR="00D857FE" w:rsidRPr="00D83669" w:rsidRDefault="00D857FE" w:rsidP="00CC7BCB">
            <w:pPr>
              <w:jc w:val="both"/>
              <w:rPr>
                <w:rFonts w:ascii="Times New Roman" w:hAnsi="Times New Roman"/>
                <w:sz w:val="24"/>
                <w:lang w:val="en-US"/>
              </w:rPr>
            </w:pPr>
            <w:r w:rsidRPr="00D83669">
              <w:rPr>
                <w:rFonts w:ascii="Times New Roman" w:hAnsi="Times New Roman"/>
                <w:sz w:val="24"/>
                <w:lang w:val="en-US"/>
              </w:rPr>
              <w:t>10 268</w:t>
            </w:r>
          </w:p>
        </w:tc>
      </w:tr>
      <w:tr w:rsidR="00D857FE" w:rsidRPr="00D83669" w14:paraId="38D11591" w14:textId="77777777" w:rsidTr="0069380E">
        <w:tc>
          <w:tcPr>
            <w:tcW w:w="2269" w:type="dxa"/>
            <w:shd w:val="clear" w:color="auto" w:fill="auto"/>
            <w:vAlign w:val="center"/>
          </w:tcPr>
          <w:p w14:paraId="74BD83B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референтната стойност</w:t>
            </w:r>
          </w:p>
        </w:tc>
        <w:tc>
          <w:tcPr>
            <w:tcW w:w="7371" w:type="dxa"/>
            <w:shd w:val="clear" w:color="auto" w:fill="auto"/>
            <w:vAlign w:val="center"/>
          </w:tcPr>
          <w:p w14:paraId="25729BD6" w14:textId="6A216FA5" w:rsidR="00D857FE" w:rsidRPr="00D83669" w:rsidRDefault="00D857FE" w:rsidP="00CC7BCB">
            <w:pPr>
              <w:jc w:val="both"/>
              <w:rPr>
                <w:rFonts w:ascii="Times New Roman" w:hAnsi="Times New Roman"/>
                <w:sz w:val="24"/>
              </w:rPr>
            </w:pPr>
            <w:r w:rsidRPr="00D83669">
              <w:rPr>
                <w:rFonts w:ascii="Times New Roman" w:hAnsi="Times New Roman"/>
                <w:sz w:val="24"/>
              </w:rPr>
              <w:t>Данните са към 2021 г. и отразяват броя на децата от детските градини, които  са включени в дейности по  Национална програма "Успяваме заедно", Модул 2 „Иновативна детска градина“ за 2020 г. с бюджет 70 000 лв., и броя на учениците, които се планира да бъдат обхванати в дейности по Национална програма "Иновации в действие" с бюджет 2 млн. лв. Общото финансиране по двете национални програми възлиза на 2. 070 млн. лв.  или приблизително на 1/10 от размера на предвидената подкрепа по ПО.</w:t>
            </w:r>
          </w:p>
        </w:tc>
      </w:tr>
      <w:tr w:rsidR="00D857FE" w:rsidRPr="00D83669" w14:paraId="4F940458" w14:textId="77777777" w:rsidTr="0069380E">
        <w:tc>
          <w:tcPr>
            <w:tcW w:w="2269" w:type="dxa"/>
            <w:shd w:val="clear" w:color="auto" w:fill="auto"/>
            <w:vAlign w:val="center"/>
          </w:tcPr>
          <w:p w14:paraId="483537B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1" w:type="dxa"/>
            <w:shd w:val="clear" w:color="auto" w:fill="auto"/>
            <w:vAlign w:val="center"/>
          </w:tcPr>
          <w:p w14:paraId="3CA636E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направена предварителна разбивка по пол и по други демографски фактори. На етап отчитане ще бъдат представени данни </w:t>
            </w:r>
            <w:r w:rsidRPr="00D83669">
              <w:rPr>
                <w:rFonts w:ascii="Times New Roman" w:hAnsi="Times New Roman"/>
                <w:sz w:val="24"/>
              </w:rPr>
              <w:lastRenderedPageBreak/>
              <w:t>за пол, възраст, училище, район, област и община и друга демографска информация за участниците.</w:t>
            </w:r>
          </w:p>
        </w:tc>
      </w:tr>
      <w:tr w:rsidR="00D857FE" w:rsidRPr="00D83669" w14:paraId="6139047E" w14:textId="77777777" w:rsidTr="0069380E">
        <w:tc>
          <w:tcPr>
            <w:tcW w:w="2269" w:type="dxa"/>
            <w:shd w:val="clear" w:color="auto" w:fill="auto"/>
            <w:vAlign w:val="center"/>
          </w:tcPr>
          <w:p w14:paraId="7C777D0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Обосновка </w:t>
            </w:r>
          </w:p>
        </w:tc>
        <w:tc>
          <w:tcPr>
            <w:tcW w:w="7371" w:type="dxa"/>
            <w:shd w:val="clear" w:color="auto" w:fill="auto"/>
            <w:vAlign w:val="center"/>
          </w:tcPr>
          <w:p w14:paraId="0F05812B" w14:textId="77777777" w:rsidR="00D857FE" w:rsidRPr="00D83669" w:rsidRDefault="00D857FE" w:rsidP="00CC7BCB">
            <w:pPr>
              <w:jc w:val="both"/>
              <w:rPr>
                <w:rFonts w:ascii="Times New Roman" w:hAnsi="Times New Roman"/>
                <w:color w:val="FF0000"/>
                <w:sz w:val="24"/>
              </w:rPr>
            </w:pPr>
            <w:r w:rsidRPr="00D83669">
              <w:rPr>
                <w:rFonts w:ascii="Times New Roman" w:hAnsi="Times New Roman"/>
                <w:sz w:val="24"/>
              </w:rPr>
              <w:t>Данните ще се събират с оглед оценката на ефекта от прилагането на иновативните обучителни пакети върху децата и учениците – доколко прилагането на иновативни подходи в преподаването се отразява благоприятно върху образователните резултати на учениците и за измерване на конкретното ниво на повишаване на образователните резултати, както в краткосрочен план (в рамките на съответната учебна година), така и в дългосрочно (за учебните години, които се обхващат по операцията).</w:t>
            </w:r>
          </w:p>
        </w:tc>
      </w:tr>
      <w:tr w:rsidR="00D857FE" w:rsidRPr="00D83669" w14:paraId="6B71FFEA" w14:textId="77777777" w:rsidTr="0069380E">
        <w:tc>
          <w:tcPr>
            <w:tcW w:w="2269" w:type="dxa"/>
            <w:shd w:val="clear" w:color="auto" w:fill="auto"/>
            <w:vAlign w:val="center"/>
          </w:tcPr>
          <w:p w14:paraId="636E469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1897E402" w14:textId="77777777" w:rsidR="00D857FE" w:rsidRPr="00D83669" w:rsidRDefault="00D857FE" w:rsidP="00CC7BCB">
            <w:pPr>
              <w:jc w:val="both"/>
              <w:rPr>
                <w:rFonts w:ascii="Times New Roman" w:hAnsi="Times New Roman"/>
                <w:color w:val="000000" w:themeColor="text1"/>
                <w:sz w:val="24"/>
              </w:rPr>
            </w:pPr>
            <w:r w:rsidRPr="00D83669">
              <w:rPr>
                <w:rFonts w:ascii="Times New Roman" w:hAnsi="Times New Roman"/>
                <w:color w:val="000000" w:themeColor="text1"/>
                <w:sz w:val="24"/>
              </w:rPr>
              <w:t xml:space="preserve">Данните ще се събрат текущо на база технически отчети с изчерпателен обхват на всички участници. </w:t>
            </w:r>
          </w:p>
          <w:p w14:paraId="1612D494" w14:textId="77777777" w:rsidR="00D857FE" w:rsidRPr="00D83669" w:rsidRDefault="00D857FE" w:rsidP="00CC7BCB">
            <w:pPr>
              <w:jc w:val="both"/>
              <w:rPr>
                <w:rFonts w:ascii="Times New Roman" w:hAnsi="Times New Roman"/>
                <w:color w:val="FF0000"/>
                <w:sz w:val="24"/>
              </w:rPr>
            </w:pPr>
            <w:r w:rsidRPr="00D83669">
              <w:rPr>
                <w:rFonts w:ascii="Times New Roman" w:hAnsi="Times New Roman"/>
                <w:color w:val="000000" w:themeColor="text1"/>
                <w:sz w:val="24"/>
              </w:rPr>
              <w:t xml:space="preserve">Информацията ще включва: пол, възраст, ниво на образование, други демографски данни; </w:t>
            </w:r>
            <w:r w:rsidRPr="00D83669">
              <w:rPr>
                <w:rFonts w:ascii="Times New Roman" w:hAnsi="Times New Roman"/>
                <w:sz w:val="24"/>
              </w:rPr>
              <w:t>видът на обучителния пакет; методология за оценяване на учениците/децата и др.</w:t>
            </w:r>
          </w:p>
        </w:tc>
      </w:tr>
      <w:tr w:rsidR="00D857FE" w:rsidRPr="00D83669" w14:paraId="5ABE6DBC" w14:textId="77777777" w:rsidTr="0069380E">
        <w:tc>
          <w:tcPr>
            <w:tcW w:w="2269" w:type="dxa"/>
            <w:shd w:val="clear" w:color="auto" w:fill="auto"/>
            <w:vAlign w:val="center"/>
          </w:tcPr>
          <w:p w14:paraId="0F739F2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61AD91C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ECF86C8" w14:textId="77777777" w:rsidTr="0069380E">
        <w:tc>
          <w:tcPr>
            <w:tcW w:w="2269" w:type="dxa"/>
            <w:shd w:val="clear" w:color="auto" w:fill="auto"/>
            <w:vAlign w:val="center"/>
          </w:tcPr>
          <w:p w14:paraId="5684BB75" w14:textId="1FC50BA6"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3D186281" w14:textId="77777777" w:rsidR="00D857FE" w:rsidRPr="00D83669" w:rsidRDefault="00D857FE" w:rsidP="00D857FE">
            <w:pPr>
              <w:pStyle w:val="ListParagraph"/>
              <w:numPr>
                <w:ilvl w:val="0"/>
                <w:numId w:val="33"/>
              </w:numPr>
              <w:spacing w:after="0" w:line="240" w:lineRule="auto"/>
              <w:jc w:val="both"/>
              <w:rPr>
                <w:rFonts w:ascii="Times New Roman" w:hAnsi="Times New Roman"/>
                <w:sz w:val="24"/>
              </w:rPr>
            </w:pPr>
            <w:r w:rsidRPr="00D83669">
              <w:rPr>
                <w:rFonts w:ascii="Times New Roman" w:hAnsi="Times New Roman"/>
                <w:sz w:val="24"/>
              </w:rPr>
              <w:t>SOI 2.3 Брой образователни институции, разработили иновативни обучителни пакети;</w:t>
            </w:r>
          </w:p>
          <w:p w14:paraId="6B87B106" w14:textId="77777777" w:rsidR="00D857FE" w:rsidRPr="00D83669" w:rsidRDefault="00D857FE" w:rsidP="00D857FE">
            <w:pPr>
              <w:pStyle w:val="ListParagraph"/>
              <w:numPr>
                <w:ilvl w:val="0"/>
                <w:numId w:val="33"/>
              </w:numPr>
              <w:spacing w:after="0" w:line="240" w:lineRule="auto"/>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2.7 Брой подкрепени деца и ученици;</w:t>
            </w:r>
          </w:p>
          <w:p w14:paraId="4F9F1BEE" w14:textId="77777777" w:rsidR="00D857FE" w:rsidRPr="00D83669" w:rsidRDefault="00D857FE" w:rsidP="00D857FE">
            <w:pPr>
              <w:pStyle w:val="ListParagraph"/>
              <w:numPr>
                <w:ilvl w:val="0"/>
                <w:numId w:val="33"/>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25FF50E7" w14:textId="77777777" w:rsidR="00D857FE" w:rsidRPr="00D83669" w:rsidRDefault="00D857FE" w:rsidP="00D857FE">
            <w:pPr>
              <w:pStyle w:val="ListParagraph"/>
              <w:numPr>
                <w:ilvl w:val="0"/>
                <w:numId w:val="33"/>
              </w:numPr>
              <w:spacing w:after="0" w:line="240" w:lineRule="auto"/>
              <w:jc w:val="both"/>
              <w:rPr>
                <w:rFonts w:ascii="Times New Roman" w:hAnsi="Times New Roman"/>
                <w:color w:val="FF0000"/>
                <w:sz w:val="24"/>
              </w:rPr>
            </w:pPr>
            <w:r w:rsidRPr="00D83669">
              <w:rPr>
                <w:rFonts w:ascii="Times New Roman" w:hAnsi="Times New Roman"/>
                <w:sz w:val="24"/>
                <w:lang w:val="en-US"/>
              </w:rPr>
              <w:t>SRI</w:t>
            </w:r>
            <w:r w:rsidRPr="00D83669">
              <w:rPr>
                <w:rFonts w:ascii="Times New Roman" w:hAnsi="Times New Roman"/>
                <w:sz w:val="24"/>
              </w:rPr>
              <w:t xml:space="preserve"> 2.1 Подобрени образователни резултати на подкрепените деца и ученици</w:t>
            </w:r>
          </w:p>
        </w:tc>
      </w:tr>
      <w:tr w:rsidR="00D857FE" w:rsidRPr="00D83669" w14:paraId="54505FC1" w14:textId="77777777" w:rsidTr="0069380E">
        <w:tc>
          <w:tcPr>
            <w:tcW w:w="2269" w:type="dxa"/>
            <w:shd w:val="clear" w:color="auto" w:fill="auto"/>
            <w:vAlign w:val="center"/>
          </w:tcPr>
          <w:p w14:paraId="0A7290D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shd w:val="clear" w:color="auto" w:fill="auto"/>
            <w:vAlign w:val="center"/>
          </w:tcPr>
          <w:p w14:paraId="682AFD9D" w14:textId="2C5AEA1D" w:rsidR="00D857FE" w:rsidRPr="00D83669" w:rsidRDefault="00D857FE" w:rsidP="00CC7BCB">
            <w:pPr>
              <w:jc w:val="both"/>
              <w:rPr>
                <w:rFonts w:ascii="Times New Roman" w:hAnsi="Times New Roman"/>
                <w:color w:val="FF0000"/>
                <w:sz w:val="24"/>
              </w:rPr>
            </w:pPr>
            <w:r w:rsidRPr="00D83669">
              <w:rPr>
                <w:rFonts w:ascii="Times New Roman" w:hAnsi="Times New Roman"/>
                <w:sz w:val="24"/>
              </w:rPr>
              <w:t>Целевата стойност на показателите обхваща броя на децата и учениците, които се обучават по разработените иновативни обучителни пакети в партниращите си училища/детски градини, включени в дейности по операции по СЦ по чл. 4, пар. 1, буква д) на Приоритет 2 на ПО 2021 – 2027 и е по-малка от броя на всички деца и ученици в дейности по Приоритет 2 на Програмата и по тази специфична цел.</w:t>
            </w:r>
          </w:p>
        </w:tc>
      </w:tr>
    </w:tbl>
    <w:p w14:paraId="2A764249" w14:textId="77777777" w:rsidR="00D857FE" w:rsidRPr="00D83669" w:rsidRDefault="00D857FE" w:rsidP="00D857FE">
      <w:r w:rsidRPr="00D83669">
        <w:br w:type="page"/>
      </w:r>
    </w:p>
    <w:p w14:paraId="15D9B5D3" w14:textId="6002F6E9" w:rsidR="00D857FE" w:rsidRPr="00D83669" w:rsidRDefault="00D857FE" w:rsidP="00D857FE">
      <w:pPr>
        <w:pStyle w:val="Heading1"/>
        <w:rPr>
          <w:rFonts w:ascii="Times New Roman" w:hAnsi="Times New Roman" w:cs="Times New Roman"/>
          <w:lang w:val="bg-BG"/>
        </w:rPr>
      </w:pPr>
      <w:bookmarkStart w:id="171" w:name="_Toc98778796"/>
      <w:bookmarkStart w:id="172" w:name="_Toc100153013"/>
      <w:bookmarkStart w:id="173" w:name="_Toc103586688"/>
      <w:r w:rsidRPr="00D83669">
        <w:rPr>
          <w:rFonts w:ascii="Times New Roman" w:hAnsi="Times New Roman" w:cs="Times New Roman"/>
          <w:lang w:val="bg-BG"/>
        </w:rPr>
        <w:lastRenderedPageBreak/>
        <w:t>ПРИОРИТЕТ 3 – ВРЪЗКА НА ОБРАЗОВАНИЕТО С ПАЗАРА НА ТРУДА</w:t>
      </w:r>
      <w:bookmarkEnd w:id="171"/>
      <w:bookmarkEnd w:id="172"/>
      <w:bookmarkEnd w:id="173"/>
    </w:p>
    <w:p w14:paraId="011A8F30" w14:textId="72F3E792" w:rsidR="005A19D8" w:rsidRPr="00D83669" w:rsidRDefault="00D857FE" w:rsidP="005A19D8">
      <w:pPr>
        <w:pStyle w:val="Heading2"/>
        <w:ind w:left="426"/>
        <w:jc w:val="both"/>
        <w:rPr>
          <w:rFonts w:ascii="Times New Roman" w:hAnsi="Times New Roman" w:cs="Times New Roman"/>
          <w:b/>
          <w:bCs/>
          <w:sz w:val="28"/>
          <w:szCs w:val="28"/>
        </w:rPr>
      </w:pPr>
      <w:bookmarkStart w:id="174" w:name="_Toc103586689"/>
      <w:bookmarkStart w:id="175" w:name="_Toc98778797"/>
      <w:bookmarkStart w:id="176" w:name="_Toc100153014"/>
      <w:r w:rsidRPr="00D83669">
        <w:rPr>
          <w:rFonts w:ascii="Times New Roman" w:hAnsi="Times New Roman" w:cs="Times New Roman"/>
          <w:b/>
          <w:bCs/>
          <w:sz w:val="28"/>
          <w:szCs w:val="28"/>
        </w:rPr>
        <w:t>СЦ по чл. 4, пар. 1, буква д)</w:t>
      </w:r>
      <w:bookmarkEnd w:id="174"/>
      <w:r w:rsidRPr="00D83669">
        <w:rPr>
          <w:rFonts w:ascii="Times New Roman" w:hAnsi="Times New Roman" w:cs="Times New Roman"/>
          <w:b/>
          <w:bCs/>
          <w:sz w:val="28"/>
          <w:szCs w:val="28"/>
        </w:rPr>
        <w:t xml:space="preserve"> </w:t>
      </w:r>
    </w:p>
    <w:p w14:paraId="5C21282E" w14:textId="191CCE14" w:rsidR="00D857FE" w:rsidRPr="00D83669" w:rsidRDefault="00D857FE" w:rsidP="005A19D8">
      <w:pPr>
        <w:jc w:val="both"/>
        <w:rPr>
          <w:rFonts w:ascii="Times New Roman" w:hAnsi="Times New Roman" w:cs="Times New Roman"/>
          <w:color w:val="2E74B5" w:themeColor="accent1" w:themeShade="BF"/>
          <w:sz w:val="24"/>
          <w:szCs w:val="24"/>
        </w:rPr>
      </w:pPr>
      <w:r w:rsidRPr="00D83669">
        <w:rPr>
          <w:rFonts w:ascii="Times New Roman" w:hAnsi="Times New Roman" w:cs="Times New Roman"/>
          <w:color w:val="2E74B5" w:themeColor="accent1" w:themeShade="BF"/>
          <w:sz w:val="24"/>
          <w:szCs w:val="24"/>
        </w:rPr>
        <w:t>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bookmarkEnd w:id="175"/>
      <w:bookmarkEnd w:id="176"/>
      <w:r w:rsidRPr="00D83669">
        <w:rPr>
          <w:rFonts w:ascii="Times New Roman" w:hAnsi="Times New Roman" w:cs="Times New Roman"/>
          <w:color w:val="2E74B5" w:themeColor="accent1" w:themeShade="BF"/>
          <w:sz w:val="24"/>
          <w:szCs w:val="24"/>
        </w:rPr>
        <w:t xml:space="preserve"> </w:t>
      </w:r>
    </w:p>
    <w:p w14:paraId="7F0F6651" w14:textId="5897284E" w:rsidR="00D857FE" w:rsidRPr="00D83669" w:rsidRDefault="00D857FE" w:rsidP="00D857FE">
      <w:pPr>
        <w:pStyle w:val="Heading3"/>
        <w:ind w:left="567"/>
        <w:rPr>
          <w:rFonts w:ascii="Times New Roman" w:hAnsi="Times New Roman" w:cs="Times New Roman"/>
          <w:color w:val="000000" w:themeColor="text1"/>
        </w:rPr>
      </w:pPr>
      <w:bookmarkStart w:id="177" w:name="_Toc98778798"/>
      <w:bookmarkStart w:id="178" w:name="_Toc100153015"/>
      <w:bookmarkStart w:id="179" w:name="_Toc103586690"/>
      <w:r w:rsidRPr="00D83669">
        <w:rPr>
          <w:rFonts w:ascii="Times New Roman" w:hAnsi="Times New Roman" w:cs="Times New Roman"/>
        </w:rPr>
        <w:t>Показатели за крайни продукти</w:t>
      </w:r>
      <w:bookmarkEnd w:id="177"/>
      <w:bookmarkEnd w:id="178"/>
      <w:bookmarkEnd w:id="179"/>
      <w:r w:rsidRPr="00D83669">
        <w:rPr>
          <w:rFonts w:ascii="Times New Roman" w:hAnsi="Times New Roman" w:cs="Times New Roman"/>
          <w:color w:val="000000" w:themeColor="text1"/>
        </w:rPr>
        <w:t xml:space="preserve"> </w:t>
      </w:r>
    </w:p>
    <w:p w14:paraId="0CD52A10" w14:textId="64668726" w:rsidR="00D857FE" w:rsidRPr="00D83669" w:rsidRDefault="00D857FE" w:rsidP="002B495C">
      <w:pPr>
        <w:pStyle w:val="Heading3"/>
        <w:rPr>
          <w:b/>
          <w:bCs/>
          <w:i/>
          <w:iCs/>
          <w:sz w:val="22"/>
          <w:szCs w:val="22"/>
        </w:rPr>
      </w:pPr>
      <w:bookmarkStart w:id="180" w:name="_Toc100153016"/>
      <w:bookmarkStart w:id="181" w:name="_Toc103586691"/>
      <w:r w:rsidRPr="00D83669">
        <w:rPr>
          <w:b/>
          <w:bCs/>
          <w:i/>
          <w:iCs/>
          <w:sz w:val="22"/>
          <w:szCs w:val="22"/>
        </w:rPr>
        <w:t>EECO05 Заети, включително самостоятелно заети</w:t>
      </w:r>
      <w:bookmarkEnd w:id="180"/>
      <w:bookmarkEnd w:id="181"/>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28412B0C" w14:textId="77777777" w:rsidTr="00994927">
        <w:tc>
          <w:tcPr>
            <w:tcW w:w="240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8BB6C5F" w14:textId="666F40FB"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9395A11"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 </w:t>
            </w:r>
          </w:p>
        </w:tc>
      </w:tr>
      <w:tr w:rsidR="00D857FE" w:rsidRPr="00D83669" w14:paraId="297FD113" w14:textId="77777777" w:rsidTr="00994927">
        <w:tc>
          <w:tcPr>
            <w:tcW w:w="2405" w:type="dxa"/>
            <w:shd w:val="clear" w:color="auto" w:fill="auto"/>
            <w:vAlign w:val="center"/>
          </w:tcPr>
          <w:p w14:paraId="671D4259" w14:textId="551CC509"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Показател </w:t>
            </w:r>
          </w:p>
        </w:tc>
        <w:tc>
          <w:tcPr>
            <w:tcW w:w="7235" w:type="dxa"/>
            <w:shd w:val="clear" w:color="auto" w:fill="auto"/>
            <w:vAlign w:val="center"/>
          </w:tcPr>
          <w:p w14:paraId="68874C1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EECO05 Заети, включително самостоятелно заети </w:t>
            </w:r>
          </w:p>
        </w:tc>
      </w:tr>
      <w:tr w:rsidR="00D857FE" w:rsidRPr="00D83669" w14:paraId="0EC28AC7" w14:textId="77777777" w:rsidTr="00994927">
        <w:tc>
          <w:tcPr>
            <w:tcW w:w="2405" w:type="dxa"/>
            <w:shd w:val="clear" w:color="auto" w:fill="auto"/>
            <w:vAlign w:val="center"/>
          </w:tcPr>
          <w:p w14:paraId="278485E5"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22115A51" w14:textId="4BBFBAAB"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17C7352F" w14:textId="77777777" w:rsidTr="00994927">
        <w:tc>
          <w:tcPr>
            <w:tcW w:w="2405" w:type="dxa"/>
            <w:shd w:val="clear" w:color="auto" w:fill="auto"/>
            <w:vAlign w:val="center"/>
          </w:tcPr>
          <w:p w14:paraId="5852B45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77DDEC8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lang w:bidi="bg-BG"/>
              </w:rPr>
              <w:t xml:space="preserve">СЦ по чл. 4, пар. 1, буква д) – </w:t>
            </w:r>
            <w:r w:rsidRPr="00D83669">
              <w:rPr>
                <w:rFonts w:ascii="Times New Roman" w:hAnsi="Times New Roman"/>
                <w:sz w:val="24"/>
                <w:lang w:bidi="bg-BG"/>
              </w:rPr>
              <w:t>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2B6E9043" w14:textId="77777777" w:rsidTr="00994927">
        <w:tc>
          <w:tcPr>
            <w:tcW w:w="2405" w:type="dxa"/>
            <w:shd w:val="clear" w:color="auto" w:fill="auto"/>
            <w:vAlign w:val="center"/>
          </w:tcPr>
          <w:p w14:paraId="50500C9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29FFBF6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Адаптиране на ПОО спрямо динамиката на пазара на труда; </w:t>
            </w:r>
          </w:p>
          <w:p w14:paraId="535E448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развитие на умения за професиите на настоящето и бъдещето;</w:t>
            </w:r>
          </w:p>
          <w:p w14:paraId="6278E4A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Центровете за високи постижения в ПОО;</w:t>
            </w:r>
          </w:p>
          <w:p w14:paraId="52E80E0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Развитие на дуалната система на обучение в ПОО.</w:t>
            </w:r>
          </w:p>
        </w:tc>
      </w:tr>
      <w:tr w:rsidR="00D857FE" w:rsidRPr="00D83669" w14:paraId="4E1DCF3F" w14:textId="77777777" w:rsidTr="00994927">
        <w:tc>
          <w:tcPr>
            <w:tcW w:w="2405" w:type="dxa"/>
            <w:shd w:val="clear" w:color="auto" w:fill="auto"/>
            <w:vAlign w:val="center"/>
          </w:tcPr>
          <w:p w14:paraId="4BA127E4"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235" w:type="dxa"/>
            <w:shd w:val="clear" w:color="auto" w:fill="auto"/>
            <w:vAlign w:val="center"/>
          </w:tcPr>
          <w:p w14:paraId="00842F99" w14:textId="15690824"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Показателят измерва броя на обучените педагогически специалисти, придобили или надградили уменията си при професионалната подготовка на ученици в гимназиален етап на средното образование, в т. ч.: броя на педагогически специалисти, обучени за повишаване на дигиталните умения за обучения за създаване и използване на съвременни цифрови технологии, вкл. умения за интерактивни техники за преподаване, новостите в професиите, които преподават, свързани с цифрова и зелена икономика синия растеж, индустрия 5.0 и ИСИС, брой на учители и преподаватели, включени в дейности на ЦВП в партньорство с бизнеса, висши училища за продължаващата им квалификация и педагогически специалисти и наставници повишили уменията си за преподаване при практическата подготовка в рамките на дуалната система на обучение. </w:t>
            </w:r>
          </w:p>
          <w:p w14:paraId="6A22A4E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Целта на обученията е повишаване на капацитета, квалификацията и уменията на педагогическите специалисти и на наставниците за </w:t>
            </w:r>
            <w:r w:rsidRPr="00D83669">
              <w:rPr>
                <w:rFonts w:ascii="Times New Roman" w:hAnsi="Times New Roman"/>
                <w:sz w:val="24"/>
              </w:rPr>
              <w:lastRenderedPageBreak/>
              <w:t xml:space="preserve">осъществяване на професионалната подготовка на учениците в професионалните училища, вкл. в дуалната система на обучение. </w:t>
            </w:r>
          </w:p>
        </w:tc>
      </w:tr>
      <w:tr w:rsidR="00D857FE" w:rsidRPr="00D83669" w14:paraId="5BA6B0AD" w14:textId="77777777" w:rsidTr="00994927">
        <w:tc>
          <w:tcPr>
            <w:tcW w:w="2405" w:type="dxa"/>
            <w:shd w:val="clear" w:color="auto" w:fill="auto"/>
            <w:vAlign w:val="center"/>
          </w:tcPr>
          <w:p w14:paraId="68A47D33"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Мерна единица</w:t>
            </w:r>
          </w:p>
        </w:tc>
        <w:tc>
          <w:tcPr>
            <w:tcW w:w="7235" w:type="dxa"/>
            <w:shd w:val="clear" w:color="auto" w:fill="auto"/>
            <w:vAlign w:val="center"/>
          </w:tcPr>
          <w:p w14:paraId="0963FB27"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3D991DDB" w14:textId="77777777" w:rsidTr="00994927">
        <w:tc>
          <w:tcPr>
            <w:tcW w:w="2405" w:type="dxa"/>
            <w:shd w:val="clear" w:color="auto" w:fill="auto"/>
            <w:vAlign w:val="center"/>
          </w:tcPr>
          <w:p w14:paraId="24D4CED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Цел</w:t>
            </w:r>
          </w:p>
        </w:tc>
        <w:tc>
          <w:tcPr>
            <w:tcW w:w="7235" w:type="dxa"/>
            <w:shd w:val="clear" w:color="auto" w:fill="auto"/>
            <w:vAlign w:val="center"/>
          </w:tcPr>
          <w:p w14:paraId="130EE5F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8 648 </w:t>
            </w:r>
          </w:p>
        </w:tc>
      </w:tr>
      <w:tr w:rsidR="00D857FE" w:rsidRPr="00D83669" w14:paraId="757AFB14" w14:textId="77777777" w:rsidTr="00994927">
        <w:tc>
          <w:tcPr>
            <w:tcW w:w="2405" w:type="dxa"/>
            <w:shd w:val="clear" w:color="auto" w:fill="auto"/>
            <w:vAlign w:val="center"/>
          </w:tcPr>
          <w:p w14:paraId="361B2E54" w14:textId="1240FC03" w:rsidR="00D857FE" w:rsidRPr="00D83669" w:rsidRDefault="00522E94"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4BCD293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е определена на база изчислените единични разходи за обучения на педагогически специалисти и наставници, прилагани през периода 2018 – 2020 г., за които е предвиден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обучения са свързани с разходи за възнаграждения и са в пряка зависимост от ръста на разходите за труд.</w:t>
            </w:r>
          </w:p>
          <w:p w14:paraId="18B27DD2" w14:textId="796A14A2"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на показателя е сбор от целевите стойности на педагогическите специалисти, които да повишат квалификацията и уменията си от участието им в дейностите по Приоритет 3 в професионалното образование и обучение. Целевата стойност на педагогическите специалисти по професионална подготовка, обхванати в специализирани обучения за повишаване на дигиталните им и други умения, свързани с прехода към цифрова и зелена икономика синия растеж, индустрия 5.0 и ИСИС, включени в дейности на ЦВП в партньорство с бизнеса и висши училища за продължаваща квалификация на учители и преподаватели и включени в обучения, свързани с дуалната система на обучение (6 951), представлява 59% от всички педагогически специалисти в професионалните училища, които по данни на НСИ за учебната 2020/2021 г. са 11 859. Наставниците, включени в обучения за придобиване на педагогически и методически умения са 1 697 представители на работодателите. </w:t>
            </w:r>
          </w:p>
          <w:p w14:paraId="1291912C"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Целевата стойност ще гарантира широк обхват на педагогическите специалисти по учебни предмети от професионалната подготовка, свързани с изучаваната професия или специалност, като се има предвид, че по процедура „Подкрепа за дуалната система на обучение“ е планирано да бъдат включени 735 педагогически специалисти и 706 наставници. </w:t>
            </w:r>
          </w:p>
        </w:tc>
      </w:tr>
      <w:tr w:rsidR="00D857FE" w:rsidRPr="00D83669" w14:paraId="78641CDF" w14:textId="77777777" w:rsidTr="00994927">
        <w:tc>
          <w:tcPr>
            <w:tcW w:w="2405" w:type="dxa"/>
            <w:shd w:val="clear" w:color="auto" w:fill="auto"/>
            <w:vAlign w:val="center"/>
          </w:tcPr>
          <w:p w14:paraId="09FF3404"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1E7B39C6" w14:textId="3B087796" w:rsidR="00D857FE" w:rsidRPr="00D83669" w:rsidRDefault="0081506A" w:rsidP="00CC7BCB">
            <w:pPr>
              <w:spacing w:after="120"/>
              <w:jc w:val="both"/>
              <w:rPr>
                <w:rFonts w:ascii="Times New Roman" w:hAnsi="Times New Roman"/>
                <w:sz w:val="24"/>
              </w:rPr>
            </w:pPr>
            <w:r w:rsidRPr="00D83669">
              <w:rPr>
                <w:rFonts w:ascii="Times New Roman" w:hAnsi="Times New Roman"/>
                <w:sz w:val="24"/>
              </w:rPr>
              <w:t>753</w:t>
            </w:r>
          </w:p>
        </w:tc>
      </w:tr>
      <w:tr w:rsidR="00D857FE" w:rsidRPr="00D83669" w14:paraId="067D286B" w14:textId="77777777" w:rsidTr="00994927">
        <w:tc>
          <w:tcPr>
            <w:tcW w:w="2405" w:type="dxa"/>
            <w:shd w:val="clear" w:color="auto" w:fill="auto"/>
            <w:vAlign w:val="center"/>
          </w:tcPr>
          <w:p w14:paraId="33B47CD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 цел</w:t>
            </w:r>
          </w:p>
        </w:tc>
        <w:tc>
          <w:tcPr>
            <w:tcW w:w="7235" w:type="dxa"/>
            <w:shd w:val="clear" w:color="auto" w:fill="auto"/>
            <w:vAlign w:val="center"/>
          </w:tcPr>
          <w:p w14:paraId="2E261840" w14:textId="6FC4A8EC" w:rsidR="00D857FE" w:rsidRPr="00D83669" w:rsidRDefault="0081506A" w:rsidP="00CC7BCB">
            <w:pPr>
              <w:spacing w:after="120"/>
              <w:jc w:val="both"/>
              <w:rPr>
                <w:rFonts w:ascii="Times New Roman" w:hAnsi="Times New Roman"/>
                <w:sz w:val="24"/>
              </w:rPr>
            </w:pPr>
            <w:r w:rsidRPr="00D83669">
              <w:rPr>
                <w:rFonts w:ascii="Times New Roman" w:hAnsi="Times New Roman"/>
                <w:sz w:val="24"/>
              </w:rPr>
              <w:t xml:space="preserve">Етапната цел за обхванатите учители/преподаватели по професионална подготовка по първите две групи дейности на Приоритет 3, с продължителност на операцията от 5 години се определя на 15% (75% финансов ресурс / 5 години продължителност) с реално изпълнение на дейностите и отчитане стойности на показателя за краен продукт през 2024 г. Операцията за подкрепа на ЦВП по група дейности 3 се предвижда да стартира в края на 2024,  с реално отчитане и верифициране стойностите на показателя за обхванатите учители/преподаватели по професионална подготовка след 2025 г., съответно не се предвиждат етапни цели. Операцията/ите за подкрепа на дуалната система на обучение по </w:t>
            </w:r>
            <w:r w:rsidRPr="00D83669">
              <w:rPr>
                <w:rFonts w:ascii="Times New Roman" w:hAnsi="Times New Roman"/>
                <w:sz w:val="24"/>
              </w:rPr>
              <w:lastRenderedPageBreak/>
              <w:t xml:space="preserve">група дейности 4 на Приоритет 3 ще се реализира в продължение на сходен проект по ОПНОИР с прилагане на подхода Интегрирани териториални инвестиции (ИТИ). В тази връзка, се предвижда операцията/ите да стартират със 100% от определения финансов ресурс за 7 години продължителност, но предвид стартиране физическото изпълнение на дейностите през 2024 г., КБ се </w:t>
            </w:r>
            <w:r w:rsidR="00644DE4" w:rsidRPr="00D83669">
              <w:rPr>
                <w:rFonts w:ascii="Times New Roman" w:hAnsi="Times New Roman"/>
                <w:sz w:val="24"/>
              </w:rPr>
              <w:t>предвижда</w:t>
            </w:r>
            <w:r w:rsidRPr="00D83669">
              <w:rPr>
                <w:rFonts w:ascii="Times New Roman" w:hAnsi="Times New Roman"/>
                <w:sz w:val="24"/>
              </w:rPr>
              <w:t xml:space="preserve"> да отчете към УО стойности на индикаторите за обхванатите учители/преподаватели по професионална подготовка и подкрепени наставници в дуалната система на обучение, в края на годината. Етапната цел се определя на 5% (100% финансов ресурс / 7 години продължителност / 1/3 на участващите представители на целевата група през 2024 г. с реално отчитане и верифициране стойностите на показателя за краен продукт.</w:t>
            </w:r>
          </w:p>
        </w:tc>
      </w:tr>
      <w:tr w:rsidR="00D857FE" w:rsidRPr="00D83669" w14:paraId="12FF2F3A" w14:textId="77777777" w:rsidTr="00994927">
        <w:tc>
          <w:tcPr>
            <w:tcW w:w="2405" w:type="dxa"/>
            <w:shd w:val="clear" w:color="auto" w:fill="auto"/>
            <w:vAlign w:val="center"/>
          </w:tcPr>
          <w:p w14:paraId="0A844A3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Базова стойност</w:t>
            </w:r>
          </w:p>
        </w:tc>
        <w:tc>
          <w:tcPr>
            <w:tcW w:w="7235" w:type="dxa"/>
            <w:shd w:val="clear" w:color="auto" w:fill="auto"/>
            <w:vAlign w:val="center"/>
          </w:tcPr>
          <w:p w14:paraId="101F11E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58A6FA1A" w14:textId="77777777" w:rsidTr="00994927">
        <w:tc>
          <w:tcPr>
            <w:tcW w:w="2405" w:type="dxa"/>
            <w:shd w:val="clear" w:color="auto" w:fill="auto"/>
            <w:vAlign w:val="center"/>
          </w:tcPr>
          <w:p w14:paraId="62C3892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235" w:type="dxa"/>
            <w:shd w:val="clear" w:color="auto" w:fill="auto"/>
            <w:vAlign w:val="center"/>
          </w:tcPr>
          <w:p w14:paraId="02718925"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и педагогически направления/степени. При отчитането ще бъдат представени данни съгласно методологията за събиране на данни за педагогическите специалисти по направление от педагогическата им квалификация в гимназиалното образование по професионална подготовка и за професията и специалността за наставниците, в която преподават, възраст, пол, училище, регион, община, придобита квалификация (квалификационни кредити) и др.</w:t>
            </w:r>
          </w:p>
        </w:tc>
      </w:tr>
      <w:tr w:rsidR="00D857FE" w:rsidRPr="00D83669" w14:paraId="0844D5A7" w14:textId="77777777" w:rsidTr="00994927">
        <w:tc>
          <w:tcPr>
            <w:tcW w:w="2405" w:type="dxa"/>
            <w:shd w:val="clear" w:color="auto" w:fill="auto"/>
            <w:vAlign w:val="center"/>
          </w:tcPr>
          <w:p w14:paraId="18D590F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Обосновка </w:t>
            </w:r>
          </w:p>
        </w:tc>
        <w:tc>
          <w:tcPr>
            <w:tcW w:w="7235" w:type="dxa"/>
            <w:shd w:val="clear" w:color="auto" w:fill="auto"/>
            <w:vAlign w:val="center"/>
          </w:tcPr>
          <w:p w14:paraId="542806B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Събирането на данни за броя на обучените педагогически специалисти и наставници е необходимо за изграждане на база от данни относно ресурсното обезпечаване практическата подготовка на учениците в професионалните училища и кариерното развитие на педагогическите специалисти, както и придобиването на педагогически умения на определените наставници от работодателите в дуалната система на обучение. Броят на извършените квалификационни дейности по програмата ще послужи на национално ниво при разработване на стратегическа визия за провеждане на политика за професионално развитие и квалификация на педагогическите специалисти, подобряване на качеството на професионалното образование и обучение и ефективното планиране на мерки. Данните ще предоставят информация за броя на педагогическите специалисти, които са подготвени за нуждите на професионалната подготовка на учениците в гимназиалния етап на средното образование. </w:t>
            </w:r>
          </w:p>
          <w:p w14:paraId="1E9654ED"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Информацията допринася за оценка на ефекта върху целевите групи – доколко и как промяната в капацитета на педагогическите специалисти и непедагогическия персонал се отразява на целевите групи.</w:t>
            </w:r>
          </w:p>
        </w:tc>
      </w:tr>
      <w:tr w:rsidR="00D857FE" w:rsidRPr="00D83669" w14:paraId="0E6E5B20" w14:textId="77777777" w:rsidTr="00994927">
        <w:tc>
          <w:tcPr>
            <w:tcW w:w="2405" w:type="dxa"/>
            <w:shd w:val="clear" w:color="auto" w:fill="auto"/>
            <w:vAlign w:val="center"/>
          </w:tcPr>
          <w:p w14:paraId="53C51B11"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4BAC4C3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се събират текущо от бенефициенти и се представят с междинните и финални отчети (технически и финансови) на УО. Данните се обработват и валидират от УО всяка година в годишен доклад за напредъка на Програмата. </w:t>
            </w:r>
          </w:p>
          <w:p w14:paraId="2BF5C40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lastRenderedPageBreak/>
              <w:t>Информацията ще включва: демографски данни – пол, възраст, училище, община, район, професия и специалност, за която се отнася обучението и др.</w:t>
            </w:r>
          </w:p>
        </w:tc>
      </w:tr>
      <w:tr w:rsidR="00D857FE" w:rsidRPr="00D83669" w14:paraId="1B44FEB5" w14:textId="77777777" w:rsidTr="00994927">
        <w:tc>
          <w:tcPr>
            <w:tcW w:w="2405" w:type="dxa"/>
            <w:shd w:val="clear" w:color="auto" w:fill="auto"/>
            <w:vAlign w:val="center"/>
          </w:tcPr>
          <w:p w14:paraId="3AAA838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235" w:type="dxa"/>
            <w:shd w:val="clear" w:color="auto" w:fill="auto"/>
            <w:vAlign w:val="center"/>
          </w:tcPr>
          <w:p w14:paraId="3A84FF5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Два пъти годишно</w:t>
            </w:r>
          </w:p>
        </w:tc>
      </w:tr>
      <w:tr w:rsidR="00D857FE" w:rsidRPr="00D83669" w14:paraId="5D138148" w14:textId="77777777" w:rsidTr="00994927">
        <w:trPr>
          <w:trHeight w:val="421"/>
        </w:trPr>
        <w:tc>
          <w:tcPr>
            <w:tcW w:w="2405" w:type="dxa"/>
            <w:shd w:val="clear" w:color="auto" w:fill="auto"/>
            <w:vAlign w:val="center"/>
          </w:tcPr>
          <w:p w14:paraId="40EC2585" w14:textId="75A67698"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3E6828E5" w14:textId="77777777" w:rsidR="00D857FE" w:rsidRPr="00D83669" w:rsidRDefault="00D857FE" w:rsidP="00D857FE">
            <w:pPr>
              <w:pStyle w:val="ListParagraph"/>
              <w:numPr>
                <w:ilvl w:val="0"/>
                <w:numId w:val="22"/>
              </w:numPr>
              <w:spacing w:after="120" w:line="240" w:lineRule="auto"/>
              <w:jc w:val="both"/>
              <w:rPr>
                <w:rFonts w:ascii="Times New Roman" w:hAnsi="Times New Roman"/>
                <w:sz w:val="24"/>
              </w:rPr>
            </w:pPr>
            <w:r w:rsidRPr="00D83669">
              <w:rPr>
                <w:rFonts w:ascii="Times New Roman" w:hAnsi="Times New Roman"/>
                <w:sz w:val="24"/>
              </w:rPr>
              <w:t>SOI 3.1. Брой професионални училища, въвели модернизирани учебни програми по професионална подготовка;</w:t>
            </w:r>
          </w:p>
          <w:p w14:paraId="3CF5C144" w14:textId="77777777" w:rsidR="00D857FE" w:rsidRPr="00D83669" w:rsidRDefault="00D857FE" w:rsidP="00D857FE">
            <w:pPr>
              <w:pStyle w:val="ListParagraph"/>
              <w:numPr>
                <w:ilvl w:val="0"/>
                <w:numId w:val="22"/>
              </w:numPr>
              <w:spacing w:after="120" w:line="240" w:lineRule="auto"/>
              <w:jc w:val="both"/>
              <w:rPr>
                <w:rFonts w:ascii="Times New Roman" w:hAnsi="Times New Roman"/>
                <w:sz w:val="24"/>
              </w:rPr>
            </w:pPr>
            <w:r w:rsidRPr="00D83669">
              <w:rPr>
                <w:rFonts w:ascii="Times New Roman" w:hAnsi="Times New Roman"/>
                <w:sz w:val="24"/>
              </w:rPr>
              <w:t xml:space="preserve">SOI 3.2. Брой подкрепени Центрове за високи постижения; </w:t>
            </w:r>
          </w:p>
          <w:p w14:paraId="3B043302" w14:textId="77777777" w:rsidR="00D857FE" w:rsidRPr="00D83669" w:rsidRDefault="00D857FE" w:rsidP="00D857FE">
            <w:pPr>
              <w:pStyle w:val="ListParagraph"/>
              <w:numPr>
                <w:ilvl w:val="0"/>
                <w:numId w:val="22"/>
              </w:numPr>
              <w:spacing w:after="120" w:line="240" w:lineRule="auto"/>
              <w:jc w:val="both"/>
              <w:rPr>
                <w:rFonts w:ascii="Times New Roman" w:hAnsi="Times New Roman"/>
                <w:sz w:val="24"/>
              </w:rPr>
            </w:pPr>
            <w:r w:rsidRPr="00D83669">
              <w:rPr>
                <w:rFonts w:ascii="Times New Roman" w:hAnsi="Times New Roman"/>
                <w:sz w:val="24"/>
              </w:rPr>
              <w:t xml:space="preserve">SOI 3.3. Брой училища въвели дуална система на обучение; </w:t>
            </w:r>
          </w:p>
          <w:p w14:paraId="2B259D62" w14:textId="77777777" w:rsidR="00D857FE" w:rsidRPr="00D83669" w:rsidRDefault="00D857FE" w:rsidP="00D857FE">
            <w:pPr>
              <w:pStyle w:val="ListParagraph"/>
              <w:numPr>
                <w:ilvl w:val="0"/>
                <w:numId w:val="22"/>
              </w:numPr>
              <w:spacing w:after="120" w:line="240" w:lineRule="auto"/>
              <w:contextualSpacing w:val="0"/>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7DD6A15F" w14:textId="77777777" w:rsidTr="00994927">
        <w:trPr>
          <w:trHeight w:val="421"/>
        </w:trPr>
        <w:tc>
          <w:tcPr>
            <w:tcW w:w="2405" w:type="dxa"/>
            <w:shd w:val="clear" w:color="auto" w:fill="auto"/>
            <w:vAlign w:val="center"/>
          </w:tcPr>
          <w:p w14:paraId="5053885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2FA23BA3" w14:textId="0E20AD38"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Целевата стойност на показателя обхваща броя на назначените в образователната система педагогически специалисти и наставници в дуалната система на обучение, участници в дейностите по СЦ по чл. 4, пар. 1, буква д) на ПО 2021 – 2027 и е по-малка от броя на всички участници в дейности по тази специфична цел.</w:t>
            </w:r>
          </w:p>
        </w:tc>
      </w:tr>
    </w:tbl>
    <w:p w14:paraId="5E59AA31" w14:textId="017D9988" w:rsidR="00D857FE" w:rsidRPr="00D83669" w:rsidRDefault="00D857FE" w:rsidP="00D857FE"/>
    <w:p w14:paraId="30E301A7" w14:textId="09F87A9B" w:rsidR="00D857FE" w:rsidRPr="00D83669" w:rsidRDefault="00D857FE" w:rsidP="002B495C">
      <w:pPr>
        <w:pStyle w:val="Heading3"/>
        <w:rPr>
          <w:b/>
          <w:bCs/>
          <w:i/>
          <w:iCs/>
          <w:sz w:val="22"/>
          <w:szCs w:val="22"/>
        </w:rPr>
      </w:pPr>
      <w:bookmarkStart w:id="182" w:name="_Toc100153017"/>
      <w:bookmarkStart w:id="183" w:name="_Toc103586692"/>
      <w:r w:rsidRPr="00D83669">
        <w:rPr>
          <w:b/>
          <w:bCs/>
          <w:i/>
          <w:iCs/>
          <w:sz w:val="22"/>
          <w:szCs w:val="22"/>
        </w:rPr>
        <w:t>EECO09 Участници с прогимназиален етап на основното образование или по-ниска степен (ISCED 0-2)</w:t>
      </w:r>
      <w:bookmarkEnd w:id="182"/>
      <w:bookmarkEnd w:id="183"/>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77"/>
      </w:tblGrid>
      <w:tr w:rsidR="00D857FE" w:rsidRPr="00D83669" w14:paraId="01DEB3BA" w14:textId="77777777" w:rsidTr="00D02528">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FC33412" w14:textId="16A1E489"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EB1463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044E8727" w14:textId="77777777" w:rsidTr="00D02528">
        <w:tc>
          <w:tcPr>
            <w:tcW w:w="2263" w:type="dxa"/>
            <w:shd w:val="clear" w:color="auto" w:fill="auto"/>
            <w:vAlign w:val="center"/>
          </w:tcPr>
          <w:p w14:paraId="57A18597" w14:textId="5BC90F2B"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6A8ED35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EECO09 Участници с прогимназиален етап на основното образование или по-ниска степен (ISCED 0-2)</w:t>
            </w:r>
          </w:p>
        </w:tc>
      </w:tr>
      <w:tr w:rsidR="00D857FE" w:rsidRPr="00D83669" w14:paraId="2AB736E8" w14:textId="77777777" w:rsidTr="00D02528">
        <w:tc>
          <w:tcPr>
            <w:tcW w:w="2263" w:type="dxa"/>
            <w:shd w:val="clear" w:color="auto" w:fill="auto"/>
            <w:vAlign w:val="center"/>
          </w:tcPr>
          <w:p w14:paraId="53A38EC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44A93731" w14:textId="4B57D5B0"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05A42696" w14:textId="77777777" w:rsidTr="00D02528">
        <w:tc>
          <w:tcPr>
            <w:tcW w:w="2263" w:type="dxa"/>
            <w:shd w:val="clear" w:color="auto" w:fill="auto"/>
            <w:vAlign w:val="center"/>
          </w:tcPr>
          <w:p w14:paraId="51C22F8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21A658AA" w14:textId="77777777" w:rsidR="00D857FE" w:rsidRPr="00D83669" w:rsidRDefault="00D857FE" w:rsidP="00CC7BCB">
            <w:pPr>
              <w:jc w:val="both"/>
              <w:rPr>
                <w:rFonts w:ascii="Times New Roman" w:hAnsi="Times New Roman"/>
                <w:sz w:val="24"/>
              </w:rPr>
            </w:pPr>
            <w:r w:rsidRPr="00D83669">
              <w:rPr>
                <w:rFonts w:ascii="Times New Roman" w:hAnsi="Times New Roman"/>
                <w:b/>
                <w:sz w:val="24"/>
                <w:lang w:bidi="bg-BG"/>
              </w:rPr>
              <w:t xml:space="preserve">СЦ по чл. 4, пар. 1, буква д) – </w:t>
            </w:r>
            <w:r w:rsidRPr="00D83669">
              <w:rPr>
                <w:rFonts w:ascii="Times New Roman" w:hAnsi="Times New Roman"/>
                <w:sz w:val="24"/>
                <w:lang w:bidi="bg-BG"/>
              </w:rPr>
              <w:t>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674551D5" w14:textId="77777777" w:rsidTr="00D02528">
        <w:trPr>
          <w:trHeight w:val="343"/>
        </w:trPr>
        <w:tc>
          <w:tcPr>
            <w:tcW w:w="2263" w:type="dxa"/>
            <w:shd w:val="clear" w:color="auto" w:fill="auto"/>
            <w:vAlign w:val="center"/>
          </w:tcPr>
          <w:p w14:paraId="0568FE2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27EA870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Адаптиране на ПОО спрямо динамиката на пазара на труда;</w:t>
            </w:r>
          </w:p>
          <w:p w14:paraId="6B4A796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развитие на умения за професиите на настоящето и бъдещето;</w:t>
            </w:r>
          </w:p>
          <w:p w14:paraId="2320FD5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Центровете за високи постижения в ПОО;</w:t>
            </w:r>
          </w:p>
          <w:p w14:paraId="43A331F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Развитие на дуалната система на обучение в ПОО </w:t>
            </w:r>
          </w:p>
          <w:p w14:paraId="66BFCDC1" w14:textId="03AD9E74" w:rsidR="00D857FE" w:rsidRPr="00D83669" w:rsidRDefault="00D857FE" w:rsidP="00CC7BCB">
            <w:pPr>
              <w:jc w:val="both"/>
              <w:rPr>
                <w:rFonts w:ascii="Times New Roman" w:hAnsi="Times New Roman"/>
                <w:sz w:val="24"/>
              </w:rPr>
            </w:pPr>
            <w:r w:rsidRPr="00D83669">
              <w:rPr>
                <w:rFonts w:ascii="Times New Roman" w:hAnsi="Times New Roman"/>
                <w:sz w:val="24"/>
              </w:rPr>
              <w:t>- Достъп на уязвими групи, групи в неравностойно положение и непедагогически персонал до ВО.</w:t>
            </w:r>
          </w:p>
        </w:tc>
      </w:tr>
      <w:tr w:rsidR="00D857FE" w:rsidRPr="00D83669" w14:paraId="55344951" w14:textId="77777777" w:rsidTr="00D02528">
        <w:tc>
          <w:tcPr>
            <w:tcW w:w="2263" w:type="dxa"/>
            <w:shd w:val="clear" w:color="auto" w:fill="auto"/>
            <w:vAlign w:val="center"/>
          </w:tcPr>
          <w:p w14:paraId="696147B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Дефиниция </w:t>
            </w:r>
          </w:p>
        </w:tc>
        <w:tc>
          <w:tcPr>
            <w:tcW w:w="7377" w:type="dxa"/>
            <w:shd w:val="clear" w:color="auto" w:fill="auto"/>
            <w:vAlign w:val="center"/>
          </w:tcPr>
          <w:p w14:paraId="54095AE6" w14:textId="36A46FA1"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учениците, които участват в дейности по приоритет 3, както следва:</w:t>
            </w:r>
          </w:p>
          <w:p w14:paraId="05F1097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в ПОО: ученици в „риск от отпадане“, включени в допълнително обучение и/или гъвкави пътеки за повторно включване, ученици преминали допълнителни занимания и ученически практики в реална работна среда, ученици, включени в допълнителни учебни дейности на високо ниво на практическо обучение, ученици, включени в допълнителни занимания по чужд език и/или професионална подготовка, ученици, участващи в „пробно стажуване“ в партниращо предприятие при обучение в дуалната система на обучение в ПОО;</w:t>
            </w:r>
          </w:p>
          <w:p w14:paraId="0B04E0E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във висшето образование: броя на учениците от втори гимназиален етап, вкл. и такива от уязвими групи, които са включени в дейности за подготовка за явяване на ДЗИ или за явяване на кандидатстудентски изпити.</w:t>
            </w:r>
          </w:p>
        </w:tc>
      </w:tr>
      <w:tr w:rsidR="00D857FE" w:rsidRPr="00D83669" w14:paraId="37FB70EE" w14:textId="77777777" w:rsidTr="00D02528">
        <w:tc>
          <w:tcPr>
            <w:tcW w:w="2263" w:type="dxa"/>
            <w:shd w:val="clear" w:color="auto" w:fill="auto"/>
            <w:vAlign w:val="center"/>
          </w:tcPr>
          <w:p w14:paraId="51ED94F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7" w:type="dxa"/>
            <w:shd w:val="clear" w:color="auto" w:fill="auto"/>
            <w:vAlign w:val="center"/>
          </w:tcPr>
          <w:p w14:paraId="2279DC0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23FCD492" w14:textId="77777777" w:rsidTr="00D02528">
        <w:tc>
          <w:tcPr>
            <w:tcW w:w="2263" w:type="dxa"/>
            <w:shd w:val="clear" w:color="auto" w:fill="auto"/>
            <w:vAlign w:val="center"/>
          </w:tcPr>
          <w:p w14:paraId="4428399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5637567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108 554 (от които ПОО – 103 088 и ВО 5 466)</w:t>
            </w:r>
          </w:p>
        </w:tc>
      </w:tr>
      <w:tr w:rsidR="00D857FE" w:rsidRPr="00D83669" w14:paraId="26393044" w14:textId="77777777" w:rsidTr="00D02528">
        <w:tc>
          <w:tcPr>
            <w:tcW w:w="2263" w:type="dxa"/>
            <w:shd w:val="clear" w:color="auto" w:fill="auto"/>
            <w:vAlign w:val="center"/>
          </w:tcPr>
          <w:p w14:paraId="3573A78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30EDB7C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е определена на база Стандартна таблица за допустимия размер на почасовото възнаграждение на лицата, наети във връзка с изпълнението на проекти, съфинансирани от Европейския социален фонд по приоритетни оси 2, 3 и 5 на Оперативна програма „Наука и образование за интелигентен растеж“, прилагани към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тези разходи са в пряка зависимост от ръста на разходите за труд.</w:t>
            </w:r>
          </w:p>
          <w:p w14:paraId="2AAF7AA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за ПОО представлява обща стойност (сбор) от целевите стойности на участниците, които ще бъдат обхванати по операциите, планирани в рамките на професионалното образование и обучение и при подкрепа за достъпа до висше образование по Приоритет 3 на „Програма за образование“ и е изчислена на база опита по ОПНОИР за включените по операциите лица, към края на 2020. Целевата стойност представлява 75% от всички учащи в професионалните училища</w:t>
            </w:r>
            <w:r w:rsidRPr="00D83669">
              <w:rPr>
                <w:rStyle w:val="FootnoteReference"/>
                <w:rFonts w:ascii="Times New Roman" w:hAnsi="Times New Roman"/>
                <w:sz w:val="24"/>
              </w:rPr>
              <w:footnoteReference w:id="7"/>
            </w:r>
            <w:r w:rsidRPr="00D83669">
              <w:rPr>
                <w:rFonts w:ascii="Times New Roman" w:hAnsi="Times New Roman"/>
                <w:sz w:val="24"/>
              </w:rPr>
              <w:t>, които по данни на НСИ за учебната 2020/2021 г. са 138 656 (103 088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138 656 =</w:t>
            </w:r>
            <w:r w:rsidRPr="00D83669">
              <w:rPr>
                <w:rFonts w:ascii="Times New Roman" w:hAnsi="Times New Roman"/>
                <w:sz w:val="24"/>
                <w:lang w:val="en-US"/>
              </w:rPr>
              <w:t> </w:t>
            </w:r>
            <w:r w:rsidRPr="00D83669">
              <w:rPr>
                <w:rFonts w:ascii="Times New Roman" w:hAnsi="Times New Roman"/>
                <w:sz w:val="24"/>
              </w:rPr>
              <w:t>75% със закръгляване).</w:t>
            </w:r>
          </w:p>
          <w:p w14:paraId="2900FEB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за ВО представлява 2 % от учениците в гимназиален етап (по данни на НСИ за 2019/2020 г. 267 892 ученика), отчитайки че операцията ще се реализира чрез подбор на проектни предложения.</w:t>
            </w:r>
          </w:p>
        </w:tc>
      </w:tr>
      <w:tr w:rsidR="00D857FE" w:rsidRPr="00D83669" w14:paraId="72BB84ED" w14:textId="77777777" w:rsidTr="00D02528">
        <w:tc>
          <w:tcPr>
            <w:tcW w:w="2263" w:type="dxa"/>
            <w:shd w:val="clear" w:color="auto" w:fill="auto"/>
            <w:vAlign w:val="center"/>
          </w:tcPr>
          <w:p w14:paraId="7AFD5C7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377" w:type="dxa"/>
            <w:shd w:val="clear" w:color="auto" w:fill="auto"/>
            <w:vAlign w:val="center"/>
          </w:tcPr>
          <w:p w14:paraId="64D24C07" w14:textId="41A85974" w:rsidR="00D857FE" w:rsidRPr="00D83669" w:rsidRDefault="006E0BDE" w:rsidP="00CC7BCB">
            <w:pPr>
              <w:jc w:val="both"/>
              <w:rPr>
                <w:rFonts w:ascii="Times New Roman" w:hAnsi="Times New Roman"/>
                <w:sz w:val="24"/>
              </w:rPr>
            </w:pPr>
            <w:r w:rsidRPr="00D83669">
              <w:rPr>
                <w:rFonts w:ascii="Times New Roman" w:hAnsi="Times New Roman"/>
                <w:sz w:val="24"/>
              </w:rPr>
              <w:t>10 638</w:t>
            </w:r>
            <w:r w:rsidR="00D857FE" w:rsidRPr="00D83669">
              <w:rPr>
                <w:rFonts w:ascii="Times New Roman" w:hAnsi="Times New Roman"/>
                <w:sz w:val="24"/>
              </w:rPr>
              <w:t xml:space="preserve"> (От които ПОО –</w:t>
            </w:r>
            <w:r w:rsidR="00F50882" w:rsidRPr="00D83669">
              <w:rPr>
                <w:rFonts w:ascii="Times New Roman" w:hAnsi="Times New Roman"/>
                <w:sz w:val="24"/>
              </w:rPr>
              <w:t xml:space="preserve">9 727 </w:t>
            </w:r>
            <w:r w:rsidR="00D857FE" w:rsidRPr="00D83669">
              <w:rPr>
                <w:rFonts w:ascii="Times New Roman" w:hAnsi="Times New Roman"/>
                <w:sz w:val="24"/>
              </w:rPr>
              <w:t xml:space="preserve">и ВО – </w:t>
            </w:r>
            <w:r w:rsidRPr="00D83669">
              <w:rPr>
                <w:rFonts w:ascii="Times New Roman" w:hAnsi="Times New Roman"/>
                <w:sz w:val="24"/>
              </w:rPr>
              <w:t>911</w:t>
            </w:r>
            <w:r w:rsidR="00D857FE" w:rsidRPr="00D83669">
              <w:rPr>
                <w:rFonts w:ascii="Times New Roman" w:hAnsi="Times New Roman"/>
                <w:sz w:val="24"/>
              </w:rPr>
              <w:t>)</w:t>
            </w:r>
          </w:p>
        </w:tc>
      </w:tr>
      <w:tr w:rsidR="00D857FE" w:rsidRPr="00D83669" w14:paraId="4B7BC940" w14:textId="77777777" w:rsidTr="00D02528">
        <w:tc>
          <w:tcPr>
            <w:tcW w:w="2263" w:type="dxa"/>
            <w:shd w:val="clear" w:color="auto" w:fill="auto"/>
            <w:vAlign w:val="center"/>
          </w:tcPr>
          <w:p w14:paraId="1EE776E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определяне на междинната цел</w:t>
            </w:r>
          </w:p>
        </w:tc>
        <w:tc>
          <w:tcPr>
            <w:tcW w:w="7377" w:type="dxa"/>
            <w:shd w:val="clear" w:color="auto" w:fill="auto"/>
            <w:vAlign w:val="center"/>
          </w:tcPr>
          <w:p w14:paraId="109BFE69" w14:textId="5FC68C24" w:rsidR="00D857FE" w:rsidRPr="00D83669" w:rsidRDefault="00D857FE" w:rsidP="00CC7BCB">
            <w:pPr>
              <w:jc w:val="both"/>
              <w:rPr>
                <w:rFonts w:ascii="Times New Roman" w:hAnsi="Times New Roman"/>
                <w:sz w:val="24"/>
              </w:rPr>
            </w:pPr>
            <w:r w:rsidRPr="00D83669">
              <w:rPr>
                <w:rFonts w:ascii="Times New Roman" w:hAnsi="Times New Roman"/>
                <w:sz w:val="24"/>
              </w:rPr>
              <w:t xml:space="preserve">Междинната цел представлява обща стойност от предвидените междинни цели за операциите в рамките на системата на ПОО и за ВО. </w:t>
            </w:r>
            <w:r w:rsidR="00F50882" w:rsidRPr="00D83669">
              <w:rPr>
                <w:rFonts w:ascii="Times New Roman" w:hAnsi="Times New Roman"/>
                <w:sz w:val="24"/>
              </w:rPr>
              <w:t>Етапната цел за ПОО за обхванатите ученици в паралелки по професионална подготовка по първите две групи дейности на Приоритет 3, с продължителност на операцията  от 5 години се определя на 15% (75% финансов ресурс / 5 години продължителност) с реално изпълнение на дейностите и отчитане стойности на показателя за краен продукт през 2024 г. Операцията за подкрепа на ЦВП по група дейности 3 се предвижда да стартира в края на 2024, с реално отчитане и верифициране стойностите на индикатора за обхванатите ученици след 2025 г., съответно не се предвиждат етапни цели. Операцията/ите за подкрепа на дуалната система на обучение по група дейности 4 на Приоритет 3 ще се реализира/т в продължение на сходен проект по ОПНОИР с прилагане на подхода Интегрирани териториални инвестиции (ИТИ). В тази връзка, се предвижда операцията/ите да стартират със 100% от определения финансов ресурс за 7 години продължителност, но предвид стартиране физическото изпълнение на дейностите през 2024 г., КБ се предви</w:t>
            </w:r>
            <w:r w:rsidR="00F06240">
              <w:rPr>
                <w:rFonts w:ascii="Times New Roman" w:hAnsi="Times New Roman"/>
                <w:sz w:val="24"/>
              </w:rPr>
              <w:t>ж</w:t>
            </w:r>
            <w:r w:rsidR="00F50882" w:rsidRPr="00D83669">
              <w:rPr>
                <w:rFonts w:ascii="Times New Roman" w:hAnsi="Times New Roman"/>
                <w:sz w:val="24"/>
              </w:rPr>
              <w:t>да да отчете към УО стойности на индикаторите за обхванатите ученици в края на годината. Етапната цел се определя на 5% (100% финансов ресурс / 7 години продължителност / 1/3 на участващите представители на целевата група през 2024 г. с реално отчитане и верифициране стойностите на показателя за краен продукт.</w:t>
            </w:r>
            <w:r w:rsidR="00223936" w:rsidRPr="00D83669">
              <w:rPr>
                <w:rFonts w:ascii="Times New Roman" w:hAnsi="Times New Roman"/>
                <w:sz w:val="24"/>
              </w:rPr>
              <w:t xml:space="preserve"> Етапната цел за ВО представлява 17% от броя на учениците, които се планира да бъдат обхванати в дейности за достъп до висше образование в рамките на операция "Достъп на уязвими групи, групи в неравностойно положение и непедагогически персонал до ВО" (5 466 ученици). Определена е, като е съобразена с план-графика за стартиране на операцията на база 100% финансов ресурс за 3-годишна продължителност на операцията, при планирано стартиране на реалното изпълнение на дейностите през втората половина на 2024 г.</w:t>
            </w:r>
            <w:r w:rsidR="006E0BDE" w:rsidRPr="00D83669">
              <w:rPr>
                <w:rFonts w:ascii="Times New Roman" w:hAnsi="Times New Roman"/>
                <w:sz w:val="24"/>
              </w:rPr>
              <w:t xml:space="preserve"> </w:t>
            </w:r>
            <w:r w:rsidR="00223936" w:rsidRPr="00D83669">
              <w:rPr>
                <w:rFonts w:ascii="Times New Roman" w:hAnsi="Times New Roman"/>
                <w:sz w:val="24"/>
              </w:rPr>
              <w:t>и отчитане стойности на индикатора през третото тримесечие на 2024 г., т.е. до края на 2024 г. реалното изпълнение е половин година (911 = 5 466*100%/3*1/2).</w:t>
            </w:r>
          </w:p>
        </w:tc>
      </w:tr>
      <w:tr w:rsidR="00D857FE" w:rsidRPr="00D83669" w14:paraId="7BA314D4" w14:textId="77777777" w:rsidTr="00D02528">
        <w:tc>
          <w:tcPr>
            <w:tcW w:w="2263" w:type="dxa"/>
            <w:shd w:val="clear" w:color="auto" w:fill="auto"/>
            <w:vAlign w:val="center"/>
          </w:tcPr>
          <w:p w14:paraId="66E4848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377" w:type="dxa"/>
            <w:shd w:val="clear" w:color="auto" w:fill="auto"/>
            <w:vAlign w:val="center"/>
          </w:tcPr>
          <w:p w14:paraId="67BDE91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15537D1D" w14:textId="77777777" w:rsidTr="00D02528">
        <w:tc>
          <w:tcPr>
            <w:tcW w:w="2263" w:type="dxa"/>
            <w:shd w:val="clear" w:color="auto" w:fill="auto"/>
            <w:vAlign w:val="center"/>
          </w:tcPr>
          <w:p w14:paraId="3A62F92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01FE56C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и друга демографска информация за участниците.</w:t>
            </w:r>
          </w:p>
        </w:tc>
      </w:tr>
      <w:tr w:rsidR="00D857FE" w:rsidRPr="00D83669" w14:paraId="12DCAB1E" w14:textId="77777777" w:rsidTr="00D02528">
        <w:tc>
          <w:tcPr>
            <w:tcW w:w="2263" w:type="dxa"/>
            <w:shd w:val="clear" w:color="auto" w:fill="auto"/>
            <w:vAlign w:val="center"/>
          </w:tcPr>
          <w:p w14:paraId="3EF3883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1FBCBBA9" w14:textId="21E49D40"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са необходими с оглед постигане на заложени цели в политиките за образование, в редица стратегически документи за ученици включени обучение по професионална подготовка в гимназиален етап на средното образование групи. Показателят е ориентиран към цели, заложени в стратегически документи например като Стратегическа рамка за развитие на образованието, обучението и ученето на Република България 2021 – 2030 като цел в съответствие с цел 7.2. Формиране и развитие на умения за професиите на настоящето и бъдещето и цел 7.3. Развитие на професионалното </w:t>
            </w:r>
            <w:r w:rsidRPr="00D83669">
              <w:rPr>
                <w:rFonts w:ascii="Times New Roman" w:hAnsi="Times New Roman"/>
                <w:sz w:val="24"/>
              </w:rPr>
              <w:lastRenderedPageBreak/>
              <w:t>образование и обучение, базирано на прехода към цифрова и зелена икономика, Стратегия за развитие на висшето образование в България за периода 2021 – 2030, Национална програма за развитие на България 2030 и др.</w:t>
            </w:r>
          </w:p>
          <w:p w14:paraId="2677FF8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които ще бъдат събрани за ПОО ще проследят броя на учениците които участват в мерки по предотвратяване ранното напускане на училище, чрез прилагане в гъвкави пътеки за повторно включване, допълнителни занимания и ученически практики в реална работна среда, участия в стажове, летни академии и др. в рамките на ЦВП, пробно стажуване и кариерно ориентиране при дуалната система на обучение и др. </w:t>
            </w:r>
          </w:p>
          <w:p w14:paraId="64930D0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които ще бъдат събрани за ВО, ще помогнат за проследяване на ефекта (чрез периодични оценки на ефекта) от предоставената подкрепа за подготовка за явяване на ДЗИ/ кандидатстудентски изпити и постигнатите резултати от участниците на изпитите. </w:t>
            </w:r>
          </w:p>
          <w:p w14:paraId="786697D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измерва напредъка в изпълнението и ще се използва при определяне на политики за модернизиране на училищното професионалното образование и обучение и за достъпа до висше образование.</w:t>
            </w:r>
          </w:p>
        </w:tc>
      </w:tr>
      <w:tr w:rsidR="00D857FE" w:rsidRPr="00D83669" w14:paraId="03599CFC" w14:textId="77777777" w:rsidTr="00D02528">
        <w:tc>
          <w:tcPr>
            <w:tcW w:w="2263" w:type="dxa"/>
            <w:shd w:val="clear" w:color="auto" w:fill="auto"/>
            <w:vAlign w:val="center"/>
          </w:tcPr>
          <w:p w14:paraId="369D496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7" w:type="dxa"/>
            <w:shd w:val="clear" w:color="auto" w:fill="auto"/>
            <w:vAlign w:val="center"/>
          </w:tcPr>
          <w:p w14:paraId="4B16EF4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49E578D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пол и възраст на участника; друга демографска информация; училище, в което се обучава; предмет на обучението; организация, която е провела обучението за подготовка за явяване на ДЗИ/кандидатстудентски изпит.</w:t>
            </w:r>
          </w:p>
        </w:tc>
      </w:tr>
      <w:tr w:rsidR="00D857FE" w:rsidRPr="00D83669" w14:paraId="23966A40" w14:textId="77777777" w:rsidTr="00D02528">
        <w:tc>
          <w:tcPr>
            <w:tcW w:w="2263" w:type="dxa"/>
            <w:shd w:val="clear" w:color="auto" w:fill="auto"/>
            <w:vAlign w:val="center"/>
          </w:tcPr>
          <w:p w14:paraId="1FE830F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29AB16C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0B78F08" w14:textId="77777777" w:rsidTr="00D02528">
        <w:tc>
          <w:tcPr>
            <w:tcW w:w="2263" w:type="dxa"/>
            <w:shd w:val="clear" w:color="auto" w:fill="auto"/>
            <w:vAlign w:val="center"/>
          </w:tcPr>
          <w:p w14:paraId="5C76E06E" w14:textId="5A7161F6"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578CCB3A" w14:textId="77777777" w:rsidR="00D857FE" w:rsidRPr="00D83669" w:rsidRDefault="00D857FE" w:rsidP="00D857FE">
            <w:pPr>
              <w:pStyle w:val="ListParagraph"/>
              <w:numPr>
                <w:ilvl w:val="0"/>
                <w:numId w:val="34"/>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4F5D6628" w14:textId="4AC7FFAB" w:rsidR="00D857FE" w:rsidRPr="00D83669" w:rsidRDefault="00D857FE" w:rsidP="00D857FE">
            <w:pPr>
              <w:pStyle w:val="ListParagraph"/>
              <w:numPr>
                <w:ilvl w:val="0"/>
                <w:numId w:val="34"/>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3.1 Ученици и студенти, започнали да търсят работа;</w:t>
            </w:r>
          </w:p>
          <w:p w14:paraId="4D24F08F" w14:textId="77777777" w:rsidR="00D857FE" w:rsidRPr="00D83669" w:rsidRDefault="00D857FE" w:rsidP="00D857FE">
            <w:pPr>
              <w:pStyle w:val="ListParagraph"/>
              <w:numPr>
                <w:ilvl w:val="0"/>
                <w:numId w:val="34"/>
              </w:numPr>
              <w:spacing w:after="0" w:line="240" w:lineRule="auto"/>
              <w:jc w:val="both"/>
              <w:rPr>
                <w:rFonts w:ascii="Times New Roman" w:hAnsi="Times New Roman"/>
                <w:sz w:val="24"/>
              </w:rPr>
            </w:pPr>
            <w:r w:rsidRPr="00D83669">
              <w:rPr>
                <w:rFonts w:ascii="Times New Roman" w:hAnsi="Times New Roman"/>
                <w:sz w:val="24"/>
              </w:rPr>
              <w:t>SRI 3.3. Участници, които остават в образование;</w:t>
            </w:r>
          </w:p>
          <w:p w14:paraId="1D2D8A99" w14:textId="77777777" w:rsidR="00D857FE" w:rsidRPr="00D83669" w:rsidRDefault="00D857FE" w:rsidP="00D857FE">
            <w:pPr>
              <w:pStyle w:val="ListParagraph"/>
              <w:numPr>
                <w:ilvl w:val="0"/>
                <w:numId w:val="34"/>
              </w:numPr>
              <w:spacing w:after="0" w:line="240" w:lineRule="auto"/>
              <w:jc w:val="both"/>
              <w:rPr>
                <w:rFonts w:ascii="Times New Roman" w:hAnsi="Times New Roman"/>
                <w:sz w:val="24"/>
              </w:rPr>
            </w:pPr>
            <w:r w:rsidRPr="00D83669">
              <w:rPr>
                <w:rFonts w:ascii="Times New Roman" w:hAnsi="Times New Roman"/>
                <w:sz w:val="24"/>
              </w:rPr>
              <w:t>EECR02 Участници, които при напускане на операцията са ангажирани с образование или обучение;</w:t>
            </w:r>
          </w:p>
          <w:p w14:paraId="772AD197" w14:textId="77777777" w:rsidR="00D857FE" w:rsidRPr="00D83669" w:rsidRDefault="00D857FE" w:rsidP="00D857FE">
            <w:pPr>
              <w:pStyle w:val="ListParagraph"/>
              <w:numPr>
                <w:ilvl w:val="0"/>
                <w:numId w:val="34"/>
              </w:numPr>
              <w:spacing w:after="0" w:line="240" w:lineRule="auto"/>
              <w:jc w:val="both"/>
              <w:rPr>
                <w:rFonts w:ascii="Times New Roman" w:hAnsi="Times New Roman"/>
                <w:sz w:val="24"/>
              </w:rPr>
            </w:pPr>
            <w:r w:rsidRPr="00D83669">
              <w:rPr>
                <w:rFonts w:ascii="Times New Roman" w:hAnsi="Times New Roman"/>
                <w:sz w:val="24"/>
              </w:rPr>
              <w:t>EECR04 Участници, които при напускане на операцията имат работа, включително като самостоятелно заети лица.</w:t>
            </w:r>
          </w:p>
        </w:tc>
      </w:tr>
      <w:tr w:rsidR="00D857FE" w:rsidRPr="00D83669" w14:paraId="75FBCC87" w14:textId="77777777" w:rsidTr="00D02528">
        <w:tc>
          <w:tcPr>
            <w:tcW w:w="2263" w:type="dxa"/>
            <w:tcBorders>
              <w:top w:val="single" w:sz="4" w:space="0" w:color="auto"/>
              <w:left w:val="single" w:sz="4" w:space="0" w:color="auto"/>
              <w:bottom w:val="single" w:sz="4" w:space="0" w:color="auto"/>
              <w:right w:val="single" w:sz="4" w:space="0" w:color="auto"/>
            </w:tcBorders>
            <w:shd w:val="clear" w:color="auto" w:fill="auto"/>
            <w:vAlign w:val="center"/>
          </w:tcPr>
          <w:p w14:paraId="5CF7057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7" w:type="dxa"/>
            <w:tcBorders>
              <w:top w:val="single" w:sz="4" w:space="0" w:color="auto"/>
              <w:left w:val="single" w:sz="4" w:space="0" w:color="auto"/>
              <w:bottom w:val="single" w:sz="4" w:space="0" w:color="auto"/>
              <w:right w:val="single" w:sz="4" w:space="0" w:color="auto"/>
            </w:tcBorders>
            <w:shd w:val="clear" w:color="auto" w:fill="auto"/>
            <w:vAlign w:val="center"/>
          </w:tcPr>
          <w:p w14:paraId="0B988A3C" w14:textId="75A83323"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учениците в гимназиално образование, вкл. и такива от уязвими групи, които са получили допълнителна подкрепа за професионалната им подготовка и/или подкрепа за продължаване на образованието във висше училище по СЦ по чл. 4, пар. 1, буква д) на Приоритет 3 на ПО 2021 – 2027 и е по-малка от броя на всички участници в дейности по тази специфична цел на Приоритет 3 на Програмата.</w:t>
            </w:r>
          </w:p>
        </w:tc>
      </w:tr>
    </w:tbl>
    <w:p w14:paraId="57E241BD" w14:textId="77777777" w:rsidR="00D857FE" w:rsidRPr="00D83669" w:rsidRDefault="00D857FE" w:rsidP="00D857FE"/>
    <w:p w14:paraId="1E00E2AD" w14:textId="77777777" w:rsidR="00D857FE" w:rsidRPr="00D83669" w:rsidRDefault="00D857FE" w:rsidP="00D857FE">
      <w:r w:rsidRPr="00D83669">
        <w:br w:type="page"/>
      </w:r>
    </w:p>
    <w:p w14:paraId="2304D9B8" w14:textId="2AB30959" w:rsidR="00D857FE" w:rsidRPr="00D83669" w:rsidRDefault="00D857FE" w:rsidP="002B495C">
      <w:pPr>
        <w:pStyle w:val="Heading3"/>
        <w:rPr>
          <w:b/>
          <w:bCs/>
          <w:i/>
          <w:iCs/>
          <w:sz w:val="22"/>
          <w:szCs w:val="22"/>
        </w:rPr>
      </w:pPr>
      <w:bookmarkStart w:id="184" w:name="_Toc100153018"/>
      <w:bookmarkStart w:id="185" w:name="_Toc103586693"/>
      <w:r w:rsidRPr="00D83669">
        <w:rPr>
          <w:b/>
          <w:bCs/>
          <w:i/>
          <w:iCs/>
          <w:sz w:val="22"/>
          <w:szCs w:val="22"/>
        </w:rPr>
        <w:lastRenderedPageBreak/>
        <w:t>EEC010 Участници със средно образование (ISCED 3) или образование след средното образование (ISCED 4)</w:t>
      </w:r>
      <w:bookmarkEnd w:id="184"/>
      <w:bookmarkEnd w:id="185"/>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1325FC2F" w14:textId="77777777" w:rsidTr="00CE797C">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C213DA4" w14:textId="50BEB4C2"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2466F3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410894F6" w14:textId="77777777" w:rsidTr="00CE797C">
        <w:tc>
          <w:tcPr>
            <w:tcW w:w="2269" w:type="dxa"/>
            <w:shd w:val="clear" w:color="auto" w:fill="auto"/>
            <w:vAlign w:val="center"/>
          </w:tcPr>
          <w:p w14:paraId="33485125" w14:textId="3F2957CF"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785DC98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EEC010 Участници със средно образование (ISCED 3) или образование след средното образование (ISCED 4)</w:t>
            </w:r>
          </w:p>
        </w:tc>
      </w:tr>
      <w:tr w:rsidR="00D857FE" w:rsidRPr="00D83669" w14:paraId="384BEF33" w14:textId="77777777" w:rsidTr="00CE797C">
        <w:tc>
          <w:tcPr>
            <w:tcW w:w="2269" w:type="dxa"/>
            <w:shd w:val="clear" w:color="auto" w:fill="auto"/>
            <w:vAlign w:val="center"/>
          </w:tcPr>
          <w:p w14:paraId="01476A4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2BC4CF28" w14:textId="301A782B"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72F9EE7E" w14:textId="77777777" w:rsidTr="00CE797C">
        <w:tc>
          <w:tcPr>
            <w:tcW w:w="2269" w:type="dxa"/>
            <w:shd w:val="clear" w:color="auto" w:fill="auto"/>
            <w:vAlign w:val="center"/>
          </w:tcPr>
          <w:p w14:paraId="5424495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0F1D52B0" w14:textId="77777777" w:rsidR="00D857FE" w:rsidRPr="00D83669" w:rsidRDefault="00D857FE" w:rsidP="00CC7BCB">
            <w:pPr>
              <w:jc w:val="both"/>
              <w:rPr>
                <w:rFonts w:ascii="Times New Roman" w:hAnsi="Times New Roman"/>
                <w:sz w:val="24"/>
              </w:rPr>
            </w:pPr>
            <w:r w:rsidRPr="00D83669">
              <w:rPr>
                <w:rFonts w:ascii="Times New Roman" w:hAnsi="Times New Roman"/>
                <w:b/>
                <w:sz w:val="24"/>
                <w:lang w:bidi="bg-BG"/>
              </w:rPr>
              <w:t xml:space="preserve">СЦ по чл. 4, пар. 1, буква д) – </w:t>
            </w:r>
            <w:r w:rsidRPr="00D83669">
              <w:rPr>
                <w:rFonts w:ascii="Times New Roman" w:hAnsi="Times New Roman"/>
                <w:sz w:val="24"/>
                <w:lang w:bidi="bg-BG"/>
              </w:rPr>
              <w:t>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2546691B" w14:textId="77777777" w:rsidTr="00CE797C">
        <w:tc>
          <w:tcPr>
            <w:tcW w:w="2269" w:type="dxa"/>
            <w:shd w:val="clear" w:color="auto" w:fill="auto"/>
            <w:vAlign w:val="center"/>
          </w:tcPr>
          <w:p w14:paraId="793F5FB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0F46F653" w14:textId="77777777" w:rsidR="00D857FE" w:rsidRPr="00D83669" w:rsidRDefault="00D857FE" w:rsidP="00D857FE">
            <w:pPr>
              <w:pStyle w:val="ListParagraph"/>
              <w:numPr>
                <w:ilvl w:val="0"/>
                <w:numId w:val="35"/>
              </w:numPr>
              <w:spacing w:after="0" w:line="240" w:lineRule="auto"/>
              <w:jc w:val="both"/>
              <w:rPr>
                <w:rFonts w:ascii="Times New Roman" w:hAnsi="Times New Roman"/>
                <w:sz w:val="24"/>
              </w:rPr>
            </w:pPr>
            <w:r w:rsidRPr="00D83669">
              <w:rPr>
                <w:rFonts w:ascii="Times New Roman" w:hAnsi="Times New Roman"/>
                <w:sz w:val="24"/>
              </w:rPr>
              <w:t>Професионално ориентиране на студентите чрез практики и развиване на предприемачески умения;</w:t>
            </w:r>
          </w:p>
          <w:p w14:paraId="30648CB8" w14:textId="77777777" w:rsidR="00D857FE" w:rsidRPr="00D83669" w:rsidRDefault="00D857FE" w:rsidP="00D857FE">
            <w:pPr>
              <w:pStyle w:val="ListParagraph"/>
              <w:numPr>
                <w:ilvl w:val="0"/>
                <w:numId w:val="35"/>
              </w:numPr>
              <w:spacing w:after="0" w:line="240" w:lineRule="auto"/>
              <w:jc w:val="both"/>
              <w:rPr>
                <w:rFonts w:ascii="Times New Roman" w:hAnsi="Times New Roman"/>
                <w:sz w:val="24"/>
              </w:rPr>
            </w:pPr>
            <w:r w:rsidRPr="00D83669">
              <w:rPr>
                <w:rFonts w:ascii="Times New Roman" w:eastAsia="Calibri" w:hAnsi="Times New Roman"/>
                <w:sz w:val="24"/>
              </w:rPr>
              <w:t>Утвърждаване</w:t>
            </w:r>
            <w:r w:rsidRPr="00D83669">
              <w:rPr>
                <w:rFonts w:ascii="Times New Roman" w:eastAsia="Calibri" w:hAnsi="Times New Roman"/>
                <w:color w:val="000000"/>
                <w:sz w:val="24"/>
              </w:rPr>
              <w:t xml:space="preserve"> на компетентностния подход </w:t>
            </w:r>
            <w:r w:rsidRPr="00D83669">
              <w:rPr>
                <w:rFonts w:ascii="Times New Roman" w:eastAsia="Calibri" w:hAnsi="Times New Roman"/>
                <w:sz w:val="24"/>
              </w:rPr>
              <w:t xml:space="preserve">по важни за икономиката на региона и пазара на труда </w:t>
            </w:r>
            <w:r w:rsidRPr="00D83669">
              <w:rPr>
                <w:rFonts w:ascii="Times New Roman" w:eastAsia="Calibri" w:hAnsi="Times New Roman"/>
                <w:color w:val="000000"/>
                <w:sz w:val="24"/>
              </w:rPr>
              <w:t>професионални направления, в партньорство с бизнеса, разширяване на дигиталните компетентности и дигиталното образователно съдържание във ВО</w:t>
            </w:r>
            <w:r w:rsidRPr="00D83669">
              <w:rPr>
                <w:rFonts w:ascii="Times New Roman" w:hAnsi="Times New Roman"/>
                <w:sz w:val="24"/>
              </w:rPr>
              <w:t>;</w:t>
            </w:r>
          </w:p>
          <w:p w14:paraId="1C773C06" w14:textId="77777777" w:rsidR="00D857FE" w:rsidRPr="00D83669" w:rsidRDefault="00D857FE" w:rsidP="00D857FE">
            <w:pPr>
              <w:pStyle w:val="ListParagraph"/>
              <w:numPr>
                <w:ilvl w:val="0"/>
                <w:numId w:val="35"/>
              </w:numPr>
              <w:spacing w:after="0" w:line="240" w:lineRule="auto"/>
              <w:jc w:val="both"/>
              <w:rPr>
                <w:rFonts w:ascii="Times New Roman" w:hAnsi="Times New Roman"/>
                <w:sz w:val="24"/>
              </w:rPr>
            </w:pPr>
            <w:r w:rsidRPr="00D83669">
              <w:rPr>
                <w:rFonts w:ascii="Times New Roman" w:hAnsi="Times New Roman"/>
                <w:sz w:val="24"/>
              </w:rPr>
              <w:t>Достъп на уязвими групи, групи в неравностойно положение и непедагогически персонал до ВО.</w:t>
            </w:r>
          </w:p>
        </w:tc>
      </w:tr>
      <w:tr w:rsidR="00D857FE" w:rsidRPr="00D83669" w14:paraId="5126E135" w14:textId="77777777" w:rsidTr="00CE797C">
        <w:tc>
          <w:tcPr>
            <w:tcW w:w="2269" w:type="dxa"/>
            <w:shd w:val="clear" w:color="auto" w:fill="auto"/>
            <w:vAlign w:val="center"/>
          </w:tcPr>
          <w:p w14:paraId="193AE9C2"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1" w:type="dxa"/>
            <w:shd w:val="clear" w:color="auto" w:fill="auto"/>
            <w:vAlign w:val="center"/>
          </w:tcPr>
          <w:p w14:paraId="04266CC1" w14:textId="0280C68B"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студентите, които са преминали обучение в реална работна среда, броя на студентите, които са получили подкрепа за развитие на предприемачески умения и компетентност, и на дигитални умения; броя на студентите, преминали мобилност за обучение във връзка с новите програми; броя на студентите, които са записани за обучение по модернизирани учебни програми, разработени в рамките на програмата, и броя на непедагогическия персонал, вкл. образователни медиатори, които ще получат подкрепа за продължаване на образованието във висше училище.</w:t>
            </w:r>
          </w:p>
        </w:tc>
      </w:tr>
      <w:tr w:rsidR="00D857FE" w:rsidRPr="00D83669" w14:paraId="504DFCC2" w14:textId="77777777" w:rsidTr="00CE797C">
        <w:tc>
          <w:tcPr>
            <w:tcW w:w="2269" w:type="dxa"/>
            <w:shd w:val="clear" w:color="auto" w:fill="auto"/>
            <w:vAlign w:val="center"/>
          </w:tcPr>
          <w:p w14:paraId="5B9A97D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54BF773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23907594" w14:textId="77777777" w:rsidTr="00CE797C">
        <w:tc>
          <w:tcPr>
            <w:tcW w:w="2269" w:type="dxa"/>
            <w:shd w:val="clear" w:color="auto" w:fill="auto"/>
            <w:vAlign w:val="center"/>
          </w:tcPr>
          <w:p w14:paraId="5AE66EA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552FBDC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85 375</w:t>
            </w:r>
          </w:p>
        </w:tc>
      </w:tr>
      <w:tr w:rsidR="00D857FE" w:rsidRPr="00D83669" w14:paraId="219B1D37" w14:textId="77777777" w:rsidTr="00CE797C">
        <w:tc>
          <w:tcPr>
            <w:tcW w:w="2269" w:type="dxa"/>
            <w:shd w:val="clear" w:color="auto" w:fill="auto"/>
            <w:vAlign w:val="center"/>
          </w:tcPr>
          <w:p w14:paraId="77FB730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0478993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е определена на база единичните разходи за практическо обучение на студенти, прилагани през периода 2018 – 2020 г., на разходите за разработване и въвеждане на нови учебни програми в одобрените проектни предложения по процедура „Модернизация на висшите училища“ на ОПНОИР, и на база Стандартна таблица за допустимия размер на почасовото възнаграждение на лицата, наети във връзка с изпълнението на проекти, съфинансирани от Европейския социален фонд по приоритетни оси 2, 3 и 5 на Оперативна програма „Наука и </w:t>
            </w:r>
            <w:r w:rsidRPr="00D83669">
              <w:rPr>
                <w:rFonts w:ascii="Times New Roman" w:hAnsi="Times New Roman"/>
                <w:sz w:val="24"/>
              </w:rPr>
              <w:lastRenderedPageBreak/>
              <w:t>образование за интелигентен растеж“, прилагани към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разходите за практическо обучение са свързани с разходи за възнаграждения и са в пряка зависимост от ръста на разходите за труд, както и на база единичните разходи за индивидуална подкрепа за мобилност за обучение, прилагани по програма Еразъм +. Целевата стойност представлява средно 39% от общия брой студенти във висши училища, които по данни на НСИ през 2020/2021 г. са общо 219 791, и от броя на образователните медиатори по проект „Подкрепа за успех“ на ОПНОИР (782). Целевата стойност отразява кумулативния брой на студентите, които ще преминат обучение в реална работна среда (40 099) и студентите, които ще получат подкрепа за развитие на предприемачески умения и компетентност, и на дигитални умения (22 884) в рамките на групи дейности „Професионално ориентиране на студентите чрез практики и развиване на предприемачески умения“, студентите, които ще преминат мобилност за обучение във връзка с новите програми (3 683), студентите, които ще се запишат за обучение по модернизирани учебни програми, разработени в рамките на група дейности „Утвърждаване на компетентностния подход по важни за икономиката на региона и пазара на труда професионални направления, в партньорство с бизнеса, разширяване на дигиталните компетентности и дигиталното образователно съдържание във ВО“ (17 816), непедагогическия персонал, вкл. образователни медиатори, които ще получат подкрепа за продължаване на образованието във висше училище (965, което представлява 15% от общия броя на представителите на целевата група, подкрепена с дейности за достъп до висше образование, на база експертна оценка и с оглед фокуса на подкрепата към ученици от уязвими групи) в рамките на група дейности „Достъп на уязвими групи, групи в неравностойно положение и непедагогически персонал до висше образование“. Изчислената целева стойност ще гарантира широк обхват на целевата група.</w:t>
            </w:r>
          </w:p>
        </w:tc>
      </w:tr>
      <w:tr w:rsidR="00D857FE" w:rsidRPr="00D83669" w14:paraId="71729BD9" w14:textId="77777777" w:rsidTr="00CE797C">
        <w:tc>
          <w:tcPr>
            <w:tcW w:w="2269" w:type="dxa"/>
            <w:shd w:val="clear" w:color="auto" w:fill="auto"/>
            <w:vAlign w:val="center"/>
          </w:tcPr>
          <w:p w14:paraId="56BC83F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7371" w:type="dxa"/>
            <w:shd w:val="clear" w:color="auto" w:fill="auto"/>
            <w:vAlign w:val="center"/>
          </w:tcPr>
          <w:p w14:paraId="191FBBC1" w14:textId="2BE9102F" w:rsidR="00D857FE" w:rsidRPr="00D83669" w:rsidRDefault="008C3F72" w:rsidP="00CC7BCB">
            <w:pPr>
              <w:jc w:val="both"/>
              <w:rPr>
                <w:rFonts w:ascii="Times New Roman" w:hAnsi="Times New Roman"/>
                <w:sz w:val="24"/>
              </w:rPr>
            </w:pPr>
            <w:r w:rsidRPr="00D83669">
              <w:rPr>
                <w:rFonts w:ascii="Times New Roman" w:hAnsi="Times New Roman"/>
                <w:sz w:val="24"/>
              </w:rPr>
              <w:t xml:space="preserve">9 514 </w:t>
            </w:r>
          </w:p>
        </w:tc>
      </w:tr>
      <w:tr w:rsidR="00D857FE" w:rsidRPr="00D83669" w14:paraId="2014CB2E" w14:textId="77777777" w:rsidTr="00CE797C">
        <w:tc>
          <w:tcPr>
            <w:tcW w:w="2269" w:type="dxa"/>
            <w:shd w:val="clear" w:color="auto" w:fill="auto"/>
            <w:vAlign w:val="center"/>
          </w:tcPr>
          <w:p w14:paraId="54D1D1A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1" w:type="dxa"/>
            <w:shd w:val="clear" w:color="auto" w:fill="auto"/>
            <w:vAlign w:val="center"/>
          </w:tcPr>
          <w:p w14:paraId="274DD56B" w14:textId="77777777" w:rsidR="00421805" w:rsidRPr="00D83669" w:rsidRDefault="00F0382B" w:rsidP="00CC7BCB">
            <w:pPr>
              <w:jc w:val="both"/>
              <w:rPr>
                <w:rFonts w:ascii="Times New Roman" w:hAnsi="Times New Roman"/>
                <w:sz w:val="24"/>
              </w:rPr>
            </w:pPr>
            <w:r w:rsidRPr="00D83669">
              <w:rPr>
                <w:rFonts w:ascii="Times New Roman" w:hAnsi="Times New Roman"/>
                <w:sz w:val="24"/>
              </w:rPr>
              <w:t>Етапната цел обхваща:</w:t>
            </w:r>
            <w:r w:rsidR="00421805" w:rsidRPr="00D83669">
              <w:rPr>
                <w:rFonts w:ascii="Times New Roman" w:hAnsi="Times New Roman"/>
                <w:sz w:val="24"/>
              </w:rPr>
              <w:t xml:space="preserve"> </w:t>
            </w:r>
          </w:p>
          <w:p w14:paraId="3DADEDF5" w14:textId="777CCE6A" w:rsidR="00F0382B" w:rsidRPr="00D83669" w:rsidRDefault="00F0382B" w:rsidP="00F36AA1">
            <w:pPr>
              <w:pStyle w:val="ListParagraph"/>
              <w:numPr>
                <w:ilvl w:val="0"/>
                <w:numId w:val="46"/>
              </w:numPr>
              <w:tabs>
                <w:tab w:val="left" w:pos="331"/>
              </w:tabs>
              <w:ind w:left="-119" w:firstLine="119"/>
              <w:jc w:val="both"/>
              <w:rPr>
                <w:rFonts w:ascii="Times New Roman" w:hAnsi="Times New Roman"/>
                <w:sz w:val="24"/>
              </w:rPr>
            </w:pPr>
            <w:r w:rsidRPr="00D83669">
              <w:rPr>
                <w:rFonts w:ascii="Times New Roman" w:hAnsi="Times New Roman"/>
                <w:sz w:val="24"/>
              </w:rPr>
              <w:t xml:space="preserve">17% от броя на непедагогическия персонал, вкл. образователните медиатори, които се планира да бъдат обхванати в дейности за достъп до висше образование в рамките на операция "Достъп на уязвими групи, групи в неравностойно положение и непедагогически персонал до ВО" (965 лица). Определена е съобразно план-графика за стартиране на операцията на база 100% финансов ресурс за 3-годишна продължителност на операцията, при планирано стартиране на реалното изпълнение на дейностите през втората половина на 2024 г.и отчитане стойности на индикатора през третото тримесечие на 2024 г., т.е. до края на 2024 г. реалното изпълнение е половин година (161 = 965*100%/3*1/2);                                                                                                  </w:t>
            </w:r>
          </w:p>
          <w:p w14:paraId="6F0B504F" w14:textId="16E59108" w:rsidR="00D857FE" w:rsidRPr="00D83669" w:rsidRDefault="00F0382B" w:rsidP="00D83669">
            <w:pPr>
              <w:pStyle w:val="ListParagraph"/>
              <w:numPr>
                <w:ilvl w:val="0"/>
                <w:numId w:val="46"/>
              </w:numPr>
              <w:tabs>
                <w:tab w:val="left" w:pos="331"/>
              </w:tabs>
              <w:ind w:left="-119" w:firstLine="119"/>
              <w:jc w:val="both"/>
            </w:pPr>
            <w:r w:rsidRPr="00D83669">
              <w:rPr>
                <w:rFonts w:ascii="Times New Roman" w:hAnsi="Times New Roman"/>
                <w:sz w:val="24"/>
              </w:rPr>
              <w:lastRenderedPageBreak/>
              <w:t xml:space="preserve">20 % от броя на студентите, които се планира да бъдат обхванати в дейности по операция "Професионално ориентиране на студентите чрез практики и развиване на предприемачески умения" (46 768 студенти). Определена е съобразно план-графика за стартиране на дейностите на база 100% финансов ресурс за 5-годишна продължителност на операцията, при планирано стартиране на реалното изпълнение на дейностите в края на 2023 г. и отчитане стойности на индикатора през 2024 г., т.е. до края на 2024 г. реалното изпълнение е една година (9353=46768*100%*1/5).                               Етапната цел е съобразена с планирания период на стартиране на операциите по приоритет 3, поради което при изчисленията не се вземат предвид броя на студентите, които се планира да бъдат обхванати в операция " Утвърждаване на компетентностния подход по важни за икономиката на региона и пазара на труда професионални направления, в партньорство с бизнеса, разширяване на дигиталните компетентности и дигиталното образователно съдържание във ВО" , тъй като тази операция ще стартира в средата на 2025 г., след приключване на проектите по процедура "Модернизация на висшите училища" по ОПНОИР и анализ на резултатите от изпълнението на финансираните проекти.               </w:t>
            </w:r>
          </w:p>
        </w:tc>
      </w:tr>
      <w:tr w:rsidR="00D857FE" w:rsidRPr="00D83669" w14:paraId="1959B4FB" w14:textId="77777777" w:rsidTr="00CE797C">
        <w:tc>
          <w:tcPr>
            <w:tcW w:w="2269" w:type="dxa"/>
            <w:shd w:val="clear" w:color="auto" w:fill="auto"/>
            <w:vAlign w:val="center"/>
          </w:tcPr>
          <w:p w14:paraId="58C36D8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Базова стойност</w:t>
            </w:r>
          </w:p>
        </w:tc>
        <w:tc>
          <w:tcPr>
            <w:tcW w:w="7371" w:type="dxa"/>
            <w:shd w:val="clear" w:color="auto" w:fill="auto"/>
            <w:vAlign w:val="center"/>
          </w:tcPr>
          <w:p w14:paraId="5C4D379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37E4CE90" w14:textId="77777777" w:rsidTr="00CE797C">
        <w:tc>
          <w:tcPr>
            <w:tcW w:w="2269" w:type="dxa"/>
            <w:shd w:val="clear" w:color="auto" w:fill="auto"/>
            <w:vAlign w:val="center"/>
          </w:tcPr>
          <w:p w14:paraId="2180CBF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1" w:type="dxa"/>
            <w:shd w:val="clear" w:color="auto" w:fill="auto"/>
            <w:vAlign w:val="center"/>
          </w:tcPr>
          <w:p w14:paraId="651D80D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 по други демографски фактори. На етап отчитане ще бъдат представени данни за пол, възраст, район, област и община и друга демографска информация за участниците.</w:t>
            </w:r>
          </w:p>
        </w:tc>
      </w:tr>
      <w:tr w:rsidR="00D857FE" w:rsidRPr="00D83669" w14:paraId="68434B0C" w14:textId="77777777" w:rsidTr="00CE797C">
        <w:tc>
          <w:tcPr>
            <w:tcW w:w="2269" w:type="dxa"/>
            <w:shd w:val="clear" w:color="auto" w:fill="auto"/>
            <w:vAlign w:val="center"/>
          </w:tcPr>
          <w:p w14:paraId="5FD539F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121D6F6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за броя на студентите, участващи в практическо обучение по операцията ще осигури информация за това студентите от кои професионални направления и специалности имат най-силен интерес към практическо обучение, което може да бъде използвано за основа на анализи, свързани с актуализиране на учебни планове и програми с оглед по-широко застъпване на практическото обучение на студентите като част от предвиденото обучение в учебните планове.</w:t>
            </w:r>
          </w:p>
          <w:p w14:paraId="0E48995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за броя на студентите, участващи в обучения за развитие на предприемачески умения и компетентност и обучение за развитие на дигитална компетентност ще осигури информация за това студентите от кои професионални направления и специалности имат най-силен интерес към такива обучения, което може да бъде използвано за основа на анализи, свързани с актуализиране на учебни планове и програми с оглед по-широко застъпване на обучения за развитие на предприемачески умения и компетентност и дигиталната компетентност на студентите като част от предвиденото обучение в учебните планове.</w:t>
            </w:r>
          </w:p>
          <w:p w14:paraId="12306CC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Събирането на данни за броя на студентите, участващи в мобилност за обучение в чуждестранен университет ще осигури информация за това студентите от кои професионални направления и специалности </w:t>
            </w:r>
            <w:r w:rsidRPr="00D83669">
              <w:rPr>
                <w:rFonts w:ascii="Times New Roman" w:hAnsi="Times New Roman"/>
                <w:sz w:val="24"/>
              </w:rPr>
              <w:lastRenderedPageBreak/>
              <w:t>имат най-силен интерес към обучения в чужбина и в кои университети в чужбина предпочитат да се обучават, което може да бъде използвано при планирането на бъдещи програми за обучение на чужд език съвместно с чуждестранни висши училища, както и за привличане на преподаватели от университетите, към които имат интерес българските студенти, за осъществяване на преподавателска дейност на студентите в страната. Данните ще бъдат използвани и за анализ дали повишените възможности за мобилност в чужбина дават отражение върху задържането на българските студенти в страната.</w:t>
            </w:r>
          </w:p>
          <w:p w14:paraId="66CA395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за броя на студентите, обучаващи се по модернизирани учебни програми ще осигури информация за това в кои професионални направления, специалности и образователно-квалификационни степени е необходимо да се разработват нови учебни програми. В дългосрочен план данните ще бъдат използвани за анализ дали обучението в модернизирани учебни програми е повишило конкурентостта на пазара на труда на студентите след завършване на тяхното образование.</w:t>
            </w:r>
          </w:p>
          <w:p w14:paraId="770725D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за непедагогическия персонал, вкл. за образователните медиатори, които ще бъдат събрани, ще помогнат за проследяване на ефекта (чрез периодични оценки на ефекта) от предоставената подкрепа за подготовка за кандидатстудентски изпити и постигнатите резултати от участниците на изпитите, а в дългосрочен план и за проследяване на реализация на участниците.</w:t>
            </w:r>
          </w:p>
        </w:tc>
      </w:tr>
      <w:tr w:rsidR="00D857FE" w:rsidRPr="00D83669" w14:paraId="7723C634" w14:textId="77777777" w:rsidTr="00CE797C">
        <w:tc>
          <w:tcPr>
            <w:tcW w:w="2269" w:type="dxa"/>
            <w:shd w:val="clear" w:color="auto" w:fill="auto"/>
            <w:vAlign w:val="center"/>
          </w:tcPr>
          <w:p w14:paraId="78A2F02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1" w:type="dxa"/>
            <w:shd w:val="clear" w:color="auto" w:fill="auto"/>
            <w:vAlign w:val="center"/>
          </w:tcPr>
          <w:p w14:paraId="1DE3545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35268CF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за студентите ще включва: пол, възраст, професионално направление, специалност, висше училище, район, област и община; период и място на провеждане на обучението/мобилността;</w:t>
            </w:r>
            <w:r w:rsidRPr="00D83669">
              <w:t xml:space="preserve"> </w:t>
            </w:r>
            <w:r w:rsidRPr="00D83669">
              <w:rPr>
                <w:rFonts w:ascii="Times New Roman" w:hAnsi="Times New Roman"/>
                <w:sz w:val="24"/>
              </w:rPr>
              <w:t xml:space="preserve">програма, по която се обучава студента, и др. </w:t>
            </w:r>
          </w:p>
          <w:p w14:paraId="22FA4B3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за непедагогическия персонал ще включва: пол и възраст на участника; друга демографска информация; организация, която е провела обучението за подготовка за явяване на кандидатстудентски изпит, учебен предмет, по който е проведено обучението; постигнат резултат, и др.</w:t>
            </w:r>
          </w:p>
        </w:tc>
      </w:tr>
      <w:tr w:rsidR="00D857FE" w:rsidRPr="00D83669" w14:paraId="1778565E" w14:textId="77777777" w:rsidTr="00CE797C">
        <w:tc>
          <w:tcPr>
            <w:tcW w:w="2269" w:type="dxa"/>
            <w:shd w:val="clear" w:color="auto" w:fill="auto"/>
            <w:vAlign w:val="center"/>
          </w:tcPr>
          <w:p w14:paraId="3277C19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374970C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7EA39122" w14:textId="77777777" w:rsidTr="00CE797C">
        <w:trPr>
          <w:trHeight w:val="1385"/>
        </w:trPr>
        <w:tc>
          <w:tcPr>
            <w:tcW w:w="2269" w:type="dxa"/>
            <w:shd w:val="clear" w:color="auto" w:fill="auto"/>
            <w:vAlign w:val="center"/>
          </w:tcPr>
          <w:p w14:paraId="7E95FFFA" w14:textId="214D6976"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5B8A23FD"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5D9378A6" w14:textId="31D398BB"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3.1 – Ученици и студенти, започнали да търсят работа;</w:t>
            </w:r>
          </w:p>
          <w:p w14:paraId="7D886D0A"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3.2. Брой студенти, които се обучават в дуална форма;</w:t>
            </w:r>
          </w:p>
          <w:p w14:paraId="75CC18AF"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3.3. Участници, които остават в образование;</w:t>
            </w:r>
          </w:p>
          <w:p w14:paraId="31DBDBC0"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5A8A170F"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3.4. брой подкрепени стартиращи фирми.</w:t>
            </w:r>
          </w:p>
        </w:tc>
      </w:tr>
      <w:tr w:rsidR="00D857FE" w:rsidRPr="00D83669" w14:paraId="48FDCEFB" w14:textId="77777777" w:rsidTr="00CE797C">
        <w:trPr>
          <w:trHeight w:val="1774"/>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tcPr>
          <w:p w14:paraId="6403BAC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Валидиране</w:t>
            </w:r>
          </w:p>
        </w:tc>
        <w:tc>
          <w:tcPr>
            <w:tcW w:w="7371" w:type="dxa"/>
            <w:tcBorders>
              <w:top w:val="single" w:sz="4" w:space="0" w:color="auto"/>
              <w:left w:val="single" w:sz="4" w:space="0" w:color="auto"/>
              <w:bottom w:val="single" w:sz="4" w:space="0" w:color="auto"/>
              <w:right w:val="single" w:sz="4" w:space="0" w:color="auto"/>
            </w:tcBorders>
            <w:shd w:val="clear" w:color="auto" w:fill="auto"/>
            <w:vAlign w:val="center"/>
          </w:tcPr>
          <w:p w14:paraId="7E20BCF4" w14:textId="45C037E6"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студентите и непедагогическия персонал със средно образование, вкл. образователните медиатори, които са получили подкрепа по операции по СЦ по чл. 4, пар. 1, буква д) на Приоритет 3 на ПО 2021 – 2027 и е по-малка от броя на всички участници в дейности по тази специфична цел на Приоритет 3 на Програмата.</w:t>
            </w:r>
          </w:p>
        </w:tc>
      </w:tr>
    </w:tbl>
    <w:p w14:paraId="4BFA5437" w14:textId="77777777" w:rsidR="00D857FE" w:rsidRPr="00D83669" w:rsidRDefault="00D857FE" w:rsidP="00D857FE"/>
    <w:p w14:paraId="5D7DA46F" w14:textId="77777777" w:rsidR="00D857FE" w:rsidRPr="00D83669" w:rsidRDefault="00D857FE" w:rsidP="00D857FE">
      <w:r w:rsidRPr="00D83669">
        <w:br w:type="page"/>
      </w:r>
    </w:p>
    <w:p w14:paraId="381A2A17" w14:textId="600AB1B7" w:rsidR="00D857FE" w:rsidRPr="00D83669" w:rsidRDefault="00D857FE" w:rsidP="00B2033F">
      <w:pPr>
        <w:pStyle w:val="Heading3"/>
        <w:rPr>
          <w:b/>
          <w:bCs/>
          <w:i/>
          <w:iCs/>
          <w:sz w:val="22"/>
          <w:szCs w:val="22"/>
        </w:rPr>
      </w:pPr>
      <w:bookmarkStart w:id="186" w:name="_Toc100153019"/>
      <w:bookmarkStart w:id="187" w:name="_Toc103586694"/>
      <w:r w:rsidRPr="00D83669">
        <w:rPr>
          <w:b/>
          <w:bCs/>
          <w:i/>
          <w:iCs/>
          <w:sz w:val="22"/>
          <w:szCs w:val="22"/>
        </w:rPr>
        <w:lastRenderedPageBreak/>
        <w:t>EEC011 Участници с висше образование (ISCED 5 до 8)</w:t>
      </w:r>
      <w:bookmarkEnd w:id="186"/>
      <w:bookmarkEnd w:id="187"/>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0B12C295" w14:textId="77777777" w:rsidTr="00FD427B">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ECD802E" w14:textId="7A2D4BCB"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CBB5E0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0B5E71CB" w14:textId="77777777" w:rsidTr="00FD427B">
        <w:tc>
          <w:tcPr>
            <w:tcW w:w="2269" w:type="dxa"/>
            <w:shd w:val="clear" w:color="auto" w:fill="auto"/>
            <w:vAlign w:val="center"/>
          </w:tcPr>
          <w:p w14:paraId="69BF7CA8" w14:textId="36C19166"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721E318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EEC011 Участници с висше образование (ISCED 5 до 8)</w:t>
            </w:r>
          </w:p>
        </w:tc>
      </w:tr>
      <w:tr w:rsidR="00D857FE" w:rsidRPr="00D83669" w14:paraId="1D17EF92" w14:textId="77777777" w:rsidTr="00FD427B">
        <w:tc>
          <w:tcPr>
            <w:tcW w:w="2269" w:type="dxa"/>
            <w:shd w:val="clear" w:color="auto" w:fill="auto"/>
            <w:vAlign w:val="center"/>
          </w:tcPr>
          <w:p w14:paraId="41402E5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563DD4C2" w14:textId="3AF3CA33"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592C1327" w14:textId="77777777" w:rsidTr="00FD427B">
        <w:tc>
          <w:tcPr>
            <w:tcW w:w="2269" w:type="dxa"/>
            <w:shd w:val="clear" w:color="auto" w:fill="auto"/>
            <w:vAlign w:val="center"/>
          </w:tcPr>
          <w:p w14:paraId="3A4E666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6CBAE690" w14:textId="77777777" w:rsidR="00D857FE" w:rsidRPr="00D83669" w:rsidRDefault="00D857FE" w:rsidP="00CC7BCB">
            <w:pPr>
              <w:jc w:val="both"/>
              <w:rPr>
                <w:rFonts w:ascii="Times New Roman" w:hAnsi="Times New Roman"/>
                <w:sz w:val="24"/>
              </w:rPr>
            </w:pPr>
            <w:r w:rsidRPr="00D83669">
              <w:rPr>
                <w:rFonts w:ascii="Times New Roman" w:hAnsi="Times New Roman"/>
                <w:b/>
                <w:sz w:val="24"/>
                <w:lang w:bidi="bg-BG"/>
              </w:rPr>
              <w:t xml:space="preserve">СЦ по чл. 4, пар. 1, буква д) – </w:t>
            </w:r>
            <w:r w:rsidRPr="00D83669">
              <w:rPr>
                <w:rFonts w:ascii="Times New Roman" w:hAnsi="Times New Roman"/>
                <w:sz w:val="24"/>
                <w:lang w:bidi="bg-BG"/>
              </w:rPr>
              <w:t>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598BC24C" w14:textId="77777777" w:rsidTr="00FD427B">
        <w:tc>
          <w:tcPr>
            <w:tcW w:w="2269" w:type="dxa"/>
            <w:shd w:val="clear" w:color="auto" w:fill="auto"/>
            <w:vAlign w:val="center"/>
          </w:tcPr>
          <w:p w14:paraId="0AE7AE4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75160EAB" w14:textId="77777777" w:rsidR="00D857FE" w:rsidRPr="00D83669" w:rsidRDefault="00D857FE" w:rsidP="00D857FE">
            <w:pPr>
              <w:pStyle w:val="ListParagraph"/>
              <w:numPr>
                <w:ilvl w:val="0"/>
                <w:numId w:val="36"/>
              </w:numPr>
              <w:spacing w:after="0" w:line="240" w:lineRule="auto"/>
              <w:jc w:val="both"/>
              <w:rPr>
                <w:rFonts w:ascii="Times New Roman" w:hAnsi="Times New Roman"/>
                <w:sz w:val="24"/>
              </w:rPr>
            </w:pPr>
            <w:r w:rsidRPr="00D83669">
              <w:rPr>
                <w:rFonts w:ascii="Times New Roman" w:hAnsi="Times New Roman"/>
                <w:sz w:val="24"/>
              </w:rPr>
              <w:t>Въвеждане на форми на дуално обучение в приложими специалности във висшето образование;</w:t>
            </w:r>
          </w:p>
          <w:p w14:paraId="6A3DA264" w14:textId="77777777" w:rsidR="00D857FE" w:rsidRPr="00D83669" w:rsidRDefault="00D857FE" w:rsidP="00D857FE">
            <w:pPr>
              <w:pStyle w:val="ListParagraph"/>
              <w:numPr>
                <w:ilvl w:val="0"/>
                <w:numId w:val="36"/>
              </w:numPr>
              <w:spacing w:after="0" w:line="240" w:lineRule="auto"/>
              <w:jc w:val="both"/>
              <w:rPr>
                <w:rFonts w:ascii="Times New Roman" w:hAnsi="Times New Roman"/>
                <w:sz w:val="24"/>
              </w:rPr>
            </w:pPr>
            <w:r w:rsidRPr="00D83669">
              <w:rPr>
                <w:rFonts w:ascii="Times New Roman" w:hAnsi="Times New Roman"/>
                <w:sz w:val="24"/>
              </w:rPr>
              <w:t>Утвърждаване</w:t>
            </w:r>
            <w:r w:rsidRPr="00D83669">
              <w:rPr>
                <w:rFonts w:ascii="Times New Roman" w:hAnsi="Times New Roman"/>
                <w:color w:val="000000" w:themeColor="text1"/>
                <w:sz w:val="24"/>
              </w:rPr>
              <w:t xml:space="preserve"> на компетентностния подход </w:t>
            </w:r>
            <w:r w:rsidRPr="00D83669">
              <w:rPr>
                <w:rFonts w:ascii="Times New Roman" w:hAnsi="Times New Roman"/>
                <w:sz w:val="24"/>
              </w:rPr>
              <w:t xml:space="preserve">по важни за икономиката на региона и пазара на труда </w:t>
            </w:r>
            <w:r w:rsidRPr="00D83669">
              <w:rPr>
                <w:rFonts w:ascii="Times New Roman" w:hAnsi="Times New Roman"/>
                <w:color w:val="000000" w:themeColor="text1"/>
                <w:sz w:val="24"/>
              </w:rPr>
              <w:t>професионални направления, в партньорство с бизнеса, разширяване на дигиталните компетентности и дигиталното образователно съдържание във ВО</w:t>
            </w:r>
            <w:r w:rsidRPr="00D83669">
              <w:rPr>
                <w:rFonts w:ascii="Times New Roman" w:hAnsi="Times New Roman"/>
                <w:sz w:val="24"/>
              </w:rPr>
              <w:t>.</w:t>
            </w:r>
          </w:p>
        </w:tc>
      </w:tr>
      <w:tr w:rsidR="00D857FE" w:rsidRPr="00D83669" w14:paraId="0D1E1583" w14:textId="77777777" w:rsidTr="00FD427B">
        <w:tc>
          <w:tcPr>
            <w:tcW w:w="2269" w:type="dxa"/>
            <w:shd w:val="clear" w:color="auto" w:fill="auto"/>
            <w:vAlign w:val="center"/>
          </w:tcPr>
          <w:p w14:paraId="61A9D3FF"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1" w:type="dxa"/>
            <w:shd w:val="clear" w:color="auto" w:fill="auto"/>
            <w:vAlign w:val="center"/>
          </w:tcPr>
          <w:p w14:paraId="4B36B72D" w14:textId="35A0DFB1"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българските преподаватели, които, в рамките на програмата, са завършили краткосрочна мобилност в чуждестранен университет или успешно са завършили обучение в България; броя на младите преподаватели (до 34 години включително), които са завършили краткосрочна мобилност в чуждестранен университет или успешно са завършили обучение в България; и броя на чуждестранните преподаватели, завършили мобилност за преподаване в българско висше училище.</w:t>
            </w:r>
          </w:p>
        </w:tc>
      </w:tr>
      <w:tr w:rsidR="00D857FE" w:rsidRPr="00D83669" w14:paraId="0D8ED1D4" w14:textId="77777777" w:rsidTr="00FD427B">
        <w:tc>
          <w:tcPr>
            <w:tcW w:w="2269" w:type="dxa"/>
            <w:shd w:val="clear" w:color="auto" w:fill="auto"/>
            <w:vAlign w:val="center"/>
          </w:tcPr>
          <w:p w14:paraId="562C061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71F2E02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7113969C" w14:textId="77777777" w:rsidTr="00FD427B">
        <w:tc>
          <w:tcPr>
            <w:tcW w:w="2269" w:type="dxa"/>
            <w:shd w:val="clear" w:color="auto" w:fill="auto"/>
            <w:vAlign w:val="center"/>
          </w:tcPr>
          <w:p w14:paraId="3B145D6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174FF26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5 608</w:t>
            </w:r>
          </w:p>
        </w:tc>
      </w:tr>
      <w:tr w:rsidR="00D857FE" w:rsidRPr="00D83669" w14:paraId="784638C1" w14:textId="77777777" w:rsidTr="00FD427B">
        <w:tc>
          <w:tcPr>
            <w:tcW w:w="2269" w:type="dxa"/>
            <w:shd w:val="clear" w:color="auto" w:fill="auto"/>
            <w:vAlign w:val="center"/>
          </w:tcPr>
          <w:p w14:paraId="1785D12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03B600B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е определена на база единичните разходи за обучения в България на преподаватели, прилагани през периода 2018 –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единичните разходи за занимания по интереси/допълнителни занимания са свързани с разходи за възнаграждения и са в пряка зависимост от ръста на разходите за труд, както и на база единичните разходи за индивидуална подкрепа за мобилност за преподаване, прилагани по програма Еразъм +. Целевата стойност представлява средно 27% от общия брой преподаватели във висши училища, които по данни на НСИ през 2020/2021 г. са общо 20 716. Целевата стойност отразява кумулативния брой на преподавателите, които ще завършат краткосрочна мобилност в чуждестранен университет или обучение в България (3 916); младите преподаватели (до 34 години включително), </w:t>
            </w:r>
            <w:r w:rsidRPr="00D83669">
              <w:rPr>
                <w:rFonts w:ascii="Times New Roman" w:hAnsi="Times New Roman"/>
                <w:sz w:val="24"/>
              </w:rPr>
              <w:lastRenderedPageBreak/>
              <w:t>които ще завършат краткосрочна мобилност в чуждестранен университет или обучение в България (1 462); и чуждестранните преподаватели, които ще завършат мобилност за преподаване в българско висше училище (230) в рамките на група дейности „Утвърждаване на компетентностния подход по важни за икономиката на региона и пазара на труда професионални направления, в партньорство с бизнеса, разширяване на дигиталните компетентности и дигиталното образователно съдържание във ВО“. Изчислената целева стойност ще гарантира широк обхват на целевата група.</w:t>
            </w:r>
          </w:p>
        </w:tc>
      </w:tr>
      <w:tr w:rsidR="00D857FE" w:rsidRPr="00D83669" w14:paraId="0F20D660" w14:textId="77777777" w:rsidTr="00FD427B">
        <w:tc>
          <w:tcPr>
            <w:tcW w:w="2269" w:type="dxa"/>
            <w:shd w:val="clear" w:color="auto" w:fill="auto"/>
            <w:vAlign w:val="center"/>
          </w:tcPr>
          <w:p w14:paraId="38FC40D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7371" w:type="dxa"/>
            <w:shd w:val="clear" w:color="auto" w:fill="auto"/>
            <w:vAlign w:val="center"/>
          </w:tcPr>
          <w:p w14:paraId="40516F1F" w14:textId="7FF99567" w:rsidR="00D857FE" w:rsidRPr="00D83669" w:rsidRDefault="004E5D5C" w:rsidP="00CC7BCB">
            <w:pPr>
              <w:jc w:val="both"/>
              <w:rPr>
                <w:rFonts w:ascii="Times New Roman" w:hAnsi="Times New Roman"/>
                <w:sz w:val="24"/>
              </w:rPr>
            </w:pPr>
            <w:r w:rsidRPr="00D83669">
              <w:rPr>
                <w:rFonts w:ascii="Times New Roman" w:hAnsi="Times New Roman"/>
                <w:sz w:val="24"/>
              </w:rPr>
              <w:t>0</w:t>
            </w:r>
          </w:p>
        </w:tc>
      </w:tr>
      <w:tr w:rsidR="00D857FE" w:rsidRPr="00D83669" w14:paraId="656181D0" w14:textId="77777777" w:rsidTr="00FD427B">
        <w:tc>
          <w:tcPr>
            <w:tcW w:w="2269" w:type="dxa"/>
            <w:shd w:val="clear" w:color="auto" w:fill="auto"/>
            <w:vAlign w:val="center"/>
          </w:tcPr>
          <w:p w14:paraId="79CCD9B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1" w:type="dxa"/>
            <w:shd w:val="clear" w:color="auto" w:fill="auto"/>
            <w:vAlign w:val="center"/>
          </w:tcPr>
          <w:p w14:paraId="42CA490E" w14:textId="1EAD2882" w:rsidR="00D857FE" w:rsidRPr="00D83669" w:rsidRDefault="004E5D5C" w:rsidP="00CC7BCB">
            <w:pPr>
              <w:jc w:val="both"/>
              <w:rPr>
                <w:rFonts w:ascii="Times New Roman" w:hAnsi="Times New Roman"/>
                <w:sz w:val="24"/>
              </w:rPr>
            </w:pPr>
            <w:r w:rsidRPr="00D83669">
              <w:rPr>
                <w:rFonts w:ascii="Times New Roman" w:hAnsi="Times New Roman"/>
                <w:sz w:val="24"/>
              </w:rPr>
              <w:t xml:space="preserve">Планираният период за стартиране на физическото изпълнение на дейностите по операция "Утвърждаване на компетентностния подход по важни за икономиката на региона и пазара на труда професионални направления, в партньорство с бизнеса, разширяване на дигиталните компетентности и дигиталното образователно съдържание във ВО" е средата на 2025 г., след приключване на проектите по процедура "Модернизация на висшите училища" по ОПНОИР и анализ на резултатите от изпълнението на финансираните проекти, поради което не се планира етапна цел за индикатора.     </w:t>
            </w:r>
          </w:p>
        </w:tc>
      </w:tr>
      <w:tr w:rsidR="00D857FE" w:rsidRPr="00D83669" w14:paraId="1E7615FF" w14:textId="77777777" w:rsidTr="00FD427B">
        <w:tc>
          <w:tcPr>
            <w:tcW w:w="2269" w:type="dxa"/>
            <w:shd w:val="clear" w:color="auto" w:fill="auto"/>
            <w:vAlign w:val="center"/>
          </w:tcPr>
          <w:p w14:paraId="68BDFFB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371" w:type="dxa"/>
            <w:shd w:val="clear" w:color="auto" w:fill="auto"/>
            <w:vAlign w:val="center"/>
          </w:tcPr>
          <w:p w14:paraId="5C07488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649C62C7" w14:textId="77777777" w:rsidTr="00FD427B">
        <w:tc>
          <w:tcPr>
            <w:tcW w:w="2269" w:type="dxa"/>
            <w:shd w:val="clear" w:color="auto" w:fill="auto"/>
            <w:vAlign w:val="center"/>
          </w:tcPr>
          <w:p w14:paraId="33369EE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1" w:type="dxa"/>
            <w:shd w:val="clear" w:color="auto" w:fill="auto"/>
            <w:vAlign w:val="center"/>
          </w:tcPr>
          <w:p w14:paraId="517A871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 по други демографски фактори. На етап отчитане ще бъдат представени данни за пол, възраст, район, област и община и друга демографска информация за участниците.</w:t>
            </w:r>
          </w:p>
        </w:tc>
      </w:tr>
      <w:tr w:rsidR="00D857FE" w:rsidRPr="00D83669" w14:paraId="7E01DD7B" w14:textId="77777777" w:rsidTr="00FD427B">
        <w:tc>
          <w:tcPr>
            <w:tcW w:w="2269" w:type="dxa"/>
            <w:shd w:val="clear" w:color="auto" w:fill="auto"/>
            <w:vAlign w:val="center"/>
          </w:tcPr>
          <w:p w14:paraId="5E8650B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61D2A5C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за броя на обучените преподаватели е необходимо за изграждане на база от данни относно кариерното развитие на преподавателите, обхванати по програмата и тяхното съотношение спрямо всички преподаватели във висши училища в страната. Данните ще предоставят информация какъв е броя на преподавателите, които са подготвени за ефективно прилагане на нови методи на преподаване, на компетентностно базирано обучение на студенти, за въвеждане на нови учебни планове и програми, за въвеждане на дуално обучение на студенти.</w:t>
            </w:r>
          </w:p>
          <w:p w14:paraId="692F0A2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за броя на обучените млади преподаватели е необходимо за изграждане на база от данни относно кариерното развитие на младите преподаватели, обхванати по програмата и тяхното съотношение спрямо всички преподаватели във висши училища в страната. Данните ще позволят да се извърши оценка дали и как предоставянето на възможности за квалификацията на младите преподаватели дава отражение върху повишаването на привлекателността на преподавателската професия сред младите хора, респективно увеличаване на броя на младите преподаватели във висшите училища.</w:t>
            </w:r>
          </w:p>
          <w:p w14:paraId="4CA556DB" w14:textId="77777777" w:rsidR="00D857FE" w:rsidRPr="00D83669" w:rsidRDefault="00D857FE" w:rsidP="00CC7BCB">
            <w:pPr>
              <w:jc w:val="both"/>
              <w:rPr>
                <w:rFonts w:ascii="Times New Roman" w:hAnsi="Times New Roman"/>
                <w:sz w:val="24"/>
              </w:rPr>
            </w:pPr>
            <w:r w:rsidRPr="00D83669">
              <w:rPr>
                <w:rFonts w:ascii="Times New Roman" w:hAnsi="Times New Roman"/>
                <w:sz w:val="24"/>
              </w:rPr>
              <w:lastRenderedPageBreak/>
              <w:t>Събирането на данни за броя на чуждестранните преподаватели, които преподават на български студенти ще осигури информация за това в обучението на студенти от кои професионални направления, специалности и висши училища се осъществява преподавателска дейност от привлечени чуждестранни преподаватели. Тази информация ще бъде съпоставена с информацията за предпочитаните от студентите университети в чужбина и ще бъде използвана за анализ дали привлечените чуждестранни преподаватели и дисциплините, по които преподават, съответстват на предпочитанията на българските студенти.</w:t>
            </w:r>
          </w:p>
        </w:tc>
      </w:tr>
      <w:tr w:rsidR="00D857FE" w:rsidRPr="00D83669" w14:paraId="04EC8B32" w14:textId="77777777" w:rsidTr="00FD427B">
        <w:tc>
          <w:tcPr>
            <w:tcW w:w="2269" w:type="dxa"/>
            <w:shd w:val="clear" w:color="auto" w:fill="auto"/>
            <w:vAlign w:val="center"/>
          </w:tcPr>
          <w:p w14:paraId="289AB44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1" w:type="dxa"/>
            <w:shd w:val="clear" w:color="auto" w:fill="auto"/>
            <w:vAlign w:val="center"/>
          </w:tcPr>
          <w:p w14:paraId="5203576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ще се събират текущо на база технически отчети за изпълнение на проекта с изчерпателен обхват на всички участници. </w:t>
            </w:r>
          </w:p>
          <w:p w14:paraId="653D8A3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Информацията ще включва: пол и възраст на участника; друга демографска информация; участие в предишни квалификации, финансирани от ЕСИФ; период на провеждане на квалификацията/мобилността и продължителност; област на квалификация; участие в разработване и въвеждане на нови учебни планове и програми; период на провеждане на мобилността; висше училище, в което се провежда мобилността; професионални направления и специалности, в които се извършва преподаване на студенти в рамките на мобилността, и др. </w:t>
            </w:r>
          </w:p>
        </w:tc>
      </w:tr>
      <w:tr w:rsidR="00D857FE" w:rsidRPr="00D83669" w14:paraId="79C8A8E7" w14:textId="77777777" w:rsidTr="00FD427B">
        <w:tc>
          <w:tcPr>
            <w:tcW w:w="2269" w:type="dxa"/>
            <w:shd w:val="clear" w:color="auto" w:fill="auto"/>
            <w:vAlign w:val="center"/>
          </w:tcPr>
          <w:p w14:paraId="01A4B28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2661320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77E0C561" w14:textId="77777777" w:rsidTr="00FD427B">
        <w:trPr>
          <w:trHeight w:val="1376"/>
        </w:trPr>
        <w:tc>
          <w:tcPr>
            <w:tcW w:w="2269" w:type="dxa"/>
            <w:shd w:val="clear" w:color="auto" w:fill="auto"/>
            <w:vAlign w:val="center"/>
          </w:tcPr>
          <w:p w14:paraId="2204AF60" w14:textId="77B268FB"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28C8C513"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393D4384"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7E540214"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3.4. брой подкрепени стартиращи фирми.</w:t>
            </w:r>
          </w:p>
        </w:tc>
      </w:tr>
      <w:tr w:rsidR="00D857FE" w:rsidRPr="00D83669" w14:paraId="25541ED6" w14:textId="77777777" w:rsidTr="00FD427B">
        <w:trPr>
          <w:trHeight w:val="1774"/>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tcPr>
          <w:p w14:paraId="05010DD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tcBorders>
              <w:top w:val="single" w:sz="4" w:space="0" w:color="auto"/>
              <w:left w:val="single" w:sz="4" w:space="0" w:color="auto"/>
              <w:bottom w:val="single" w:sz="4" w:space="0" w:color="auto"/>
              <w:right w:val="single" w:sz="4" w:space="0" w:color="auto"/>
            </w:tcBorders>
            <w:shd w:val="clear" w:color="auto" w:fill="auto"/>
            <w:vAlign w:val="center"/>
          </w:tcPr>
          <w:p w14:paraId="147D4887" w14:textId="49663B9C"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които са които са повишили квалификацията си чрез дейности по операции по СЦ по чл. 4, пар. 1, буква д) на Приоритет 3 на ПО 2021 – 2027 и е по-малка от броя на всички участници в дейности по тази специфична цел на Приоритет 3 на Програмата.</w:t>
            </w:r>
          </w:p>
        </w:tc>
      </w:tr>
    </w:tbl>
    <w:p w14:paraId="272FCFA3" w14:textId="77777777" w:rsidR="00D857FE" w:rsidRPr="00D83669" w:rsidRDefault="00D857FE" w:rsidP="00D857FE"/>
    <w:p w14:paraId="703D5629" w14:textId="77777777" w:rsidR="00D857FE" w:rsidRPr="00D83669" w:rsidRDefault="00D857FE" w:rsidP="00D857FE">
      <w:r w:rsidRPr="00D83669">
        <w:br w:type="page"/>
      </w:r>
    </w:p>
    <w:p w14:paraId="7C1F5AB4" w14:textId="08CB8C1A" w:rsidR="00D857FE" w:rsidRPr="00D83669" w:rsidRDefault="00D857FE" w:rsidP="003C3AA4">
      <w:pPr>
        <w:pStyle w:val="Heading3"/>
        <w:rPr>
          <w:b/>
          <w:bCs/>
          <w:i/>
          <w:iCs/>
          <w:sz w:val="22"/>
          <w:szCs w:val="22"/>
        </w:rPr>
      </w:pPr>
      <w:bookmarkStart w:id="188" w:name="_Toc100153020"/>
      <w:bookmarkStart w:id="189" w:name="_Toc103586695"/>
      <w:r w:rsidRPr="00D83669">
        <w:rPr>
          <w:b/>
          <w:bCs/>
          <w:i/>
          <w:iCs/>
          <w:sz w:val="22"/>
          <w:szCs w:val="22"/>
        </w:rPr>
        <w:lastRenderedPageBreak/>
        <w:t>EECO15 малцинства (включително маргинализирани общности като ромите)</w:t>
      </w:r>
      <w:bookmarkEnd w:id="188"/>
      <w:bookmarkEnd w:id="189"/>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1EB6E624" w14:textId="77777777" w:rsidTr="00251F5C">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9E79650" w14:textId="7209BB1E"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47E5CB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29580EAA" w14:textId="77777777" w:rsidTr="00251F5C">
        <w:tc>
          <w:tcPr>
            <w:tcW w:w="2269" w:type="dxa"/>
            <w:shd w:val="clear" w:color="auto" w:fill="auto"/>
            <w:vAlign w:val="center"/>
          </w:tcPr>
          <w:p w14:paraId="69A7C5DF" w14:textId="7A5C59DE"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7371" w:type="dxa"/>
            <w:shd w:val="clear" w:color="auto" w:fill="auto"/>
            <w:vAlign w:val="center"/>
          </w:tcPr>
          <w:p w14:paraId="645EF13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tc>
      </w:tr>
      <w:tr w:rsidR="00D857FE" w:rsidRPr="00D83669" w14:paraId="455EAD5C" w14:textId="77777777" w:rsidTr="00251F5C">
        <w:tc>
          <w:tcPr>
            <w:tcW w:w="2269" w:type="dxa"/>
            <w:shd w:val="clear" w:color="auto" w:fill="auto"/>
            <w:vAlign w:val="center"/>
          </w:tcPr>
          <w:p w14:paraId="3237612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119612DF" w14:textId="43F0901C"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360F8B39" w14:textId="77777777" w:rsidTr="00251F5C">
        <w:tc>
          <w:tcPr>
            <w:tcW w:w="2269" w:type="dxa"/>
            <w:shd w:val="clear" w:color="auto" w:fill="auto"/>
            <w:vAlign w:val="center"/>
          </w:tcPr>
          <w:p w14:paraId="5C2D6CA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55AF02E9" w14:textId="77777777" w:rsidR="00D857FE" w:rsidRPr="00D83669" w:rsidRDefault="00D857FE" w:rsidP="00CC7BCB">
            <w:pPr>
              <w:jc w:val="both"/>
              <w:rPr>
                <w:rFonts w:ascii="Times New Roman" w:hAnsi="Times New Roman"/>
                <w:sz w:val="24"/>
              </w:rPr>
            </w:pPr>
            <w:r w:rsidRPr="00D83669">
              <w:rPr>
                <w:rFonts w:ascii="Times New Roman" w:hAnsi="Times New Roman"/>
                <w:b/>
                <w:sz w:val="24"/>
                <w:lang w:bidi="bg-BG"/>
              </w:rPr>
              <w:t xml:space="preserve">СЦ по чл. 4, пар. 1, буква д) – </w:t>
            </w:r>
            <w:r w:rsidRPr="00D83669">
              <w:rPr>
                <w:rFonts w:ascii="Times New Roman" w:hAnsi="Times New Roman"/>
                <w:sz w:val="24"/>
                <w:lang w:bidi="bg-BG"/>
              </w:rPr>
              <w:t>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7BED2933" w14:textId="77777777" w:rsidTr="00251F5C">
        <w:tc>
          <w:tcPr>
            <w:tcW w:w="2269" w:type="dxa"/>
            <w:shd w:val="clear" w:color="auto" w:fill="auto"/>
            <w:vAlign w:val="center"/>
          </w:tcPr>
          <w:p w14:paraId="0D5CD6B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3DA6B9A5" w14:textId="77777777" w:rsidR="00D857FE" w:rsidRPr="00D83669" w:rsidRDefault="00D857FE" w:rsidP="00CC7BCB">
            <w:pPr>
              <w:jc w:val="both"/>
              <w:rPr>
                <w:rFonts w:ascii="Times New Roman" w:hAnsi="Times New Roman"/>
                <w:b/>
                <w:sz w:val="24"/>
              </w:rPr>
            </w:pPr>
            <w:r w:rsidRPr="00D83669">
              <w:rPr>
                <w:rFonts w:ascii="Times New Roman" w:hAnsi="Times New Roman"/>
                <w:b/>
                <w:sz w:val="24"/>
              </w:rPr>
              <w:t>За ПОО:</w:t>
            </w:r>
          </w:p>
          <w:p w14:paraId="402CD67E"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 xml:space="preserve">Адаптиране на ПОО спрямо динамиката на пазара на труда; </w:t>
            </w:r>
          </w:p>
          <w:p w14:paraId="132D7AAA"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Подкрепа за развитие на умения за професиите на настоящето и бъдещето;</w:t>
            </w:r>
          </w:p>
          <w:p w14:paraId="52C78BE5"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Подкрепа за Центровете за високи постижения в ПОО;</w:t>
            </w:r>
          </w:p>
          <w:p w14:paraId="4C4EBC9D" w14:textId="77777777" w:rsidR="00D857FE" w:rsidRPr="00D83669" w:rsidRDefault="00D857FE" w:rsidP="00D857FE">
            <w:pPr>
              <w:numPr>
                <w:ilvl w:val="0"/>
                <w:numId w:val="27"/>
              </w:numPr>
              <w:spacing w:after="0" w:line="240" w:lineRule="auto"/>
              <w:jc w:val="both"/>
              <w:rPr>
                <w:rFonts w:ascii="Times New Roman" w:hAnsi="Times New Roman"/>
                <w:b/>
                <w:sz w:val="24"/>
              </w:rPr>
            </w:pPr>
            <w:r w:rsidRPr="00D83669">
              <w:rPr>
                <w:rFonts w:ascii="Times New Roman" w:hAnsi="Times New Roman"/>
                <w:sz w:val="24"/>
              </w:rPr>
              <w:t>Развитие на дуалната система на обучение в ПОО.</w:t>
            </w:r>
            <w:r w:rsidRPr="00D83669">
              <w:rPr>
                <w:rFonts w:ascii="Times New Roman" w:hAnsi="Times New Roman"/>
                <w:b/>
                <w:sz w:val="24"/>
              </w:rPr>
              <w:t xml:space="preserve"> </w:t>
            </w:r>
          </w:p>
          <w:p w14:paraId="03A6A682" w14:textId="77777777" w:rsidR="00D857FE" w:rsidRPr="00D83669" w:rsidRDefault="00D857FE" w:rsidP="00CC7BCB">
            <w:pPr>
              <w:jc w:val="both"/>
              <w:rPr>
                <w:rFonts w:ascii="Times New Roman" w:hAnsi="Times New Roman"/>
                <w:b/>
                <w:sz w:val="24"/>
              </w:rPr>
            </w:pPr>
          </w:p>
          <w:p w14:paraId="2B4E8A0B" w14:textId="77777777" w:rsidR="00D857FE" w:rsidRPr="00D83669" w:rsidRDefault="00D857FE" w:rsidP="00CC7BCB">
            <w:pPr>
              <w:jc w:val="both"/>
              <w:rPr>
                <w:rFonts w:ascii="Times New Roman" w:hAnsi="Times New Roman"/>
                <w:b/>
                <w:sz w:val="24"/>
              </w:rPr>
            </w:pPr>
            <w:r w:rsidRPr="00D83669">
              <w:rPr>
                <w:rFonts w:ascii="Times New Roman" w:hAnsi="Times New Roman"/>
                <w:b/>
                <w:sz w:val="24"/>
              </w:rPr>
              <w:t>За ВО:</w:t>
            </w:r>
          </w:p>
          <w:p w14:paraId="7F12800A"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Професионално ориентиране на студентите чрез практики и развиване на предприемачески умения;</w:t>
            </w:r>
          </w:p>
          <w:p w14:paraId="03C6FABE"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Утвърждаване на компетентностния подход по важни за икономиката на региона и пазара на труда професионални направления, в партньорство с бизнеса, разширяване на дигиталните компетентности и дигиталното образователно съдържание във ВО;</w:t>
            </w:r>
          </w:p>
          <w:p w14:paraId="038E0F4A" w14:textId="77777777" w:rsidR="00D857FE" w:rsidRPr="00D83669" w:rsidRDefault="00D857FE" w:rsidP="00D857FE">
            <w:pPr>
              <w:pStyle w:val="ListParagraph"/>
              <w:numPr>
                <w:ilvl w:val="0"/>
                <w:numId w:val="27"/>
              </w:numPr>
              <w:spacing w:after="0" w:line="240" w:lineRule="auto"/>
              <w:jc w:val="both"/>
              <w:rPr>
                <w:rFonts w:ascii="Times New Roman" w:hAnsi="Times New Roman"/>
                <w:sz w:val="24"/>
              </w:rPr>
            </w:pPr>
            <w:r w:rsidRPr="00D83669">
              <w:rPr>
                <w:rFonts w:ascii="Times New Roman" w:hAnsi="Times New Roman"/>
                <w:sz w:val="24"/>
              </w:rPr>
              <w:t>Достъп на уязвими групи, групи в неравностойно положение и непедагогически персонал до висше образование.</w:t>
            </w:r>
          </w:p>
        </w:tc>
      </w:tr>
      <w:tr w:rsidR="00D857FE" w:rsidRPr="00D83669" w14:paraId="0565E7BA" w14:textId="77777777" w:rsidTr="00251F5C">
        <w:tc>
          <w:tcPr>
            <w:tcW w:w="2269" w:type="dxa"/>
            <w:shd w:val="clear" w:color="auto" w:fill="auto"/>
            <w:vAlign w:val="center"/>
          </w:tcPr>
          <w:p w14:paraId="545286E2"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1" w:type="dxa"/>
            <w:shd w:val="clear" w:color="auto" w:fill="auto"/>
            <w:vAlign w:val="center"/>
          </w:tcPr>
          <w:p w14:paraId="7D0D6197" w14:textId="7ED562C0" w:rsidR="00D857FE" w:rsidRPr="00D83669" w:rsidRDefault="00D857FE" w:rsidP="00CC7BCB">
            <w:pPr>
              <w:jc w:val="both"/>
              <w:rPr>
                <w:rFonts w:ascii="Times New Roman" w:hAnsi="Times New Roman"/>
                <w:sz w:val="24"/>
                <w:lang w:val="en-US"/>
              </w:rPr>
            </w:pPr>
            <w:r w:rsidRPr="00D83669">
              <w:rPr>
                <w:rFonts w:ascii="Times New Roman" w:hAnsi="Times New Roman"/>
                <w:sz w:val="24"/>
              </w:rPr>
              <w:t>Показателят измерва броя на представителите на малцинства, вкл. маргинализирани групи като ромите, които са включени в дейности по операции на Приоритет 3 на ПО 2021 – 2027 г., в т.ч. за ПОО: ученици в „риск от отпадане“, включени в допълнително обучение и/или гъвкави пътеки за повторно включване, ученици преминали допълнителни занимания и ученически практики в реална работна среда, ученици, включени в допълнителни учебни дейности на високо ниво на практическо обучение, ученици, включени в допълнителни занимания по чужд език и/или професионална подготовка, ученици, участвали в „пробно стажуване“ в партниращо предприятие при обучение в дуалната система на обучение в ПОО и за ВО: студенти, ученици от втори гимназиален етап и непедагогически специалисти, вкл. образователни медиатори.</w:t>
            </w:r>
          </w:p>
        </w:tc>
      </w:tr>
      <w:tr w:rsidR="00D857FE" w:rsidRPr="00D83669" w14:paraId="6A77B40C" w14:textId="77777777" w:rsidTr="00251F5C">
        <w:tc>
          <w:tcPr>
            <w:tcW w:w="2269" w:type="dxa"/>
            <w:shd w:val="clear" w:color="auto" w:fill="auto"/>
            <w:vAlign w:val="center"/>
          </w:tcPr>
          <w:p w14:paraId="3177867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516D558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4E71BBA3" w14:textId="77777777" w:rsidTr="00251F5C">
        <w:tc>
          <w:tcPr>
            <w:tcW w:w="2269" w:type="dxa"/>
            <w:shd w:val="clear" w:color="auto" w:fill="auto"/>
            <w:vAlign w:val="center"/>
          </w:tcPr>
          <w:p w14:paraId="0D43288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Крайна цел</w:t>
            </w:r>
          </w:p>
        </w:tc>
        <w:tc>
          <w:tcPr>
            <w:tcW w:w="7371" w:type="dxa"/>
            <w:shd w:val="clear" w:color="auto" w:fill="auto"/>
            <w:vAlign w:val="center"/>
          </w:tcPr>
          <w:p w14:paraId="647743D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10 763 (от които за ПОО 7 689 и за ВО – 3 074)</w:t>
            </w:r>
          </w:p>
        </w:tc>
      </w:tr>
      <w:tr w:rsidR="00D857FE" w:rsidRPr="00D83669" w14:paraId="2214141F" w14:textId="77777777" w:rsidTr="00251F5C">
        <w:tc>
          <w:tcPr>
            <w:tcW w:w="2269" w:type="dxa"/>
            <w:shd w:val="clear" w:color="auto" w:fill="auto"/>
            <w:vAlign w:val="center"/>
          </w:tcPr>
          <w:p w14:paraId="7C3828B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117EDFC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представлява обща стойност (сбор) от целевите стойности на учениците, които ще бъдат обхванати по операциите, планирани в рамките на професионалното образование и обучение и студентите за висшето образование по Приоритет 3 на „Програма за образование“.</w:t>
            </w:r>
          </w:p>
          <w:p w14:paraId="4B5BB35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за ПОО и за ВО е определена на база единичните разходи за допълнителна професионална подготовка за учениците и практическо обучение на студенти, прилагани през периода 2018 – 2020 г. При изчисляване на целевата стойност са взети предвид и определените единични разходи в Стандартна таблица за допустимия размер на почасовото възнаграждение на лицата, наети във връзка с изпълнението на проекти, съфинансирани от Европейския социален фонд по приоритетни оси 2, 3 и 5 на Оперативна програма „Наука и образование за интелигентен растеж“ 2014 – 2020, прилагани към 2020 г., за които е приложен процент на индексация на база очакваното увеличение на разходите за труд в сектор „Образование“ за периода до 2029 г., имайки предвид че преобладаващата част от разходите за възнаграждения са в пряка зависимост от ръста на разходите за труд, В допълнение са взети предвид и единичните разходи за индивидуална подкрепа за мобилност за обучение, прилагани по програма „Еразъм +“. Определеният дял участници от малцинства (включително маргинализирани общности като ромите) от общия брой участници е определен на база съотношението на определения финансов ресурс за тези лица, отнесен към общия бюджет по съответната група/и дейности в Приоритет 3 на ПО.</w:t>
            </w:r>
          </w:p>
          <w:p w14:paraId="17FB75C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за ПОО представлява 5,5% от общия брой учащи в професионалните училища, които по данни на НСИ за учебната 2020/2021 г. са 138 656.</w:t>
            </w:r>
          </w:p>
          <w:p w14:paraId="24E2527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за ВО представлява 0,4% от общия брой студенти, ученици и образователни медиатори, които по данни на НСИ през 2020/2021 г. са общо 488 465. </w:t>
            </w:r>
          </w:p>
          <w:p w14:paraId="1981C29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отразява кумулативния брой на учениците от гимназиален етап от малцинства, които ще бъдат подкрепени за допълнителна професионална подготовка за ПОО и продължаване на образованието им във висши училища в група дейности „Достъп на уязвими групи, групи в неравностойно положение и непедагогически персонал до висше образование“, както и студентите, които ще получат подкрепа в рамките на групи дейности „Професионално ориентиране на студентите чрез практики и развиване на предприемачески умения“ и „Дигитална промяна на висшите училища и утвърждаване на компетентностния подход по важни за икономиката на региона и пазара на труда професионални направления, в партньорство с бизнеса“, и непедагогическия персонал, вкл. образователните медиатори, които ще бъдат включени </w:t>
            </w:r>
            <w:r w:rsidRPr="00D83669">
              <w:rPr>
                <w:rFonts w:ascii="Times New Roman" w:hAnsi="Times New Roman"/>
                <w:sz w:val="24"/>
              </w:rPr>
              <w:lastRenderedPageBreak/>
              <w:t>в група дейности „Достъп на уязвими групи, групи в неравностойно положение и непедагогически персонал до висше образование“.</w:t>
            </w:r>
          </w:p>
        </w:tc>
      </w:tr>
      <w:tr w:rsidR="00D857FE" w:rsidRPr="00D83669" w14:paraId="41EEDCF7" w14:textId="77777777" w:rsidTr="00251F5C">
        <w:tc>
          <w:tcPr>
            <w:tcW w:w="2269" w:type="dxa"/>
            <w:shd w:val="clear" w:color="auto" w:fill="auto"/>
            <w:vAlign w:val="center"/>
          </w:tcPr>
          <w:p w14:paraId="7754B23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7371" w:type="dxa"/>
            <w:shd w:val="clear" w:color="auto" w:fill="auto"/>
            <w:vAlign w:val="center"/>
          </w:tcPr>
          <w:p w14:paraId="0746CB38" w14:textId="250A59C5" w:rsidR="00D857FE" w:rsidRPr="00D83669" w:rsidRDefault="00A0203F" w:rsidP="00CC7BCB">
            <w:pPr>
              <w:jc w:val="both"/>
              <w:rPr>
                <w:rFonts w:ascii="Times New Roman" w:hAnsi="Times New Roman"/>
                <w:sz w:val="24"/>
              </w:rPr>
            </w:pPr>
            <w:r w:rsidRPr="00D83669">
              <w:rPr>
                <w:rFonts w:ascii="Times New Roman" w:hAnsi="Times New Roman"/>
                <w:sz w:val="24"/>
              </w:rPr>
              <w:t>1 158</w:t>
            </w:r>
            <w:r w:rsidR="00D857FE" w:rsidRPr="00D83669">
              <w:rPr>
                <w:rFonts w:ascii="Times New Roman" w:hAnsi="Times New Roman"/>
                <w:sz w:val="24"/>
              </w:rPr>
              <w:t xml:space="preserve"> (От които ПОО – </w:t>
            </w:r>
            <w:r w:rsidR="00F50882" w:rsidRPr="00D83669">
              <w:rPr>
                <w:rFonts w:ascii="Times New Roman" w:hAnsi="Times New Roman"/>
                <w:sz w:val="24"/>
              </w:rPr>
              <w:t>725</w:t>
            </w:r>
            <w:r w:rsidR="00D857FE" w:rsidRPr="00D83669">
              <w:rPr>
                <w:rFonts w:ascii="Times New Roman" w:hAnsi="Times New Roman"/>
                <w:sz w:val="24"/>
              </w:rPr>
              <w:t xml:space="preserve"> и ВО – </w:t>
            </w:r>
            <w:r w:rsidRPr="00D83669">
              <w:rPr>
                <w:rFonts w:ascii="Times New Roman" w:hAnsi="Times New Roman"/>
                <w:sz w:val="24"/>
              </w:rPr>
              <w:t>433</w:t>
            </w:r>
            <w:r w:rsidR="00D857FE" w:rsidRPr="00D83669">
              <w:rPr>
                <w:rFonts w:ascii="Times New Roman" w:hAnsi="Times New Roman"/>
                <w:sz w:val="24"/>
              </w:rPr>
              <w:t>)</w:t>
            </w:r>
          </w:p>
        </w:tc>
      </w:tr>
      <w:tr w:rsidR="00D857FE" w:rsidRPr="00D83669" w14:paraId="1F852A67" w14:textId="77777777" w:rsidTr="00251F5C">
        <w:tc>
          <w:tcPr>
            <w:tcW w:w="2269" w:type="dxa"/>
            <w:shd w:val="clear" w:color="auto" w:fill="auto"/>
            <w:vAlign w:val="center"/>
          </w:tcPr>
          <w:p w14:paraId="039FBD5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1" w:type="dxa"/>
            <w:shd w:val="clear" w:color="auto" w:fill="auto"/>
            <w:vAlign w:val="center"/>
          </w:tcPr>
          <w:p w14:paraId="2D332E54" w14:textId="70EEE9D9" w:rsidR="00D857FE" w:rsidRPr="00D83669" w:rsidRDefault="00D857FE" w:rsidP="00A0203F">
            <w:pPr>
              <w:jc w:val="both"/>
              <w:rPr>
                <w:rFonts w:ascii="Times New Roman" w:hAnsi="Times New Roman"/>
                <w:sz w:val="24"/>
              </w:rPr>
            </w:pPr>
            <w:r w:rsidRPr="00D83669">
              <w:rPr>
                <w:rFonts w:ascii="Times New Roman" w:hAnsi="Times New Roman"/>
                <w:sz w:val="24"/>
              </w:rPr>
              <w:t xml:space="preserve">Междинната цел представлява обща стойност от предвидените междинни цели за операциите в рамките на системата на ПОО и за ВО. </w:t>
            </w:r>
            <w:r w:rsidR="00F50882" w:rsidRPr="00D83669">
              <w:rPr>
                <w:rFonts w:ascii="Times New Roman" w:hAnsi="Times New Roman"/>
                <w:sz w:val="24"/>
              </w:rPr>
              <w:t>Етапната цел за ПОО се определя от обхванатите ученици в паралелки по професионална подготовка от малцинства (включително от маргинализирани общности, като ромите), като е приложена методологията за определяне на етапната цел на индикатор ЕЕСO09 Участници с прогимназиален етап на основното образование или по-ниска степен (ISCED 0-2), тъй като индикатор EECO15 е определен като дял на индикатор EECO09.</w:t>
            </w:r>
            <w:r w:rsidR="00A0203F" w:rsidRPr="00D83669">
              <w:rPr>
                <w:rFonts w:ascii="Times New Roman" w:hAnsi="Times New Roman"/>
                <w:sz w:val="24"/>
              </w:rPr>
              <w:t>Етапната цел за ВО се определя от обхванатите ученици, непедагогически персонал, вкл. образователни медиатори, студенти  от малцинства (включително от маргинализирани общности, като ромите) по операции ""Достъп на уязвими групи, групи в неравностойно положение и непедагогически персонал до ВО"" и "" Професионално ориентиране на студентите чрез практики и развиване на предприемачески умения"" , като е приложена методологията за определяне на етапната цел на индикатори EEC010 Участници със средно образование  (ISCED 3) или образование след средното образование (ISCED 4) и  EECO09 Участници с прогимназиален етап на основното образование или по-ниска степен (ISCED 0-2), и  е приложен процент за относителния дял на средствата от бюджета на Приоритет 3 на програмата за код 154 „Мерки за подобряване на достъпа на маргинализирани групи като ромите до образование, заетост и за насърчаване на социалното им приобщаване“.</w:t>
            </w:r>
          </w:p>
        </w:tc>
      </w:tr>
      <w:tr w:rsidR="00D857FE" w:rsidRPr="00D83669" w14:paraId="0CD7FE55" w14:textId="77777777" w:rsidTr="00251F5C">
        <w:tc>
          <w:tcPr>
            <w:tcW w:w="2269" w:type="dxa"/>
            <w:shd w:val="clear" w:color="auto" w:fill="auto"/>
            <w:vAlign w:val="center"/>
          </w:tcPr>
          <w:p w14:paraId="52B87BB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371" w:type="dxa"/>
            <w:shd w:val="clear" w:color="auto" w:fill="auto"/>
            <w:vAlign w:val="center"/>
          </w:tcPr>
          <w:p w14:paraId="0A702F6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56A53F79" w14:textId="77777777" w:rsidTr="00251F5C">
        <w:tc>
          <w:tcPr>
            <w:tcW w:w="2269" w:type="dxa"/>
            <w:shd w:val="clear" w:color="auto" w:fill="auto"/>
            <w:vAlign w:val="center"/>
          </w:tcPr>
          <w:p w14:paraId="5544A9E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1" w:type="dxa"/>
            <w:shd w:val="clear" w:color="auto" w:fill="auto"/>
            <w:vAlign w:val="center"/>
          </w:tcPr>
          <w:p w14:paraId="4637683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 по други демографски фактори. На етап отчитане ще бъдат представени данни за пол, възраст, район, област и община, ниво на образование, вид уязвима група и друга демографска информация за участниците.</w:t>
            </w:r>
          </w:p>
        </w:tc>
      </w:tr>
      <w:tr w:rsidR="00D857FE" w:rsidRPr="00D83669" w14:paraId="5E6E38C8" w14:textId="77777777" w:rsidTr="00251F5C">
        <w:tc>
          <w:tcPr>
            <w:tcW w:w="2269" w:type="dxa"/>
            <w:shd w:val="clear" w:color="auto" w:fill="auto"/>
            <w:vAlign w:val="center"/>
          </w:tcPr>
          <w:p w14:paraId="1C80E1B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176024BE" w14:textId="5B3A651F"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са необходими с оглед постигане на заложени цели в политиките за образование, в редица стратегически документи за уязвими групи. Показателят е ориентиран към цели, заложени в Стратегическата рамка за развитие на образованието, обучението и ученето на Република България 2021 – 2030, в проекта на Националната стратегия на Република България за приобщаване и участие на ромите 2021 – 2030 и в други национални стратегически документи. Данните ще се събират, за да се проследи броя на учениците, студентите и непедагогическия персонал със средно образование от малцинствата, които участват в мерки по Приоритет 3 на Програмата, с цел осигуряване допълнителна професионална подготовка и на равен достъп до качествено професионално и висше образование за всички участници в образователния процес. </w:t>
            </w:r>
          </w:p>
        </w:tc>
      </w:tr>
      <w:tr w:rsidR="00D857FE" w:rsidRPr="00D83669" w14:paraId="3993D031" w14:textId="77777777" w:rsidTr="00251F5C">
        <w:tc>
          <w:tcPr>
            <w:tcW w:w="2269" w:type="dxa"/>
            <w:shd w:val="clear" w:color="auto" w:fill="auto"/>
            <w:vAlign w:val="center"/>
          </w:tcPr>
          <w:p w14:paraId="45852D7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1" w:type="dxa"/>
            <w:shd w:val="clear" w:color="auto" w:fill="auto"/>
            <w:vAlign w:val="center"/>
          </w:tcPr>
          <w:p w14:paraId="212F16A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2684393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видът и името на образователната институция; местоположение – област, населено място, район; брой и демографски данни на студентите, учениците и непедагогическия персонал от малцинствата, вкл. образователните медиатори, участвали в дейности по СЦ по чл. 4, ал. 1, буква д) на Приоритет 3 на Програмата; демографски данни като пол и възраст, и др.</w:t>
            </w:r>
          </w:p>
        </w:tc>
      </w:tr>
      <w:tr w:rsidR="00D857FE" w:rsidRPr="00D83669" w14:paraId="2B9464FA" w14:textId="77777777" w:rsidTr="00251F5C">
        <w:tc>
          <w:tcPr>
            <w:tcW w:w="2269" w:type="dxa"/>
            <w:shd w:val="clear" w:color="auto" w:fill="auto"/>
            <w:vAlign w:val="center"/>
          </w:tcPr>
          <w:p w14:paraId="76A6C02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762604D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1EBF0168" w14:textId="77777777" w:rsidTr="00251F5C">
        <w:trPr>
          <w:trHeight w:val="1801"/>
        </w:trPr>
        <w:tc>
          <w:tcPr>
            <w:tcW w:w="2269" w:type="dxa"/>
            <w:shd w:val="clear" w:color="auto" w:fill="auto"/>
            <w:vAlign w:val="center"/>
          </w:tcPr>
          <w:p w14:paraId="76F29F90" w14:textId="6A463C63"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54E041DC"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EECO09. Участници с прогимназиален етап на основното образование или по-ниска степен (ISCED 0-2);</w:t>
            </w:r>
          </w:p>
          <w:p w14:paraId="3A4B7A27"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EEC010. Участници със средно образование (ISCED 3) или образование след средното образование (ISCED 4);</w:t>
            </w:r>
          </w:p>
          <w:p w14:paraId="7C99ECDA" w14:textId="238791E9"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3.1. Ученици и студенти, започнали да търсят работа;</w:t>
            </w:r>
          </w:p>
          <w:p w14:paraId="38205A5C"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3.2. Брой студенти, които се обучават в дуална форма;</w:t>
            </w:r>
          </w:p>
          <w:p w14:paraId="4C375C4E"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3.3. Участници, които остават в образование;</w:t>
            </w:r>
          </w:p>
          <w:p w14:paraId="02DCF0DC"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7110D733"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SRI 3.4. брой подкрепени стартиращи фирми;</w:t>
            </w:r>
          </w:p>
          <w:p w14:paraId="2E1CB0F9"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EECR02. Участници, които при напускане на операцията са ангажирани с образование или обучение;</w:t>
            </w:r>
          </w:p>
          <w:p w14:paraId="1DBE0B2A"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EECR04. Участници, които при напускане на операцията имат работа, включително като самостоятелно заети лица.</w:t>
            </w:r>
          </w:p>
        </w:tc>
      </w:tr>
      <w:tr w:rsidR="00D857FE" w:rsidRPr="00D83669" w14:paraId="39B26A35" w14:textId="77777777" w:rsidTr="00251F5C">
        <w:trPr>
          <w:trHeight w:val="1774"/>
        </w:trPr>
        <w:tc>
          <w:tcPr>
            <w:tcW w:w="2269" w:type="dxa"/>
            <w:tcBorders>
              <w:top w:val="single" w:sz="4" w:space="0" w:color="auto"/>
              <w:left w:val="single" w:sz="4" w:space="0" w:color="auto"/>
              <w:bottom w:val="single" w:sz="4" w:space="0" w:color="auto"/>
              <w:right w:val="single" w:sz="4" w:space="0" w:color="auto"/>
            </w:tcBorders>
            <w:shd w:val="clear" w:color="auto" w:fill="auto"/>
            <w:vAlign w:val="center"/>
          </w:tcPr>
          <w:p w14:paraId="20A5C0A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tcBorders>
              <w:top w:val="single" w:sz="4" w:space="0" w:color="auto"/>
              <w:left w:val="single" w:sz="4" w:space="0" w:color="auto"/>
              <w:bottom w:val="single" w:sz="4" w:space="0" w:color="auto"/>
              <w:right w:val="single" w:sz="4" w:space="0" w:color="auto"/>
            </w:tcBorders>
            <w:shd w:val="clear" w:color="auto" w:fill="auto"/>
            <w:vAlign w:val="center"/>
          </w:tcPr>
          <w:p w14:paraId="11DBD621" w14:textId="3971DD5D"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от малцинства, вкл. от маргинализирани общности като ромите – ученици, студенти, непедагогически персонал със средно образование, вкл. образователни медиатори, включени в дейности по операции по СЦ по чл. 4, пар. 1, буква д) на Приоритет 3 на ПО 2021 – 2027 и е по-малка от броя на всички участници в дейности по тази специфична цел на Приоритет 3 на Програмата.</w:t>
            </w:r>
          </w:p>
        </w:tc>
      </w:tr>
    </w:tbl>
    <w:p w14:paraId="0CA15244" w14:textId="77777777" w:rsidR="00D857FE" w:rsidRPr="00D83669" w:rsidRDefault="00D857FE" w:rsidP="00D857FE"/>
    <w:p w14:paraId="23DDBA78" w14:textId="77777777" w:rsidR="00D857FE" w:rsidRPr="00D83669" w:rsidRDefault="00D857FE" w:rsidP="00D857FE">
      <w:r w:rsidRPr="00D83669">
        <w:br w:type="page"/>
      </w:r>
    </w:p>
    <w:p w14:paraId="0C47572D" w14:textId="69D80CF0" w:rsidR="00D857FE" w:rsidRPr="00D83669" w:rsidRDefault="00D857FE" w:rsidP="00172F12">
      <w:pPr>
        <w:pStyle w:val="Heading3"/>
        <w:rPr>
          <w:b/>
          <w:bCs/>
          <w:i/>
          <w:iCs/>
          <w:sz w:val="22"/>
          <w:szCs w:val="22"/>
        </w:rPr>
      </w:pPr>
      <w:bookmarkStart w:id="190" w:name="_Toc100153021"/>
      <w:bookmarkStart w:id="191" w:name="_Toc103586696"/>
      <w:r w:rsidRPr="00D83669">
        <w:rPr>
          <w:b/>
          <w:bCs/>
          <w:i/>
          <w:iCs/>
          <w:sz w:val="22"/>
          <w:szCs w:val="22"/>
        </w:rPr>
        <w:lastRenderedPageBreak/>
        <w:t>SOI 3.1 Брой професионални училища въвели модернизирани учебни програми по професионална подготовка</w:t>
      </w:r>
      <w:bookmarkEnd w:id="190"/>
      <w:bookmarkEnd w:id="191"/>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77"/>
      </w:tblGrid>
      <w:tr w:rsidR="00D857FE" w:rsidRPr="00D83669" w14:paraId="052DFCC6" w14:textId="77777777" w:rsidTr="00BA272B">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7E81B10" w14:textId="60460270"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E62F3C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 Индикаторът е специфичен.</w:t>
            </w:r>
          </w:p>
        </w:tc>
      </w:tr>
      <w:tr w:rsidR="00D857FE" w:rsidRPr="00D83669" w14:paraId="3EEA7092" w14:textId="77777777" w:rsidTr="00BA272B">
        <w:tc>
          <w:tcPr>
            <w:tcW w:w="2263" w:type="dxa"/>
            <w:shd w:val="clear" w:color="auto" w:fill="auto"/>
            <w:vAlign w:val="center"/>
          </w:tcPr>
          <w:p w14:paraId="5046DA3F" w14:textId="78D871BA"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492F841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SOI 3.1 Брой професионални училища въвели модернизирани учебни програми по професионална подготовка</w:t>
            </w:r>
          </w:p>
        </w:tc>
      </w:tr>
      <w:tr w:rsidR="00D857FE" w:rsidRPr="00D83669" w14:paraId="691A6AB5" w14:textId="77777777" w:rsidTr="00BA272B">
        <w:tc>
          <w:tcPr>
            <w:tcW w:w="2263" w:type="dxa"/>
            <w:shd w:val="clear" w:color="auto" w:fill="auto"/>
            <w:vAlign w:val="center"/>
          </w:tcPr>
          <w:p w14:paraId="42ED563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2610AF1B" w14:textId="228FF41E"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65530120" w14:textId="77777777" w:rsidTr="00BA272B">
        <w:tc>
          <w:tcPr>
            <w:tcW w:w="2263" w:type="dxa"/>
            <w:shd w:val="clear" w:color="auto" w:fill="auto"/>
            <w:vAlign w:val="center"/>
          </w:tcPr>
          <w:p w14:paraId="357CA20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0960E58D"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7A9A13B9" w14:textId="77777777" w:rsidTr="00BA272B">
        <w:tc>
          <w:tcPr>
            <w:tcW w:w="2263" w:type="dxa"/>
            <w:shd w:val="clear" w:color="auto" w:fill="auto"/>
            <w:vAlign w:val="center"/>
          </w:tcPr>
          <w:p w14:paraId="3C5F1D9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27FEF21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Група дейности: 1. „Адаптиране на ПОО спрямо динамиката на пазара на труда“</w:t>
            </w:r>
          </w:p>
        </w:tc>
      </w:tr>
      <w:tr w:rsidR="00D857FE" w:rsidRPr="00D83669" w14:paraId="4BA2FD0C" w14:textId="77777777" w:rsidTr="00BA272B">
        <w:tc>
          <w:tcPr>
            <w:tcW w:w="2263" w:type="dxa"/>
            <w:shd w:val="clear" w:color="auto" w:fill="auto"/>
            <w:vAlign w:val="center"/>
          </w:tcPr>
          <w:p w14:paraId="03F3A954"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7" w:type="dxa"/>
            <w:shd w:val="clear" w:color="auto" w:fill="auto"/>
            <w:vAlign w:val="center"/>
          </w:tcPr>
          <w:p w14:paraId="35B3BE94" w14:textId="77550B7D"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броя на училищата, въвели модернизирани учебни програми по професионална подготовка, във връзка с актуализирания Списък на професиите за професионално образование и обучение, въведените гъвкави модулни учебни планове и програми и обучение с кредити в професионалното образование и обучение, в контекста на европейската система за трансфер на кредити в професионалното образование и обучение (ECVET), както и с разработване на дигитални образователни материали по професионална подготовка с цифрово и интерактивно учебно съдържание и индивидуализирани учебни планове. </w:t>
            </w:r>
          </w:p>
        </w:tc>
      </w:tr>
      <w:tr w:rsidR="00D857FE" w:rsidRPr="00D83669" w14:paraId="54DD5AD1" w14:textId="77777777" w:rsidTr="00BA272B">
        <w:tc>
          <w:tcPr>
            <w:tcW w:w="2263" w:type="dxa"/>
            <w:shd w:val="clear" w:color="auto" w:fill="auto"/>
            <w:vAlign w:val="center"/>
          </w:tcPr>
          <w:p w14:paraId="46D2819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7" w:type="dxa"/>
            <w:shd w:val="clear" w:color="auto" w:fill="auto"/>
            <w:vAlign w:val="center"/>
          </w:tcPr>
          <w:p w14:paraId="14C140B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5E6A6A3F" w14:textId="77777777" w:rsidTr="00BA272B">
        <w:tc>
          <w:tcPr>
            <w:tcW w:w="2263" w:type="dxa"/>
            <w:shd w:val="clear" w:color="auto" w:fill="auto"/>
            <w:vAlign w:val="center"/>
          </w:tcPr>
          <w:p w14:paraId="4AF1DAB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3B5F9F2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384</w:t>
            </w:r>
          </w:p>
        </w:tc>
      </w:tr>
      <w:tr w:rsidR="00D857FE" w:rsidRPr="00D83669" w14:paraId="44F97C4B" w14:textId="77777777" w:rsidTr="00BA272B">
        <w:tc>
          <w:tcPr>
            <w:tcW w:w="2263" w:type="dxa"/>
            <w:shd w:val="clear" w:color="auto" w:fill="auto"/>
            <w:vAlign w:val="center"/>
          </w:tcPr>
          <w:p w14:paraId="337AD81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0AC1B997" w14:textId="00D8E462" w:rsidR="00D857FE" w:rsidRPr="00D83669" w:rsidRDefault="00D857FE" w:rsidP="00CC7BCB">
            <w:pPr>
              <w:jc w:val="both"/>
              <w:rPr>
                <w:rFonts w:ascii="Times New Roman" w:hAnsi="Times New Roman"/>
                <w:sz w:val="24"/>
              </w:rPr>
            </w:pPr>
            <w:r w:rsidRPr="00D83669">
              <w:rPr>
                <w:rFonts w:ascii="Times New Roman" w:hAnsi="Times New Roman"/>
                <w:sz w:val="24"/>
              </w:rPr>
              <w:t xml:space="preserve">Операцията ще се реализира от Министерство на образованието и науката и професионални училища, въз основа на подадени заявления за участие в проекта. Целевата стойност на показателя се определя на база броят на училищата които в рамките на професионалната подготовка по професии и специалности от Списъка на професиите за професионално образование и обучение (СППОО), с подкрепата на ЕСФ+ са въвели за поне една паралелка в своето училище модернизирани учебни планове и програми, вкл. гъвкави модулни учебни планове и програми, обучение с кредити и/или в процеса на обучение се използват разработени дигитални образователни материали по професионална подготовка с цифрово и интерактивно учебно съдържание, както и индивидуализирани учебни планове, с което да се повиши пригодността за заетост на завършилите професионално образование и обучение и увереността на работодателите, че всяка квалификация в рамките на ПОО предоставя </w:t>
            </w:r>
            <w:r w:rsidRPr="00D83669">
              <w:rPr>
                <w:rFonts w:ascii="Times New Roman" w:hAnsi="Times New Roman"/>
                <w:sz w:val="24"/>
              </w:rPr>
              <w:lastRenderedPageBreak/>
              <w:t>необходимите специфични знания и умения. Предвидените дейности следва да обхванат професионалните училища в системата на ПОО в България. Целевата стойност се изчислява, като от общия брой професионални училища (по данни на НСИ професионалните училища в България са 418 за учебната 2020/2021 година ), се приспадне броят на Професионални колежи с прием след средно образование (19 бр.) и за някои училища се предполага, че е възможно за тях да не се променят Държавните образователни стандарти по предлаганите от училището професии и специалности. В тази връзка, с оглед осигуряване мултиплициране на резултатите с изпълнение на показателя ще бъдат обхванати 384 професионални училища [418</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(19</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15)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384]. Стойността е важен показател за това как ESF + се използва в подкрепа на системните промени, като цяло за ПОО в България.</w:t>
            </w:r>
          </w:p>
        </w:tc>
      </w:tr>
      <w:tr w:rsidR="00D857FE" w:rsidRPr="00D83669" w14:paraId="1187CEFB" w14:textId="77777777" w:rsidTr="00BA272B">
        <w:tc>
          <w:tcPr>
            <w:tcW w:w="2263" w:type="dxa"/>
            <w:shd w:val="clear" w:color="auto" w:fill="auto"/>
            <w:vAlign w:val="center"/>
          </w:tcPr>
          <w:p w14:paraId="32222A0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7377" w:type="dxa"/>
            <w:shd w:val="clear" w:color="auto" w:fill="auto"/>
            <w:vAlign w:val="center"/>
          </w:tcPr>
          <w:p w14:paraId="63B428A3" w14:textId="188E240B" w:rsidR="00D857FE" w:rsidRPr="00D83669" w:rsidRDefault="00F50882" w:rsidP="00CC7BCB">
            <w:pPr>
              <w:jc w:val="both"/>
              <w:rPr>
                <w:rFonts w:ascii="Times New Roman" w:hAnsi="Times New Roman"/>
                <w:sz w:val="24"/>
              </w:rPr>
            </w:pPr>
            <w:r w:rsidRPr="00D83669">
              <w:rPr>
                <w:rFonts w:ascii="Times New Roman" w:hAnsi="Times New Roman"/>
                <w:sz w:val="24"/>
              </w:rPr>
              <w:t>58</w:t>
            </w:r>
          </w:p>
        </w:tc>
      </w:tr>
      <w:tr w:rsidR="00D857FE" w:rsidRPr="00D83669" w14:paraId="14D4E6AC" w14:textId="77777777" w:rsidTr="00BA272B">
        <w:tc>
          <w:tcPr>
            <w:tcW w:w="2263" w:type="dxa"/>
            <w:shd w:val="clear" w:color="auto" w:fill="auto"/>
            <w:vAlign w:val="center"/>
          </w:tcPr>
          <w:p w14:paraId="221C3DE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7" w:type="dxa"/>
            <w:shd w:val="clear" w:color="auto" w:fill="auto"/>
            <w:vAlign w:val="center"/>
          </w:tcPr>
          <w:p w14:paraId="5136BDA7" w14:textId="1281B5F4" w:rsidR="00F50882" w:rsidRPr="00D83669" w:rsidRDefault="004D336E" w:rsidP="00F50882">
            <w:pPr>
              <w:jc w:val="both"/>
              <w:rPr>
                <w:rFonts w:ascii="Times New Roman" w:hAnsi="Times New Roman"/>
                <w:sz w:val="24"/>
              </w:rPr>
            </w:pPr>
            <w:r w:rsidRPr="00D83669">
              <w:rPr>
                <w:rFonts w:ascii="Times New Roman" w:hAnsi="Times New Roman"/>
                <w:sz w:val="24"/>
              </w:rPr>
              <w:t xml:space="preserve">За операциите от стратегическо значение, предвидени в програмата, предположението на Управляващия орган, което е взето предвид при изчисляването на етапните цели е, че тези операции ще бъдат  договорени първоначално за период от 5 години със 75% от общия предвиден финансов ресурс, а останалите 25 % ще бъдат разпределени за операции след оценка на постигнатия напредък в тяхното изпълнение. </w:t>
            </w:r>
            <w:r w:rsidR="00F50882" w:rsidRPr="00D83669">
              <w:rPr>
                <w:rFonts w:ascii="Times New Roman" w:hAnsi="Times New Roman"/>
                <w:sz w:val="24"/>
              </w:rPr>
              <w:t xml:space="preserve">Съответно етапната цел се определя, като се взема предвид определения финансовия ресурс за операциите, който се разделя на планирания брой години за изпълнението им и отчитането на стойности на показателите за краен продукт към 2024 г. </w:t>
            </w:r>
          </w:p>
          <w:p w14:paraId="307F0AFA" w14:textId="6DF741BA" w:rsidR="00D857FE" w:rsidRPr="00D83669" w:rsidRDefault="00F50882" w:rsidP="00F50882">
            <w:pPr>
              <w:jc w:val="both"/>
              <w:rPr>
                <w:rFonts w:ascii="Times New Roman" w:hAnsi="Times New Roman"/>
                <w:sz w:val="24"/>
              </w:rPr>
            </w:pPr>
            <w:r w:rsidRPr="00D83669">
              <w:rPr>
                <w:rFonts w:ascii="Times New Roman" w:hAnsi="Times New Roman"/>
                <w:sz w:val="24"/>
              </w:rPr>
              <w:t xml:space="preserve">Етапната цел на показателя за краен продукт е определена във връзка с операцията, която обхваща първите две групи дейности на Приоритет 3, с продължителност от 5 години и се определя на 15% от целевата стойност (75% финансов ресурс / 5 години продължителност), с реално изпълнение на дейностите и отчитане стойности на индикаторите през 2024 г. </w:t>
            </w:r>
          </w:p>
        </w:tc>
      </w:tr>
      <w:tr w:rsidR="00D857FE" w:rsidRPr="00D83669" w14:paraId="7982E075" w14:textId="77777777" w:rsidTr="00BA272B">
        <w:tc>
          <w:tcPr>
            <w:tcW w:w="2263" w:type="dxa"/>
            <w:shd w:val="clear" w:color="auto" w:fill="auto"/>
            <w:vAlign w:val="center"/>
          </w:tcPr>
          <w:p w14:paraId="46A223C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377" w:type="dxa"/>
            <w:shd w:val="clear" w:color="auto" w:fill="auto"/>
            <w:vAlign w:val="center"/>
          </w:tcPr>
          <w:p w14:paraId="5542AA0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0A9FD1E9" w14:textId="77777777" w:rsidTr="00BA272B">
        <w:tc>
          <w:tcPr>
            <w:tcW w:w="2263" w:type="dxa"/>
            <w:shd w:val="clear" w:color="auto" w:fill="auto"/>
            <w:vAlign w:val="center"/>
          </w:tcPr>
          <w:p w14:paraId="2CE9CEA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20A8E68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Няма да бъде направена предварителна разбивка по отделни признаци на училищата. </w:t>
            </w:r>
          </w:p>
        </w:tc>
      </w:tr>
      <w:tr w:rsidR="00D857FE" w:rsidRPr="00D83669" w14:paraId="0135CE52" w14:textId="77777777" w:rsidTr="00BA272B">
        <w:tc>
          <w:tcPr>
            <w:tcW w:w="2263" w:type="dxa"/>
            <w:shd w:val="clear" w:color="auto" w:fill="auto"/>
            <w:vAlign w:val="center"/>
          </w:tcPr>
          <w:p w14:paraId="3044927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51B3A94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В рамките на група дейности 1 „Адаптиране на ПОО спрямо динамиката на пазара на труда се предвижда да се проведе последователна реформа в системата на ПОО. В тази връзка ще се с подкрепата на Секторните съвети за уменията ще се актуализира Списъка от професии за професионално образование и обучение, както и стандартите за професионална квалификация, респективно ще се модернизират учебните планове и програми, които ще включват гъвкави и модулни програми, както и въвеждането на кредитната система. Европейската кредитна система за професионално образование и обучение, често наричана ECVET, е техническа рамка за трансфер, признаване и (където е възможно) натрупване на резултатите от учене на обучаемите с цел придобиване на </w:t>
            </w:r>
            <w:r w:rsidRPr="00D83669">
              <w:rPr>
                <w:rFonts w:ascii="Times New Roman" w:hAnsi="Times New Roman"/>
                <w:sz w:val="24"/>
              </w:rPr>
              <w:lastRenderedPageBreak/>
              <w:t>квалификация. В съответствие с препоръката на европейско ниво, ECVET инструментите и методологията включват описание на квалификациите по отношение на единици резултати от учене, процеси на трансфер и натрупване на точки и редица допълнителни документи като например договори за обучение, поименни справки и ръководства за потребителя. ECVET е предназначена да улесни признаването на резултатите от обучението в съответствие с националното законодателство, с цел придобиване на квалификация.</w:t>
            </w:r>
          </w:p>
          <w:p w14:paraId="7471347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Прилагането на кредитната система в училищата, осъществяващи професионална подготовка, в съответствие с ECVET има за цел да улесни признаването на придобити знания и умения, за да осигури по-голяма прозрачност по отношение на образователния опит на лицата, както и да направи по-привлекателна мобилността между различни държави и различни учебни среди.</w:t>
            </w:r>
          </w:p>
          <w:p w14:paraId="35F7DF14" w14:textId="1BBE4385" w:rsidR="00D857FE" w:rsidRPr="00D83669" w:rsidRDefault="00D857FE" w:rsidP="00CC7BCB">
            <w:pPr>
              <w:jc w:val="both"/>
              <w:rPr>
                <w:rFonts w:ascii="Times New Roman" w:hAnsi="Times New Roman"/>
                <w:sz w:val="24"/>
              </w:rPr>
            </w:pPr>
            <w:r w:rsidRPr="00D83669">
              <w:rPr>
                <w:rFonts w:ascii="Times New Roman" w:hAnsi="Times New Roman"/>
                <w:sz w:val="24"/>
              </w:rPr>
              <w:t>На системно ниво, ECVET се стреми към по-добра съвместимост между различните съществуващи системи за професионално образование и обучение (ПОО) в Европа, както и техните квалификации. С въвеждане на национални изпитни програми и на кредити в професионалното образование и обучение, в контекста на ECVET се цели улесняването на валидирането и признаването на придобити знания и умения, като част от модернизиране на професионалното образование, включително чрез разработване на дигитални образователни материали по професионална подготовка с цифрово и интерактивно учебно съдържание. Посоченият показател измерва броя на училищата въвели модернизирани учебни програми, включително и кредити при провеждане на ПОО в контекста на ECVET и/или използвани в процеса на обучение дигитални образователни материали по професионална подготовка.</w:t>
            </w:r>
          </w:p>
        </w:tc>
      </w:tr>
      <w:tr w:rsidR="00D857FE" w:rsidRPr="00D83669" w14:paraId="3F970652" w14:textId="77777777" w:rsidTr="00BA272B">
        <w:tc>
          <w:tcPr>
            <w:tcW w:w="2263" w:type="dxa"/>
            <w:shd w:val="clear" w:color="auto" w:fill="auto"/>
            <w:vAlign w:val="center"/>
          </w:tcPr>
          <w:p w14:paraId="0838E14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377" w:type="dxa"/>
            <w:shd w:val="clear" w:color="auto" w:fill="auto"/>
            <w:vAlign w:val="center"/>
          </w:tcPr>
          <w:p w14:paraId="09273132" w14:textId="6D30F678"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за показателя ще се събират чрез Регионалните управления на образованието към МОН. Събирането на данните ще се извършва текущо, на база технически отчети и ще съдържат видът и наименование на училището, местоположението, професии и специалности с модернизирани учебни планове и програми, включително и с кредити при провеждане на ПОО и др. </w:t>
            </w:r>
          </w:p>
        </w:tc>
      </w:tr>
      <w:tr w:rsidR="00D857FE" w:rsidRPr="00D83669" w14:paraId="2E4BE186" w14:textId="77777777" w:rsidTr="00BA272B">
        <w:tc>
          <w:tcPr>
            <w:tcW w:w="2263" w:type="dxa"/>
            <w:shd w:val="clear" w:color="auto" w:fill="auto"/>
            <w:vAlign w:val="center"/>
          </w:tcPr>
          <w:p w14:paraId="1FDA4DF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14EEF57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Един път годишно</w:t>
            </w:r>
          </w:p>
        </w:tc>
      </w:tr>
      <w:tr w:rsidR="00D857FE" w:rsidRPr="00D83669" w14:paraId="531F3FF2" w14:textId="77777777" w:rsidTr="00BA272B">
        <w:tc>
          <w:tcPr>
            <w:tcW w:w="2263" w:type="dxa"/>
            <w:shd w:val="clear" w:color="auto" w:fill="auto"/>
            <w:vAlign w:val="center"/>
          </w:tcPr>
          <w:p w14:paraId="30179EDB" w14:textId="0A6C44EF"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153614D9" w14:textId="769D2CE8" w:rsidR="00D857FE" w:rsidRPr="00D83669" w:rsidRDefault="00D857FE" w:rsidP="00D857FE">
            <w:pPr>
              <w:pStyle w:val="ListParagraph"/>
              <w:numPr>
                <w:ilvl w:val="0"/>
                <w:numId w:val="37"/>
              </w:numPr>
              <w:spacing w:after="0" w:line="240" w:lineRule="auto"/>
              <w:jc w:val="both"/>
              <w:rPr>
                <w:rFonts w:ascii="Times New Roman" w:hAnsi="Times New Roman"/>
                <w:sz w:val="24"/>
              </w:rPr>
            </w:pPr>
            <w:r w:rsidRPr="00D83669">
              <w:rPr>
                <w:rFonts w:ascii="Times New Roman" w:hAnsi="Times New Roman"/>
                <w:sz w:val="24"/>
              </w:rPr>
              <w:t>SRI 3.1 Ученици и студенти, започнали да търсят работа;</w:t>
            </w:r>
          </w:p>
          <w:p w14:paraId="56CA81C7" w14:textId="77777777" w:rsidR="00D857FE" w:rsidRPr="00D83669" w:rsidRDefault="00D857FE" w:rsidP="00D857FE">
            <w:pPr>
              <w:pStyle w:val="ListParagraph"/>
              <w:numPr>
                <w:ilvl w:val="0"/>
                <w:numId w:val="37"/>
              </w:numPr>
              <w:spacing w:after="0" w:line="240" w:lineRule="auto"/>
              <w:jc w:val="both"/>
              <w:rPr>
                <w:rFonts w:ascii="Times New Roman" w:hAnsi="Times New Roman"/>
                <w:sz w:val="24"/>
              </w:rPr>
            </w:pPr>
            <w:r w:rsidRPr="00D83669">
              <w:rPr>
                <w:rFonts w:ascii="Times New Roman" w:hAnsi="Times New Roman"/>
                <w:sz w:val="24"/>
              </w:rPr>
              <w:t>ЕЕСR02 Участници, които при напускане на операцията са ангажирани с образование или обучение;</w:t>
            </w:r>
          </w:p>
          <w:p w14:paraId="31E18AEE" w14:textId="77777777" w:rsidR="00D857FE" w:rsidRPr="00D83669" w:rsidRDefault="00D857FE" w:rsidP="00D857FE">
            <w:pPr>
              <w:pStyle w:val="ListParagraph"/>
              <w:numPr>
                <w:ilvl w:val="0"/>
                <w:numId w:val="37"/>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349BABEC" w14:textId="77777777" w:rsidR="00D857FE" w:rsidRPr="00D83669" w:rsidRDefault="00D857FE" w:rsidP="00D857FE">
            <w:pPr>
              <w:pStyle w:val="ListParagraph"/>
              <w:numPr>
                <w:ilvl w:val="0"/>
                <w:numId w:val="37"/>
              </w:numPr>
              <w:spacing w:after="0" w:line="240" w:lineRule="auto"/>
              <w:jc w:val="both"/>
              <w:rPr>
                <w:rFonts w:ascii="Times New Roman" w:hAnsi="Times New Roman"/>
                <w:sz w:val="24"/>
              </w:rPr>
            </w:pPr>
            <w:r w:rsidRPr="00D83669">
              <w:rPr>
                <w:rFonts w:ascii="Times New Roman" w:hAnsi="Times New Roman"/>
                <w:sz w:val="24"/>
              </w:rPr>
              <w:t>EECR04 Участници, които при напускане на операцията имат работа, включително като самостоятелно наети лица.</w:t>
            </w:r>
          </w:p>
        </w:tc>
      </w:tr>
    </w:tbl>
    <w:p w14:paraId="70E4FE21" w14:textId="087B8AAB" w:rsidR="00D857FE" w:rsidRPr="00D83669" w:rsidRDefault="00D857FE" w:rsidP="00172F12">
      <w:pPr>
        <w:pStyle w:val="Heading3"/>
        <w:rPr>
          <w:b/>
          <w:bCs/>
          <w:i/>
          <w:iCs/>
          <w:sz w:val="22"/>
          <w:szCs w:val="22"/>
        </w:rPr>
      </w:pPr>
      <w:r w:rsidRPr="00D83669">
        <w:br w:type="page"/>
      </w:r>
      <w:bookmarkStart w:id="192" w:name="_Toc100153022"/>
      <w:bookmarkStart w:id="193" w:name="_Toc103586697"/>
      <w:r w:rsidRPr="00D83669">
        <w:rPr>
          <w:b/>
          <w:bCs/>
          <w:i/>
          <w:iCs/>
          <w:sz w:val="22"/>
          <w:szCs w:val="22"/>
        </w:rPr>
        <w:lastRenderedPageBreak/>
        <w:t>SOI 3.2 Брой подкрепени Центрове за високи постижения (ЦВП)</w:t>
      </w:r>
      <w:bookmarkEnd w:id="192"/>
      <w:bookmarkEnd w:id="193"/>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2AE3F025" w14:textId="77777777" w:rsidTr="00202E39">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BF62250" w14:textId="06D0C74E"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C8F274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Индикаторът е специфичен. </w:t>
            </w:r>
          </w:p>
        </w:tc>
      </w:tr>
      <w:tr w:rsidR="00D857FE" w:rsidRPr="00D83669" w14:paraId="25DC7D0F" w14:textId="77777777" w:rsidTr="00202E39">
        <w:tc>
          <w:tcPr>
            <w:tcW w:w="2269" w:type="dxa"/>
            <w:shd w:val="clear" w:color="auto" w:fill="auto"/>
            <w:vAlign w:val="center"/>
          </w:tcPr>
          <w:p w14:paraId="05808B3E" w14:textId="127ABB1A"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7371" w:type="dxa"/>
            <w:shd w:val="clear" w:color="auto" w:fill="auto"/>
            <w:vAlign w:val="center"/>
          </w:tcPr>
          <w:p w14:paraId="2F6A8E2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SOI 3.2 Брой подкрепени Центрове за високи постижения (ЦВП)</w:t>
            </w:r>
          </w:p>
        </w:tc>
      </w:tr>
      <w:tr w:rsidR="00D857FE" w:rsidRPr="00D83669" w14:paraId="3C700333" w14:textId="77777777" w:rsidTr="00202E39">
        <w:tc>
          <w:tcPr>
            <w:tcW w:w="2269" w:type="dxa"/>
            <w:shd w:val="clear" w:color="auto" w:fill="auto"/>
            <w:vAlign w:val="center"/>
          </w:tcPr>
          <w:p w14:paraId="16B66AD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6F2D6B08" w14:textId="09689E07"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3F451DCC" w14:textId="77777777" w:rsidTr="00202E39">
        <w:tc>
          <w:tcPr>
            <w:tcW w:w="2269" w:type="dxa"/>
            <w:shd w:val="clear" w:color="auto" w:fill="auto"/>
            <w:vAlign w:val="center"/>
          </w:tcPr>
          <w:p w14:paraId="3037879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5D59209D"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2CE62E3F" w14:textId="77777777" w:rsidTr="00202E39">
        <w:tc>
          <w:tcPr>
            <w:tcW w:w="2269" w:type="dxa"/>
            <w:shd w:val="clear" w:color="auto" w:fill="auto"/>
            <w:vAlign w:val="center"/>
          </w:tcPr>
          <w:p w14:paraId="5994F12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41F3468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Група дейности: 3. „Подкрепа за Центровете за високи постижения в ПОО“</w:t>
            </w:r>
          </w:p>
        </w:tc>
      </w:tr>
      <w:tr w:rsidR="00D857FE" w:rsidRPr="00D83669" w14:paraId="73EFD9BD" w14:textId="77777777" w:rsidTr="00202E39">
        <w:tc>
          <w:tcPr>
            <w:tcW w:w="2269" w:type="dxa"/>
            <w:shd w:val="clear" w:color="auto" w:fill="auto"/>
            <w:vAlign w:val="center"/>
          </w:tcPr>
          <w:p w14:paraId="1588E202"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1" w:type="dxa"/>
            <w:shd w:val="clear" w:color="auto" w:fill="auto"/>
            <w:vAlign w:val="center"/>
          </w:tcPr>
          <w:p w14:paraId="3F532644" w14:textId="0D833442"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подкрепените Центрове за високи постижения в ПОО (ЦВП), с цел обвързване на ПОО със системите за иновации като част от Иновационната стратегия за интелигентна специализация (ИСИС). В изпълнение на Националния план за възстановяване и устойчивост ще се създадат 24-те ЦВП. Успоредно с подкрепата по НПВУ, подкрепата от ЕСФ+ по ПО ще се предоставя за обучителните дейности и предвидените меки мерки.</w:t>
            </w:r>
          </w:p>
        </w:tc>
      </w:tr>
      <w:tr w:rsidR="00D857FE" w:rsidRPr="00D83669" w14:paraId="2E64D14D" w14:textId="77777777" w:rsidTr="00202E39">
        <w:tc>
          <w:tcPr>
            <w:tcW w:w="2269" w:type="dxa"/>
            <w:shd w:val="clear" w:color="auto" w:fill="auto"/>
            <w:vAlign w:val="center"/>
          </w:tcPr>
          <w:p w14:paraId="53811C1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1B1FCF6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60F4CF07" w14:textId="77777777" w:rsidTr="00202E39">
        <w:tc>
          <w:tcPr>
            <w:tcW w:w="2269" w:type="dxa"/>
            <w:shd w:val="clear" w:color="auto" w:fill="auto"/>
            <w:vAlign w:val="center"/>
          </w:tcPr>
          <w:p w14:paraId="6CBE4ED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5BE4509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24</w:t>
            </w:r>
          </w:p>
        </w:tc>
      </w:tr>
      <w:tr w:rsidR="00D857FE" w:rsidRPr="00D83669" w14:paraId="2FE2BA00" w14:textId="77777777" w:rsidTr="00202E39">
        <w:tc>
          <w:tcPr>
            <w:tcW w:w="2269" w:type="dxa"/>
            <w:shd w:val="clear" w:color="auto" w:fill="auto"/>
            <w:vAlign w:val="center"/>
          </w:tcPr>
          <w:p w14:paraId="2AB72A6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4FE218EA" w14:textId="7D7886EA"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подкрепените Центрове за високи постижения в системата на ПОО. Целевата стойност обхваща броя на подкрепените Центровете за високи постижения (ЦВП) в системата на ПОО. Стойността е определена на база предвидения брой ЦВП, които ще бъдат създадени в изпълнение на Националния план за възстановяване и устойчивост и ще получат подкрепа за изпълнение на меките мерки в рамките на приоритет 3 на ПО.</w:t>
            </w:r>
          </w:p>
        </w:tc>
      </w:tr>
      <w:tr w:rsidR="00D857FE" w:rsidRPr="00D83669" w14:paraId="34CBC07F" w14:textId="77777777" w:rsidTr="00202E39">
        <w:tc>
          <w:tcPr>
            <w:tcW w:w="2269" w:type="dxa"/>
            <w:shd w:val="clear" w:color="auto" w:fill="auto"/>
            <w:vAlign w:val="center"/>
          </w:tcPr>
          <w:p w14:paraId="2806688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371" w:type="dxa"/>
            <w:shd w:val="clear" w:color="auto" w:fill="auto"/>
            <w:vAlign w:val="center"/>
          </w:tcPr>
          <w:p w14:paraId="18E56E7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140E2F2B" w14:textId="77777777" w:rsidTr="00202E39">
        <w:tc>
          <w:tcPr>
            <w:tcW w:w="2269" w:type="dxa"/>
            <w:shd w:val="clear" w:color="auto" w:fill="auto"/>
            <w:vAlign w:val="center"/>
          </w:tcPr>
          <w:p w14:paraId="07A485E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1" w:type="dxa"/>
            <w:shd w:val="clear" w:color="auto" w:fill="auto"/>
            <w:vAlign w:val="center"/>
          </w:tcPr>
          <w:p w14:paraId="4DB0D5FD" w14:textId="519A830A" w:rsidR="00D857FE" w:rsidRPr="00D83669" w:rsidRDefault="00D857FE" w:rsidP="00CC7BCB">
            <w:pPr>
              <w:jc w:val="both"/>
              <w:rPr>
                <w:rFonts w:ascii="Times New Roman" w:hAnsi="Times New Roman"/>
                <w:sz w:val="24"/>
              </w:rPr>
            </w:pPr>
            <w:r w:rsidRPr="00D83669">
              <w:rPr>
                <w:rFonts w:ascii="Times New Roman" w:hAnsi="Times New Roman"/>
                <w:sz w:val="24"/>
              </w:rPr>
              <w:t xml:space="preserve">Междинната цел е съобразена с времевия график за изпълнение на дейностите по операцията, съгласно който операцията ще стартира след определяне на 24-те професионални гимназии в ЦВП. В рамките на Националния план за възстановяване и устойчивост (НПВУ) се предвижда същите да се модернизират и оборудват в съответствие с най-високите технологични изисквания. С подкрепата по ЕСФ+, по приоритет 3 на ПО се предвижда центровете да осигурят модерно и иновативно образование и обучение за професиите и уменията, необходими на местния/регионалния пазар на труда и да предложат възможности за кратък период на преход от училище към работа, за които е необходимо да се осигури за модернизирана училищна </w:t>
            </w:r>
            <w:r w:rsidRPr="00D83669">
              <w:rPr>
                <w:rFonts w:ascii="Times New Roman" w:hAnsi="Times New Roman"/>
                <w:sz w:val="24"/>
              </w:rPr>
              <w:lastRenderedPageBreak/>
              <w:t xml:space="preserve">инфраструктура и оборудване, които се очакват от НПВУ. </w:t>
            </w:r>
            <w:r w:rsidR="005C358D" w:rsidRPr="00D83669">
              <w:rPr>
                <w:rFonts w:ascii="Times New Roman" w:hAnsi="Times New Roman"/>
                <w:sz w:val="24"/>
              </w:rPr>
              <w:t>Операцията за подкрепа на ЦВП по група дейности 3 по Приоритет 3 се предвижда да стартира в края на 2024, с реално отчитане и верифициране стойностите на индикатора след 2025 г., съответно за показателите за краен продукт не се предвиждат етапни цели.</w:t>
            </w:r>
          </w:p>
        </w:tc>
      </w:tr>
      <w:tr w:rsidR="00D857FE" w:rsidRPr="00D83669" w14:paraId="5BD97F89" w14:textId="77777777" w:rsidTr="00202E39">
        <w:tc>
          <w:tcPr>
            <w:tcW w:w="2269" w:type="dxa"/>
            <w:shd w:val="clear" w:color="auto" w:fill="auto"/>
            <w:vAlign w:val="center"/>
          </w:tcPr>
          <w:p w14:paraId="7F34397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Базова стойност</w:t>
            </w:r>
          </w:p>
        </w:tc>
        <w:tc>
          <w:tcPr>
            <w:tcW w:w="7371" w:type="dxa"/>
            <w:shd w:val="clear" w:color="auto" w:fill="auto"/>
            <w:vAlign w:val="center"/>
          </w:tcPr>
          <w:p w14:paraId="118CA66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0B14F478" w14:textId="77777777" w:rsidTr="00202E39">
        <w:tc>
          <w:tcPr>
            <w:tcW w:w="2269" w:type="dxa"/>
            <w:shd w:val="clear" w:color="auto" w:fill="auto"/>
            <w:vAlign w:val="center"/>
          </w:tcPr>
          <w:p w14:paraId="41FE7FB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1" w:type="dxa"/>
            <w:shd w:val="clear" w:color="auto" w:fill="auto"/>
            <w:vAlign w:val="center"/>
          </w:tcPr>
          <w:p w14:paraId="5B774EC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отделни признаци на ЦВП. На етап отчитане ще бъдат представени данни за местоположение и друга информация.</w:t>
            </w:r>
          </w:p>
        </w:tc>
      </w:tr>
      <w:tr w:rsidR="00D857FE" w:rsidRPr="00D83669" w14:paraId="3B704C82" w14:textId="77777777" w:rsidTr="00202E39">
        <w:tc>
          <w:tcPr>
            <w:tcW w:w="2269" w:type="dxa"/>
            <w:shd w:val="clear" w:color="auto" w:fill="auto"/>
            <w:vAlign w:val="center"/>
          </w:tcPr>
          <w:p w14:paraId="3DF3557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3B22A71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В основата на тази идея някои от съществуващите професионални гимназии се предвижда да се превърнат в центрове за високи постижения (</w:t>
            </w:r>
            <w:r w:rsidRPr="00D83669">
              <w:rPr>
                <w:rFonts w:ascii="Times New Roman" w:hAnsi="Times New Roman"/>
                <w:sz w:val="24"/>
                <w:lang w:val="en-GB"/>
              </w:rPr>
              <w:t>centres</w:t>
            </w:r>
            <w:r w:rsidRPr="00D83669">
              <w:rPr>
                <w:rFonts w:ascii="Times New Roman" w:hAnsi="Times New Roman"/>
                <w:sz w:val="24"/>
              </w:rPr>
              <w:t xml:space="preserve"> </w:t>
            </w:r>
            <w:r w:rsidRPr="00D83669">
              <w:rPr>
                <w:rFonts w:ascii="Times New Roman" w:hAnsi="Times New Roman"/>
                <w:sz w:val="24"/>
                <w:lang w:val="en-GB"/>
              </w:rPr>
              <w:t>of</w:t>
            </w:r>
            <w:r w:rsidRPr="00D83669">
              <w:rPr>
                <w:rFonts w:ascii="Times New Roman" w:hAnsi="Times New Roman"/>
                <w:sz w:val="24"/>
              </w:rPr>
              <w:t xml:space="preserve"> </w:t>
            </w:r>
            <w:r w:rsidRPr="00D83669">
              <w:rPr>
                <w:rFonts w:ascii="Times New Roman" w:hAnsi="Times New Roman"/>
                <w:sz w:val="24"/>
                <w:lang w:val="en-GB"/>
              </w:rPr>
              <w:t>excellence</w:t>
            </w:r>
            <w:r w:rsidRPr="00D83669">
              <w:rPr>
                <w:rFonts w:ascii="Times New Roman" w:hAnsi="Times New Roman"/>
                <w:sz w:val="24"/>
              </w:rPr>
              <w:t>). По този начин професионалните гимназии могат да се превърнат във високо-технологични обучителни центрове за съответните региони, създавайки условия за обвързване на ПОО с актуализираната ИСИС и трансфера на технологии и иновации. Включването и установяването на трайни взаимоотношения между центровете и бизнеса както на местно, така и на трансгранично ниво ще подобри развитието на „екосистемите от умения“ и ще допринесе за придобиване на висококачествени умения и компетенции, които отговарят на нуждите на икономиката. Създаването на ЦВП ще бъде допълнено с инфраструктурните мерки за модернизация на образователна инфраструктура по линия на НПВУ.</w:t>
            </w:r>
          </w:p>
        </w:tc>
      </w:tr>
      <w:tr w:rsidR="00D857FE" w:rsidRPr="00D83669" w14:paraId="7DA571AC" w14:textId="77777777" w:rsidTr="00202E39">
        <w:tc>
          <w:tcPr>
            <w:tcW w:w="2269" w:type="dxa"/>
            <w:shd w:val="clear" w:color="auto" w:fill="auto"/>
            <w:vAlign w:val="center"/>
          </w:tcPr>
          <w:p w14:paraId="5E33F17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09C24A3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Събирането на данните ще се извършва текущо, на база технически отчети и ще съдържат видът и наименование на училището, в което е създаден ЦВП, местоположението, резултати на учениците и др. </w:t>
            </w:r>
          </w:p>
        </w:tc>
      </w:tr>
      <w:tr w:rsidR="00D857FE" w:rsidRPr="00D83669" w14:paraId="4D0ACC25" w14:textId="77777777" w:rsidTr="00202E39">
        <w:tc>
          <w:tcPr>
            <w:tcW w:w="2269" w:type="dxa"/>
            <w:shd w:val="clear" w:color="auto" w:fill="auto"/>
            <w:vAlign w:val="center"/>
          </w:tcPr>
          <w:p w14:paraId="4F06C9F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527E297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Един път годишно</w:t>
            </w:r>
          </w:p>
        </w:tc>
      </w:tr>
      <w:tr w:rsidR="00D857FE" w:rsidRPr="00D83669" w14:paraId="38056165" w14:textId="77777777" w:rsidTr="00202E39">
        <w:tc>
          <w:tcPr>
            <w:tcW w:w="2269" w:type="dxa"/>
            <w:shd w:val="clear" w:color="auto" w:fill="auto"/>
            <w:vAlign w:val="center"/>
          </w:tcPr>
          <w:p w14:paraId="32468D92" w14:textId="13DCAF0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57B1E39E" w14:textId="1433684D" w:rsidR="00D857FE" w:rsidRPr="00D83669" w:rsidRDefault="00D857FE" w:rsidP="00D857FE">
            <w:pPr>
              <w:pStyle w:val="ListParagraph"/>
              <w:numPr>
                <w:ilvl w:val="0"/>
                <w:numId w:val="41"/>
              </w:numPr>
              <w:spacing w:after="0" w:line="240" w:lineRule="auto"/>
              <w:jc w:val="both"/>
              <w:rPr>
                <w:rFonts w:ascii="Times New Roman" w:hAnsi="Times New Roman"/>
                <w:sz w:val="24"/>
              </w:rPr>
            </w:pPr>
            <w:r w:rsidRPr="00D83669">
              <w:rPr>
                <w:rFonts w:ascii="Times New Roman" w:hAnsi="Times New Roman"/>
                <w:sz w:val="24"/>
              </w:rPr>
              <w:t>SRI 3.1 Ученици и студенти, започнали да търсят работа;</w:t>
            </w:r>
          </w:p>
          <w:p w14:paraId="5E760C79" w14:textId="77777777" w:rsidR="00D857FE" w:rsidRPr="00D83669" w:rsidRDefault="00D857FE" w:rsidP="00D857FE">
            <w:pPr>
              <w:pStyle w:val="ListParagraph"/>
              <w:numPr>
                <w:ilvl w:val="0"/>
                <w:numId w:val="41"/>
              </w:numPr>
              <w:spacing w:after="0" w:line="240" w:lineRule="auto"/>
              <w:jc w:val="both"/>
              <w:rPr>
                <w:rFonts w:ascii="Times New Roman" w:hAnsi="Times New Roman"/>
                <w:sz w:val="24"/>
              </w:rPr>
            </w:pPr>
            <w:r w:rsidRPr="00D83669">
              <w:rPr>
                <w:rFonts w:ascii="Times New Roman" w:hAnsi="Times New Roman"/>
                <w:sz w:val="24"/>
              </w:rPr>
              <w:t>ЕЕСR02 – Участници, които при напускане на операцията са ангажирани с образование или обучение;</w:t>
            </w:r>
          </w:p>
          <w:p w14:paraId="71C96342" w14:textId="77777777" w:rsidR="00D857FE" w:rsidRPr="00D83669" w:rsidRDefault="00D857FE" w:rsidP="00D857FE">
            <w:pPr>
              <w:pStyle w:val="ListParagraph"/>
              <w:numPr>
                <w:ilvl w:val="0"/>
                <w:numId w:val="41"/>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55F1CAFE" w14:textId="77777777" w:rsidR="00D857FE" w:rsidRPr="00D83669" w:rsidRDefault="00D857FE" w:rsidP="00D857FE">
            <w:pPr>
              <w:pStyle w:val="ListParagraph"/>
              <w:numPr>
                <w:ilvl w:val="0"/>
                <w:numId w:val="41"/>
              </w:numPr>
              <w:spacing w:after="0" w:line="240" w:lineRule="auto"/>
              <w:jc w:val="both"/>
              <w:rPr>
                <w:rFonts w:ascii="Times New Roman" w:hAnsi="Times New Roman"/>
                <w:sz w:val="24"/>
              </w:rPr>
            </w:pPr>
            <w:r w:rsidRPr="00D83669">
              <w:rPr>
                <w:rFonts w:ascii="Times New Roman" w:hAnsi="Times New Roman"/>
                <w:sz w:val="24"/>
              </w:rPr>
              <w:t>EECR04 Участници, които при напускане на операцията имат работа, включително като самостоятелно наети лица.</w:t>
            </w:r>
          </w:p>
        </w:tc>
      </w:tr>
    </w:tbl>
    <w:p w14:paraId="4176217B" w14:textId="77777777" w:rsidR="00D857FE" w:rsidRPr="00D83669" w:rsidRDefault="00D857FE" w:rsidP="00D857FE">
      <w:pPr>
        <w:rPr>
          <w:rFonts w:ascii="Times New Roman" w:eastAsia="Times New Roman" w:hAnsi="Times New Roman" w:cs="Times New Roman"/>
          <w:i/>
          <w:sz w:val="24"/>
          <w:szCs w:val="20"/>
          <w:lang w:eastAsia="bg-BG" w:bidi="bg-BG"/>
        </w:rPr>
      </w:pPr>
      <w:r w:rsidRPr="00D83669">
        <w:rPr>
          <w:rFonts w:ascii="Times New Roman" w:eastAsia="Times New Roman" w:hAnsi="Times New Roman" w:cs="Times New Roman"/>
          <w:i/>
          <w:sz w:val="24"/>
          <w:szCs w:val="20"/>
          <w:lang w:eastAsia="bg-BG" w:bidi="bg-BG"/>
        </w:rPr>
        <w:br w:type="page"/>
      </w:r>
    </w:p>
    <w:p w14:paraId="6BEF3197" w14:textId="133513C3" w:rsidR="00D857FE" w:rsidRPr="00D83669" w:rsidRDefault="00D857FE" w:rsidP="004C43E4">
      <w:pPr>
        <w:pStyle w:val="Heading3"/>
        <w:rPr>
          <w:b/>
          <w:bCs/>
          <w:i/>
          <w:iCs/>
          <w:sz w:val="22"/>
          <w:szCs w:val="22"/>
        </w:rPr>
      </w:pPr>
      <w:bookmarkStart w:id="194" w:name="_Toc100153023"/>
      <w:bookmarkStart w:id="195" w:name="_Toc103586698"/>
      <w:r w:rsidRPr="00D83669">
        <w:rPr>
          <w:b/>
          <w:bCs/>
          <w:i/>
          <w:iCs/>
          <w:sz w:val="22"/>
          <w:szCs w:val="22"/>
        </w:rPr>
        <w:lastRenderedPageBreak/>
        <w:t>SOI 3.3 Брой училища въвели дуална система на обучение</w:t>
      </w:r>
      <w:bookmarkEnd w:id="194"/>
      <w:bookmarkEnd w:id="195"/>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77"/>
      </w:tblGrid>
      <w:tr w:rsidR="00D857FE" w:rsidRPr="00D83669" w14:paraId="0850F149" w14:textId="77777777" w:rsidTr="0082706D">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24E59C0" w14:textId="00E85FC1"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2D60A2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 Индикаторът е специфичен.</w:t>
            </w:r>
          </w:p>
        </w:tc>
      </w:tr>
      <w:tr w:rsidR="00D857FE" w:rsidRPr="00D83669" w14:paraId="21BC0940" w14:textId="77777777" w:rsidTr="0082706D">
        <w:tc>
          <w:tcPr>
            <w:tcW w:w="2263" w:type="dxa"/>
            <w:shd w:val="clear" w:color="auto" w:fill="auto"/>
            <w:vAlign w:val="center"/>
          </w:tcPr>
          <w:p w14:paraId="244532F2" w14:textId="6DAE1DB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0DC034F3" w14:textId="4BB6F4EF" w:rsidR="00D857FE" w:rsidRPr="00D83669" w:rsidRDefault="00D857FE" w:rsidP="00CC7BCB">
            <w:pPr>
              <w:jc w:val="both"/>
              <w:rPr>
                <w:rFonts w:ascii="Times New Roman" w:hAnsi="Times New Roman"/>
                <w:sz w:val="24"/>
              </w:rPr>
            </w:pPr>
            <w:r w:rsidRPr="00D83669">
              <w:rPr>
                <w:rFonts w:ascii="Times New Roman" w:hAnsi="Times New Roman"/>
                <w:sz w:val="24"/>
              </w:rPr>
              <w:t>SOI 3.3 Брой училища въвели дуална система на обучение</w:t>
            </w:r>
          </w:p>
        </w:tc>
      </w:tr>
      <w:tr w:rsidR="00D857FE" w:rsidRPr="00D83669" w14:paraId="281A60A6" w14:textId="77777777" w:rsidTr="0082706D">
        <w:tc>
          <w:tcPr>
            <w:tcW w:w="2263" w:type="dxa"/>
            <w:shd w:val="clear" w:color="auto" w:fill="auto"/>
            <w:vAlign w:val="center"/>
          </w:tcPr>
          <w:p w14:paraId="45BB8DD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473DC77A" w14:textId="44DF5927"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01FC138B" w14:textId="77777777" w:rsidTr="0082706D">
        <w:tc>
          <w:tcPr>
            <w:tcW w:w="2263" w:type="dxa"/>
            <w:shd w:val="clear" w:color="auto" w:fill="auto"/>
            <w:vAlign w:val="center"/>
          </w:tcPr>
          <w:p w14:paraId="16FA852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23D37354"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26DCBE76" w14:textId="77777777" w:rsidTr="0082706D">
        <w:tc>
          <w:tcPr>
            <w:tcW w:w="2263" w:type="dxa"/>
            <w:shd w:val="clear" w:color="auto" w:fill="auto"/>
            <w:vAlign w:val="center"/>
          </w:tcPr>
          <w:p w14:paraId="3E866D8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46257A9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Група дейности: 4. „Развитие на дуалната система на обучение в ПОО“</w:t>
            </w:r>
          </w:p>
        </w:tc>
      </w:tr>
      <w:tr w:rsidR="00D857FE" w:rsidRPr="00D83669" w14:paraId="347AC4A1" w14:textId="77777777" w:rsidTr="0082706D">
        <w:tc>
          <w:tcPr>
            <w:tcW w:w="2263" w:type="dxa"/>
            <w:shd w:val="clear" w:color="auto" w:fill="auto"/>
            <w:vAlign w:val="center"/>
          </w:tcPr>
          <w:p w14:paraId="7D8372E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Дефиниция</w:t>
            </w:r>
          </w:p>
        </w:tc>
        <w:tc>
          <w:tcPr>
            <w:tcW w:w="7377" w:type="dxa"/>
            <w:shd w:val="clear" w:color="auto" w:fill="auto"/>
            <w:vAlign w:val="center"/>
          </w:tcPr>
          <w:p w14:paraId="36DC1768" w14:textId="1794BB0C"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училищата, въвели дуална система на обучение, във връзка с поставените цели за разширяване обхвата на дуалната система на обучение, както и с оглед повишаване качеството на професионалното образование и обучение в България и засилване на връзката му с нуждите на пазара на труда.</w:t>
            </w:r>
          </w:p>
        </w:tc>
      </w:tr>
      <w:tr w:rsidR="00D857FE" w:rsidRPr="00D83669" w14:paraId="3813587C" w14:textId="77777777" w:rsidTr="0082706D">
        <w:tc>
          <w:tcPr>
            <w:tcW w:w="2263" w:type="dxa"/>
            <w:shd w:val="clear" w:color="auto" w:fill="auto"/>
            <w:vAlign w:val="center"/>
          </w:tcPr>
          <w:p w14:paraId="64D611C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7" w:type="dxa"/>
            <w:shd w:val="clear" w:color="auto" w:fill="auto"/>
            <w:vAlign w:val="center"/>
          </w:tcPr>
          <w:p w14:paraId="0374EF7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1290F56B" w14:textId="77777777" w:rsidTr="0082706D">
        <w:tc>
          <w:tcPr>
            <w:tcW w:w="2263" w:type="dxa"/>
            <w:shd w:val="clear" w:color="auto" w:fill="auto"/>
            <w:vAlign w:val="center"/>
          </w:tcPr>
          <w:p w14:paraId="593665FC"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Крайна цел</w:t>
            </w:r>
          </w:p>
        </w:tc>
        <w:tc>
          <w:tcPr>
            <w:tcW w:w="7377" w:type="dxa"/>
            <w:shd w:val="clear" w:color="auto" w:fill="auto"/>
            <w:vAlign w:val="center"/>
          </w:tcPr>
          <w:p w14:paraId="16F365B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159</w:t>
            </w:r>
          </w:p>
        </w:tc>
      </w:tr>
      <w:tr w:rsidR="00D857FE" w:rsidRPr="00D83669" w14:paraId="14C6C648" w14:textId="77777777" w:rsidTr="0082706D">
        <w:tc>
          <w:tcPr>
            <w:tcW w:w="2263" w:type="dxa"/>
            <w:shd w:val="clear" w:color="auto" w:fill="auto"/>
            <w:vAlign w:val="center"/>
          </w:tcPr>
          <w:p w14:paraId="5E23D39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1F798A99" w14:textId="3FD8714F" w:rsidR="00D857FE" w:rsidRPr="00D83669" w:rsidRDefault="00D857FE" w:rsidP="00CC7BCB">
            <w:pPr>
              <w:jc w:val="both"/>
              <w:rPr>
                <w:rFonts w:ascii="Times New Roman" w:hAnsi="Times New Roman"/>
                <w:sz w:val="24"/>
              </w:rPr>
            </w:pPr>
            <w:r w:rsidRPr="00D83669">
              <w:rPr>
                <w:rFonts w:ascii="Times New Roman" w:hAnsi="Times New Roman"/>
                <w:sz w:val="24"/>
              </w:rPr>
              <w:t>В рамките на ОПНОИР 2014 – 2020 се изпълнява системен проект на МОН, BG05M2OP001-2.014 „Подкрепа за дуалната система на обучение“, по който се реализират дейности във връзка с въвеждане на дуалната система на обучение в професионалното образование и обучение в България, които се предвижда да приключат в края на 2023 г. Целевата стойност обхваща училищата, въвели дуална система на обучение, във връзка с поставените цели за разширяване обхвата на дуалната система на обучение, както и с оглед повишаване качеството на професионалното образование и обучение в България и засилване на връзката му с нуждите на пазара на труда. Целевата стойност на показателя се определя на база броят на училищата, които в държавния план-прием са обявили паралелки за обучение, чрез работа (дуална система на обучение), за професионална подготовка по професии и специалности от Списъка на професиите за професионално образование и обучение (СППОО) и са получили подкрепа от ЕСФ+ за развитие на дуалната система на обучение С посечената целева стойност ще се гарантира, широк обхват от професионалните училища в дуална система на обучени, като се има предвид, че по процедура „Подкрепа за дуалната система на обучение“ се предвижда да бъдат подкрепени 147 професионални гимназии/училищата с паралелки за професионална подготовка, които да въведат дуална система на обучение.</w:t>
            </w:r>
          </w:p>
        </w:tc>
      </w:tr>
      <w:tr w:rsidR="00D857FE" w:rsidRPr="00D83669" w14:paraId="0DA13B9E" w14:textId="77777777" w:rsidTr="0082706D">
        <w:tc>
          <w:tcPr>
            <w:tcW w:w="2263" w:type="dxa"/>
            <w:shd w:val="clear" w:color="auto" w:fill="auto"/>
            <w:vAlign w:val="center"/>
          </w:tcPr>
          <w:p w14:paraId="28B1829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Междинна цел</w:t>
            </w:r>
          </w:p>
        </w:tc>
        <w:tc>
          <w:tcPr>
            <w:tcW w:w="7377" w:type="dxa"/>
            <w:shd w:val="clear" w:color="auto" w:fill="auto"/>
            <w:vAlign w:val="center"/>
          </w:tcPr>
          <w:p w14:paraId="3CEA8FF3" w14:textId="2FA1E6E2" w:rsidR="00D857FE" w:rsidRPr="00D83669" w:rsidRDefault="005C358D" w:rsidP="00CC7BCB">
            <w:pPr>
              <w:jc w:val="both"/>
              <w:rPr>
                <w:rFonts w:ascii="Times New Roman" w:hAnsi="Times New Roman"/>
                <w:sz w:val="24"/>
              </w:rPr>
            </w:pPr>
            <w:r w:rsidRPr="00D83669">
              <w:rPr>
                <w:rFonts w:ascii="Times New Roman" w:hAnsi="Times New Roman"/>
                <w:sz w:val="24"/>
              </w:rPr>
              <w:t>8</w:t>
            </w:r>
          </w:p>
        </w:tc>
      </w:tr>
      <w:tr w:rsidR="00D857FE" w:rsidRPr="00D83669" w14:paraId="28FF8B6E" w14:textId="77777777" w:rsidTr="0082706D">
        <w:tc>
          <w:tcPr>
            <w:tcW w:w="2263" w:type="dxa"/>
            <w:shd w:val="clear" w:color="auto" w:fill="auto"/>
            <w:vAlign w:val="center"/>
          </w:tcPr>
          <w:p w14:paraId="7D78C3C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7" w:type="dxa"/>
            <w:shd w:val="clear" w:color="auto" w:fill="auto"/>
            <w:vAlign w:val="center"/>
          </w:tcPr>
          <w:p w14:paraId="1CFCCADF" w14:textId="1425B301" w:rsidR="00D857FE" w:rsidRPr="00D83669" w:rsidRDefault="005C358D" w:rsidP="00CC7BCB">
            <w:pPr>
              <w:jc w:val="both"/>
              <w:rPr>
                <w:rFonts w:ascii="Times New Roman" w:hAnsi="Times New Roman"/>
                <w:sz w:val="24"/>
              </w:rPr>
            </w:pPr>
            <w:r w:rsidRPr="00D83669">
              <w:rPr>
                <w:rFonts w:ascii="Times New Roman" w:hAnsi="Times New Roman"/>
                <w:sz w:val="24"/>
              </w:rPr>
              <w:t xml:space="preserve">Операцията/ите за подкрепа на дуалната система на обучение по група дейности 4 на Приоритет 3 ще се реализира/т в продължение на проект BG05M2OP001-2.014 „Подкрепа за дуалната система на обучение“, ОПНОИР с прилагане на подхода Интегрирани териториални инвестиции (ИТИ). В тази връзка, се предвижда операцията/ите да стартират със 100% от определения финансов ресурс за 7 години продължителност, но предвид стартиране физическото изпълнение на дейностите през 2024 г., КБ се предвижда да отчете към УО стойности на индикаторите в края на годината. Етапната цел се определя на 5% (100% финансов ресурс / 7 години продължителност / 1/3 на участващите представители на целевата група през 2024 г. с реално отчитане и верифициране стойностите на показателя за краен продукт.  </w:t>
            </w:r>
          </w:p>
        </w:tc>
      </w:tr>
      <w:tr w:rsidR="00D857FE" w:rsidRPr="00D83669" w14:paraId="641923B8" w14:textId="77777777" w:rsidTr="0082706D">
        <w:tc>
          <w:tcPr>
            <w:tcW w:w="2263" w:type="dxa"/>
            <w:shd w:val="clear" w:color="auto" w:fill="auto"/>
            <w:vAlign w:val="center"/>
          </w:tcPr>
          <w:p w14:paraId="6E94BA3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377" w:type="dxa"/>
            <w:shd w:val="clear" w:color="auto" w:fill="auto"/>
            <w:vAlign w:val="center"/>
          </w:tcPr>
          <w:p w14:paraId="5AB81C0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573F0B34" w14:textId="77777777" w:rsidTr="0082706D">
        <w:tc>
          <w:tcPr>
            <w:tcW w:w="2263" w:type="dxa"/>
            <w:shd w:val="clear" w:color="auto" w:fill="auto"/>
            <w:vAlign w:val="center"/>
          </w:tcPr>
          <w:p w14:paraId="337C337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3ED046F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отделни признаци на училищата. На етап отчитане ще бъдат представени данни за вид и местоположение на училищата и друга информация.</w:t>
            </w:r>
          </w:p>
        </w:tc>
      </w:tr>
      <w:tr w:rsidR="00D857FE" w:rsidRPr="00D83669" w14:paraId="1E8DA28A" w14:textId="77777777" w:rsidTr="0082706D">
        <w:tc>
          <w:tcPr>
            <w:tcW w:w="2263" w:type="dxa"/>
            <w:shd w:val="clear" w:color="auto" w:fill="auto"/>
            <w:vAlign w:val="center"/>
          </w:tcPr>
          <w:p w14:paraId="289DC0C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46FA5C6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Обучението чрез работа (дуална система на обучение) се организира и осъществява в съответствие с разпоредбите на ЗПОО, КТ, ЗПУО и Наредбата по чл. 17а, ал. 7 от ЗПОО. Обучението в дуалната система се осъществява в училище, което има право да обучава в дуална форма съгласно разпоредбите на ЗПОО, въз основа на реализиран прием по искане на работодател и на сключен договор /споразумение за партньорство/ между училището и работодателя.</w:t>
            </w:r>
          </w:p>
          <w:p w14:paraId="0DB8A74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Приемът в дуалната система се осъществява в VIII клас, а практическото обучение чрез работа в предприятията се осъществява в XI и XII клас. Когато приетите в дуална форма ученици са в X клас, най-късно до 15 май на текущата учебна година директорът на училището, съвместно с работодателя/работодателите информира учениците и техните родители/попечители за предстоящото практическо обучение в реална работна среда и за критериите за разпределение на учениците във фирмите-партньори на училището. </w:t>
            </w:r>
          </w:p>
          <w:p w14:paraId="7FF614E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Необходимостта от събиране на данни е с оглед измерване на броя на училищата в системата на ПОО, които са въвели Обучението чрез работа (дуална система на обучение) за своите ученици и са сключили договор/споразумение за партньорство с работодател.</w:t>
            </w:r>
          </w:p>
        </w:tc>
      </w:tr>
      <w:tr w:rsidR="00D857FE" w:rsidRPr="00D83669" w14:paraId="56EDD0CD" w14:textId="77777777" w:rsidTr="0082706D">
        <w:tc>
          <w:tcPr>
            <w:tcW w:w="2263" w:type="dxa"/>
            <w:shd w:val="clear" w:color="auto" w:fill="auto"/>
            <w:vAlign w:val="center"/>
          </w:tcPr>
          <w:p w14:paraId="3AA144E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7" w:type="dxa"/>
            <w:shd w:val="clear" w:color="auto" w:fill="auto"/>
            <w:vAlign w:val="center"/>
          </w:tcPr>
          <w:p w14:paraId="57DD114E" w14:textId="6D7FB525"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за показателя ще се събират чрез Регионалните управления на образованието към МОН. Събирането на данните ще се извършва текущо, на база технически отчети и ще съдържат видът и наименование на училището, местоположението, резултати на учениците, включени в дуална система на обучение и др. </w:t>
            </w:r>
          </w:p>
        </w:tc>
      </w:tr>
      <w:tr w:rsidR="00D857FE" w:rsidRPr="00D83669" w14:paraId="3DF71CE7" w14:textId="77777777" w:rsidTr="0082706D">
        <w:tc>
          <w:tcPr>
            <w:tcW w:w="2263" w:type="dxa"/>
            <w:shd w:val="clear" w:color="auto" w:fill="auto"/>
            <w:vAlign w:val="center"/>
          </w:tcPr>
          <w:p w14:paraId="7C701EC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745A0EC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Един път годишно</w:t>
            </w:r>
          </w:p>
        </w:tc>
      </w:tr>
      <w:tr w:rsidR="00D857FE" w:rsidRPr="00D83669" w14:paraId="24071531" w14:textId="77777777" w:rsidTr="0082706D">
        <w:tc>
          <w:tcPr>
            <w:tcW w:w="2263" w:type="dxa"/>
            <w:shd w:val="clear" w:color="auto" w:fill="auto"/>
            <w:vAlign w:val="center"/>
          </w:tcPr>
          <w:p w14:paraId="4C1C8D94" w14:textId="5755374A"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Свързаност на показателите</w:t>
            </w:r>
          </w:p>
        </w:tc>
        <w:tc>
          <w:tcPr>
            <w:tcW w:w="7377" w:type="dxa"/>
            <w:shd w:val="clear" w:color="auto" w:fill="auto"/>
            <w:vAlign w:val="center"/>
          </w:tcPr>
          <w:p w14:paraId="7E70416D" w14:textId="7B36EC9E" w:rsidR="00D857FE" w:rsidRPr="00D83669" w:rsidRDefault="00D857FE" w:rsidP="00D857FE">
            <w:pPr>
              <w:pStyle w:val="ListParagraph"/>
              <w:numPr>
                <w:ilvl w:val="0"/>
                <w:numId w:val="38"/>
              </w:numPr>
              <w:spacing w:after="0" w:line="240" w:lineRule="auto"/>
              <w:jc w:val="both"/>
              <w:rPr>
                <w:rFonts w:ascii="Times New Roman" w:hAnsi="Times New Roman"/>
                <w:sz w:val="24"/>
              </w:rPr>
            </w:pPr>
            <w:r w:rsidRPr="00D83669">
              <w:rPr>
                <w:rFonts w:ascii="Times New Roman" w:hAnsi="Times New Roman"/>
                <w:sz w:val="24"/>
              </w:rPr>
              <w:t>SRI 3.1 Ученици и студенти, започнали да търсят работа;</w:t>
            </w:r>
          </w:p>
          <w:p w14:paraId="338AEA8F" w14:textId="77777777" w:rsidR="00D857FE" w:rsidRPr="00D83669" w:rsidRDefault="00D857FE" w:rsidP="00D857FE">
            <w:pPr>
              <w:pStyle w:val="ListParagraph"/>
              <w:numPr>
                <w:ilvl w:val="0"/>
                <w:numId w:val="38"/>
              </w:numPr>
              <w:spacing w:after="0" w:line="240" w:lineRule="auto"/>
              <w:jc w:val="both"/>
              <w:rPr>
                <w:rFonts w:ascii="Times New Roman" w:hAnsi="Times New Roman"/>
                <w:sz w:val="24"/>
              </w:rPr>
            </w:pPr>
            <w:r w:rsidRPr="00D83669">
              <w:rPr>
                <w:rFonts w:ascii="Times New Roman" w:hAnsi="Times New Roman"/>
                <w:sz w:val="24"/>
              </w:rPr>
              <w:t>ЕЕСR02 – Участници, които при напускане на операцията са ангажирани с образование или обучение;</w:t>
            </w:r>
          </w:p>
          <w:p w14:paraId="73554271" w14:textId="77777777" w:rsidR="00D857FE" w:rsidRPr="00D83669" w:rsidRDefault="00D857FE" w:rsidP="00D857FE">
            <w:pPr>
              <w:pStyle w:val="ListParagraph"/>
              <w:numPr>
                <w:ilvl w:val="0"/>
                <w:numId w:val="38"/>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28E2E8BB" w14:textId="77777777" w:rsidR="00D857FE" w:rsidRPr="00D83669" w:rsidRDefault="00D857FE" w:rsidP="00D857FE">
            <w:pPr>
              <w:pStyle w:val="ListParagraph"/>
              <w:numPr>
                <w:ilvl w:val="0"/>
                <w:numId w:val="38"/>
              </w:numPr>
              <w:spacing w:after="0" w:line="240" w:lineRule="auto"/>
              <w:jc w:val="both"/>
              <w:rPr>
                <w:rFonts w:ascii="Times New Roman" w:hAnsi="Times New Roman"/>
                <w:sz w:val="24"/>
              </w:rPr>
            </w:pPr>
            <w:r w:rsidRPr="00D83669">
              <w:rPr>
                <w:rFonts w:ascii="Times New Roman" w:hAnsi="Times New Roman"/>
                <w:sz w:val="24"/>
              </w:rPr>
              <w:t xml:space="preserve">EECR04 Участници, които при напускане на операцията имат работа, включително като самостоятелно наети лица. </w:t>
            </w:r>
          </w:p>
        </w:tc>
      </w:tr>
    </w:tbl>
    <w:p w14:paraId="3EC4C8AD" w14:textId="77777777" w:rsidR="00D857FE" w:rsidRPr="00D83669" w:rsidRDefault="00D857FE" w:rsidP="00D857FE">
      <w:pPr>
        <w:rPr>
          <w:rFonts w:ascii="Times New Roman" w:eastAsia="Times New Roman" w:hAnsi="Times New Roman" w:cs="Times New Roman"/>
          <w:i/>
          <w:sz w:val="24"/>
          <w:szCs w:val="20"/>
          <w:lang w:eastAsia="bg-BG" w:bidi="bg-BG"/>
        </w:rPr>
      </w:pPr>
    </w:p>
    <w:p w14:paraId="1E536074" w14:textId="77777777" w:rsidR="00D857FE" w:rsidRPr="00D83669" w:rsidRDefault="00D857FE" w:rsidP="00D857FE">
      <w:pPr>
        <w:rPr>
          <w:rFonts w:ascii="Times New Roman" w:eastAsia="Times New Roman" w:hAnsi="Times New Roman" w:cs="Times New Roman"/>
          <w:i/>
          <w:sz w:val="24"/>
          <w:szCs w:val="20"/>
          <w:lang w:eastAsia="bg-BG" w:bidi="bg-BG"/>
        </w:rPr>
      </w:pPr>
      <w:r w:rsidRPr="00D83669">
        <w:rPr>
          <w:rFonts w:ascii="Times New Roman" w:eastAsia="Times New Roman" w:hAnsi="Times New Roman" w:cs="Times New Roman"/>
          <w:i/>
          <w:sz w:val="24"/>
          <w:szCs w:val="20"/>
          <w:lang w:eastAsia="bg-BG" w:bidi="bg-BG"/>
        </w:rPr>
        <w:br w:type="page"/>
      </w:r>
    </w:p>
    <w:p w14:paraId="7FA8002D" w14:textId="7FE02D52" w:rsidR="00D857FE" w:rsidRPr="00D83669" w:rsidRDefault="00D857FE" w:rsidP="00BB37EF">
      <w:pPr>
        <w:pStyle w:val="Heading3"/>
        <w:rPr>
          <w:b/>
          <w:bCs/>
          <w:i/>
          <w:iCs/>
          <w:sz w:val="22"/>
          <w:szCs w:val="22"/>
        </w:rPr>
      </w:pPr>
      <w:bookmarkStart w:id="196" w:name="_Toc100153024"/>
      <w:bookmarkStart w:id="197" w:name="_Toc103586699"/>
      <w:r w:rsidRPr="00D83669">
        <w:rPr>
          <w:b/>
          <w:bCs/>
          <w:i/>
          <w:iCs/>
          <w:sz w:val="22"/>
          <w:szCs w:val="22"/>
        </w:rPr>
        <w:lastRenderedPageBreak/>
        <w:t>SOI 3.4 Брой висши училища, въвели дуална форма на преподаване</w:t>
      </w:r>
      <w:bookmarkEnd w:id="196"/>
      <w:bookmarkEnd w:id="197"/>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369D8439" w14:textId="77777777" w:rsidTr="001D4403">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B1BCDD5" w14:textId="05206855"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4B45E97" w14:textId="77777777" w:rsidR="00D857FE" w:rsidRPr="00D83669" w:rsidRDefault="00D857FE" w:rsidP="00CC7BCB">
            <w:pPr>
              <w:spacing w:after="120"/>
              <w:jc w:val="both"/>
              <w:rPr>
                <w:rFonts w:ascii="Times New Roman" w:hAnsi="Times New Roman"/>
                <w:sz w:val="24"/>
                <w:lang w:val="en-US"/>
              </w:rPr>
            </w:pPr>
            <w:r w:rsidRPr="00D83669">
              <w:rPr>
                <w:rFonts w:ascii="Times New Roman" w:hAnsi="Times New Roman"/>
                <w:sz w:val="24"/>
              </w:rPr>
              <w:t>Да</w:t>
            </w:r>
          </w:p>
        </w:tc>
      </w:tr>
      <w:tr w:rsidR="00D857FE" w:rsidRPr="00D83669" w14:paraId="723B6206" w14:textId="77777777" w:rsidTr="001D4403">
        <w:tc>
          <w:tcPr>
            <w:tcW w:w="2269" w:type="dxa"/>
            <w:shd w:val="clear" w:color="auto" w:fill="auto"/>
            <w:vAlign w:val="center"/>
          </w:tcPr>
          <w:p w14:paraId="53E64F7B" w14:textId="474F2CF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4583F42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3.4 Брой висши училища, въвели дуална форма на преподаване</w:t>
            </w:r>
          </w:p>
        </w:tc>
      </w:tr>
      <w:tr w:rsidR="00D857FE" w:rsidRPr="00D83669" w14:paraId="3577FEE2" w14:textId="77777777" w:rsidTr="001D4403">
        <w:tc>
          <w:tcPr>
            <w:tcW w:w="2269" w:type="dxa"/>
            <w:shd w:val="clear" w:color="auto" w:fill="auto"/>
            <w:vAlign w:val="center"/>
          </w:tcPr>
          <w:p w14:paraId="6B2C6DC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227D216C" w14:textId="437CE063"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4F4F1E81" w14:textId="77777777" w:rsidTr="001D4403">
        <w:tc>
          <w:tcPr>
            <w:tcW w:w="2269" w:type="dxa"/>
            <w:shd w:val="clear" w:color="auto" w:fill="auto"/>
            <w:vAlign w:val="center"/>
          </w:tcPr>
          <w:p w14:paraId="5779E4F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7A52A34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0D920147" w14:textId="77777777" w:rsidTr="001D4403">
        <w:tc>
          <w:tcPr>
            <w:tcW w:w="2269" w:type="dxa"/>
            <w:shd w:val="clear" w:color="auto" w:fill="auto"/>
            <w:vAlign w:val="center"/>
          </w:tcPr>
          <w:p w14:paraId="295225C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4F807193"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Въвеждане на форми на дуално обучение в приложими специалности във висшето образование</w:t>
            </w:r>
          </w:p>
        </w:tc>
      </w:tr>
      <w:tr w:rsidR="00D857FE" w:rsidRPr="00D83669" w14:paraId="26F8E651" w14:textId="77777777" w:rsidTr="001D4403">
        <w:tc>
          <w:tcPr>
            <w:tcW w:w="2269" w:type="dxa"/>
            <w:shd w:val="clear" w:color="auto" w:fill="auto"/>
            <w:vAlign w:val="center"/>
          </w:tcPr>
          <w:p w14:paraId="3547B159"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Дефиниция </w:t>
            </w:r>
          </w:p>
        </w:tc>
        <w:tc>
          <w:tcPr>
            <w:tcW w:w="7371" w:type="dxa"/>
            <w:shd w:val="clear" w:color="auto" w:fill="auto"/>
            <w:vAlign w:val="center"/>
          </w:tcPr>
          <w:p w14:paraId="1A6B71C9" w14:textId="28B91BF2"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Показателят измерва броя на висшите училища, които са разработили методически указания за въвеждане на дуално обучение, и са въвели дуална форма на преподаване в поне едно професионално направление.</w:t>
            </w:r>
          </w:p>
        </w:tc>
      </w:tr>
      <w:tr w:rsidR="00D857FE" w:rsidRPr="00D83669" w14:paraId="5D725388" w14:textId="77777777" w:rsidTr="001D4403">
        <w:tc>
          <w:tcPr>
            <w:tcW w:w="2269" w:type="dxa"/>
            <w:shd w:val="clear" w:color="auto" w:fill="auto"/>
            <w:vAlign w:val="center"/>
          </w:tcPr>
          <w:p w14:paraId="35A8710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1A056EA4"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Брой </w:t>
            </w:r>
          </w:p>
        </w:tc>
      </w:tr>
      <w:tr w:rsidR="00D857FE" w:rsidRPr="00D83669" w14:paraId="411359B4" w14:textId="77777777" w:rsidTr="001D4403">
        <w:tc>
          <w:tcPr>
            <w:tcW w:w="2269" w:type="dxa"/>
            <w:shd w:val="clear" w:color="auto" w:fill="auto"/>
            <w:vAlign w:val="center"/>
          </w:tcPr>
          <w:p w14:paraId="05FB6CF7"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Крайна цел </w:t>
            </w:r>
          </w:p>
        </w:tc>
        <w:tc>
          <w:tcPr>
            <w:tcW w:w="7371" w:type="dxa"/>
            <w:shd w:val="clear" w:color="auto" w:fill="auto"/>
            <w:vAlign w:val="center"/>
          </w:tcPr>
          <w:p w14:paraId="198FEA11" w14:textId="77777777" w:rsidR="00D857FE" w:rsidRPr="00D83669" w:rsidRDefault="00D857FE" w:rsidP="00CC7BCB">
            <w:pPr>
              <w:spacing w:after="120"/>
              <w:jc w:val="both"/>
              <w:rPr>
                <w:rFonts w:ascii="Times New Roman" w:hAnsi="Times New Roman"/>
                <w:sz w:val="24"/>
                <w:lang w:val="en-US"/>
              </w:rPr>
            </w:pPr>
            <w:r w:rsidRPr="00D83669">
              <w:rPr>
                <w:rFonts w:ascii="Times New Roman" w:hAnsi="Times New Roman"/>
                <w:sz w:val="24"/>
                <w:lang w:val="en-US"/>
              </w:rPr>
              <w:t>5</w:t>
            </w:r>
          </w:p>
        </w:tc>
      </w:tr>
      <w:tr w:rsidR="00D857FE" w:rsidRPr="00D83669" w14:paraId="3A2D8CF3" w14:textId="77777777" w:rsidTr="001D4403">
        <w:tc>
          <w:tcPr>
            <w:tcW w:w="2269" w:type="dxa"/>
            <w:shd w:val="clear" w:color="auto" w:fill="auto"/>
            <w:vAlign w:val="center"/>
          </w:tcPr>
          <w:p w14:paraId="1E652BD4"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2A4F2AE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За база на изчисленията е използван общия брой на висшите училища в страната (52). Целевата стойност представлява 10% от общия брой висши училища, като е отчетен фактът, че такива форми на обучение не са приложими за всички професионални направления във висшето образование и съответно не могат да бъдат приложени във всяко висше училище. Целевата стойност е определена с оглед осигуряване на възможност за пилотно въвеждане на дуално обучение във висшите училища в периода на изпълнение на операцията в професионални направления на поне 5 висши училища. Операцията ще се реализира от Министерство на образованието и науката в партньорство с висши училища, въз основа на подадени заявления за участие в проекта.</w:t>
            </w:r>
          </w:p>
        </w:tc>
      </w:tr>
      <w:tr w:rsidR="00D857FE" w:rsidRPr="00D83669" w14:paraId="30D41323" w14:textId="77777777" w:rsidTr="001D4403">
        <w:tc>
          <w:tcPr>
            <w:tcW w:w="2269" w:type="dxa"/>
            <w:shd w:val="clear" w:color="auto" w:fill="auto"/>
            <w:vAlign w:val="center"/>
          </w:tcPr>
          <w:p w14:paraId="0085267D"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Междинна цел</w:t>
            </w:r>
          </w:p>
        </w:tc>
        <w:tc>
          <w:tcPr>
            <w:tcW w:w="7371" w:type="dxa"/>
            <w:shd w:val="clear" w:color="auto" w:fill="auto"/>
            <w:vAlign w:val="center"/>
          </w:tcPr>
          <w:p w14:paraId="0F224595" w14:textId="0550DC6C" w:rsidR="00D857FE" w:rsidRPr="00D83669" w:rsidRDefault="0053727B"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37C16E01" w14:textId="77777777" w:rsidTr="001D4403">
        <w:tc>
          <w:tcPr>
            <w:tcW w:w="2269" w:type="dxa"/>
            <w:shd w:val="clear" w:color="auto" w:fill="auto"/>
            <w:vAlign w:val="center"/>
          </w:tcPr>
          <w:p w14:paraId="52EEF8EC"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1" w:type="dxa"/>
            <w:shd w:val="clear" w:color="auto" w:fill="auto"/>
            <w:vAlign w:val="center"/>
          </w:tcPr>
          <w:p w14:paraId="34D057B4" w14:textId="2920BC75" w:rsidR="00D857FE" w:rsidRPr="00D83669" w:rsidRDefault="0053727B" w:rsidP="00CC7BCB">
            <w:pPr>
              <w:spacing w:after="120"/>
              <w:jc w:val="both"/>
              <w:rPr>
                <w:rFonts w:ascii="Times New Roman" w:hAnsi="Times New Roman"/>
                <w:sz w:val="24"/>
              </w:rPr>
            </w:pPr>
            <w:r w:rsidRPr="00D83669">
              <w:rPr>
                <w:rFonts w:ascii="Times New Roman" w:hAnsi="Times New Roman"/>
                <w:sz w:val="24"/>
              </w:rPr>
              <w:t xml:space="preserve">Планираният период за стартиране на физическото изпълнение на дейностите по операция "Въвеждане на форми на дуално обучение в приложими специалности във висшето образование" е края на 2023 г. Изхождайки от спецификата на дейностите, които предхождат реалното въвеждане на дуални форми на преподаване във висшите училища, няма да бъде възможно отчитане на стойност на индикатора  в края на 2024 г., поради което не се планира етапна цел за индикатора.     </w:t>
            </w:r>
          </w:p>
        </w:tc>
      </w:tr>
      <w:tr w:rsidR="00D857FE" w:rsidRPr="00D83669" w14:paraId="1FCE8A25" w14:textId="77777777" w:rsidTr="001D4403">
        <w:tc>
          <w:tcPr>
            <w:tcW w:w="2269" w:type="dxa"/>
            <w:shd w:val="clear" w:color="auto" w:fill="auto"/>
            <w:vAlign w:val="center"/>
          </w:tcPr>
          <w:p w14:paraId="12A5FF7F"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Базова стойност</w:t>
            </w:r>
          </w:p>
        </w:tc>
        <w:tc>
          <w:tcPr>
            <w:tcW w:w="7371" w:type="dxa"/>
            <w:shd w:val="clear" w:color="auto" w:fill="auto"/>
            <w:vAlign w:val="center"/>
          </w:tcPr>
          <w:p w14:paraId="05476A8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0</w:t>
            </w:r>
          </w:p>
        </w:tc>
      </w:tr>
      <w:tr w:rsidR="00D857FE" w:rsidRPr="00D83669" w14:paraId="1EAF7B8C" w14:textId="77777777" w:rsidTr="001D4403">
        <w:tc>
          <w:tcPr>
            <w:tcW w:w="2269" w:type="dxa"/>
            <w:shd w:val="clear" w:color="auto" w:fill="auto"/>
            <w:vAlign w:val="center"/>
          </w:tcPr>
          <w:p w14:paraId="519683C2"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 xml:space="preserve">Разбивка </w:t>
            </w:r>
          </w:p>
        </w:tc>
        <w:tc>
          <w:tcPr>
            <w:tcW w:w="7371" w:type="dxa"/>
            <w:shd w:val="clear" w:color="auto" w:fill="auto"/>
            <w:vAlign w:val="center"/>
          </w:tcPr>
          <w:p w14:paraId="16498CE9"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Няма да бъде направена предварителна разбивка по отделни признаци. На етап отчитане ще бъдат представени данни за </w:t>
            </w:r>
            <w:r w:rsidRPr="00D83669">
              <w:rPr>
                <w:rFonts w:ascii="Times New Roman" w:hAnsi="Times New Roman"/>
                <w:sz w:val="24"/>
              </w:rPr>
              <w:lastRenderedPageBreak/>
              <w:t>професионалните направления и специалностите, за които са разработени методически ръководства и друга информация.</w:t>
            </w:r>
          </w:p>
        </w:tc>
      </w:tr>
      <w:tr w:rsidR="00D857FE" w:rsidRPr="00D83669" w14:paraId="6139CA0E" w14:textId="77777777" w:rsidTr="001D4403">
        <w:tc>
          <w:tcPr>
            <w:tcW w:w="2269" w:type="dxa"/>
            <w:shd w:val="clear" w:color="auto" w:fill="auto"/>
            <w:vAlign w:val="center"/>
          </w:tcPr>
          <w:p w14:paraId="4D23667A"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lastRenderedPageBreak/>
              <w:t xml:space="preserve">Обосновка </w:t>
            </w:r>
          </w:p>
        </w:tc>
        <w:tc>
          <w:tcPr>
            <w:tcW w:w="7371" w:type="dxa"/>
            <w:shd w:val="clear" w:color="auto" w:fill="auto"/>
            <w:vAlign w:val="center"/>
          </w:tcPr>
          <w:p w14:paraId="621F2E22" w14:textId="77777777" w:rsidR="00D857FE" w:rsidRPr="00D83669" w:rsidRDefault="00D857FE" w:rsidP="00CC7BCB">
            <w:pPr>
              <w:spacing w:after="120"/>
              <w:jc w:val="both"/>
              <w:rPr>
                <w:rFonts w:ascii="Times New Roman" w:hAnsi="Times New Roman"/>
                <w:color w:val="FF0000"/>
                <w:sz w:val="24"/>
              </w:rPr>
            </w:pPr>
            <w:r w:rsidRPr="00D83669">
              <w:rPr>
                <w:rFonts w:ascii="Times New Roman" w:hAnsi="Times New Roman"/>
                <w:sz w:val="24"/>
              </w:rPr>
              <w:t>Събирането на данни за броя на висшите училища, въвели дуална форма на обучение, е необходимо за изграждане на база от данни относно професионалните направления и специалностите, в които студентите ще бъдат включени в дуално обучение. Броят на обхванатите висши училища, по професионални направления и специалности ще послужи на национално ниво за извършване на анализи на резултатите от предприетите мерки за подобряване на съответствието на висшето образование с потребностите на пазара на труда. Данните от мониторинга, събрани за този показател, ще предоставят важна информация за степента, до която е възприета дуалната система и ще бъдат допълнени от проучвания за ефекта от прилагането на дуалното обучение върху студентите.</w:t>
            </w:r>
          </w:p>
        </w:tc>
      </w:tr>
      <w:tr w:rsidR="00D857FE" w:rsidRPr="00D83669" w14:paraId="1DAEA3F4" w14:textId="77777777" w:rsidTr="001D4403">
        <w:tc>
          <w:tcPr>
            <w:tcW w:w="2269" w:type="dxa"/>
            <w:shd w:val="clear" w:color="auto" w:fill="auto"/>
            <w:vAlign w:val="center"/>
          </w:tcPr>
          <w:p w14:paraId="01097706"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6327BEE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събират, за да се проследят броят професионалните направления, специалностите и висшите училища, които са въвели дуално обучение в рамките на проекта. Мониторинг на ефекта от прилагането на дуално обучение ще се осъществява периодично, чрез анкети и изследвания на контролни групи студенти, преподаватели и ментори. Анализът на данните от мониторинга ще се съсредоточат върху ефекта от прилагането на дуалното обучение и по-тясно обвързване на знанията и уменията на студентите, придобити във висшето училище, с нуждите на пазара на труда и тяхното практическо приложение. </w:t>
            </w:r>
          </w:p>
          <w:p w14:paraId="06D46836"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Данните ще съдържат информация за: името на висшето училище; местоположението; професионалното направление, специалността и образователно-квалификационната степен, за които е въведена дуална форма на обучение; и др.</w:t>
            </w:r>
          </w:p>
        </w:tc>
      </w:tr>
      <w:tr w:rsidR="00D857FE" w:rsidRPr="00D83669" w14:paraId="105B58B2" w14:textId="77777777" w:rsidTr="001D4403">
        <w:tc>
          <w:tcPr>
            <w:tcW w:w="2269" w:type="dxa"/>
            <w:shd w:val="clear" w:color="auto" w:fill="auto"/>
            <w:vAlign w:val="center"/>
          </w:tcPr>
          <w:p w14:paraId="4FD4944B"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2949D41E"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Два пъти годишно </w:t>
            </w:r>
          </w:p>
        </w:tc>
      </w:tr>
      <w:tr w:rsidR="00D857FE" w:rsidRPr="00D83669" w14:paraId="53E91E5C" w14:textId="77777777" w:rsidTr="001D4403">
        <w:tc>
          <w:tcPr>
            <w:tcW w:w="2269" w:type="dxa"/>
            <w:shd w:val="clear" w:color="auto" w:fill="auto"/>
            <w:vAlign w:val="center"/>
          </w:tcPr>
          <w:p w14:paraId="1B665751" w14:textId="6071CE8E"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4030902C" w14:textId="77777777" w:rsidR="00D857FE" w:rsidRPr="00D83669" w:rsidRDefault="00D857FE" w:rsidP="00D857FE">
            <w:pPr>
              <w:pStyle w:val="ListParagraph"/>
              <w:numPr>
                <w:ilvl w:val="0"/>
                <w:numId w:val="22"/>
              </w:numPr>
              <w:spacing w:after="0" w:line="240" w:lineRule="auto"/>
              <w:ind w:left="714" w:hanging="357"/>
              <w:jc w:val="both"/>
              <w:rPr>
                <w:rFonts w:ascii="Times New Roman" w:hAnsi="Times New Roman"/>
                <w:sz w:val="24"/>
              </w:rPr>
            </w:pPr>
            <w:r w:rsidRPr="00D83669">
              <w:rPr>
                <w:rFonts w:ascii="Times New Roman" w:hAnsi="Times New Roman"/>
                <w:sz w:val="24"/>
              </w:rPr>
              <w:t>EEC010 Участници със средно образование (ISCED 3) или образование след средното образование (ISCED 4);</w:t>
            </w:r>
          </w:p>
          <w:p w14:paraId="2217C858" w14:textId="77777777" w:rsidR="00D857FE" w:rsidRPr="00D83669" w:rsidRDefault="00D857FE" w:rsidP="00D857FE">
            <w:pPr>
              <w:pStyle w:val="ListParagraph"/>
              <w:numPr>
                <w:ilvl w:val="0"/>
                <w:numId w:val="22"/>
              </w:numPr>
              <w:spacing w:after="0" w:line="240" w:lineRule="auto"/>
              <w:ind w:left="714" w:hanging="357"/>
              <w:contextualSpacing w:val="0"/>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056DA214" w14:textId="090E0DE8" w:rsidR="00D857FE" w:rsidRPr="00D83669" w:rsidRDefault="00D857FE" w:rsidP="00D857FE">
            <w:pPr>
              <w:pStyle w:val="ListParagraph"/>
              <w:numPr>
                <w:ilvl w:val="0"/>
                <w:numId w:val="22"/>
              </w:numPr>
              <w:spacing w:after="0" w:line="240" w:lineRule="auto"/>
              <w:ind w:left="714" w:hanging="357"/>
              <w:contextualSpacing w:val="0"/>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3.1 – Ученици и студенти, започнали да търсят работа;</w:t>
            </w:r>
          </w:p>
          <w:p w14:paraId="59EF7F07" w14:textId="77777777" w:rsidR="00D857FE" w:rsidRPr="00D83669" w:rsidRDefault="00D857FE" w:rsidP="00D857FE">
            <w:pPr>
              <w:pStyle w:val="ListParagraph"/>
              <w:numPr>
                <w:ilvl w:val="0"/>
                <w:numId w:val="22"/>
              </w:numPr>
              <w:spacing w:after="0" w:line="240" w:lineRule="auto"/>
              <w:contextualSpacing w:val="0"/>
              <w:jc w:val="both"/>
              <w:rPr>
                <w:rFonts w:ascii="Times New Roman" w:hAnsi="Times New Roman"/>
                <w:sz w:val="24"/>
              </w:rPr>
            </w:pPr>
            <w:r w:rsidRPr="00D83669">
              <w:rPr>
                <w:rFonts w:ascii="Times New Roman" w:hAnsi="Times New Roman"/>
                <w:sz w:val="24"/>
              </w:rPr>
              <w:t>SRI 3.2. Брой студенти, които се обучават в дуална форма.</w:t>
            </w:r>
          </w:p>
        </w:tc>
      </w:tr>
      <w:tr w:rsidR="00D857FE" w:rsidRPr="00D83669" w14:paraId="784CB349" w14:textId="77777777" w:rsidTr="001D4403">
        <w:tc>
          <w:tcPr>
            <w:tcW w:w="2269" w:type="dxa"/>
            <w:tcBorders>
              <w:top w:val="single" w:sz="4" w:space="0" w:color="auto"/>
              <w:left w:val="single" w:sz="4" w:space="0" w:color="auto"/>
              <w:bottom w:val="single" w:sz="4" w:space="0" w:color="auto"/>
              <w:right w:val="single" w:sz="4" w:space="0" w:color="auto"/>
            </w:tcBorders>
            <w:shd w:val="clear" w:color="auto" w:fill="auto"/>
            <w:vAlign w:val="center"/>
          </w:tcPr>
          <w:p w14:paraId="313EA210" w14:textId="77777777" w:rsidR="00D857FE" w:rsidRPr="00D83669" w:rsidRDefault="00D857FE" w:rsidP="00CC7BCB">
            <w:pPr>
              <w:spacing w:after="120"/>
              <w:rPr>
                <w:rFonts w:ascii="Times New Roman" w:hAnsi="Times New Roman"/>
                <w:b/>
                <w:bCs/>
                <w:sz w:val="24"/>
              </w:rPr>
            </w:pPr>
            <w:r w:rsidRPr="00D83669">
              <w:rPr>
                <w:rFonts w:ascii="Times New Roman" w:hAnsi="Times New Roman"/>
                <w:b/>
                <w:bCs/>
                <w:sz w:val="24"/>
              </w:rPr>
              <w:t>Валидиране</w:t>
            </w:r>
          </w:p>
        </w:tc>
        <w:tc>
          <w:tcPr>
            <w:tcW w:w="7371" w:type="dxa"/>
            <w:tcBorders>
              <w:top w:val="single" w:sz="4" w:space="0" w:color="auto"/>
              <w:left w:val="single" w:sz="4" w:space="0" w:color="auto"/>
              <w:bottom w:val="single" w:sz="4" w:space="0" w:color="auto"/>
              <w:right w:val="single" w:sz="4" w:space="0" w:color="auto"/>
            </w:tcBorders>
            <w:shd w:val="clear" w:color="auto" w:fill="auto"/>
            <w:vAlign w:val="center"/>
          </w:tcPr>
          <w:p w14:paraId="4ADC1634" w14:textId="7B383B78"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висшите училища, подкрепени чрез дейности по операции по СЦ по чл. 4, пар. 1, буква д) на Приоритет 3 на ПО 2021 – 2027 и е равна на броя на всички висши училища, включени в дейности за въвеждане на дуални форми на обучение по тази специфична цел на Приоритет 3 на Програмата.</w:t>
            </w:r>
          </w:p>
        </w:tc>
      </w:tr>
    </w:tbl>
    <w:p w14:paraId="3186F507" w14:textId="77777777" w:rsidR="00D857FE" w:rsidRPr="00D83669" w:rsidRDefault="00D857FE" w:rsidP="00D857FE">
      <w:pPr>
        <w:rPr>
          <w:rFonts w:ascii="Times New Roman" w:eastAsia="Times New Roman" w:hAnsi="Times New Roman" w:cs="Times New Roman"/>
          <w:i/>
          <w:sz w:val="24"/>
          <w:szCs w:val="20"/>
          <w:lang w:eastAsia="bg-BG" w:bidi="bg-BG"/>
        </w:rPr>
      </w:pPr>
    </w:p>
    <w:p w14:paraId="2172CA9D" w14:textId="77777777" w:rsidR="00D857FE" w:rsidRPr="00D83669" w:rsidRDefault="00D857FE" w:rsidP="00D857FE">
      <w:pPr>
        <w:rPr>
          <w:rFonts w:ascii="Times New Roman" w:eastAsia="Times New Roman" w:hAnsi="Times New Roman" w:cs="Times New Roman"/>
          <w:i/>
          <w:sz w:val="24"/>
          <w:szCs w:val="20"/>
          <w:lang w:eastAsia="bg-BG" w:bidi="bg-BG"/>
        </w:rPr>
      </w:pPr>
      <w:r w:rsidRPr="00D83669">
        <w:rPr>
          <w:rFonts w:ascii="Times New Roman" w:eastAsia="Times New Roman" w:hAnsi="Times New Roman" w:cs="Times New Roman"/>
          <w:i/>
          <w:sz w:val="24"/>
          <w:szCs w:val="20"/>
          <w:lang w:eastAsia="bg-BG" w:bidi="bg-BG"/>
        </w:rPr>
        <w:br w:type="page"/>
      </w:r>
    </w:p>
    <w:p w14:paraId="105EBCCF" w14:textId="1F3BBFCD" w:rsidR="00D857FE" w:rsidRPr="00D83669" w:rsidRDefault="00D857FE" w:rsidP="00A0322F">
      <w:pPr>
        <w:pStyle w:val="Heading3"/>
        <w:ind w:left="567"/>
        <w:rPr>
          <w:rFonts w:ascii="Times New Roman" w:hAnsi="Times New Roman" w:cs="Times New Roman"/>
          <w:color w:val="000000" w:themeColor="text1"/>
        </w:rPr>
      </w:pPr>
      <w:bookmarkStart w:id="198" w:name="_Toc98778799"/>
      <w:bookmarkStart w:id="199" w:name="_Toc100153025"/>
      <w:bookmarkStart w:id="200" w:name="_Toc103586700"/>
      <w:r w:rsidRPr="00D83669">
        <w:rPr>
          <w:rFonts w:ascii="Times New Roman" w:hAnsi="Times New Roman" w:cs="Times New Roman"/>
        </w:rPr>
        <w:lastRenderedPageBreak/>
        <w:t>Показатели за резултатите</w:t>
      </w:r>
      <w:bookmarkEnd w:id="198"/>
      <w:bookmarkEnd w:id="199"/>
      <w:bookmarkEnd w:id="200"/>
      <w:r w:rsidRPr="00D83669">
        <w:rPr>
          <w:rFonts w:ascii="Times New Roman" w:hAnsi="Times New Roman" w:cs="Times New Roman"/>
          <w:color w:val="000000" w:themeColor="text1"/>
        </w:rPr>
        <w:t xml:space="preserve"> </w:t>
      </w:r>
      <w:bookmarkStart w:id="201" w:name="_Hlk64124104"/>
    </w:p>
    <w:p w14:paraId="1D7E02A8" w14:textId="77777777" w:rsidR="00D857FE" w:rsidRPr="00D83669" w:rsidRDefault="00D857FE" w:rsidP="00BB37EF">
      <w:pPr>
        <w:pStyle w:val="Heading3"/>
        <w:rPr>
          <w:b/>
          <w:bCs/>
          <w:i/>
          <w:iCs/>
          <w:sz w:val="22"/>
          <w:szCs w:val="22"/>
        </w:rPr>
      </w:pPr>
      <w:bookmarkStart w:id="202" w:name="_Toc100153026"/>
      <w:bookmarkStart w:id="203" w:name="_Toc103586701"/>
      <w:r w:rsidRPr="00D83669">
        <w:rPr>
          <w:b/>
          <w:bCs/>
          <w:i/>
          <w:iCs/>
          <w:sz w:val="22"/>
          <w:szCs w:val="22"/>
        </w:rPr>
        <w:t>EECR02 Участници, които при напускане на операцията са ангажирани с образование или обучение</w:t>
      </w:r>
      <w:bookmarkEnd w:id="202"/>
      <w:bookmarkEnd w:id="203"/>
      <w:r w:rsidRPr="00D83669" w:rsidDel="003E5DAC">
        <w:rPr>
          <w:b/>
          <w:bCs/>
          <w:i/>
          <w:iCs/>
          <w:sz w:val="22"/>
          <w:szCs w:val="22"/>
        </w:rPr>
        <w:t xml:space="preserve"> </w:t>
      </w:r>
      <w:r w:rsidRPr="00D83669">
        <w:rPr>
          <w:b/>
          <w:bCs/>
          <w:i/>
          <w:iCs/>
          <w:sz w:val="22"/>
          <w:szCs w:val="22"/>
        </w:rPr>
        <w:t xml:space="preserve"> </w:t>
      </w: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77"/>
      </w:tblGrid>
      <w:tr w:rsidR="00D857FE" w:rsidRPr="00D83669" w14:paraId="7AD50580" w14:textId="77777777" w:rsidTr="00F704FC">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bookmarkEnd w:id="201"/>
          <w:p w14:paraId="0638960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Индикаторът 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3DFC6A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3F9EC8F8" w14:textId="77777777" w:rsidTr="00F704FC">
        <w:tc>
          <w:tcPr>
            <w:tcW w:w="2263" w:type="dxa"/>
            <w:shd w:val="clear" w:color="auto" w:fill="auto"/>
            <w:vAlign w:val="center"/>
          </w:tcPr>
          <w:p w14:paraId="594103F9" w14:textId="374E61A8"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7377" w:type="dxa"/>
            <w:shd w:val="clear" w:color="auto" w:fill="auto"/>
            <w:vAlign w:val="center"/>
          </w:tcPr>
          <w:p w14:paraId="2E4246B1" w14:textId="77777777" w:rsidR="00D857FE" w:rsidRPr="00D83669" w:rsidRDefault="00D857FE" w:rsidP="00CC7BCB">
            <w:pPr>
              <w:tabs>
                <w:tab w:val="left" w:pos="5532"/>
              </w:tabs>
              <w:jc w:val="both"/>
              <w:rPr>
                <w:rFonts w:ascii="Times New Roman" w:hAnsi="Times New Roman"/>
                <w:sz w:val="24"/>
              </w:rPr>
            </w:pPr>
            <w:r w:rsidRPr="00D83669">
              <w:rPr>
                <w:rFonts w:ascii="Times New Roman" w:hAnsi="Times New Roman"/>
                <w:sz w:val="24"/>
              </w:rPr>
              <w:t>EECR02 Участници, които при напускане на операцията са ангажирани с образование или обучение</w:t>
            </w:r>
            <w:r w:rsidRPr="00D83669" w:rsidDel="003E5DAC">
              <w:rPr>
                <w:rFonts w:ascii="Times New Roman" w:hAnsi="Times New Roman"/>
                <w:sz w:val="24"/>
              </w:rPr>
              <w:t xml:space="preserve"> </w:t>
            </w:r>
            <w:r w:rsidRPr="00D83669">
              <w:rPr>
                <w:rFonts w:ascii="Times New Roman" w:hAnsi="Times New Roman"/>
                <w:sz w:val="24"/>
              </w:rPr>
              <w:t xml:space="preserve"> </w:t>
            </w:r>
          </w:p>
        </w:tc>
      </w:tr>
      <w:tr w:rsidR="00D857FE" w:rsidRPr="00D83669" w14:paraId="596DC450" w14:textId="77777777" w:rsidTr="00F704FC">
        <w:tc>
          <w:tcPr>
            <w:tcW w:w="2263" w:type="dxa"/>
            <w:shd w:val="clear" w:color="auto" w:fill="auto"/>
            <w:vAlign w:val="center"/>
          </w:tcPr>
          <w:p w14:paraId="4990B5A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4F9670AF" w14:textId="43E76C41" w:rsidR="00D857FE" w:rsidRPr="00D83669" w:rsidRDefault="00D857FE" w:rsidP="00CC7BCB">
            <w:pPr>
              <w:jc w:val="both"/>
              <w:rPr>
                <w:rFonts w:ascii="Times New Roman" w:hAnsi="Times New Roman"/>
                <w:sz w:val="24"/>
              </w:rPr>
            </w:pPr>
            <w:r w:rsidRPr="00D83669">
              <w:rPr>
                <w:rFonts w:ascii="Times New Roman" w:hAnsi="Times New Roman"/>
                <w:sz w:val="24"/>
              </w:rPr>
              <w:t xml:space="preserve">Общ </w:t>
            </w:r>
            <w:r w:rsidR="00A65008" w:rsidRPr="00D83669">
              <w:rPr>
                <w:rFonts w:ascii="Times New Roman" w:hAnsi="Times New Roman"/>
                <w:sz w:val="24"/>
              </w:rPr>
              <w:t>п</w:t>
            </w:r>
            <w:r w:rsidRPr="00D83669">
              <w:rPr>
                <w:rFonts w:ascii="Times New Roman" w:hAnsi="Times New Roman"/>
                <w:sz w:val="24"/>
              </w:rPr>
              <w:t>оказател за резултат</w:t>
            </w:r>
          </w:p>
        </w:tc>
      </w:tr>
      <w:tr w:rsidR="00D857FE" w:rsidRPr="00D83669" w14:paraId="05EE9F1C" w14:textId="77777777" w:rsidTr="00F704FC">
        <w:tc>
          <w:tcPr>
            <w:tcW w:w="2263" w:type="dxa"/>
            <w:shd w:val="clear" w:color="auto" w:fill="auto"/>
            <w:vAlign w:val="center"/>
          </w:tcPr>
          <w:p w14:paraId="631109A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1FAB33CA" w14:textId="77777777" w:rsidR="00D857FE" w:rsidRPr="00D83669" w:rsidRDefault="00D857FE" w:rsidP="00CC7BCB">
            <w:pPr>
              <w:jc w:val="both"/>
              <w:rPr>
                <w:rFonts w:ascii="Times New Roman" w:hAnsi="Times New Roman"/>
                <w:sz w:val="24"/>
              </w:rPr>
            </w:pPr>
            <w:r w:rsidRPr="00D83669">
              <w:rPr>
                <w:rFonts w:ascii="Times New Roman" w:hAnsi="Times New Roman"/>
                <w:b/>
                <w:sz w:val="24"/>
                <w:lang w:bidi="bg-BG"/>
              </w:rPr>
              <w:t xml:space="preserve">СЦ по чл. 4, пар. 1, буква д) </w:t>
            </w:r>
            <w:r w:rsidRPr="00D83669">
              <w:rPr>
                <w:rFonts w:ascii="Times New Roman" w:hAnsi="Times New Roman"/>
                <w:sz w:val="24"/>
                <w:lang w:bidi="bg-BG"/>
              </w:rPr>
              <w:t>-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3328DFAA" w14:textId="77777777" w:rsidTr="00F704FC">
        <w:tc>
          <w:tcPr>
            <w:tcW w:w="2263" w:type="dxa"/>
            <w:shd w:val="clear" w:color="auto" w:fill="auto"/>
            <w:vAlign w:val="center"/>
          </w:tcPr>
          <w:p w14:paraId="2E5A96A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6452D90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Адаптиране на ПОО спрямо динамиката на пазара на труда; </w:t>
            </w:r>
          </w:p>
          <w:p w14:paraId="42FB062E" w14:textId="0E77406F"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развитие на умения за професиите на настоящето и бъдещето.</w:t>
            </w:r>
          </w:p>
        </w:tc>
      </w:tr>
      <w:tr w:rsidR="00D857FE" w:rsidRPr="00D83669" w14:paraId="77F97557" w14:textId="77777777" w:rsidTr="00F704FC">
        <w:tc>
          <w:tcPr>
            <w:tcW w:w="2263" w:type="dxa"/>
            <w:shd w:val="clear" w:color="auto" w:fill="auto"/>
            <w:vAlign w:val="center"/>
          </w:tcPr>
          <w:p w14:paraId="4219452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377" w:type="dxa"/>
            <w:shd w:val="clear" w:color="auto" w:fill="auto"/>
            <w:vAlign w:val="center"/>
          </w:tcPr>
          <w:p w14:paraId="5E7E3B63" w14:textId="0FEF98A7" w:rsidR="00D857FE" w:rsidRPr="00D83669" w:rsidRDefault="00D857FE" w:rsidP="00CC7BCB">
            <w:pPr>
              <w:pStyle w:val="Default"/>
              <w:jc w:val="both"/>
              <w:rPr>
                <w:color w:val="auto"/>
              </w:rPr>
            </w:pPr>
            <w:r w:rsidRPr="00D83669">
              <w:rPr>
                <w:color w:val="auto"/>
              </w:rPr>
              <w:t xml:space="preserve">Показателят измерва броя на учениците, които са получили подкрепа от ЕСФ+ по операции по Приоритет 3 на Програма „Образование“ 2021-2027 и са новозаписани и нововключени в образование и/или обучение, непосредствено след приключване на операцията. </w:t>
            </w:r>
          </w:p>
          <w:p w14:paraId="2BB91F7B" w14:textId="77777777" w:rsidR="00D857FE" w:rsidRPr="00D83669" w:rsidRDefault="00D857FE" w:rsidP="00CC7BCB">
            <w:pPr>
              <w:pStyle w:val="Default"/>
              <w:jc w:val="both"/>
              <w:rPr>
                <w:color w:val="auto"/>
              </w:rPr>
            </w:pPr>
            <w:r w:rsidRPr="00D83669">
              <w:rPr>
                <w:color w:val="auto"/>
              </w:rPr>
              <w:t>Включени деца и ученици в образование са ученици в гимназиален етап на образование в училища, предоставящи обучение по професионална подготовка, които са върнати и записани отново в образователната система, след като са били отпаднали. Това са ученици, които преди да получат подкрепа по операции от ПО, не са записани, не са участвали и са отпаднали от образование, но след подкрепата по дейността вече са записани и са включени в образование или обучение, т.е. са нови за системата на образованието и обучението в рамките на програмния период.</w:t>
            </w:r>
          </w:p>
        </w:tc>
      </w:tr>
      <w:tr w:rsidR="00D857FE" w:rsidRPr="00D83669" w14:paraId="1A48A8F1" w14:textId="77777777" w:rsidTr="00F704FC">
        <w:tc>
          <w:tcPr>
            <w:tcW w:w="2263" w:type="dxa"/>
            <w:shd w:val="clear" w:color="auto" w:fill="auto"/>
            <w:vAlign w:val="center"/>
          </w:tcPr>
          <w:p w14:paraId="38178BA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7" w:type="dxa"/>
            <w:shd w:val="clear" w:color="auto" w:fill="auto"/>
            <w:vAlign w:val="center"/>
          </w:tcPr>
          <w:p w14:paraId="7A54979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02FCDD49" w14:textId="77777777" w:rsidTr="00F704FC">
        <w:tc>
          <w:tcPr>
            <w:tcW w:w="2263" w:type="dxa"/>
            <w:shd w:val="clear" w:color="auto" w:fill="auto"/>
            <w:vAlign w:val="center"/>
          </w:tcPr>
          <w:p w14:paraId="7085EFC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5D4D8BE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7 216</w:t>
            </w:r>
          </w:p>
        </w:tc>
      </w:tr>
      <w:tr w:rsidR="00D857FE" w:rsidRPr="00D83669" w14:paraId="77363FEB" w14:textId="77777777" w:rsidTr="00F704FC">
        <w:tc>
          <w:tcPr>
            <w:tcW w:w="2263" w:type="dxa"/>
            <w:shd w:val="clear" w:color="auto" w:fill="auto"/>
            <w:vAlign w:val="center"/>
          </w:tcPr>
          <w:p w14:paraId="39C1EE1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крайна цел</w:t>
            </w:r>
          </w:p>
        </w:tc>
        <w:tc>
          <w:tcPr>
            <w:tcW w:w="7377" w:type="dxa"/>
            <w:shd w:val="clear" w:color="auto" w:fill="auto"/>
            <w:vAlign w:val="center"/>
          </w:tcPr>
          <w:p w14:paraId="5FD8E25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За гарантиране на устойчивост на резултатите по операцията се използва </w:t>
            </w:r>
            <w:r w:rsidRPr="00D83669">
              <w:rPr>
                <w:rFonts w:ascii="Times New Roman" w:hAnsi="Times New Roman"/>
                <w:b/>
                <w:sz w:val="24"/>
              </w:rPr>
              <w:t>коефициент на отпадналите от системата на ПОО ученици, като съгласно доклад на Световната банка, коефициентът на отпадналите от системата на ПОО е 20,6% (за 2017 г.)</w:t>
            </w:r>
            <w:r w:rsidRPr="00D83669">
              <w:rPr>
                <w:rStyle w:val="FootnoteReference"/>
                <w:rFonts w:ascii="Times New Roman" w:hAnsi="Times New Roman"/>
                <w:b/>
                <w:sz w:val="24"/>
              </w:rPr>
              <w:footnoteReference w:id="8"/>
            </w:r>
            <w:r w:rsidRPr="00D83669">
              <w:rPr>
                <w:rFonts w:ascii="Times New Roman" w:hAnsi="Times New Roman"/>
                <w:b/>
                <w:sz w:val="24"/>
              </w:rPr>
              <w:t xml:space="preserve">.  Процентът на отпадналите се изчислява като дял от кохортата ученици, които са стартирали програма за ПОО, но не </w:t>
            </w:r>
            <w:r w:rsidRPr="00D83669">
              <w:rPr>
                <w:rFonts w:ascii="Times New Roman" w:hAnsi="Times New Roman"/>
                <w:b/>
                <w:sz w:val="24"/>
              </w:rPr>
              <w:lastRenderedPageBreak/>
              <w:t xml:space="preserve">фигурират като записани в края на тази програма за дадена учебна година. </w:t>
            </w:r>
          </w:p>
          <w:p w14:paraId="1E712F7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се определя от предвидения брой участващи ученици в дейности по приоритет 3 на ПО, които са подкрепени за продължаване на своето обучение в системата на ПОО, чрез включване в допълнително обучение и/или гъвкави пътеки и са </w:t>
            </w:r>
            <w:r w:rsidRPr="00D83669">
              <w:rPr>
                <w:rFonts w:ascii="Times New Roman" w:hAnsi="Times New Roman"/>
                <w:b/>
                <w:sz w:val="24"/>
              </w:rPr>
              <w:t>ново</w:t>
            </w:r>
            <w:r w:rsidRPr="00D83669">
              <w:rPr>
                <w:rFonts w:ascii="Times New Roman" w:hAnsi="Times New Roman"/>
                <w:sz w:val="24"/>
              </w:rPr>
              <w:t xml:space="preserve">включени и </w:t>
            </w:r>
            <w:r w:rsidRPr="00D83669">
              <w:rPr>
                <w:rFonts w:ascii="Times New Roman" w:hAnsi="Times New Roman"/>
                <w:b/>
                <w:sz w:val="24"/>
              </w:rPr>
              <w:t>ново</w:t>
            </w:r>
            <w:r w:rsidRPr="00D83669">
              <w:rPr>
                <w:rFonts w:ascii="Times New Roman" w:hAnsi="Times New Roman"/>
                <w:sz w:val="24"/>
              </w:rPr>
              <w:t>записани в образование и обучение. Броят ученици, които се предвижда да бъдат подкрепени за продължаване на своето обучение в системата на ПОО, е определен на база единичните разходи за допълнително обучение на ученици в риск от отпадане с продължителност от 10 учебни часа за ученици от първи и втори гимназиален етап на образование за преодоляване на пропуски при усвояването на учебното съдържание и/или за актуализация на компетентностите по процедура „Подкрепа за успех“ по ОПНОИР. Приложен е процент на индексация на база увеличение на разходите за труд в сектор "Образование" за периода до 2026 г., имайки предвид че преобладаващата част от разходите за практическо обучение са свързани с разходи за възнаграждения и са в пряка зависимост от ръста на разходите за труд. Изчислената целева стойност представлява 7% от общия брой ученици, които се предвижда да участват в операции по Приоритет 3 на ПО (103 088*7%=7216) и ще гарантира широк обхват на учениците в "риск от отпадане" от системата на ПОО, като се има предвид, че с предвидената реформа в ПОО ще се повиши броя на учениците с обучение по професионална подготовка, с посочената целева стойност се очаква намаляване коефициента на отпадналите от системата на ПОО с около 5%.</w:t>
            </w:r>
          </w:p>
        </w:tc>
      </w:tr>
      <w:tr w:rsidR="00D857FE" w:rsidRPr="00D83669" w14:paraId="5DE9C5B1" w14:textId="77777777" w:rsidTr="00F704FC">
        <w:tc>
          <w:tcPr>
            <w:tcW w:w="2263" w:type="dxa"/>
            <w:shd w:val="clear" w:color="auto" w:fill="auto"/>
            <w:vAlign w:val="center"/>
          </w:tcPr>
          <w:p w14:paraId="773EFED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Референтна стойност</w:t>
            </w:r>
          </w:p>
        </w:tc>
        <w:tc>
          <w:tcPr>
            <w:tcW w:w="7377" w:type="dxa"/>
            <w:shd w:val="clear" w:color="auto" w:fill="auto"/>
            <w:vAlign w:val="center"/>
          </w:tcPr>
          <w:p w14:paraId="46C3BB00" w14:textId="75BFE63A" w:rsidR="00D857FE" w:rsidRPr="00D83669" w:rsidRDefault="00D857FE" w:rsidP="00CC7BCB">
            <w:pPr>
              <w:jc w:val="both"/>
              <w:rPr>
                <w:rFonts w:ascii="Times New Roman" w:hAnsi="Times New Roman"/>
                <w:sz w:val="24"/>
              </w:rPr>
            </w:pPr>
            <w:r w:rsidRPr="00D83669">
              <w:rPr>
                <w:rFonts w:ascii="Times New Roman" w:hAnsi="Times New Roman"/>
                <w:sz w:val="24"/>
              </w:rPr>
              <w:t>4 576</w:t>
            </w:r>
          </w:p>
        </w:tc>
      </w:tr>
      <w:tr w:rsidR="00D857FE" w:rsidRPr="00D83669" w14:paraId="11A84498" w14:textId="77777777" w:rsidTr="00F704FC">
        <w:tc>
          <w:tcPr>
            <w:tcW w:w="2263" w:type="dxa"/>
            <w:shd w:val="clear" w:color="auto" w:fill="auto"/>
            <w:vAlign w:val="center"/>
          </w:tcPr>
          <w:p w14:paraId="6C51F73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референтна стойност</w:t>
            </w:r>
          </w:p>
        </w:tc>
        <w:tc>
          <w:tcPr>
            <w:tcW w:w="7377" w:type="dxa"/>
            <w:shd w:val="clear" w:color="auto" w:fill="auto"/>
            <w:vAlign w:val="center"/>
          </w:tcPr>
          <w:p w14:paraId="1F85994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Референтната стойност е равна на общия брой ученици на възраст от 14 до 18 години (в гимназиален етап на образование </w:t>
            </w:r>
            <w:r w:rsidRPr="00D83669">
              <w:rPr>
                <w:rFonts w:ascii="Times New Roman" w:hAnsi="Times New Roman"/>
                <w:sz w:val="24"/>
                <w:lang w:val="en-GB"/>
              </w:rPr>
              <w:t>VII</w:t>
            </w:r>
            <w:r w:rsidRPr="00D83669">
              <w:rPr>
                <w:rFonts w:ascii="Times New Roman" w:hAnsi="Times New Roman"/>
                <w:sz w:val="24"/>
              </w:rPr>
              <w:t>-</w:t>
            </w:r>
            <w:r w:rsidRPr="00D83669">
              <w:rPr>
                <w:rFonts w:ascii="Times New Roman" w:hAnsi="Times New Roman"/>
                <w:sz w:val="24"/>
                <w:lang w:val="en-GB"/>
              </w:rPr>
              <w:t>XII</w:t>
            </w:r>
            <w:r w:rsidRPr="00D83669">
              <w:rPr>
                <w:rFonts w:ascii="Times New Roman" w:hAnsi="Times New Roman"/>
                <w:sz w:val="24"/>
              </w:rPr>
              <w:t xml:space="preserve"> клас), които са върнати в образователната система, вследствие прилагане на Механизма за обхват (съгласно ПМС № 100/08.06.2018 г., изм. и доп. ПМС № 259/14.10 2019 г., за създаване и функциониране на Механизма за съвместна работа на институциите по обхващане, включване и предотвратяване на отпадането от образователната система на деца и ученици в задължителна предучилищна и училищна възраст). По данни за учебната 2020/2021 година (за периода на дейност на екипите за обхват от март до септември 2020 г.) са върнати, новозаписани или върнати след отпадане, общо  2288 ученици, показани в таблицата:</w:t>
            </w:r>
          </w:p>
          <w:tbl>
            <w:tblPr>
              <w:tblpPr w:leftFromText="141" w:rightFromText="141" w:vertAnchor="text" w:horzAnchor="margin" w:tblpXSpec="center" w:tblpY="-174"/>
              <w:tblOverlap w:val="never"/>
              <w:tblW w:w="6280" w:type="dxa"/>
              <w:tblLayout w:type="fixed"/>
              <w:tblCellMar>
                <w:left w:w="70" w:type="dxa"/>
                <w:right w:w="70" w:type="dxa"/>
              </w:tblCellMar>
              <w:tblLook w:val="04A0" w:firstRow="1" w:lastRow="0" w:firstColumn="1" w:lastColumn="0" w:noHBand="0" w:noVBand="1"/>
            </w:tblPr>
            <w:tblGrid>
              <w:gridCol w:w="1828"/>
              <w:gridCol w:w="959"/>
              <w:gridCol w:w="1505"/>
              <w:gridCol w:w="1165"/>
              <w:gridCol w:w="823"/>
            </w:tblGrid>
            <w:tr w:rsidR="00D857FE" w:rsidRPr="00D83669" w14:paraId="52B574ED" w14:textId="77777777" w:rsidTr="00CC7BCB">
              <w:trPr>
                <w:trHeight w:val="564"/>
              </w:trPr>
              <w:tc>
                <w:tcPr>
                  <w:tcW w:w="182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355F75B" w14:textId="77777777" w:rsidR="00D857FE" w:rsidRPr="00D83669" w:rsidRDefault="00D857FE" w:rsidP="00CC7BCB">
                  <w:pPr>
                    <w:spacing w:after="0" w:line="240" w:lineRule="auto"/>
                    <w:jc w:val="both"/>
                    <w:rPr>
                      <w:rFonts w:ascii="Times New Roman" w:eastAsia="Times New Roman" w:hAnsi="Times New Roman" w:cs="Times New Roman"/>
                      <w:b/>
                      <w:bCs/>
                      <w:color w:val="000000"/>
                      <w:sz w:val="20"/>
                      <w:szCs w:val="20"/>
                      <w:lang w:eastAsia="bg-BG"/>
                    </w:rPr>
                  </w:pPr>
                  <w:r w:rsidRPr="00D83669">
                    <w:rPr>
                      <w:rFonts w:ascii="Times New Roman" w:eastAsia="Times New Roman" w:hAnsi="Times New Roman" w:cs="Times New Roman"/>
                      <w:b/>
                      <w:bCs/>
                      <w:color w:val="000000"/>
                      <w:sz w:val="20"/>
                      <w:szCs w:val="20"/>
                      <w:lang w:eastAsia="bg-BG"/>
                    </w:rPr>
                    <w:lastRenderedPageBreak/>
                    <w:t>Години</w:t>
                  </w:r>
                </w:p>
              </w:tc>
              <w:tc>
                <w:tcPr>
                  <w:tcW w:w="959" w:type="dxa"/>
                  <w:tcBorders>
                    <w:top w:val="single" w:sz="8" w:space="0" w:color="auto"/>
                    <w:left w:val="nil"/>
                    <w:bottom w:val="single" w:sz="8" w:space="0" w:color="auto"/>
                    <w:right w:val="single" w:sz="8" w:space="0" w:color="auto"/>
                  </w:tcBorders>
                  <w:shd w:val="clear" w:color="auto" w:fill="auto"/>
                  <w:vAlign w:val="center"/>
                  <w:hideMark/>
                </w:tcPr>
                <w:p w14:paraId="73FF5198" w14:textId="77777777" w:rsidR="00D857FE" w:rsidRPr="00D83669" w:rsidRDefault="00D857FE" w:rsidP="00CC7BCB">
                  <w:pPr>
                    <w:spacing w:after="0" w:line="240" w:lineRule="auto"/>
                    <w:jc w:val="both"/>
                    <w:rPr>
                      <w:rFonts w:ascii="Times New Roman" w:eastAsia="Times New Roman" w:hAnsi="Times New Roman" w:cs="Times New Roman"/>
                      <w:b/>
                      <w:bCs/>
                      <w:color w:val="000000"/>
                      <w:sz w:val="20"/>
                      <w:szCs w:val="20"/>
                      <w:lang w:eastAsia="bg-BG"/>
                    </w:rPr>
                  </w:pPr>
                  <w:r w:rsidRPr="00D83669">
                    <w:rPr>
                      <w:rFonts w:ascii="Times New Roman" w:eastAsia="Times New Roman" w:hAnsi="Times New Roman" w:cs="Times New Roman"/>
                      <w:b/>
                      <w:bCs/>
                      <w:color w:val="000000"/>
                      <w:sz w:val="20"/>
                      <w:szCs w:val="20"/>
                      <w:lang w:eastAsia="bg-BG"/>
                    </w:rPr>
                    <w:t>Брой върнати</w:t>
                  </w:r>
                </w:p>
              </w:tc>
              <w:tc>
                <w:tcPr>
                  <w:tcW w:w="1505" w:type="dxa"/>
                  <w:tcBorders>
                    <w:top w:val="single" w:sz="8" w:space="0" w:color="auto"/>
                    <w:left w:val="nil"/>
                    <w:bottom w:val="single" w:sz="8" w:space="0" w:color="auto"/>
                    <w:right w:val="single" w:sz="8" w:space="0" w:color="auto"/>
                  </w:tcBorders>
                  <w:shd w:val="clear" w:color="auto" w:fill="auto"/>
                  <w:vAlign w:val="center"/>
                  <w:hideMark/>
                </w:tcPr>
                <w:p w14:paraId="24EA37DF" w14:textId="77777777" w:rsidR="00D857FE" w:rsidRPr="00D83669" w:rsidRDefault="00D857FE" w:rsidP="00CC7BCB">
                  <w:pPr>
                    <w:spacing w:after="0" w:line="240" w:lineRule="auto"/>
                    <w:jc w:val="both"/>
                    <w:rPr>
                      <w:rFonts w:ascii="Times New Roman" w:eastAsia="Times New Roman" w:hAnsi="Times New Roman" w:cs="Times New Roman"/>
                      <w:b/>
                      <w:bCs/>
                      <w:color w:val="000000"/>
                      <w:sz w:val="20"/>
                      <w:szCs w:val="20"/>
                      <w:lang w:eastAsia="bg-BG"/>
                    </w:rPr>
                  </w:pPr>
                  <w:r w:rsidRPr="00D83669">
                    <w:rPr>
                      <w:rFonts w:ascii="Times New Roman" w:eastAsia="Times New Roman" w:hAnsi="Times New Roman" w:cs="Times New Roman"/>
                      <w:b/>
                      <w:bCs/>
                      <w:color w:val="000000"/>
                      <w:sz w:val="20"/>
                      <w:szCs w:val="20"/>
                      <w:lang w:eastAsia="bg-BG"/>
                    </w:rPr>
                    <w:t>Брой новозаписани</w:t>
                  </w:r>
                </w:p>
              </w:tc>
              <w:tc>
                <w:tcPr>
                  <w:tcW w:w="1165" w:type="dxa"/>
                  <w:tcBorders>
                    <w:top w:val="single" w:sz="8" w:space="0" w:color="auto"/>
                    <w:left w:val="nil"/>
                    <w:bottom w:val="single" w:sz="8" w:space="0" w:color="auto"/>
                    <w:right w:val="single" w:sz="8" w:space="0" w:color="auto"/>
                  </w:tcBorders>
                  <w:shd w:val="clear" w:color="auto" w:fill="auto"/>
                  <w:vAlign w:val="center"/>
                  <w:hideMark/>
                </w:tcPr>
                <w:p w14:paraId="486E1F08" w14:textId="77777777" w:rsidR="00D857FE" w:rsidRPr="00D83669" w:rsidRDefault="00D857FE" w:rsidP="00CC7BCB">
                  <w:pPr>
                    <w:spacing w:after="0" w:line="240" w:lineRule="auto"/>
                    <w:jc w:val="both"/>
                    <w:rPr>
                      <w:rFonts w:ascii="Times New Roman" w:eastAsia="Times New Roman" w:hAnsi="Times New Roman" w:cs="Times New Roman"/>
                      <w:b/>
                      <w:bCs/>
                      <w:color w:val="000000"/>
                      <w:sz w:val="20"/>
                      <w:szCs w:val="20"/>
                      <w:lang w:eastAsia="bg-BG"/>
                    </w:rPr>
                  </w:pPr>
                  <w:r w:rsidRPr="00D83669">
                    <w:rPr>
                      <w:rFonts w:ascii="Times New Roman" w:eastAsia="Times New Roman" w:hAnsi="Times New Roman" w:cs="Times New Roman"/>
                      <w:b/>
                      <w:bCs/>
                      <w:color w:val="000000"/>
                      <w:sz w:val="20"/>
                      <w:szCs w:val="20"/>
                      <w:lang w:eastAsia="bg-BG"/>
                    </w:rPr>
                    <w:t>Брой върнати след отпадане</w:t>
                  </w:r>
                </w:p>
              </w:tc>
              <w:tc>
                <w:tcPr>
                  <w:tcW w:w="823" w:type="dxa"/>
                  <w:tcBorders>
                    <w:top w:val="single" w:sz="8" w:space="0" w:color="auto"/>
                    <w:left w:val="nil"/>
                    <w:bottom w:val="single" w:sz="8" w:space="0" w:color="auto"/>
                    <w:right w:val="single" w:sz="8" w:space="0" w:color="auto"/>
                  </w:tcBorders>
                  <w:shd w:val="clear" w:color="auto" w:fill="auto"/>
                  <w:vAlign w:val="center"/>
                  <w:hideMark/>
                </w:tcPr>
                <w:p w14:paraId="43A95883" w14:textId="77777777" w:rsidR="00D857FE" w:rsidRPr="00D83669" w:rsidRDefault="00D857FE" w:rsidP="00CC7BCB">
                  <w:pPr>
                    <w:spacing w:after="0" w:line="240" w:lineRule="auto"/>
                    <w:jc w:val="both"/>
                    <w:rPr>
                      <w:rFonts w:ascii="Times New Roman" w:eastAsia="Times New Roman" w:hAnsi="Times New Roman" w:cs="Times New Roman"/>
                      <w:b/>
                      <w:bCs/>
                      <w:color w:val="000000"/>
                      <w:sz w:val="20"/>
                      <w:szCs w:val="20"/>
                      <w:lang w:eastAsia="bg-BG"/>
                    </w:rPr>
                  </w:pPr>
                  <w:r w:rsidRPr="00D83669">
                    <w:rPr>
                      <w:rFonts w:ascii="Times New Roman" w:eastAsia="Times New Roman" w:hAnsi="Times New Roman" w:cs="Times New Roman"/>
                      <w:b/>
                      <w:bCs/>
                      <w:color w:val="000000"/>
                      <w:sz w:val="20"/>
                      <w:szCs w:val="20"/>
                      <w:lang w:eastAsia="bg-BG"/>
                    </w:rPr>
                    <w:t>Общо по години</w:t>
                  </w:r>
                </w:p>
              </w:tc>
            </w:tr>
            <w:tr w:rsidR="00D857FE" w:rsidRPr="00D83669" w14:paraId="6B19B113" w14:textId="77777777" w:rsidTr="00CC7BCB">
              <w:trPr>
                <w:trHeight w:val="300"/>
              </w:trPr>
              <w:tc>
                <w:tcPr>
                  <w:tcW w:w="1828" w:type="dxa"/>
                  <w:tcBorders>
                    <w:top w:val="nil"/>
                    <w:left w:val="single" w:sz="8" w:space="0" w:color="auto"/>
                    <w:bottom w:val="single" w:sz="8" w:space="0" w:color="auto"/>
                    <w:right w:val="single" w:sz="8" w:space="0" w:color="auto"/>
                  </w:tcBorders>
                  <w:shd w:val="clear" w:color="auto" w:fill="auto"/>
                  <w:vAlign w:val="center"/>
                  <w:hideMark/>
                </w:tcPr>
                <w:p w14:paraId="1653920D" w14:textId="77777777" w:rsidR="00D857FE" w:rsidRPr="00D83669" w:rsidRDefault="00D857FE" w:rsidP="00CC7BCB">
                  <w:pPr>
                    <w:spacing w:after="0" w:line="240" w:lineRule="auto"/>
                    <w:jc w:val="both"/>
                    <w:rPr>
                      <w:rFonts w:ascii="Times New Roman" w:eastAsia="Times New Roman" w:hAnsi="Times New Roman" w:cs="Times New Roman"/>
                      <w:color w:val="000000"/>
                      <w:sz w:val="20"/>
                      <w:szCs w:val="20"/>
                      <w:lang w:eastAsia="bg-BG"/>
                    </w:rPr>
                  </w:pPr>
                  <w:r w:rsidRPr="00D83669">
                    <w:rPr>
                      <w:rFonts w:ascii="Times New Roman" w:eastAsia="Times New Roman" w:hAnsi="Times New Roman" w:cs="Times New Roman"/>
                      <w:color w:val="000000"/>
                      <w:sz w:val="20"/>
                      <w:szCs w:val="20"/>
                      <w:lang w:eastAsia="bg-BG"/>
                    </w:rPr>
                    <w:t>18-годишни</w:t>
                  </w:r>
                </w:p>
              </w:tc>
              <w:tc>
                <w:tcPr>
                  <w:tcW w:w="959" w:type="dxa"/>
                  <w:tcBorders>
                    <w:top w:val="nil"/>
                    <w:left w:val="nil"/>
                    <w:bottom w:val="single" w:sz="8" w:space="0" w:color="auto"/>
                    <w:right w:val="single" w:sz="8" w:space="0" w:color="auto"/>
                  </w:tcBorders>
                  <w:shd w:val="clear" w:color="auto" w:fill="auto"/>
                  <w:vAlign w:val="center"/>
                  <w:hideMark/>
                </w:tcPr>
                <w:p w14:paraId="1F16AA0E"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189</w:t>
                  </w:r>
                </w:p>
              </w:tc>
              <w:tc>
                <w:tcPr>
                  <w:tcW w:w="1505" w:type="dxa"/>
                  <w:tcBorders>
                    <w:top w:val="nil"/>
                    <w:left w:val="nil"/>
                    <w:bottom w:val="single" w:sz="8" w:space="0" w:color="auto"/>
                    <w:right w:val="single" w:sz="8" w:space="0" w:color="auto"/>
                  </w:tcBorders>
                  <w:shd w:val="clear" w:color="auto" w:fill="auto"/>
                  <w:vAlign w:val="center"/>
                  <w:hideMark/>
                </w:tcPr>
                <w:p w14:paraId="4386B0CE"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8</w:t>
                  </w:r>
                </w:p>
              </w:tc>
              <w:tc>
                <w:tcPr>
                  <w:tcW w:w="1165" w:type="dxa"/>
                  <w:tcBorders>
                    <w:top w:val="nil"/>
                    <w:left w:val="nil"/>
                    <w:bottom w:val="single" w:sz="8" w:space="0" w:color="auto"/>
                    <w:right w:val="single" w:sz="8" w:space="0" w:color="auto"/>
                  </w:tcBorders>
                  <w:shd w:val="clear" w:color="auto" w:fill="auto"/>
                  <w:vAlign w:val="center"/>
                  <w:hideMark/>
                </w:tcPr>
                <w:p w14:paraId="2139A0E2"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181</w:t>
                  </w:r>
                </w:p>
              </w:tc>
              <w:tc>
                <w:tcPr>
                  <w:tcW w:w="823" w:type="dxa"/>
                  <w:tcBorders>
                    <w:top w:val="nil"/>
                    <w:left w:val="nil"/>
                    <w:bottom w:val="single" w:sz="8" w:space="0" w:color="auto"/>
                    <w:right w:val="single" w:sz="8" w:space="0" w:color="auto"/>
                  </w:tcBorders>
                  <w:shd w:val="clear" w:color="auto" w:fill="auto"/>
                  <w:vAlign w:val="center"/>
                  <w:hideMark/>
                </w:tcPr>
                <w:p w14:paraId="3ADDD3F8" w14:textId="77777777" w:rsidR="00D857FE" w:rsidRPr="00D83669" w:rsidRDefault="00D857FE" w:rsidP="00CC7BCB">
                  <w:pPr>
                    <w:spacing w:after="0" w:line="240" w:lineRule="auto"/>
                    <w:jc w:val="both"/>
                    <w:rPr>
                      <w:rFonts w:ascii="Times New Roman" w:eastAsia="Times New Roman" w:hAnsi="Times New Roman" w:cs="Times New Roman"/>
                      <w:b/>
                      <w:bCs/>
                      <w:color w:val="000000"/>
                      <w:lang w:eastAsia="bg-BG"/>
                    </w:rPr>
                  </w:pPr>
                  <w:r w:rsidRPr="00D83669">
                    <w:rPr>
                      <w:rFonts w:ascii="Times New Roman" w:eastAsia="Times New Roman" w:hAnsi="Times New Roman" w:cs="Times New Roman"/>
                      <w:b/>
                      <w:bCs/>
                      <w:color w:val="000000"/>
                      <w:lang w:eastAsia="bg-BG"/>
                    </w:rPr>
                    <w:t>378</w:t>
                  </w:r>
                </w:p>
              </w:tc>
            </w:tr>
            <w:tr w:rsidR="00D857FE" w:rsidRPr="00D83669" w14:paraId="2B077641" w14:textId="77777777" w:rsidTr="00CC7BCB">
              <w:trPr>
                <w:trHeight w:val="300"/>
              </w:trPr>
              <w:tc>
                <w:tcPr>
                  <w:tcW w:w="1828" w:type="dxa"/>
                  <w:tcBorders>
                    <w:top w:val="nil"/>
                    <w:left w:val="single" w:sz="8" w:space="0" w:color="auto"/>
                    <w:bottom w:val="single" w:sz="8" w:space="0" w:color="auto"/>
                    <w:right w:val="single" w:sz="8" w:space="0" w:color="auto"/>
                  </w:tcBorders>
                  <w:shd w:val="clear" w:color="auto" w:fill="auto"/>
                  <w:vAlign w:val="center"/>
                  <w:hideMark/>
                </w:tcPr>
                <w:p w14:paraId="53AB19E4" w14:textId="77777777" w:rsidR="00D857FE" w:rsidRPr="00D83669" w:rsidRDefault="00D857FE" w:rsidP="00CC7BCB">
                  <w:pPr>
                    <w:spacing w:after="0" w:line="240" w:lineRule="auto"/>
                    <w:jc w:val="both"/>
                    <w:rPr>
                      <w:rFonts w:ascii="Times New Roman" w:eastAsia="Times New Roman" w:hAnsi="Times New Roman" w:cs="Times New Roman"/>
                      <w:color w:val="000000"/>
                      <w:sz w:val="20"/>
                      <w:szCs w:val="20"/>
                      <w:lang w:eastAsia="bg-BG"/>
                    </w:rPr>
                  </w:pPr>
                  <w:r w:rsidRPr="00D83669">
                    <w:rPr>
                      <w:rFonts w:ascii="Times New Roman" w:eastAsia="Times New Roman" w:hAnsi="Times New Roman" w:cs="Times New Roman"/>
                      <w:color w:val="000000"/>
                      <w:sz w:val="20"/>
                      <w:szCs w:val="20"/>
                      <w:lang w:eastAsia="bg-BG"/>
                    </w:rPr>
                    <w:t>17-годишни</w:t>
                  </w:r>
                </w:p>
              </w:tc>
              <w:tc>
                <w:tcPr>
                  <w:tcW w:w="959" w:type="dxa"/>
                  <w:tcBorders>
                    <w:top w:val="nil"/>
                    <w:left w:val="nil"/>
                    <w:bottom w:val="single" w:sz="8" w:space="0" w:color="auto"/>
                    <w:right w:val="single" w:sz="8" w:space="0" w:color="auto"/>
                  </w:tcBorders>
                  <w:shd w:val="clear" w:color="auto" w:fill="auto"/>
                  <w:vAlign w:val="center"/>
                  <w:hideMark/>
                </w:tcPr>
                <w:p w14:paraId="660D208F"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219</w:t>
                  </w:r>
                </w:p>
              </w:tc>
              <w:tc>
                <w:tcPr>
                  <w:tcW w:w="1505" w:type="dxa"/>
                  <w:tcBorders>
                    <w:top w:val="nil"/>
                    <w:left w:val="nil"/>
                    <w:bottom w:val="single" w:sz="8" w:space="0" w:color="auto"/>
                    <w:right w:val="single" w:sz="8" w:space="0" w:color="auto"/>
                  </w:tcBorders>
                  <w:shd w:val="clear" w:color="auto" w:fill="auto"/>
                  <w:vAlign w:val="center"/>
                  <w:hideMark/>
                </w:tcPr>
                <w:p w14:paraId="20A6FAE6"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18</w:t>
                  </w:r>
                </w:p>
              </w:tc>
              <w:tc>
                <w:tcPr>
                  <w:tcW w:w="1165" w:type="dxa"/>
                  <w:tcBorders>
                    <w:top w:val="nil"/>
                    <w:left w:val="nil"/>
                    <w:bottom w:val="single" w:sz="8" w:space="0" w:color="auto"/>
                    <w:right w:val="single" w:sz="8" w:space="0" w:color="auto"/>
                  </w:tcBorders>
                  <w:shd w:val="clear" w:color="auto" w:fill="auto"/>
                  <w:vAlign w:val="center"/>
                  <w:hideMark/>
                </w:tcPr>
                <w:p w14:paraId="40F40114"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201</w:t>
                  </w:r>
                </w:p>
              </w:tc>
              <w:tc>
                <w:tcPr>
                  <w:tcW w:w="823" w:type="dxa"/>
                  <w:tcBorders>
                    <w:top w:val="nil"/>
                    <w:left w:val="nil"/>
                    <w:bottom w:val="single" w:sz="8" w:space="0" w:color="auto"/>
                    <w:right w:val="single" w:sz="8" w:space="0" w:color="auto"/>
                  </w:tcBorders>
                  <w:shd w:val="clear" w:color="auto" w:fill="auto"/>
                  <w:vAlign w:val="center"/>
                  <w:hideMark/>
                </w:tcPr>
                <w:p w14:paraId="6BDA2698" w14:textId="77777777" w:rsidR="00D857FE" w:rsidRPr="00D83669" w:rsidRDefault="00D857FE" w:rsidP="00CC7BCB">
                  <w:pPr>
                    <w:spacing w:after="0" w:line="240" w:lineRule="auto"/>
                    <w:jc w:val="both"/>
                    <w:rPr>
                      <w:rFonts w:ascii="Times New Roman" w:eastAsia="Times New Roman" w:hAnsi="Times New Roman" w:cs="Times New Roman"/>
                      <w:b/>
                      <w:bCs/>
                      <w:color w:val="000000"/>
                      <w:lang w:eastAsia="bg-BG"/>
                    </w:rPr>
                  </w:pPr>
                  <w:r w:rsidRPr="00D83669">
                    <w:rPr>
                      <w:rFonts w:ascii="Times New Roman" w:eastAsia="Times New Roman" w:hAnsi="Times New Roman" w:cs="Times New Roman"/>
                      <w:b/>
                      <w:bCs/>
                      <w:color w:val="000000"/>
                      <w:lang w:eastAsia="bg-BG"/>
                    </w:rPr>
                    <w:t>438</w:t>
                  </w:r>
                </w:p>
              </w:tc>
            </w:tr>
            <w:tr w:rsidR="00D857FE" w:rsidRPr="00D83669" w14:paraId="00C26273" w14:textId="77777777" w:rsidTr="00CC7BCB">
              <w:trPr>
                <w:trHeight w:val="300"/>
              </w:trPr>
              <w:tc>
                <w:tcPr>
                  <w:tcW w:w="1828" w:type="dxa"/>
                  <w:tcBorders>
                    <w:top w:val="nil"/>
                    <w:left w:val="single" w:sz="8" w:space="0" w:color="auto"/>
                    <w:bottom w:val="single" w:sz="8" w:space="0" w:color="auto"/>
                    <w:right w:val="single" w:sz="8" w:space="0" w:color="auto"/>
                  </w:tcBorders>
                  <w:shd w:val="clear" w:color="auto" w:fill="auto"/>
                  <w:vAlign w:val="center"/>
                  <w:hideMark/>
                </w:tcPr>
                <w:p w14:paraId="585057C8" w14:textId="77777777" w:rsidR="00D857FE" w:rsidRPr="00D83669" w:rsidRDefault="00D857FE" w:rsidP="00CC7BCB">
                  <w:pPr>
                    <w:spacing w:after="0" w:line="240" w:lineRule="auto"/>
                    <w:jc w:val="both"/>
                    <w:rPr>
                      <w:rFonts w:ascii="Times New Roman" w:eastAsia="Times New Roman" w:hAnsi="Times New Roman" w:cs="Times New Roman"/>
                      <w:color w:val="000000"/>
                      <w:sz w:val="20"/>
                      <w:szCs w:val="20"/>
                      <w:lang w:eastAsia="bg-BG"/>
                    </w:rPr>
                  </w:pPr>
                  <w:r w:rsidRPr="00D83669">
                    <w:rPr>
                      <w:rFonts w:ascii="Times New Roman" w:eastAsia="Times New Roman" w:hAnsi="Times New Roman" w:cs="Times New Roman"/>
                      <w:color w:val="000000"/>
                      <w:sz w:val="20"/>
                      <w:szCs w:val="20"/>
                      <w:lang w:eastAsia="bg-BG"/>
                    </w:rPr>
                    <w:t>16-годишни</w:t>
                  </w:r>
                </w:p>
              </w:tc>
              <w:tc>
                <w:tcPr>
                  <w:tcW w:w="959" w:type="dxa"/>
                  <w:tcBorders>
                    <w:top w:val="nil"/>
                    <w:left w:val="nil"/>
                    <w:bottom w:val="single" w:sz="8" w:space="0" w:color="auto"/>
                    <w:right w:val="single" w:sz="8" w:space="0" w:color="auto"/>
                  </w:tcBorders>
                  <w:shd w:val="clear" w:color="auto" w:fill="auto"/>
                  <w:vAlign w:val="center"/>
                  <w:hideMark/>
                </w:tcPr>
                <w:p w14:paraId="1D446807"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230</w:t>
                  </w:r>
                </w:p>
              </w:tc>
              <w:tc>
                <w:tcPr>
                  <w:tcW w:w="1505" w:type="dxa"/>
                  <w:tcBorders>
                    <w:top w:val="nil"/>
                    <w:left w:val="nil"/>
                    <w:bottom w:val="single" w:sz="8" w:space="0" w:color="auto"/>
                    <w:right w:val="single" w:sz="8" w:space="0" w:color="auto"/>
                  </w:tcBorders>
                  <w:shd w:val="clear" w:color="auto" w:fill="auto"/>
                  <w:vAlign w:val="center"/>
                  <w:hideMark/>
                </w:tcPr>
                <w:p w14:paraId="64579C3F"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19</w:t>
                  </w:r>
                </w:p>
              </w:tc>
              <w:tc>
                <w:tcPr>
                  <w:tcW w:w="1165" w:type="dxa"/>
                  <w:tcBorders>
                    <w:top w:val="nil"/>
                    <w:left w:val="nil"/>
                    <w:bottom w:val="single" w:sz="8" w:space="0" w:color="auto"/>
                    <w:right w:val="single" w:sz="8" w:space="0" w:color="auto"/>
                  </w:tcBorders>
                  <w:shd w:val="clear" w:color="auto" w:fill="auto"/>
                  <w:vAlign w:val="center"/>
                  <w:hideMark/>
                </w:tcPr>
                <w:p w14:paraId="10121693"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211</w:t>
                  </w:r>
                </w:p>
              </w:tc>
              <w:tc>
                <w:tcPr>
                  <w:tcW w:w="823" w:type="dxa"/>
                  <w:tcBorders>
                    <w:top w:val="nil"/>
                    <w:left w:val="nil"/>
                    <w:bottom w:val="single" w:sz="8" w:space="0" w:color="auto"/>
                    <w:right w:val="single" w:sz="8" w:space="0" w:color="auto"/>
                  </w:tcBorders>
                  <w:shd w:val="clear" w:color="auto" w:fill="auto"/>
                  <w:vAlign w:val="center"/>
                  <w:hideMark/>
                </w:tcPr>
                <w:p w14:paraId="20F8B848" w14:textId="77777777" w:rsidR="00D857FE" w:rsidRPr="00D83669" w:rsidRDefault="00D857FE" w:rsidP="00CC7BCB">
                  <w:pPr>
                    <w:spacing w:after="0" w:line="240" w:lineRule="auto"/>
                    <w:jc w:val="both"/>
                    <w:rPr>
                      <w:rFonts w:ascii="Times New Roman" w:eastAsia="Times New Roman" w:hAnsi="Times New Roman" w:cs="Times New Roman"/>
                      <w:b/>
                      <w:bCs/>
                      <w:color w:val="000000"/>
                      <w:lang w:eastAsia="bg-BG"/>
                    </w:rPr>
                  </w:pPr>
                  <w:r w:rsidRPr="00D83669">
                    <w:rPr>
                      <w:rFonts w:ascii="Times New Roman" w:eastAsia="Times New Roman" w:hAnsi="Times New Roman" w:cs="Times New Roman"/>
                      <w:b/>
                      <w:bCs/>
                      <w:color w:val="000000"/>
                      <w:lang w:eastAsia="bg-BG"/>
                    </w:rPr>
                    <w:t>460</w:t>
                  </w:r>
                </w:p>
              </w:tc>
            </w:tr>
            <w:tr w:rsidR="00D857FE" w:rsidRPr="00D83669" w14:paraId="69034E80" w14:textId="77777777" w:rsidTr="00CC7BCB">
              <w:trPr>
                <w:trHeight w:val="300"/>
              </w:trPr>
              <w:tc>
                <w:tcPr>
                  <w:tcW w:w="1828" w:type="dxa"/>
                  <w:tcBorders>
                    <w:top w:val="nil"/>
                    <w:left w:val="single" w:sz="8" w:space="0" w:color="auto"/>
                    <w:bottom w:val="single" w:sz="8" w:space="0" w:color="auto"/>
                    <w:right w:val="single" w:sz="8" w:space="0" w:color="auto"/>
                  </w:tcBorders>
                  <w:shd w:val="clear" w:color="auto" w:fill="auto"/>
                  <w:vAlign w:val="center"/>
                  <w:hideMark/>
                </w:tcPr>
                <w:p w14:paraId="3C478369" w14:textId="77777777" w:rsidR="00D857FE" w:rsidRPr="00D83669" w:rsidRDefault="00D857FE" w:rsidP="00CC7BCB">
                  <w:pPr>
                    <w:spacing w:after="0" w:line="240" w:lineRule="auto"/>
                    <w:jc w:val="both"/>
                    <w:rPr>
                      <w:rFonts w:ascii="Times New Roman" w:eastAsia="Times New Roman" w:hAnsi="Times New Roman" w:cs="Times New Roman"/>
                      <w:color w:val="000000"/>
                      <w:sz w:val="20"/>
                      <w:szCs w:val="20"/>
                      <w:lang w:eastAsia="bg-BG"/>
                    </w:rPr>
                  </w:pPr>
                  <w:r w:rsidRPr="00D83669">
                    <w:rPr>
                      <w:rFonts w:ascii="Times New Roman" w:eastAsia="Times New Roman" w:hAnsi="Times New Roman" w:cs="Times New Roman"/>
                      <w:color w:val="000000"/>
                      <w:sz w:val="20"/>
                      <w:szCs w:val="20"/>
                      <w:lang w:eastAsia="bg-BG"/>
                    </w:rPr>
                    <w:t>15-годишни</w:t>
                  </w:r>
                </w:p>
              </w:tc>
              <w:tc>
                <w:tcPr>
                  <w:tcW w:w="959" w:type="dxa"/>
                  <w:tcBorders>
                    <w:top w:val="nil"/>
                    <w:left w:val="nil"/>
                    <w:bottom w:val="single" w:sz="8" w:space="0" w:color="auto"/>
                    <w:right w:val="single" w:sz="8" w:space="0" w:color="auto"/>
                  </w:tcBorders>
                  <w:shd w:val="clear" w:color="auto" w:fill="auto"/>
                  <w:vAlign w:val="center"/>
                  <w:hideMark/>
                </w:tcPr>
                <w:p w14:paraId="1E891E60"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color w:val="000000"/>
                      <w:lang w:eastAsia="bg-BG"/>
                    </w:rPr>
                    <w:t>271</w:t>
                  </w:r>
                </w:p>
              </w:tc>
              <w:tc>
                <w:tcPr>
                  <w:tcW w:w="1505" w:type="dxa"/>
                  <w:tcBorders>
                    <w:top w:val="nil"/>
                    <w:left w:val="nil"/>
                    <w:bottom w:val="single" w:sz="8" w:space="0" w:color="auto"/>
                    <w:right w:val="single" w:sz="8" w:space="0" w:color="auto"/>
                  </w:tcBorders>
                  <w:shd w:val="clear" w:color="auto" w:fill="auto"/>
                  <w:vAlign w:val="center"/>
                  <w:hideMark/>
                </w:tcPr>
                <w:p w14:paraId="0D5F15E8"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color w:val="000000"/>
                      <w:lang w:eastAsia="bg-BG"/>
                    </w:rPr>
                    <w:t>18</w:t>
                  </w:r>
                </w:p>
              </w:tc>
              <w:tc>
                <w:tcPr>
                  <w:tcW w:w="1165" w:type="dxa"/>
                  <w:tcBorders>
                    <w:top w:val="nil"/>
                    <w:left w:val="nil"/>
                    <w:bottom w:val="single" w:sz="8" w:space="0" w:color="auto"/>
                    <w:right w:val="single" w:sz="8" w:space="0" w:color="auto"/>
                  </w:tcBorders>
                  <w:shd w:val="clear" w:color="auto" w:fill="auto"/>
                  <w:vAlign w:val="center"/>
                  <w:hideMark/>
                </w:tcPr>
                <w:p w14:paraId="13D80E45"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color w:val="000000"/>
                      <w:lang w:eastAsia="bg-BG"/>
                    </w:rPr>
                    <w:t>253</w:t>
                  </w:r>
                </w:p>
              </w:tc>
              <w:tc>
                <w:tcPr>
                  <w:tcW w:w="823" w:type="dxa"/>
                  <w:tcBorders>
                    <w:top w:val="nil"/>
                    <w:left w:val="nil"/>
                    <w:bottom w:val="single" w:sz="8" w:space="0" w:color="auto"/>
                    <w:right w:val="single" w:sz="8" w:space="0" w:color="auto"/>
                  </w:tcBorders>
                  <w:shd w:val="clear" w:color="auto" w:fill="auto"/>
                  <w:vAlign w:val="center"/>
                  <w:hideMark/>
                </w:tcPr>
                <w:p w14:paraId="62A82E41" w14:textId="77777777" w:rsidR="00D857FE" w:rsidRPr="00D83669" w:rsidRDefault="00D857FE" w:rsidP="00CC7BCB">
                  <w:pPr>
                    <w:spacing w:after="0" w:line="240" w:lineRule="auto"/>
                    <w:jc w:val="both"/>
                    <w:rPr>
                      <w:rFonts w:ascii="Times New Roman" w:eastAsia="Times New Roman" w:hAnsi="Times New Roman" w:cs="Times New Roman"/>
                      <w:b/>
                      <w:bCs/>
                      <w:color w:val="000000"/>
                      <w:lang w:eastAsia="bg-BG"/>
                    </w:rPr>
                  </w:pPr>
                  <w:r w:rsidRPr="00D83669">
                    <w:rPr>
                      <w:rFonts w:ascii="Times New Roman" w:eastAsia="Times New Roman" w:hAnsi="Times New Roman" w:cs="Times New Roman"/>
                      <w:b/>
                      <w:bCs/>
                      <w:color w:val="000000"/>
                      <w:lang w:eastAsia="bg-BG"/>
                    </w:rPr>
                    <w:t>542</w:t>
                  </w:r>
                </w:p>
              </w:tc>
            </w:tr>
            <w:tr w:rsidR="00D857FE" w:rsidRPr="00D83669" w14:paraId="047D3A9C" w14:textId="77777777" w:rsidTr="00CC7BCB">
              <w:trPr>
                <w:trHeight w:val="300"/>
              </w:trPr>
              <w:tc>
                <w:tcPr>
                  <w:tcW w:w="1828" w:type="dxa"/>
                  <w:tcBorders>
                    <w:top w:val="nil"/>
                    <w:left w:val="single" w:sz="8" w:space="0" w:color="auto"/>
                    <w:bottom w:val="single" w:sz="8" w:space="0" w:color="auto"/>
                    <w:right w:val="single" w:sz="8" w:space="0" w:color="auto"/>
                  </w:tcBorders>
                  <w:shd w:val="clear" w:color="auto" w:fill="auto"/>
                  <w:vAlign w:val="center"/>
                  <w:hideMark/>
                </w:tcPr>
                <w:p w14:paraId="3EE76B01" w14:textId="77777777" w:rsidR="00D857FE" w:rsidRPr="00D83669" w:rsidRDefault="00D857FE" w:rsidP="00CC7BCB">
                  <w:pPr>
                    <w:spacing w:after="0" w:line="240" w:lineRule="auto"/>
                    <w:jc w:val="both"/>
                    <w:rPr>
                      <w:rFonts w:ascii="Times New Roman" w:eastAsia="Times New Roman" w:hAnsi="Times New Roman" w:cs="Times New Roman"/>
                      <w:color w:val="000000"/>
                      <w:sz w:val="20"/>
                      <w:szCs w:val="20"/>
                      <w:lang w:eastAsia="bg-BG"/>
                    </w:rPr>
                  </w:pPr>
                  <w:r w:rsidRPr="00D83669">
                    <w:rPr>
                      <w:rFonts w:ascii="Times New Roman" w:eastAsia="Times New Roman" w:hAnsi="Times New Roman" w:cs="Times New Roman"/>
                      <w:color w:val="000000"/>
                      <w:sz w:val="20"/>
                      <w:szCs w:val="20"/>
                      <w:lang w:eastAsia="bg-BG"/>
                    </w:rPr>
                    <w:t>14-годишни</w:t>
                  </w:r>
                </w:p>
              </w:tc>
              <w:tc>
                <w:tcPr>
                  <w:tcW w:w="959" w:type="dxa"/>
                  <w:tcBorders>
                    <w:top w:val="nil"/>
                    <w:left w:val="nil"/>
                    <w:bottom w:val="single" w:sz="8" w:space="0" w:color="auto"/>
                    <w:right w:val="single" w:sz="8" w:space="0" w:color="auto"/>
                  </w:tcBorders>
                  <w:shd w:val="clear" w:color="auto" w:fill="auto"/>
                  <w:vAlign w:val="center"/>
                  <w:hideMark/>
                </w:tcPr>
                <w:p w14:paraId="4F00CB6C"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235</w:t>
                  </w:r>
                </w:p>
              </w:tc>
              <w:tc>
                <w:tcPr>
                  <w:tcW w:w="1505" w:type="dxa"/>
                  <w:tcBorders>
                    <w:top w:val="nil"/>
                    <w:left w:val="nil"/>
                    <w:bottom w:val="single" w:sz="8" w:space="0" w:color="auto"/>
                    <w:right w:val="single" w:sz="8" w:space="0" w:color="auto"/>
                  </w:tcBorders>
                  <w:shd w:val="clear" w:color="auto" w:fill="auto"/>
                  <w:vAlign w:val="center"/>
                  <w:hideMark/>
                </w:tcPr>
                <w:p w14:paraId="6C88C1B4"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30</w:t>
                  </w:r>
                </w:p>
              </w:tc>
              <w:tc>
                <w:tcPr>
                  <w:tcW w:w="1165" w:type="dxa"/>
                  <w:tcBorders>
                    <w:top w:val="nil"/>
                    <w:left w:val="nil"/>
                    <w:bottom w:val="single" w:sz="8" w:space="0" w:color="auto"/>
                    <w:right w:val="single" w:sz="8" w:space="0" w:color="auto"/>
                  </w:tcBorders>
                  <w:shd w:val="clear" w:color="auto" w:fill="auto"/>
                  <w:vAlign w:val="center"/>
                  <w:hideMark/>
                </w:tcPr>
                <w:p w14:paraId="557BFD91"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r w:rsidRPr="00D83669">
                    <w:rPr>
                      <w:rFonts w:ascii="Times New Roman" w:eastAsia="Times New Roman" w:hAnsi="Times New Roman" w:cs="Times New Roman"/>
                      <w:lang w:eastAsia="bg-BG"/>
                    </w:rPr>
                    <w:t>205</w:t>
                  </w:r>
                </w:p>
              </w:tc>
              <w:tc>
                <w:tcPr>
                  <w:tcW w:w="823" w:type="dxa"/>
                  <w:tcBorders>
                    <w:top w:val="nil"/>
                    <w:left w:val="nil"/>
                    <w:bottom w:val="single" w:sz="8" w:space="0" w:color="auto"/>
                    <w:right w:val="single" w:sz="8" w:space="0" w:color="auto"/>
                  </w:tcBorders>
                  <w:shd w:val="clear" w:color="auto" w:fill="auto"/>
                  <w:vAlign w:val="center"/>
                  <w:hideMark/>
                </w:tcPr>
                <w:p w14:paraId="10BB822A" w14:textId="77777777" w:rsidR="00D857FE" w:rsidRPr="00D83669" w:rsidRDefault="00D857FE" w:rsidP="00CC7BCB">
                  <w:pPr>
                    <w:spacing w:after="0" w:line="240" w:lineRule="auto"/>
                    <w:jc w:val="both"/>
                    <w:rPr>
                      <w:rFonts w:ascii="Times New Roman" w:eastAsia="Times New Roman" w:hAnsi="Times New Roman" w:cs="Times New Roman"/>
                      <w:b/>
                      <w:bCs/>
                      <w:color w:val="000000"/>
                      <w:lang w:eastAsia="bg-BG"/>
                    </w:rPr>
                  </w:pPr>
                  <w:r w:rsidRPr="00D83669">
                    <w:rPr>
                      <w:rFonts w:ascii="Times New Roman" w:eastAsia="Times New Roman" w:hAnsi="Times New Roman" w:cs="Times New Roman"/>
                      <w:b/>
                      <w:bCs/>
                      <w:color w:val="000000"/>
                      <w:lang w:eastAsia="bg-BG"/>
                    </w:rPr>
                    <w:t>470</w:t>
                  </w:r>
                </w:p>
              </w:tc>
            </w:tr>
            <w:tr w:rsidR="00D857FE" w:rsidRPr="00D83669" w14:paraId="28D91678" w14:textId="77777777" w:rsidTr="00CC7BCB">
              <w:trPr>
                <w:trHeight w:val="288"/>
              </w:trPr>
              <w:tc>
                <w:tcPr>
                  <w:tcW w:w="1828" w:type="dxa"/>
                  <w:tcBorders>
                    <w:top w:val="nil"/>
                    <w:left w:val="nil"/>
                    <w:bottom w:val="nil"/>
                    <w:right w:val="nil"/>
                  </w:tcBorders>
                  <w:shd w:val="clear" w:color="auto" w:fill="auto"/>
                  <w:noWrap/>
                  <w:vAlign w:val="center"/>
                  <w:hideMark/>
                </w:tcPr>
                <w:p w14:paraId="533E32BC" w14:textId="77777777" w:rsidR="00D857FE" w:rsidRPr="00D83669" w:rsidRDefault="00D857FE" w:rsidP="00CC7BCB">
                  <w:pPr>
                    <w:spacing w:after="0" w:line="240" w:lineRule="auto"/>
                    <w:jc w:val="both"/>
                    <w:rPr>
                      <w:rFonts w:ascii="Times New Roman" w:eastAsia="Times New Roman" w:hAnsi="Times New Roman" w:cs="Times New Roman"/>
                      <w:color w:val="000000"/>
                      <w:lang w:eastAsia="bg-BG"/>
                    </w:rPr>
                  </w:pPr>
                </w:p>
              </w:tc>
              <w:tc>
                <w:tcPr>
                  <w:tcW w:w="959" w:type="dxa"/>
                  <w:tcBorders>
                    <w:top w:val="nil"/>
                    <w:left w:val="nil"/>
                    <w:bottom w:val="nil"/>
                    <w:right w:val="nil"/>
                  </w:tcBorders>
                  <w:shd w:val="clear" w:color="auto" w:fill="auto"/>
                  <w:noWrap/>
                  <w:vAlign w:val="center"/>
                  <w:hideMark/>
                </w:tcPr>
                <w:p w14:paraId="142D3BC1" w14:textId="77777777" w:rsidR="00D857FE" w:rsidRPr="00D83669" w:rsidRDefault="00D857FE" w:rsidP="00CC7BCB">
                  <w:pPr>
                    <w:spacing w:after="0" w:line="240" w:lineRule="auto"/>
                    <w:jc w:val="both"/>
                    <w:rPr>
                      <w:rFonts w:ascii="Times New Roman" w:eastAsia="Times New Roman" w:hAnsi="Times New Roman" w:cs="Times New Roman"/>
                      <w:sz w:val="20"/>
                      <w:szCs w:val="20"/>
                      <w:lang w:eastAsia="bg-BG"/>
                    </w:rPr>
                  </w:pPr>
                </w:p>
              </w:tc>
              <w:tc>
                <w:tcPr>
                  <w:tcW w:w="1505" w:type="dxa"/>
                  <w:tcBorders>
                    <w:top w:val="nil"/>
                    <w:left w:val="nil"/>
                    <w:bottom w:val="nil"/>
                    <w:right w:val="nil"/>
                  </w:tcBorders>
                  <w:shd w:val="clear" w:color="auto" w:fill="auto"/>
                  <w:noWrap/>
                  <w:vAlign w:val="center"/>
                  <w:hideMark/>
                </w:tcPr>
                <w:p w14:paraId="265A0C58" w14:textId="77777777" w:rsidR="00D857FE" w:rsidRPr="00D83669" w:rsidRDefault="00D857FE" w:rsidP="00CC7BCB">
                  <w:pPr>
                    <w:spacing w:after="0" w:line="240" w:lineRule="auto"/>
                    <w:jc w:val="both"/>
                    <w:rPr>
                      <w:rFonts w:ascii="Times New Roman" w:eastAsia="Times New Roman" w:hAnsi="Times New Roman" w:cs="Times New Roman"/>
                      <w:sz w:val="20"/>
                      <w:szCs w:val="20"/>
                      <w:lang w:eastAsia="bg-BG"/>
                    </w:rPr>
                  </w:pPr>
                </w:p>
              </w:tc>
              <w:tc>
                <w:tcPr>
                  <w:tcW w:w="1165" w:type="dxa"/>
                  <w:tcBorders>
                    <w:top w:val="nil"/>
                    <w:left w:val="nil"/>
                    <w:bottom w:val="nil"/>
                    <w:right w:val="nil"/>
                  </w:tcBorders>
                  <w:shd w:val="clear" w:color="auto" w:fill="auto"/>
                  <w:noWrap/>
                  <w:vAlign w:val="center"/>
                  <w:hideMark/>
                </w:tcPr>
                <w:p w14:paraId="67984C68" w14:textId="77777777" w:rsidR="00D857FE" w:rsidRPr="00D83669" w:rsidRDefault="00D857FE" w:rsidP="00CC7BCB">
                  <w:pPr>
                    <w:spacing w:after="0" w:line="240" w:lineRule="auto"/>
                    <w:jc w:val="both"/>
                    <w:rPr>
                      <w:rFonts w:ascii="Times New Roman" w:eastAsia="Times New Roman" w:hAnsi="Times New Roman" w:cs="Times New Roman"/>
                      <w:b/>
                      <w:bCs/>
                      <w:lang w:eastAsia="bg-BG"/>
                    </w:rPr>
                  </w:pPr>
                  <w:r w:rsidRPr="00D83669">
                    <w:rPr>
                      <w:rFonts w:ascii="Times New Roman" w:eastAsia="Times New Roman" w:hAnsi="Times New Roman" w:cs="Times New Roman"/>
                      <w:b/>
                      <w:bCs/>
                      <w:lang w:eastAsia="bg-BG"/>
                    </w:rPr>
                    <w:t>Общо</w:t>
                  </w:r>
                </w:p>
              </w:tc>
              <w:tc>
                <w:tcPr>
                  <w:tcW w:w="823" w:type="dxa"/>
                  <w:tcBorders>
                    <w:top w:val="nil"/>
                    <w:left w:val="nil"/>
                    <w:bottom w:val="nil"/>
                    <w:right w:val="nil"/>
                  </w:tcBorders>
                  <w:shd w:val="clear" w:color="auto" w:fill="auto"/>
                  <w:noWrap/>
                  <w:vAlign w:val="center"/>
                  <w:hideMark/>
                </w:tcPr>
                <w:p w14:paraId="58B813B6" w14:textId="30814464" w:rsidR="00D857FE" w:rsidRPr="00D83669" w:rsidRDefault="00D857FE" w:rsidP="00CC7BCB">
                  <w:pPr>
                    <w:spacing w:after="0" w:line="240" w:lineRule="auto"/>
                    <w:jc w:val="both"/>
                    <w:rPr>
                      <w:rFonts w:ascii="Times New Roman" w:eastAsia="Times New Roman" w:hAnsi="Times New Roman" w:cs="Times New Roman"/>
                      <w:b/>
                      <w:bCs/>
                      <w:lang w:eastAsia="bg-BG"/>
                    </w:rPr>
                  </w:pPr>
                  <w:r w:rsidRPr="00D83669">
                    <w:rPr>
                      <w:rFonts w:ascii="Times New Roman" w:eastAsia="Times New Roman" w:hAnsi="Times New Roman" w:cs="Times New Roman"/>
                      <w:b/>
                      <w:bCs/>
                      <w:lang w:eastAsia="bg-BG"/>
                    </w:rPr>
                    <w:t>2</w:t>
                  </w:r>
                  <w:r w:rsidR="00A9409E" w:rsidRPr="00D83669">
                    <w:rPr>
                      <w:rFonts w:ascii="Times New Roman" w:eastAsia="Times New Roman" w:hAnsi="Times New Roman" w:cs="Times New Roman"/>
                      <w:b/>
                      <w:bCs/>
                      <w:lang w:eastAsia="bg-BG"/>
                    </w:rPr>
                    <w:t xml:space="preserve"> </w:t>
                  </w:r>
                  <w:r w:rsidRPr="00D83669">
                    <w:rPr>
                      <w:rFonts w:ascii="Times New Roman" w:eastAsia="Times New Roman" w:hAnsi="Times New Roman" w:cs="Times New Roman"/>
                      <w:b/>
                      <w:bCs/>
                      <w:lang w:eastAsia="bg-BG"/>
                    </w:rPr>
                    <w:t>288</w:t>
                  </w:r>
                </w:p>
              </w:tc>
            </w:tr>
          </w:tbl>
          <w:p w14:paraId="67B12368" w14:textId="77777777" w:rsidR="00D857FE" w:rsidRPr="00D83669" w:rsidRDefault="00D857FE" w:rsidP="00CC7BCB">
            <w:pPr>
              <w:jc w:val="both"/>
              <w:rPr>
                <w:rFonts w:ascii="Times New Roman" w:hAnsi="Times New Roman"/>
                <w:sz w:val="24"/>
              </w:rPr>
            </w:pPr>
          </w:p>
        </w:tc>
      </w:tr>
      <w:tr w:rsidR="00D857FE" w:rsidRPr="00D83669" w14:paraId="18D932FA" w14:textId="77777777" w:rsidTr="00F704FC">
        <w:tc>
          <w:tcPr>
            <w:tcW w:w="2263" w:type="dxa"/>
            <w:shd w:val="clear" w:color="auto" w:fill="auto"/>
            <w:vAlign w:val="center"/>
          </w:tcPr>
          <w:p w14:paraId="7F5C3FB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Разбивка </w:t>
            </w:r>
          </w:p>
        </w:tc>
        <w:tc>
          <w:tcPr>
            <w:tcW w:w="7377" w:type="dxa"/>
            <w:shd w:val="clear" w:color="auto" w:fill="auto"/>
            <w:vAlign w:val="center"/>
          </w:tcPr>
          <w:p w14:paraId="1104B6FB" w14:textId="77777777" w:rsidR="00D857FE" w:rsidRPr="00D83669" w:rsidRDefault="00D857FE" w:rsidP="00CC7BCB">
            <w:pPr>
              <w:jc w:val="both"/>
              <w:rPr>
                <w:rFonts w:ascii="Times New Roman" w:hAnsi="Times New Roman"/>
                <w:sz w:val="24"/>
              </w:rPr>
            </w:pPr>
          </w:p>
          <w:p w14:paraId="7CEC85E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правена предварителна разбивка по демографски и социални фактори. При отчитането ще бъдат представени данни съгласно методологията за събиране на данни за ученици по демографски, социални характеристики.</w:t>
            </w:r>
          </w:p>
        </w:tc>
      </w:tr>
      <w:tr w:rsidR="00D857FE" w:rsidRPr="00D83669" w14:paraId="4645720F" w14:textId="77777777" w:rsidTr="00F704FC">
        <w:tc>
          <w:tcPr>
            <w:tcW w:w="2263" w:type="dxa"/>
            <w:shd w:val="clear" w:color="auto" w:fill="auto"/>
            <w:vAlign w:val="center"/>
          </w:tcPr>
          <w:p w14:paraId="5F856EA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1CF38BC3" w14:textId="30342CC4"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събират, за да се проследи колко от учениците в училищата предоставящи професионална подготовка, обхванати в допълнителни обучения и гъвкави пътеки  са променили статуса си от необхванати/незаписани в образователната система в началото на 7-годишния период на операцията на записани и включени в образование в края на същия по Програма „Образование“ 2021-2027 г. като фигурират в Националната електронна информационна система за предучилищното и училищното образование (НЕИСПУО). </w:t>
            </w:r>
          </w:p>
        </w:tc>
      </w:tr>
      <w:tr w:rsidR="00D857FE" w:rsidRPr="00D83669" w14:paraId="17BE10F8" w14:textId="77777777" w:rsidTr="00F704FC">
        <w:tc>
          <w:tcPr>
            <w:tcW w:w="2263" w:type="dxa"/>
            <w:shd w:val="clear" w:color="auto" w:fill="auto"/>
            <w:vAlign w:val="center"/>
          </w:tcPr>
          <w:p w14:paraId="7135887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p w14:paraId="2DC0D6A2" w14:textId="77777777" w:rsidR="00D857FE" w:rsidRPr="00D83669" w:rsidRDefault="00D857FE" w:rsidP="00CC7BCB">
            <w:pPr>
              <w:rPr>
                <w:rFonts w:ascii="Times New Roman" w:hAnsi="Times New Roman"/>
                <w:sz w:val="24"/>
              </w:rPr>
            </w:pPr>
          </w:p>
        </w:tc>
        <w:tc>
          <w:tcPr>
            <w:tcW w:w="7377" w:type="dxa"/>
            <w:shd w:val="clear" w:color="auto" w:fill="auto"/>
            <w:vAlign w:val="center"/>
          </w:tcPr>
          <w:p w14:paraId="59F6CE8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събират текущо на база представена от МОН информация от въведената в Информационната система за реализиране на Механизма придружаваща техническите отчети и ще съдържат: </w:t>
            </w:r>
          </w:p>
          <w:p w14:paraId="6C5D19E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 за необхванатите (незаписани и отпаднали ученици) за отчетния период;</w:t>
            </w:r>
          </w:p>
          <w:p w14:paraId="4AB7BA7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 за обхванатите/посетените от екипите за обхват по Механизма деца и ученици от идентифицираните необхванати – колко са върнати и записани отново в образование, колко са записани, колко са новоотпаднали, повторно отпаднали и незаписани; </w:t>
            </w:r>
          </w:p>
          <w:p w14:paraId="0579315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-причините за отпадане и незаписване – заминали в чужбина, културологични - нежелание, семейни – материални затруднения, бедност; поради затруднения в обучението; поради отсъствия по неуважителни причини; поради дистанционна форма на обучение в електронна среда; </w:t>
            </w:r>
          </w:p>
          <w:p w14:paraId="15667C5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-демографски данни: възраст, пол, достигнато образователно ниво, и др.</w:t>
            </w:r>
          </w:p>
        </w:tc>
      </w:tr>
      <w:tr w:rsidR="00D857FE" w:rsidRPr="00D83669" w14:paraId="62BF8864" w14:textId="77777777" w:rsidTr="00F704FC">
        <w:tc>
          <w:tcPr>
            <w:tcW w:w="2263" w:type="dxa"/>
            <w:shd w:val="clear" w:color="auto" w:fill="auto"/>
            <w:vAlign w:val="center"/>
          </w:tcPr>
          <w:p w14:paraId="719DC65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4CD000E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1E3CEBF4" w14:textId="77777777" w:rsidTr="00F704FC">
        <w:tc>
          <w:tcPr>
            <w:tcW w:w="2263" w:type="dxa"/>
            <w:shd w:val="clear" w:color="auto" w:fill="auto"/>
            <w:vAlign w:val="center"/>
          </w:tcPr>
          <w:p w14:paraId="68E0427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индикаторите</w:t>
            </w:r>
          </w:p>
        </w:tc>
        <w:tc>
          <w:tcPr>
            <w:tcW w:w="7377" w:type="dxa"/>
            <w:shd w:val="clear" w:color="auto" w:fill="auto"/>
            <w:vAlign w:val="center"/>
          </w:tcPr>
          <w:p w14:paraId="7E61A1EB" w14:textId="77777777" w:rsidR="00D857FE" w:rsidRPr="00D83669" w:rsidRDefault="00D857FE" w:rsidP="00E25912">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 xml:space="preserve">SOI 3.1. Брой професионални училища, въвели модернизирани учебни програми по професионална подготовка </w:t>
            </w:r>
          </w:p>
          <w:p w14:paraId="028DAF68" w14:textId="77777777" w:rsidR="00D857FE" w:rsidRPr="00D83669" w:rsidRDefault="00D857FE" w:rsidP="00E25912">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lastRenderedPageBreak/>
              <w:t xml:space="preserve">SOI 3.2. Брой подкрепени Центрове за високи постижения </w:t>
            </w:r>
          </w:p>
          <w:p w14:paraId="108EE627" w14:textId="77777777" w:rsidR="00D857FE" w:rsidRPr="00D83669" w:rsidRDefault="00D857FE" w:rsidP="00E25912">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 xml:space="preserve">SOI 3.3. Брой училища въвели дуална система на обучение </w:t>
            </w:r>
          </w:p>
          <w:p w14:paraId="55201094" w14:textId="77777777" w:rsidR="00D857FE" w:rsidRPr="00D83669" w:rsidRDefault="00D857FE" w:rsidP="00E25912">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ЕЕСO09 Участници с прогимназиален етап на основното образование или по-ниска степен (ISCED 0-2);</w:t>
            </w:r>
          </w:p>
          <w:p w14:paraId="4A28E744" w14:textId="77777777" w:rsidR="00D857FE" w:rsidRPr="00D83669" w:rsidRDefault="00D857FE" w:rsidP="00E25912">
            <w:pPr>
              <w:pStyle w:val="ListParagraph"/>
              <w:numPr>
                <w:ilvl w:val="0"/>
                <w:numId w:val="2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tc>
      </w:tr>
      <w:tr w:rsidR="00D857FE" w:rsidRPr="00D83669" w14:paraId="4C9B855C" w14:textId="77777777" w:rsidTr="00F704FC">
        <w:tc>
          <w:tcPr>
            <w:tcW w:w="2263" w:type="dxa"/>
            <w:shd w:val="clear" w:color="auto" w:fill="auto"/>
            <w:vAlign w:val="center"/>
          </w:tcPr>
          <w:p w14:paraId="2234B7B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Валидиране</w:t>
            </w:r>
          </w:p>
        </w:tc>
        <w:tc>
          <w:tcPr>
            <w:tcW w:w="7377" w:type="dxa"/>
            <w:shd w:val="clear" w:color="auto" w:fill="auto"/>
            <w:vAlign w:val="center"/>
          </w:tcPr>
          <w:p w14:paraId="5B79040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обхваща броя на новозаписаните и включени отново в системата на образованието деца и ученици, които са останали в образование в края на програмния период в резултат на участие в дейности по СЦ чл. 4, §1, буква д) и е по-малка от всички новозаписани и включени отново по Механизма деца и ученици.</w:t>
            </w:r>
          </w:p>
        </w:tc>
      </w:tr>
    </w:tbl>
    <w:p w14:paraId="055802F3" w14:textId="77777777" w:rsidR="00D857FE" w:rsidRPr="00D83669" w:rsidRDefault="00D857FE" w:rsidP="00D857FE">
      <w:pPr>
        <w:rPr>
          <w:rFonts w:ascii="Times New Roman" w:hAnsi="Times New Roman"/>
          <w:sz w:val="24"/>
        </w:rPr>
      </w:pPr>
    </w:p>
    <w:p w14:paraId="1C75E6AB" w14:textId="45D0C97E" w:rsidR="00FA6088" w:rsidRPr="00D83669" w:rsidRDefault="00FA6088">
      <w:pPr>
        <w:rPr>
          <w:rFonts w:ascii="Times New Roman" w:hAnsi="Times New Roman"/>
          <w:sz w:val="24"/>
        </w:rPr>
      </w:pPr>
      <w:r w:rsidRPr="00D83669">
        <w:rPr>
          <w:rFonts w:ascii="Times New Roman" w:hAnsi="Times New Roman"/>
          <w:sz w:val="24"/>
        </w:rPr>
        <w:br w:type="page"/>
      </w:r>
    </w:p>
    <w:p w14:paraId="75CEBC30" w14:textId="77777777" w:rsidR="00D857FE" w:rsidRPr="00D83669" w:rsidRDefault="00D857FE" w:rsidP="00D857FE">
      <w:pPr>
        <w:rPr>
          <w:rFonts w:ascii="Times New Roman" w:hAnsi="Times New Roman"/>
          <w:sz w:val="24"/>
        </w:rPr>
      </w:pPr>
    </w:p>
    <w:p w14:paraId="721EDF0C" w14:textId="1659C899" w:rsidR="00D857FE" w:rsidRPr="00D83669" w:rsidRDefault="00D857FE" w:rsidP="00BB37EF">
      <w:pPr>
        <w:pStyle w:val="Heading3"/>
        <w:rPr>
          <w:b/>
          <w:bCs/>
          <w:i/>
          <w:iCs/>
          <w:sz w:val="22"/>
          <w:szCs w:val="22"/>
        </w:rPr>
      </w:pPr>
      <w:bookmarkStart w:id="204" w:name="_Toc100153027"/>
      <w:bookmarkStart w:id="205" w:name="_Toc103586702"/>
      <w:r w:rsidRPr="00D83669">
        <w:rPr>
          <w:b/>
          <w:bCs/>
          <w:i/>
          <w:iCs/>
          <w:sz w:val="22"/>
          <w:szCs w:val="22"/>
        </w:rPr>
        <w:t>EECR03  участници, които при напускане на операцията получават квалификация</w:t>
      </w:r>
      <w:bookmarkEnd w:id="204"/>
      <w:bookmarkEnd w:id="205"/>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1"/>
        <w:gridCol w:w="7069"/>
      </w:tblGrid>
      <w:tr w:rsidR="00D857FE" w:rsidRPr="00D83669" w14:paraId="5DFF84B1" w14:textId="77777777" w:rsidTr="00FA6088">
        <w:tc>
          <w:tcPr>
            <w:tcW w:w="25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55FC0A7" w14:textId="5CA62CE0" w:rsidR="00D857FE" w:rsidRPr="00D83669" w:rsidRDefault="00D857FE" w:rsidP="00FA6088">
            <w:pPr>
              <w:tabs>
                <w:tab w:val="left" w:pos="2165"/>
              </w:tabs>
              <w:rPr>
                <w:rFonts w:ascii="Times New Roman" w:hAnsi="Times New Roman"/>
                <w:b/>
                <w:bCs/>
                <w:sz w:val="24"/>
              </w:rPr>
            </w:pPr>
            <w:r w:rsidRPr="00D83669">
              <w:rPr>
                <w:rFonts w:ascii="Times New Roman" w:hAnsi="Times New Roman"/>
                <w:b/>
                <w:bCs/>
                <w:sz w:val="24"/>
              </w:rPr>
              <w:t>Показателят SMART ли е?</w:t>
            </w:r>
          </w:p>
        </w:tc>
        <w:tc>
          <w:tcPr>
            <w:tcW w:w="70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656E92B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2FDEDAF0" w14:textId="77777777" w:rsidTr="00FA6088">
        <w:tc>
          <w:tcPr>
            <w:tcW w:w="2571" w:type="dxa"/>
            <w:shd w:val="clear" w:color="auto" w:fill="auto"/>
            <w:vAlign w:val="center"/>
          </w:tcPr>
          <w:p w14:paraId="2E927110" w14:textId="6E1466C3"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7069" w:type="dxa"/>
            <w:shd w:val="clear" w:color="auto" w:fill="auto"/>
            <w:vAlign w:val="center"/>
          </w:tcPr>
          <w:p w14:paraId="430848D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6F472C37" w14:textId="77777777" w:rsidTr="00FA6088">
        <w:tc>
          <w:tcPr>
            <w:tcW w:w="2571" w:type="dxa"/>
            <w:shd w:val="clear" w:color="auto" w:fill="auto"/>
            <w:vAlign w:val="center"/>
          </w:tcPr>
          <w:p w14:paraId="1381EE9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069" w:type="dxa"/>
            <w:shd w:val="clear" w:color="auto" w:fill="auto"/>
            <w:vAlign w:val="center"/>
          </w:tcPr>
          <w:p w14:paraId="7AAA3884" w14:textId="1FB73B6E"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резултат</w:t>
            </w:r>
          </w:p>
        </w:tc>
      </w:tr>
      <w:tr w:rsidR="00D857FE" w:rsidRPr="00D83669" w14:paraId="07A96CE7" w14:textId="77777777" w:rsidTr="00FA6088">
        <w:tc>
          <w:tcPr>
            <w:tcW w:w="2571" w:type="dxa"/>
            <w:shd w:val="clear" w:color="auto" w:fill="auto"/>
            <w:vAlign w:val="center"/>
          </w:tcPr>
          <w:p w14:paraId="18783B6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069" w:type="dxa"/>
            <w:shd w:val="clear" w:color="auto" w:fill="auto"/>
            <w:vAlign w:val="center"/>
          </w:tcPr>
          <w:p w14:paraId="578AECC0" w14:textId="77777777" w:rsidR="00D857FE" w:rsidRPr="00D83669" w:rsidRDefault="00D857FE" w:rsidP="00CC7BCB">
            <w:pPr>
              <w:jc w:val="both"/>
              <w:rPr>
                <w:rFonts w:ascii="Times New Roman" w:hAnsi="Times New Roman"/>
                <w:sz w:val="24"/>
              </w:rPr>
            </w:pPr>
            <w:r w:rsidRPr="00D83669">
              <w:rPr>
                <w:rFonts w:ascii="Times New Roman" w:hAnsi="Times New Roman"/>
                <w:b/>
                <w:sz w:val="24"/>
                <w:lang w:bidi="bg-BG"/>
              </w:rPr>
              <w:t xml:space="preserve">СЦ по чл. 4, пар. 1, буква д) </w:t>
            </w:r>
            <w:r w:rsidRPr="00D83669">
              <w:rPr>
                <w:rFonts w:ascii="Times New Roman" w:hAnsi="Times New Roman"/>
                <w:sz w:val="24"/>
                <w:lang w:bidi="bg-BG"/>
              </w:rPr>
              <w:t>-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412721C3" w14:textId="77777777" w:rsidTr="00FA6088">
        <w:tc>
          <w:tcPr>
            <w:tcW w:w="2571" w:type="dxa"/>
            <w:shd w:val="clear" w:color="auto" w:fill="auto"/>
            <w:vAlign w:val="center"/>
          </w:tcPr>
          <w:p w14:paraId="09C383A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069" w:type="dxa"/>
            <w:shd w:val="clear" w:color="auto" w:fill="auto"/>
            <w:vAlign w:val="center"/>
          </w:tcPr>
          <w:p w14:paraId="2C9E7E2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Адаптиране на ПОО спрямо динамиката на пазара на труда; </w:t>
            </w:r>
          </w:p>
          <w:p w14:paraId="575B5C6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развитие на умения за професиите на настоящето и бъдещето;</w:t>
            </w:r>
          </w:p>
          <w:p w14:paraId="66F42C3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Центровете за високи постижения в ПОО;</w:t>
            </w:r>
          </w:p>
          <w:p w14:paraId="4051033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Развитие на дуалната система на обучение в ПОО; </w:t>
            </w:r>
          </w:p>
          <w:p w14:paraId="7EF40DA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Продължаваща квалификация на учители и преподаватели, чрез провеждане на формати „бизнесът обучава“, майсторски класове с топ-преподаватели, както и бизнес и научни академии с изявени специалисти;  - Допълнителна професионална подготовка за учениците от първи гимназиален етап, информационни кампании, </w:t>
            </w:r>
            <w:r w:rsidRPr="00D83669">
              <w:rPr>
                <w:rFonts w:ascii="Times New Roman" w:hAnsi="Times New Roman"/>
                <w:sz w:val="24"/>
                <w:u w:val="single"/>
              </w:rPr>
              <w:t>обучения на учители и наставници</w:t>
            </w:r>
            <w:r w:rsidRPr="00D83669">
              <w:rPr>
                <w:rFonts w:ascii="Times New Roman" w:hAnsi="Times New Roman"/>
                <w:sz w:val="24"/>
              </w:rPr>
              <w:t>, кариерно ориентиране, пробно стажуване с фокус към цифрова, зелена икономика, син растеж, индустрия 5.0 и ИСИС.</w:t>
            </w:r>
          </w:p>
          <w:p w14:paraId="73BD530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Утвърждаване на компетентностния подход по важни за икономиката на региона и пазара на труда професионални направления, в партньорство с бизнеса, разширяване на дигиталните компетентности и дигиталното образователно съдържание във ВО.</w:t>
            </w:r>
          </w:p>
        </w:tc>
      </w:tr>
      <w:tr w:rsidR="00D857FE" w:rsidRPr="00D83669" w14:paraId="2D86AF8F" w14:textId="77777777" w:rsidTr="00FA6088">
        <w:tc>
          <w:tcPr>
            <w:tcW w:w="2571" w:type="dxa"/>
            <w:shd w:val="clear" w:color="auto" w:fill="auto"/>
            <w:vAlign w:val="center"/>
          </w:tcPr>
          <w:p w14:paraId="1547172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069" w:type="dxa"/>
            <w:shd w:val="clear" w:color="auto" w:fill="auto"/>
            <w:vAlign w:val="center"/>
          </w:tcPr>
          <w:p w14:paraId="6350CAF3" w14:textId="536FB6B6"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Показателят измерва броя на обучените педагогически специалисти и непедагогически персонал, вкл. наставници придобили квалификация или надградили уменията си в резултат на участието им в обучения и останали на работа в училището/висшето училище/ в сферата на образованието шест месеца след приключване на дейностите. Целевата стойност обхваща за ПОО броя на обучените педагогически специалисти и наставници, получили квалификация и/или повишили уменията си за преподаване по предмети, свързани с професионалната подготовка на учениците в професионалните училища и за ВО броя </w:t>
            </w:r>
            <w:r w:rsidRPr="00D83669">
              <w:rPr>
                <w:rFonts w:ascii="Times New Roman" w:hAnsi="Times New Roman"/>
                <w:sz w:val="24"/>
              </w:rPr>
              <w:lastRenderedPageBreak/>
              <w:t>на българските преподаватели, които, в рамките на програмата, са завършили краткосрочна мобилност за преподаване в чуждестранен университет; броя на младите преподаватели (до 34 години включително), които са завършили краткосрочна мобилност за преподаване в чуждестранен университет; броя на чуждестранните преподаватели, завършили  мобилност за преподаване в българско висше училище и броя на студентите, които са завършили мобилност за обучение, и са получили документ Europass мобилност, които са останали на работа в училището/висшето училище или в сферата на образованието шест месеца след приключване на дейностите.</w:t>
            </w:r>
          </w:p>
        </w:tc>
      </w:tr>
      <w:tr w:rsidR="00D857FE" w:rsidRPr="00D83669" w14:paraId="5DDF63BC" w14:textId="77777777" w:rsidTr="00FA6088">
        <w:tc>
          <w:tcPr>
            <w:tcW w:w="2571" w:type="dxa"/>
            <w:shd w:val="clear" w:color="auto" w:fill="auto"/>
            <w:vAlign w:val="center"/>
          </w:tcPr>
          <w:p w14:paraId="2309CE4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069" w:type="dxa"/>
            <w:shd w:val="clear" w:color="auto" w:fill="auto"/>
            <w:vAlign w:val="center"/>
          </w:tcPr>
          <w:p w14:paraId="4A3B3EA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4EBE34A3" w14:textId="77777777" w:rsidTr="00FA6088">
        <w:tc>
          <w:tcPr>
            <w:tcW w:w="2571" w:type="dxa"/>
            <w:shd w:val="clear" w:color="auto" w:fill="auto"/>
            <w:vAlign w:val="center"/>
          </w:tcPr>
          <w:p w14:paraId="5E01FFA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069" w:type="dxa"/>
            <w:shd w:val="clear" w:color="auto" w:fill="auto"/>
            <w:vAlign w:val="center"/>
          </w:tcPr>
          <w:p w14:paraId="0DBAB4F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17 769 (от които за ПОО - 8 648 и за ВО - 9 121)</w:t>
            </w:r>
          </w:p>
        </w:tc>
      </w:tr>
      <w:tr w:rsidR="00D857FE" w:rsidRPr="00D83669" w14:paraId="37A495C9" w14:textId="77777777" w:rsidTr="00FA6088">
        <w:tc>
          <w:tcPr>
            <w:tcW w:w="2571" w:type="dxa"/>
            <w:shd w:val="clear" w:color="auto" w:fill="auto"/>
            <w:vAlign w:val="center"/>
          </w:tcPr>
          <w:p w14:paraId="71F62C2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069" w:type="dxa"/>
            <w:shd w:val="clear" w:color="auto" w:fill="auto"/>
            <w:vAlign w:val="center"/>
          </w:tcPr>
          <w:p w14:paraId="0C09A7D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индикатора представлява обща стойност (сбор) от определените целеви стойности за ПОО и за ВО.</w:t>
            </w:r>
          </w:p>
          <w:p w14:paraId="6977E54C" w14:textId="371EA763"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индикатора за ПОО е равна на целевата стойност на показател за краен продукт ЕЕСО05 Заети, вкл. самостоятелно заети, тъй като разходите за обученията на педагогическите специалисти и наставниците се предоставят при постигнат от обучението резултат, удостоверяващ не само участие, но и успешно завършено обучение и придобита квалификация Целевата стойност на индикатора за ВО представлява 10% от всички преподаватели и студенти, включени в дейности по програмата (90 090), определена е на база експертна оценка.</w:t>
            </w:r>
          </w:p>
        </w:tc>
      </w:tr>
      <w:tr w:rsidR="00D857FE" w:rsidRPr="00D83669" w14:paraId="12F6B64D" w14:textId="77777777" w:rsidTr="00FA6088">
        <w:tc>
          <w:tcPr>
            <w:tcW w:w="2571" w:type="dxa"/>
            <w:shd w:val="clear" w:color="auto" w:fill="auto"/>
            <w:vAlign w:val="center"/>
          </w:tcPr>
          <w:p w14:paraId="40131F8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069" w:type="dxa"/>
            <w:shd w:val="clear" w:color="auto" w:fill="auto"/>
            <w:vAlign w:val="center"/>
          </w:tcPr>
          <w:p w14:paraId="38AE54C4" w14:textId="52746F0C" w:rsidR="00D857FE" w:rsidRPr="00D83669" w:rsidRDefault="00D857FE" w:rsidP="00CC7BCB">
            <w:pPr>
              <w:jc w:val="both"/>
              <w:rPr>
                <w:rFonts w:ascii="Times New Roman" w:hAnsi="Times New Roman"/>
                <w:sz w:val="24"/>
              </w:rPr>
            </w:pPr>
            <w:r w:rsidRPr="00D83669">
              <w:rPr>
                <w:rFonts w:ascii="Times New Roman" w:hAnsi="Times New Roman"/>
                <w:sz w:val="24"/>
              </w:rPr>
              <w:t>8 218 (от които за ПОО - 2 900 и за ВО - 5 318)</w:t>
            </w:r>
          </w:p>
        </w:tc>
      </w:tr>
      <w:tr w:rsidR="00D857FE" w:rsidRPr="00D83669" w14:paraId="3C285A78" w14:textId="77777777" w:rsidTr="00FA6088">
        <w:tc>
          <w:tcPr>
            <w:tcW w:w="2571" w:type="dxa"/>
            <w:shd w:val="clear" w:color="auto" w:fill="auto"/>
            <w:vAlign w:val="center"/>
          </w:tcPr>
          <w:p w14:paraId="1DBC6C4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Методология за определяне на референтната стойност </w:t>
            </w:r>
          </w:p>
        </w:tc>
        <w:tc>
          <w:tcPr>
            <w:tcW w:w="7069" w:type="dxa"/>
            <w:shd w:val="clear" w:color="auto" w:fill="auto"/>
            <w:vAlign w:val="center"/>
          </w:tcPr>
          <w:p w14:paraId="6093DF59" w14:textId="1266A0EB" w:rsidR="00D857FE" w:rsidRPr="00D83669" w:rsidRDefault="00D857FE" w:rsidP="00CC7BCB">
            <w:pPr>
              <w:jc w:val="both"/>
              <w:rPr>
                <w:rFonts w:ascii="Times New Roman" w:hAnsi="Times New Roman"/>
                <w:sz w:val="24"/>
              </w:rPr>
            </w:pPr>
            <w:r w:rsidRPr="00D83669">
              <w:rPr>
                <w:rFonts w:ascii="Times New Roman" w:hAnsi="Times New Roman"/>
                <w:sz w:val="24"/>
              </w:rPr>
              <w:t>За ПОО данните са към 2020 г. и отразяват  верифицирания брой педагогически специалисти, завършили обучения, свързани с "Дигитална трансформация на училищното образование в т.ч. професионалното образование и обучение", по процедура "Квалификация на педагогическите специалисти", финансиран по ОПНОИР (проектът е в процес на изпълнение) - 12 192 педагогически специалисти. от този брой е необходимо да се отчитат само педагогическите специалисти в системата на ПОО, като е приложен дял определен по данни на НСИ за преподавателския персонал в професионалните училища, спрямо общия брой преподавателски персонал в училищното образование 18% (12 192*18% = 2194). В допълнение по процедура „Подкрепа за дуалната система на обучение“ е предвидено да се проведат обучения за 706 бр. наставници за придобиване на педагогически и методически умения (2194+706 = 2900.</w:t>
            </w:r>
          </w:p>
          <w:p w14:paraId="23EC529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Референтната стойност за ВО отразява броя на преподавателите, вкл. на младите преподаватели, броя на студентите и броя на чуждестранните преподаватели, преминали мобилност, който е планиран да бъде достигнат чрез изпълнението на процедура </w:t>
            </w:r>
            <w:r w:rsidRPr="00D83669">
              <w:rPr>
                <w:rFonts w:ascii="Times New Roman" w:hAnsi="Times New Roman"/>
                <w:sz w:val="24"/>
              </w:rPr>
              <w:lastRenderedPageBreak/>
              <w:t>"Модернизация на висшите училища" на ОПНОИР (процедурата е в процес на изпълнение).</w:t>
            </w:r>
          </w:p>
        </w:tc>
      </w:tr>
      <w:tr w:rsidR="00D857FE" w:rsidRPr="00D83669" w14:paraId="7181494D" w14:textId="77777777" w:rsidTr="00FA6088">
        <w:tc>
          <w:tcPr>
            <w:tcW w:w="2571" w:type="dxa"/>
            <w:shd w:val="clear" w:color="auto" w:fill="auto"/>
            <w:vAlign w:val="center"/>
          </w:tcPr>
          <w:p w14:paraId="7323869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Разбивка </w:t>
            </w:r>
          </w:p>
        </w:tc>
        <w:tc>
          <w:tcPr>
            <w:tcW w:w="7069" w:type="dxa"/>
            <w:shd w:val="clear" w:color="auto" w:fill="auto"/>
            <w:vAlign w:val="center"/>
          </w:tcPr>
          <w:p w14:paraId="34EFE06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и друга демографска информация за участниците.</w:t>
            </w:r>
          </w:p>
        </w:tc>
      </w:tr>
      <w:tr w:rsidR="00D857FE" w:rsidRPr="00D83669" w14:paraId="30150ABE" w14:textId="77777777" w:rsidTr="00FA6088">
        <w:tc>
          <w:tcPr>
            <w:tcW w:w="2571" w:type="dxa"/>
            <w:shd w:val="clear" w:color="auto" w:fill="auto"/>
            <w:vAlign w:val="center"/>
          </w:tcPr>
          <w:p w14:paraId="07E6066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069" w:type="dxa"/>
            <w:shd w:val="clear" w:color="auto" w:fill="auto"/>
            <w:vAlign w:val="center"/>
          </w:tcPr>
          <w:p w14:paraId="1E90B24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е необходимо, за да се гарантира устойчивостта на операциите. Данните ще бъдат допълвани от периодични оценки, за да се подпомогне определянето на  ефекта от квалификацията на учителите в ПОО и на преподавателите във ВО, съответно върху учениците и студентите и ефекта от квалификацията им върху нивото на образователните резултати на обучаемите и предотвратяване на отпадането им от системата на средното и висше образование.</w:t>
            </w:r>
          </w:p>
        </w:tc>
      </w:tr>
      <w:tr w:rsidR="00D857FE" w:rsidRPr="00D83669" w14:paraId="6C50C761" w14:textId="77777777" w:rsidTr="00FA6088">
        <w:tc>
          <w:tcPr>
            <w:tcW w:w="2571" w:type="dxa"/>
            <w:shd w:val="clear" w:color="auto" w:fill="auto"/>
            <w:vAlign w:val="center"/>
          </w:tcPr>
          <w:p w14:paraId="3249DB8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069" w:type="dxa"/>
            <w:shd w:val="clear" w:color="auto" w:fill="auto"/>
            <w:vAlign w:val="center"/>
          </w:tcPr>
          <w:p w14:paraId="5677FFAB"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ще се събират текущо на база технически отчети за изпълнение на проекта с изчерпателен обхват на всички участници. </w:t>
            </w:r>
          </w:p>
          <w:p w14:paraId="5498285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пол и възраст на участника; друга демографска информация; период на провеждане на мобилността; училище/висше училище, в което се провежда мобилността; професионални направления, професии и специалности, в които се извършва преподаване на ученици и студенти/ обучението в рамките на мобилността, и др.</w:t>
            </w:r>
          </w:p>
        </w:tc>
      </w:tr>
      <w:tr w:rsidR="00D857FE" w:rsidRPr="00D83669" w14:paraId="7D6DAD90" w14:textId="77777777" w:rsidTr="00FA6088">
        <w:tc>
          <w:tcPr>
            <w:tcW w:w="2571" w:type="dxa"/>
            <w:shd w:val="clear" w:color="auto" w:fill="auto"/>
            <w:vAlign w:val="center"/>
          </w:tcPr>
          <w:p w14:paraId="71FDC76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069" w:type="dxa"/>
            <w:shd w:val="clear" w:color="auto" w:fill="auto"/>
            <w:vAlign w:val="center"/>
          </w:tcPr>
          <w:p w14:paraId="2FD79B4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E8243F4" w14:textId="77777777" w:rsidTr="00FA6088">
        <w:tc>
          <w:tcPr>
            <w:tcW w:w="2571" w:type="dxa"/>
            <w:shd w:val="clear" w:color="auto" w:fill="auto"/>
            <w:vAlign w:val="center"/>
          </w:tcPr>
          <w:p w14:paraId="73A8704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индикаторите</w:t>
            </w:r>
          </w:p>
        </w:tc>
        <w:tc>
          <w:tcPr>
            <w:tcW w:w="7069" w:type="dxa"/>
            <w:shd w:val="clear" w:color="auto" w:fill="auto"/>
            <w:vAlign w:val="center"/>
          </w:tcPr>
          <w:p w14:paraId="1FE88DD8"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EEC011 Участници с висше образование  (ISCED 5 до 8);</w:t>
            </w:r>
          </w:p>
          <w:p w14:paraId="37964B8B"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1BDCF68E"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EEC010 Участници със средно образование  (ISCED 3) или образование след средното образование (ISCED 4);</w:t>
            </w:r>
          </w:p>
          <w:p w14:paraId="06EB5E03"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EECO05 Заети, включително самостоятелно заети</w:t>
            </w:r>
          </w:p>
        </w:tc>
      </w:tr>
      <w:tr w:rsidR="00D857FE" w:rsidRPr="00D83669" w14:paraId="56C4FB1D" w14:textId="77777777" w:rsidTr="00FA6088">
        <w:tc>
          <w:tcPr>
            <w:tcW w:w="2571" w:type="dxa"/>
            <w:shd w:val="clear" w:color="auto" w:fill="auto"/>
            <w:vAlign w:val="center"/>
          </w:tcPr>
          <w:p w14:paraId="3675973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069" w:type="dxa"/>
            <w:shd w:val="clear" w:color="auto" w:fill="auto"/>
            <w:vAlign w:val="center"/>
          </w:tcPr>
          <w:p w14:paraId="5837264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на индикатора обхваща броя на участниците, които са получили квалификация – педагогически специалисти и наставници от системата на ПОО, български и чуждестранни преподаватели, и студенти от системата на ВО, включени в дейности по операции по СЦ чл.4, пар. 1, буква д) на Приоритет 3 на ПО 2021-2027 и е по-малка от броя на всички участници в дейности по тази специфична цел на Приоритет 3 на програмата. </w:t>
            </w:r>
          </w:p>
        </w:tc>
      </w:tr>
    </w:tbl>
    <w:p w14:paraId="5DE268A4" w14:textId="77777777" w:rsidR="00D857FE" w:rsidRPr="00D83669" w:rsidRDefault="00D857FE" w:rsidP="00D857FE">
      <w:pPr>
        <w:rPr>
          <w:rFonts w:ascii="Times New Roman" w:hAnsi="Times New Roman"/>
          <w:sz w:val="24"/>
        </w:rPr>
      </w:pPr>
    </w:p>
    <w:p w14:paraId="51D54500" w14:textId="3FEDB074" w:rsidR="00FA6088" w:rsidRPr="00D83669" w:rsidRDefault="00FA6088">
      <w:pPr>
        <w:rPr>
          <w:rFonts w:ascii="Times New Roman" w:hAnsi="Times New Roman"/>
          <w:sz w:val="24"/>
        </w:rPr>
      </w:pPr>
      <w:r w:rsidRPr="00D83669">
        <w:rPr>
          <w:rFonts w:ascii="Times New Roman" w:hAnsi="Times New Roman"/>
          <w:sz w:val="24"/>
        </w:rPr>
        <w:br w:type="page"/>
      </w:r>
    </w:p>
    <w:p w14:paraId="1C973426" w14:textId="77777777" w:rsidR="00D857FE" w:rsidRPr="00D83669" w:rsidRDefault="00D857FE" w:rsidP="00D857FE">
      <w:pPr>
        <w:rPr>
          <w:rFonts w:ascii="Times New Roman" w:hAnsi="Times New Roman"/>
          <w:sz w:val="24"/>
        </w:rPr>
      </w:pPr>
    </w:p>
    <w:p w14:paraId="7DC500A4" w14:textId="7E7F411A" w:rsidR="00D857FE" w:rsidRPr="00D83669" w:rsidRDefault="00D857FE" w:rsidP="00BB37EF">
      <w:pPr>
        <w:pStyle w:val="Heading3"/>
        <w:rPr>
          <w:b/>
          <w:bCs/>
          <w:i/>
          <w:iCs/>
          <w:sz w:val="22"/>
          <w:szCs w:val="22"/>
        </w:rPr>
      </w:pPr>
      <w:bookmarkStart w:id="206" w:name="_Toc100153028"/>
      <w:bookmarkStart w:id="207" w:name="_Toc103586703"/>
      <w:r w:rsidRPr="00D83669">
        <w:rPr>
          <w:b/>
          <w:bCs/>
          <w:i/>
          <w:iCs/>
          <w:sz w:val="22"/>
          <w:szCs w:val="22"/>
        </w:rPr>
        <w:t>ЕЕСR04 - Участници, които при напускане на операцията имат работа, включително като самостоятелно заети лица</w:t>
      </w:r>
      <w:bookmarkEnd w:id="206"/>
      <w:bookmarkEnd w:id="207"/>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1"/>
        <w:gridCol w:w="7069"/>
      </w:tblGrid>
      <w:tr w:rsidR="00D857FE" w:rsidRPr="00D83669" w14:paraId="0574D4AE" w14:textId="77777777" w:rsidTr="00FA6088">
        <w:tc>
          <w:tcPr>
            <w:tcW w:w="25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09B68626" w14:textId="0638174A"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0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A4508F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37C6EBB5" w14:textId="77777777" w:rsidTr="00FA6088">
        <w:tc>
          <w:tcPr>
            <w:tcW w:w="2571" w:type="dxa"/>
            <w:shd w:val="clear" w:color="auto" w:fill="auto"/>
            <w:vAlign w:val="center"/>
          </w:tcPr>
          <w:p w14:paraId="6E0FC37E" w14:textId="30E22309"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7069" w:type="dxa"/>
            <w:shd w:val="clear" w:color="auto" w:fill="auto"/>
            <w:vAlign w:val="center"/>
          </w:tcPr>
          <w:p w14:paraId="6DCBA00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ЕЕСR04 - Участници, които при напускане на операцията имат работа, включително като самостоятелно заети лица</w:t>
            </w:r>
          </w:p>
        </w:tc>
      </w:tr>
      <w:tr w:rsidR="00D857FE" w:rsidRPr="00D83669" w14:paraId="1CF9CD39" w14:textId="77777777" w:rsidTr="00FA6088">
        <w:tc>
          <w:tcPr>
            <w:tcW w:w="2571" w:type="dxa"/>
            <w:shd w:val="clear" w:color="auto" w:fill="auto"/>
            <w:vAlign w:val="center"/>
          </w:tcPr>
          <w:p w14:paraId="654D5D6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069" w:type="dxa"/>
            <w:shd w:val="clear" w:color="auto" w:fill="auto"/>
            <w:vAlign w:val="center"/>
          </w:tcPr>
          <w:p w14:paraId="6404889D" w14:textId="6E66F01A"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резултат</w:t>
            </w:r>
          </w:p>
        </w:tc>
      </w:tr>
      <w:tr w:rsidR="00D857FE" w:rsidRPr="00D83669" w14:paraId="5BE753BC" w14:textId="77777777" w:rsidTr="00FA6088">
        <w:tc>
          <w:tcPr>
            <w:tcW w:w="2571" w:type="dxa"/>
            <w:shd w:val="clear" w:color="auto" w:fill="auto"/>
            <w:vAlign w:val="center"/>
          </w:tcPr>
          <w:p w14:paraId="3642C38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069" w:type="dxa"/>
            <w:shd w:val="clear" w:color="auto" w:fill="auto"/>
            <w:vAlign w:val="center"/>
          </w:tcPr>
          <w:p w14:paraId="3A54A26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СЦ по чл. 4, пар. 1, буква д)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5B0D2784" w14:textId="77777777" w:rsidTr="00FA6088">
        <w:tc>
          <w:tcPr>
            <w:tcW w:w="2571" w:type="dxa"/>
            <w:shd w:val="clear" w:color="auto" w:fill="auto"/>
            <w:vAlign w:val="center"/>
          </w:tcPr>
          <w:p w14:paraId="548438F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069" w:type="dxa"/>
            <w:shd w:val="clear" w:color="auto" w:fill="auto"/>
            <w:vAlign w:val="center"/>
          </w:tcPr>
          <w:p w14:paraId="6F8A94F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Адаптиране на ПОО спрямо динамиката на пазара на труда; </w:t>
            </w:r>
          </w:p>
          <w:p w14:paraId="32812F1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развитие на умения за професиите на настоящето и бъдещето;</w:t>
            </w:r>
          </w:p>
          <w:p w14:paraId="20F7F56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Подкрепа за Центровете за високи постижения в ПОО;</w:t>
            </w:r>
          </w:p>
          <w:p w14:paraId="638E097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Развитие на дуалната система на обучение в ПОО;- - Професионално ориентиране на студентите чрез практики и развиване на предприемачески умения</w:t>
            </w:r>
          </w:p>
        </w:tc>
      </w:tr>
      <w:tr w:rsidR="00D857FE" w:rsidRPr="00D83669" w14:paraId="3157DFAD" w14:textId="77777777" w:rsidTr="00FA6088">
        <w:tc>
          <w:tcPr>
            <w:tcW w:w="2571" w:type="dxa"/>
            <w:shd w:val="clear" w:color="auto" w:fill="auto"/>
            <w:vAlign w:val="center"/>
          </w:tcPr>
          <w:p w14:paraId="22B1C94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069" w:type="dxa"/>
            <w:shd w:val="clear" w:color="auto" w:fill="auto"/>
            <w:vAlign w:val="center"/>
          </w:tcPr>
          <w:p w14:paraId="19833F80" w14:textId="7E15FB7F"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учениците получили допълнителна професионална подготовка за развитие на техните умения и компетентност и при напускане на операцията имат работа, включително като самостоятелно заети лица.</w:t>
            </w:r>
          </w:p>
          <w:p w14:paraId="5B27C66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„Заети“ са лицата на 15 до 89 навършени години, които: са извършвали работа срещу заплащане, печалба или семейна печалба; или не са били на работа, но са имали работа или стопанска дейност, от които временно са отсъствали […]; или са произвеждали селскостопански стоки, чиято основна част е предназначена за продажба или размяна.</w:t>
            </w:r>
          </w:p>
          <w:p w14:paraId="1FF31A0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 се има предвид, че самостоятелно заетите лица с със стопанска дейност, земеделска или професионална практика се смятат за работещи срещу заплащане или печалба, ако се прилага едно от следните условия::</w:t>
            </w:r>
          </w:p>
          <w:p w14:paraId="4C3AA316" w14:textId="77777777" w:rsidR="00D857FE" w:rsidRPr="00D83669" w:rsidRDefault="00D857FE" w:rsidP="00CC7BCB">
            <w:pPr>
              <w:pStyle w:val="ListParagraph"/>
              <w:rPr>
                <w:rFonts w:ascii="Times New Roman" w:hAnsi="Times New Roman"/>
                <w:sz w:val="24"/>
              </w:rPr>
            </w:pPr>
            <w:r w:rsidRPr="00D83669">
              <w:rPr>
                <w:rFonts w:ascii="Times New Roman" w:hAnsi="Times New Roman"/>
                <w:sz w:val="24"/>
              </w:rPr>
              <w:t>1) лице работи в своя собствена стопанска дейност, професионална практика или земеделско стопанство с цел печалба [...].</w:t>
            </w:r>
          </w:p>
          <w:p w14:paraId="008F5857" w14:textId="77777777" w:rsidR="00D857FE" w:rsidRPr="00D83669" w:rsidRDefault="00D857FE" w:rsidP="00CC7BCB">
            <w:pPr>
              <w:pStyle w:val="ListParagraph"/>
              <w:rPr>
                <w:rFonts w:ascii="Times New Roman" w:hAnsi="Times New Roman"/>
                <w:sz w:val="24"/>
              </w:rPr>
            </w:pPr>
            <w:r w:rsidRPr="00D83669">
              <w:rPr>
                <w:rFonts w:ascii="Times New Roman" w:hAnsi="Times New Roman"/>
                <w:sz w:val="24"/>
              </w:rPr>
              <w:lastRenderedPageBreak/>
              <w:t>2) лице отделя време за извършване на стопанска дейност, професионална практика или управление на стопанство [...].</w:t>
            </w:r>
          </w:p>
          <w:p w14:paraId="163CB0D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3) лице е в процес на създаване на стопанска дейност, земеделска или професионална практика; […].</w:t>
            </w:r>
            <w:r w:rsidRPr="00D83669" w:rsidDel="00F11107">
              <w:rPr>
                <w:rFonts w:ascii="Times New Roman" w:hAnsi="Times New Roman"/>
                <w:sz w:val="24"/>
              </w:rPr>
              <w:t xml:space="preserve"> </w:t>
            </w:r>
            <w:r w:rsidRPr="00D83669">
              <w:rPr>
                <w:rFonts w:ascii="Times New Roman" w:hAnsi="Times New Roman"/>
                <w:sz w:val="24"/>
              </w:rPr>
              <w:t>Източник: Евростат, Наблюдение на работната сила в Европейския съюз (ЕС-НРС) — 2021 г.</w:t>
            </w:r>
            <w:r w:rsidRPr="00D83669" w:rsidDel="00F11107">
              <w:rPr>
                <w:rFonts w:ascii="Times New Roman" w:hAnsi="Times New Roman"/>
                <w:sz w:val="24"/>
              </w:rPr>
              <w:t xml:space="preserve"> </w:t>
            </w:r>
            <w:r w:rsidRPr="00D83669">
              <w:rPr>
                <w:rFonts w:ascii="Times New Roman" w:hAnsi="Times New Roman"/>
                <w:sz w:val="24"/>
              </w:rPr>
              <w:t xml:space="preserve">- 2021https://ec.europa.eu/eurostat/statistics-explained/index.php?title=EU_Labour_Force_Survey_-_new_methodology_from_2021_onwards </w:t>
            </w:r>
          </w:p>
        </w:tc>
      </w:tr>
      <w:tr w:rsidR="00D857FE" w:rsidRPr="00D83669" w14:paraId="7F482206" w14:textId="77777777" w:rsidTr="00FA6088">
        <w:tc>
          <w:tcPr>
            <w:tcW w:w="2571" w:type="dxa"/>
            <w:shd w:val="clear" w:color="auto" w:fill="auto"/>
            <w:vAlign w:val="center"/>
          </w:tcPr>
          <w:p w14:paraId="132CB31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069" w:type="dxa"/>
            <w:shd w:val="clear" w:color="auto" w:fill="auto"/>
            <w:vAlign w:val="center"/>
          </w:tcPr>
          <w:p w14:paraId="34DF8D9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03247076" w14:textId="77777777" w:rsidTr="00FA6088">
        <w:tc>
          <w:tcPr>
            <w:tcW w:w="2571" w:type="dxa"/>
            <w:shd w:val="clear" w:color="auto" w:fill="auto"/>
            <w:vAlign w:val="center"/>
          </w:tcPr>
          <w:p w14:paraId="0D4E36E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069" w:type="dxa"/>
            <w:shd w:val="clear" w:color="auto" w:fill="auto"/>
            <w:vAlign w:val="center"/>
          </w:tcPr>
          <w:p w14:paraId="0C9D21C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41 235</w:t>
            </w:r>
          </w:p>
        </w:tc>
      </w:tr>
      <w:tr w:rsidR="00D857FE" w:rsidRPr="00D83669" w14:paraId="0E1AD220" w14:textId="77777777" w:rsidTr="00FA6088">
        <w:tc>
          <w:tcPr>
            <w:tcW w:w="2571" w:type="dxa"/>
            <w:shd w:val="clear" w:color="auto" w:fill="auto"/>
            <w:vAlign w:val="center"/>
          </w:tcPr>
          <w:p w14:paraId="27FB0AB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069" w:type="dxa"/>
            <w:shd w:val="clear" w:color="auto" w:fill="auto"/>
            <w:vAlign w:val="center"/>
          </w:tcPr>
          <w:p w14:paraId="64D658D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индикатора представлява 40% от всички ученици в ПОО (103 088), включени в дейности по програмата. Определена е на база експертна оценка, като е съобразена с продължителността на обучението за придобиване на средно образование с професионална квалификация и продължителността на операциите.</w:t>
            </w:r>
          </w:p>
        </w:tc>
      </w:tr>
      <w:tr w:rsidR="00D857FE" w:rsidRPr="00D83669" w14:paraId="2DDA1644" w14:textId="77777777" w:rsidTr="00FA6088">
        <w:tc>
          <w:tcPr>
            <w:tcW w:w="2571" w:type="dxa"/>
            <w:shd w:val="clear" w:color="auto" w:fill="auto"/>
            <w:vAlign w:val="center"/>
          </w:tcPr>
          <w:p w14:paraId="35FBDAE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069" w:type="dxa"/>
            <w:shd w:val="clear" w:color="auto" w:fill="auto"/>
            <w:vAlign w:val="center"/>
          </w:tcPr>
          <w:p w14:paraId="1A0ADD5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29 800</w:t>
            </w:r>
          </w:p>
        </w:tc>
      </w:tr>
      <w:tr w:rsidR="00D857FE" w:rsidRPr="00D83669" w14:paraId="57E26DCF" w14:textId="77777777" w:rsidTr="00FA6088">
        <w:tc>
          <w:tcPr>
            <w:tcW w:w="2571" w:type="dxa"/>
            <w:shd w:val="clear" w:color="auto" w:fill="auto"/>
            <w:vAlign w:val="center"/>
          </w:tcPr>
          <w:p w14:paraId="2295095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Методология за определяне на референтната стойност </w:t>
            </w:r>
          </w:p>
        </w:tc>
        <w:tc>
          <w:tcPr>
            <w:tcW w:w="7069" w:type="dxa"/>
            <w:shd w:val="clear" w:color="auto" w:fill="auto"/>
            <w:vAlign w:val="center"/>
          </w:tcPr>
          <w:p w14:paraId="4A952CB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Референтната стойност отразява броя на учениците, които са включени в допълнителни ученически практики в реална работна среда по проекти „Ученически практики – Фаза 1“ и „Ученически практики – 2“ и броят на учениците включени в дуална система на обучение по проект "Подкрепа за дуалната система на обучение“, финансирани по ОПНОИР към 2020 г.</w:t>
            </w:r>
          </w:p>
        </w:tc>
      </w:tr>
      <w:tr w:rsidR="00D857FE" w:rsidRPr="00D83669" w14:paraId="0979D1AA" w14:textId="77777777" w:rsidTr="00FA6088">
        <w:tc>
          <w:tcPr>
            <w:tcW w:w="2571" w:type="dxa"/>
            <w:shd w:val="clear" w:color="auto" w:fill="auto"/>
            <w:vAlign w:val="center"/>
          </w:tcPr>
          <w:p w14:paraId="249B708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069" w:type="dxa"/>
            <w:shd w:val="clear" w:color="auto" w:fill="auto"/>
            <w:vAlign w:val="center"/>
          </w:tcPr>
          <w:p w14:paraId="7A39763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и друга демографска информация за участниците.</w:t>
            </w:r>
          </w:p>
        </w:tc>
      </w:tr>
      <w:tr w:rsidR="00D857FE" w:rsidRPr="00D83669" w14:paraId="3491B583" w14:textId="77777777" w:rsidTr="00FA6088">
        <w:tc>
          <w:tcPr>
            <w:tcW w:w="2571" w:type="dxa"/>
            <w:shd w:val="clear" w:color="auto" w:fill="auto"/>
            <w:vAlign w:val="center"/>
          </w:tcPr>
          <w:p w14:paraId="216D0F9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069" w:type="dxa"/>
            <w:shd w:val="clear" w:color="auto" w:fill="auto"/>
            <w:vAlign w:val="center"/>
          </w:tcPr>
          <w:p w14:paraId="6FFC13D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за да се оцени ефекта от допълнителното обучение на учениците в професионалните гимназии и училищата предоставящи обучение по професионална подготовка, които са започнали работа веднага след завършване на дейностите по операцията или средно образование с професионална квалификация. Данните ще бъдат използвани за извършване на анализи на нивото на реализация на пазара на труда на включените в операциите и/или новозавършилите ученици, вкл. за сферата на реализация.</w:t>
            </w:r>
          </w:p>
        </w:tc>
      </w:tr>
      <w:tr w:rsidR="00D857FE" w:rsidRPr="00D83669" w14:paraId="43C11260" w14:textId="77777777" w:rsidTr="00FA6088">
        <w:tc>
          <w:tcPr>
            <w:tcW w:w="2571" w:type="dxa"/>
            <w:shd w:val="clear" w:color="auto" w:fill="auto"/>
            <w:vAlign w:val="center"/>
          </w:tcPr>
          <w:p w14:paraId="54ED220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069" w:type="dxa"/>
            <w:shd w:val="clear" w:color="auto" w:fill="auto"/>
            <w:vAlign w:val="center"/>
          </w:tcPr>
          <w:p w14:paraId="28404728"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ще се събират текущо на база технически отчети за изпълнение на проекта с изчерпателен обхват на всички участници. </w:t>
            </w:r>
          </w:p>
          <w:p w14:paraId="44F69BB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пол и възраст на участника; друга демографска информация; дата на включване в заетост и продължителност, данни за работодателя (икономическа дейност), и др.</w:t>
            </w:r>
          </w:p>
        </w:tc>
      </w:tr>
      <w:tr w:rsidR="00D857FE" w:rsidRPr="00D83669" w14:paraId="08B5189F" w14:textId="77777777" w:rsidTr="00FA6088">
        <w:tc>
          <w:tcPr>
            <w:tcW w:w="2571" w:type="dxa"/>
            <w:shd w:val="clear" w:color="auto" w:fill="auto"/>
            <w:vAlign w:val="center"/>
          </w:tcPr>
          <w:p w14:paraId="60EAC49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069" w:type="dxa"/>
            <w:shd w:val="clear" w:color="auto" w:fill="auto"/>
            <w:vAlign w:val="center"/>
          </w:tcPr>
          <w:p w14:paraId="2985AFC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7B98C4B8" w14:textId="77777777" w:rsidTr="00FA6088">
        <w:tc>
          <w:tcPr>
            <w:tcW w:w="2571" w:type="dxa"/>
            <w:shd w:val="clear" w:color="auto" w:fill="auto"/>
            <w:vAlign w:val="center"/>
          </w:tcPr>
          <w:p w14:paraId="267E4F8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индикаторите</w:t>
            </w:r>
          </w:p>
        </w:tc>
        <w:tc>
          <w:tcPr>
            <w:tcW w:w="7069" w:type="dxa"/>
            <w:shd w:val="clear" w:color="auto" w:fill="auto"/>
            <w:vAlign w:val="center"/>
          </w:tcPr>
          <w:p w14:paraId="56BC9CC4"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 xml:space="preserve">SOI 3.1. Брой професионални училища, въвели модернизирани учебни програми по професионална подготовка </w:t>
            </w:r>
          </w:p>
          <w:p w14:paraId="1CD6FF0B"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 xml:space="preserve">SOI 3.2.Брой подкрепени Центрове за високи постижения </w:t>
            </w:r>
          </w:p>
          <w:p w14:paraId="7F031BCA"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 xml:space="preserve">SOI 3.3. Брой училища въвели дуална система на обучение </w:t>
            </w:r>
          </w:p>
          <w:p w14:paraId="354E0992"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EECO09 Участници с прогимназиален етап на основното образование или по-ниска степен (ISCED 0-2);</w:t>
            </w:r>
          </w:p>
          <w:p w14:paraId="0DD2032E"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4CD0A6B8" w14:textId="77777777" w:rsidR="00D857FE" w:rsidRPr="00D83669" w:rsidRDefault="00D857FE" w:rsidP="00E25912">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SRI 3.1 Лица, започнали да търсят работа.</w:t>
            </w:r>
          </w:p>
        </w:tc>
      </w:tr>
      <w:tr w:rsidR="00D857FE" w:rsidRPr="00D83669" w14:paraId="5E309430" w14:textId="77777777" w:rsidTr="00FA6088">
        <w:tc>
          <w:tcPr>
            <w:tcW w:w="2571" w:type="dxa"/>
            <w:shd w:val="clear" w:color="auto" w:fill="auto"/>
            <w:vAlign w:val="center"/>
          </w:tcPr>
          <w:p w14:paraId="2EBFCBE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069" w:type="dxa"/>
            <w:shd w:val="clear" w:color="auto" w:fill="auto"/>
            <w:vAlign w:val="center"/>
          </w:tcPr>
          <w:p w14:paraId="0EFEC0A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на индикатора обхваща броя на участниците, които са включени в допълнителна професионална подготовка за развитие на своите умения и компетентност и след приключване на операцията са в заетост, включително като самостоятелно заети лица по СЦ чл.4, пар. 1, буква д) на Приоритет 3 на ПО 2021-2027 и е по-малка от броя на всички участници в дейности по тази специфична цел на Приоритет 3 на програмата. </w:t>
            </w:r>
          </w:p>
        </w:tc>
      </w:tr>
    </w:tbl>
    <w:p w14:paraId="08B1DC05" w14:textId="6161A9CE" w:rsidR="00352C57" w:rsidRPr="00D83669" w:rsidRDefault="00352C57" w:rsidP="00D857FE">
      <w:pPr>
        <w:rPr>
          <w:rFonts w:ascii="Times New Roman" w:hAnsi="Times New Roman"/>
          <w:sz w:val="24"/>
        </w:rPr>
      </w:pPr>
    </w:p>
    <w:p w14:paraId="7ABC2324" w14:textId="77777777" w:rsidR="00352C57" w:rsidRPr="00D83669" w:rsidRDefault="00352C57">
      <w:pPr>
        <w:rPr>
          <w:rFonts w:ascii="Times New Roman" w:hAnsi="Times New Roman"/>
          <w:sz w:val="24"/>
        </w:rPr>
      </w:pPr>
      <w:r w:rsidRPr="00D83669">
        <w:rPr>
          <w:rFonts w:ascii="Times New Roman" w:hAnsi="Times New Roman"/>
          <w:sz w:val="24"/>
        </w:rPr>
        <w:br w:type="page"/>
      </w:r>
    </w:p>
    <w:p w14:paraId="33330809" w14:textId="2C5E2043" w:rsidR="00D857FE" w:rsidRPr="00D83669" w:rsidRDefault="00D857FE" w:rsidP="00BB37EF">
      <w:pPr>
        <w:pStyle w:val="Heading3"/>
        <w:rPr>
          <w:b/>
          <w:bCs/>
          <w:i/>
          <w:iCs/>
          <w:sz w:val="22"/>
          <w:szCs w:val="22"/>
        </w:rPr>
      </w:pPr>
      <w:bookmarkStart w:id="208" w:name="_Toc100153029"/>
      <w:bookmarkStart w:id="209" w:name="_Toc103586704"/>
      <w:r w:rsidRPr="00D83669">
        <w:rPr>
          <w:b/>
          <w:bCs/>
          <w:i/>
          <w:iCs/>
          <w:sz w:val="22"/>
          <w:szCs w:val="22"/>
        </w:rPr>
        <w:lastRenderedPageBreak/>
        <w:t>SRI 3.1 – Ученици и студенти, започнали да търсят работа</w:t>
      </w:r>
      <w:bookmarkEnd w:id="208"/>
      <w:bookmarkEnd w:id="209"/>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7088"/>
      </w:tblGrid>
      <w:tr w:rsidR="00D857FE" w:rsidRPr="00D83669" w14:paraId="7B5B6BD4" w14:textId="77777777" w:rsidTr="00352C57">
        <w:tc>
          <w:tcPr>
            <w:tcW w:w="2552"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7C80275" w14:textId="40F36CBC"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088"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F131D6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432481A7" w14:textId="77777777" w:rsidTr="00352C57">
        <w:tc>
          <w:tcPr>
            <w:tcW w:w="2552" w:type="dxa"/>
            <w:shd w:val="clear" w:color="auto" w:fill="auto"/>
            <w:vAlign w:val="center"/>
          </w:tcPr>
          <w:p w14:paraId="7D44906F" w14:textId="559F3313"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Показател </w:t>
            </w:r>
          </w:p>
        </w:tc>
        <w:tc>
          <w:tcPr>
            <w:tcW w:w="7088" w:type="dxa"/>
            <w:shd w:val="clear" w:color="auto" w:fill="auto"/>
            <w:vAlign w:val="center"/>
          </w:tcPr>
          <w:p w14:paraId="4A65EC3B" w14:textId="57774461" w:rsidR="00D857FE" w:rsidRPr="00D83669" w:rsidRDefault="00D857FE" w:rsidP="00CC7BCB">
            <w:pPr>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3.1 – Ученици и студенти, започнали да търсят работа</w:t>
            </w:r>
          </w:p>
        </w:tc>
      </w:tr>
      <w:tr w:rsidR="00D857FE" w:rsidRPr="00D83669" w14:paraId="7509451E" w14:textId="77777777" w:rsidTr="00352C57">
        <w:tc>
          <w:tcPr>
            <w:tcW w:w="2552" w:type="dxa"/>
            <w:shd w:val="clear" w:color="auto" w:fill="auto"/>
            <w:vAlign w:val="center"/>
          </w:tcPr>
          <w:p w14:paraId="6A8EC4E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088" w:type="dxa"/>
            <w:shd w:val="clear" w:color="auto" w:fill="auto"/>
            <w:vAlign w:val="center"/>
          </w:tcPr>
          <w:p w14:paraId="02258919" w14:textId="15872D55"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2A073678" w14:textId="77777777" w:rsidTr="00352C57">
        <w:tc>
          <w:tcPr>
            <w:tcW w:w="2552" w:type="dxa"/>
            <w:shd w:val="clear" w:color="auto" w:fill="auto"/>
            <w:vAlign w:val="center"/>
          </w:tcPr>
          <w:p w14:paraId="7FAD833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088" w:type="dxa"/>
            <w:shd w:val="clear" w:color="auto" w:fill="auto"/>
            <w:vAlign w:val="center"/>
          </w:tcPr>
          <w:p w14:paraId="3E8FB45D"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1375D7D4" w14:textId="77777777" w:rsidTr="00352C57">
        <w:tc>
          <w:tcPr>
            <w:tcW w:w="2552" w:type="dxa"/>
            <w:shd w:val="clear" w:color="auto" w:fill="auto"/>
            <w:vAlign w:val="center"/>
          </w:tcPr>
          <w:p w14:paraId="71C1558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088" w:type="dxa"/>
            <w:shd w:val="clear" w:color="auto" w:fill="auto"/>
            <w:vAlign w:val="center"/>
          </w:tcPr>
          <w:p w14:paraId="20FB4E9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Въвеждане на пред-професионално обучение, гъвкави пътеки, микро-квалификации и кредити в ПОО с цел мобилност между професии, сектори и образователни нива;</w:t>
            </w:r>
          </w:p>
          <w:p w14:paraId="640317B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Дейности по кариерно и професионално ориентиране на ученици и провеждане на информационни кампании за повишаване привлекателността на ПОО и засилване на връзката ученици/родители-работодатели-училище-местна власт;</w:t>
            </w:r>
          </w:p>
          <w:p w14:paraId="65B213B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w:t>
            </w:r>
            <w:r w:rsidRPr="00D83669">
              <w:rPr>
                <w:rFonts w:ascii="Times New Roman" w:hAnsi="Times New Roman"/>
                <w:color w:val="000000"/>
                <w:sz w:val="24"/>
              </w:rPr>
              <w:t>Подкрепа за партньорства/мрежи с ВУ, научни и изследователски организации и бизнеса, за ориентиране към НИРД на учениците чрез участие в прояви, школи, съвместни проекти и др.</w:t>
            </w:r>
            <w:r w:rsidRPr="00D83669">
              <w:rPr>
                <w:rFonts w:ascii="Times New Roman" w:hAnsi="Times New Roman"/>
                <w:sz w:val="24"/>
              </w:rPr>
              <w:t>;</w:t>
            </w:r>
          </w:p>
          <w:p w14:paraId="7BABF2F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Допълнителна професионална подготовка за учениците от първи гимназиален етап, информационни кампании, обучения на учители и наставници, кариерно ориентиране, пробно стажуване с фокус към цифрова, зелена икономика, син растеж, индустрия 5.0 и ИСИС;</w:t>
            </w:r>
          </w:p>
          <w:p w14:paraId="0E955F4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Професионално ориентиране на студентите чрез практики и развиване на предприемачески умения.</w:t>
            </w:r>
          </w:p>
        </w:tc>
      </w:tr>
      <w:tr w:rsidR="00D857FE" w:rsidRPr="00D83669" w14:paraId="07CB2CB7" w14:textId="77777777" w:rsidTr="00352C57">
        <w:tc>
          <w:tcPr>
            <w:tcW w:w="2552" w:type="dxa"/>
            <w:shd w:val="clear" w:color="auto" w:fill="auto"/>
            <w:vAlign w:val="center"/>
          </w:tcPr>
          <w:p w14:paraId="2AE5A51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088" w:type="dxa"/>
            <w:shd w:val="clear" w:color="auto" w:fill="auto"/>
            <w:vAlign w:val="center"/>
          </w:tcPr>
          <w:p w14:paraId="46FB9C0E" w14:textId="7DE2E586"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броя на учениците, получили допълнителна професионална подготовка и на студентите, които са получили подкрепа за практическо обучение и са започнали да търсят работа в рамките на операцията или 6 месеца след приключване на операцията. </w:t>
            </w:r>
          </w:p>
          <w:p w14:paraId="3D9E951C" w14:textId="14DD5B5D" w:rsidR="00D857FE" w:rsidRPr="00D83669" w:rsidRDefault="00D857FE" w:rsidP="00CC7BCB">
            <w:pPr>
              <w:jc w:val="both"/>
            </w:pPr>
            <w:r w:rsidRPr="00D83669">
              <w:rPr>
                <w:rFonts w:ascii="Times New Roman" w:hAnsi="Times New Roman"/>
                <w:sz w:val="24"/>
              </w:rPr>
              <w:t>„Ученици и студенти, започнали да търсят работа“ трябва да се разбира като ученици и студенти, които обикновено са без работа, но са на разположение да започнат работа и активно търсят работа, дори и все още да не са напуснали образователната система. Лицата, които са се регистрирали в дирекции „Бюро по труда“ към Агенция по заетостта като търсещи работа лица, винаги трябва да се броят, дори ако не са готови веднага да започнат работа.</w:t>
            </w:r>
          </w:p>
        </w:tc>
      </w:tr>
      <w:tr w:rsidR="00D857FE" w:rsidRPr="00D83669" w14:paraId="689733D8" w14:textId="77777777" w:rsidTr="00352C57">
        <w:tc>
          <w:tcPr>
            <w:tcW w:w="2552" w:type="dxa"/>
            <w:shd w:val="clear" w:color="auto" w:fill="auto"/>
            <w:vAlign w:val="center"/>
          </w:tcPr>
          <w:p w14:paraId="187F1E4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Мерна единица</w:t>
            </w:r>
          </w:p>
        </w:tc>
        <w:tc>
          <w:tcPr>
            <w:tcW w:w="7088" w:type="dxa"/>
            <w:shd w:val="clear" w:color="auto" w:fill="auto"/>
            <w:vAlign w:val="center"/>
          </w:tcPr>
          <w:p w14:paraId="5FB973A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5D78DCEB" w14:textId="77777777" w:rsidTr="00352C57">
        <w:tc>
          <w:tcPr>
            <w:tcW w:w="2552" w:type="dxa"/>
            <w:shd w:val="clear" w:color="auto" w:fill="auto"/>
            <w:vAlign w:val="center"/>
          </w:tcPr>
          <w:p w14:paraId="0BACE5A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088" w:type="dxa"/>
            <w:shd w:val="clear" w:color="auto" w:fill="auto"/>
            <w:vAlign w:val="center"/>
          </w:tcPr>
          <w:p w14:paraId="02F3C92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70 064 (от които ПОО – 56 698 и ВО 13 366)</w:t>
            </w:r>
          </w:p>
        </w:tc>
      </w:tr>
      <w:tr w:rsidR="00D857FE" w:rsidRPr="00D83669" w14:paraId="6F715D89" w14:textId="77777777" w:rsidTr="00352C57">
        <w:tc>
          <w:tcPr>
            <w:tcW w:w="2552" w:type="dxa"/>
            <w:shd w:val="clear" w:color="auto" w:fill="auto"/>
            <w:vAlign w:val="center"/>
          </w:tcPr>
          <w:p w14:paraId="00C017F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088" w:type="dxa"/>
            <w:shd w:val="clear" w:color="auto" w:fill="auto"/>
            <w:vAlign w:val="center"/>
          </w:tcPr>
          <w:p w14:paraId="64641B1F" w14:textId="0B06CE5D"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представлява 37% от всички ученици в ПОО (103 088) и студенти във ВО (84 410), включени в дейности по програмата. Определена е на база експертна оценка, като е съобразена с продължителността на обучението за придобиване на средно образование с професионална квалификация, ОКС бакалавър и ОКС магистър и продължителността на операциите.</w:t>
            </w:r>
          </w:p>
        </w:tc>
      </w:tr>
      <w:tr w:rsidR="00D857FE" w:rsidRPr="00D83669" w14:paraId="2F56C519" w14:textId="77777777" w:rsidTr="00352C57">
        <w:tc>
          <w:tcPr>
            <w:tcW w:w="2552" w:type="dxa"/>
            <w:shd w:val="clear" w:color="auto" w:fill="auto"/>
            <w:vAlign w:val="center"/>
          </w:tcPr>
          <w:p w14:paraId="6B1E3DF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088" w:type="dxa"/>
            <w:shd w:val="clear" w:color="auto" w:fill="auto"/>
            <w:vAlign w:val="center"/>
          </w:tcPr>
          <w:p w14:paraId="023B130F" w14:textId="47D4177A" w:rsidR="00D857FE" w:rsidRPr="00D83669" w:rsidRDefault="00D857FE" w:rsidP="00CC7BCB">
            <w:pPr>
              <w:jc w:val="both"/>
              <w:rPr>
                <w:rFonts w:ascii="Times New Roman" w:hAnsi="Times New Roman"/>
                <w:sz w:val="24"/>
              </w:rPr>
            </w:pPr>
            <w:r w:rsidRPr="00D83669">
              <w:rPr>
                <w:rFonts w:ascii="Times New Roman" w:hAnsi="Times New Roman"/>
                <w:sz w:val="24"/>
              </w:rPr>
              <w:t xml:space="preserve">29 008 (от които ПОО – 20 000 и ВО –  9 008) </w:t>
            </w:r>
          </w:p>
        </w:tc>
      </w:tr>
      <w:tr w:rsidR="00D857FE" w:rsidRPr="00D83669" w14:paraId="460B0528" w14:textId="77777777" w:rsidTr="00352C57">
        <w:tc>
          <w:tcPr>
            <w:tcW w:w="2552" w:type="dxa"/>
            <w:shd w:val="clear" w:color="auto" w:fill="auto"/>
            <w:vAlign w:val="center"/>
          </w:tcPr>
          <w:p w14:paraId="2ED40EB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Методология за определяне на референтната стойност </w:t>
            </w:r>
          </w:p>
        </w:tc>
        <w:tc>
          <w:tcPr>
            <w:tcW w:w="7088" w:type="dxa"/>
            <w:shd w:val="clear" w:color="auto" w:fill="auto"/>
            <w:vAlign w:val="center"/>
          </w:tcPr>
          <w:p w14:paraId="1845BA5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Референтната стойност отразява броя на учениците, които са включени в допълнителни ученически практики в реална работна среда по проекти „Ученически практики – Фаза 1“ и „Ученически практики – 2“, както и  броя на студентите, които са включени в практическо обучение в реална работна среда по проекти „Студентски практики – фаза 1“ и „Студентски практики 2“, финансирани по ОПНОИР към 2020 г. (90 077 студентски практики), като са взети предвид продължителността на обучението за придобиване на  ОКС „Бакалавър“ и ОКС „Магистър“, както и възможността един студент да участва в практическо обучение два пъти (един път по време на обучението си за придобиване на ОКС „Бакалавър“ и един път по време на обучението си в ОКС „Магистър“)   (9 008= 90 077/2*20%)</w:t>
            </w:r>
          </w:p>
        </w:tc>
      </w:tr>
      <w:tr w:rsidR="00D857FE" w:rsidRPr="00D83669" w14:paraId="3AD97BBC" w14:textId="77777777" w:rsidTr="00352C57">
        <w:tc>
          <w:tcPr>
            <w:tcW w:w="2552" w:type="dxa"/>
            <w:shd w:val="clear" w:color="auto" w:fill="auto"/>
            <w:vAlign w:val="center"/>
          </w:tcPr>
          <w:p w14:paraId="2FD1B00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088" w:type="dxa"/>
            <w:shd w:val="clear" w:color="auto" w:fill="auto"/>
            <w:vAlign w:val="center"/>
          </w:tcPr>
          <w:p w14:paraId="1A5B47A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и друга демографска информация за участниците.</w:t>
            </w:r>
          </w:p>
        </w:tc>
      </w:tr>
      <w:tr w:rsidR="00D857FE" w:rsidRPr="00D83669" w14:paraId="03F6C8A2" w14:textId="77777777" w:rsidTr="00352C57">
        <w:tc>
          <w:tcPr>
            <w:tcW w:w="2552" w:type="dxa"/>
            <w:shd w:val="clear" w:color="auto" w:fill="auto"/>
            <w:vAlign w:val="center"/>
          </w:tcPr>
          <w:p w14:paraId="446CA48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088" w:type="dxa"/>
            <w:shd w:val="clear" w:color="auto" w:fill="auto"/>
            <w:vAlign w:val="center"/>
          </w:tcPr>
          <w:p w14:paraId="16EFAE1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за да се оцени ефекта от допълнителното обучение на ученици и студенти, вкл. практическо обучение, върху мотивацията им за започване на работа веднага след завършване на средно образование с професионална квалификация или висше образование, или дори по време на тяхното обучение. Данните ще бъдат използвани за извършване на анализи на нивото на реализация на пазара на труда на новозавършилите ученици и студенти, вкл. за сферата на реализация.</w:t>
            </w:r>
          </w:p>
        </w:tc>
      </w:tr>
      <w:tr w:rsidR="00D857FE" w:rsidRPr="00D83669" w14:paraId="70CD865F" w14:textId="77777777" w:rsidTr="00352C57">
        <w:tc>
          <w:tcPr>
            <w:tcW w:w="2552" w:type="dxa"/>
            <w:shd w:val="clear" w:color="auto" w:fill="auto"/>
            <w:vAlign w:val="center"/>
          </w:tcPr>
          <w:p w14:paraId="2D7B904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088" w:type="dxa"/>
            <w:shd w:val="clear" w:color="auto" w:fill="auto"/>
            <w:vAlign w:val="center"/>
          </w:tcPr>
          <w:p w14:paraId="785A815A"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ще се събират текущо на база технически отчети за изпълнение на проекта с изчерпателен обхват на всички участници. </w:t>
            </w:r>
          </w:p>
          <w:p w14:paraId="4321552D" w14:textId="77777777" w:rsidR="00D857FE" w:rsidRPr="00D83669" w:rsidRDefault="00D857FE" w:rsidP="00CC7BCB">
            <w:pPr>
              <w:jc w:val="both"/>
              <w:rPr>
                <w:rFonts w:ascii="Times New Roman" w:hAnsi="Times New Roman"/>
                <w:color w:val="FF0000"/>
                <w:sz w:val="24"/>
              </w:rPr>
            </w:pPr>
            <w:r w:rsidRPr="00D83669">
              <w:rPr>
                <w:rFonts w:ascii="Times New Roman" w:hAnsi="Times New Roman"/>
                <w:sz w:val="24"/>
              </w:rPr>
              <w:t>Информацията ще включва: пол и възраст на участника; друга демографска информация; вид на предоставената подкрепа и продължителност; професионално направление, специалност и придобита образователно-квалификационна степен, и др.</w:t>
            </w:r>
          </w:p>
        </w:tc>
      </w:tr>
      <w:tr w:rsidR="00D857FE" w:rsidRPr="00D83669" w14:paraId="77EAFCF6" w14:textId="77777777" w:rsidTr="00352C57">
        <w:tc>
          <w:tcPr>
            <w:tcW w:w="2552" w:type="dxa"/>
            <w:shd w:val="clear" w:color="auto" w:fill="auto"/>
            <w:vAlign w:val="center"/>
          </w:tcPr>
          <w:p w14:paraId="17A8E15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088" w:type="dxa"/>
            <w:shd w:val="clear" w:color="auto" w:fill="auto"/>
            <w:vAlign w:val="center"/>
          </w:tcPr>
          <w:p w14:paraId="44D9F07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F53C600" w14:textId="77777777" w:rsidTr="00352C57">
        <w:tc>
          <w:tcPr>
            <w:tcW w:w="2552" w:type="dxa"/>
            <w:shd w:val="clear" w:color="auto" w:fill="auto"/>
            <w:vAlign w:val="center"/>
          </w:tcPr>
          <w:p w14:paraId="0CF7739D" w14:textId="2E958AF3"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Свързаност на показателите</w:t>
            </w:r>
          </w:p>
        </w:tc>
        <w:tc>
          <w:tcPr>
            <w:tcW w:w="7088" w:type="dxa"/>
            <w:shd w:val="clear" w:color="auto" w:fill="auto"/>
            <w:vAlign w:val="center"/>
          </w:tcPr>
          <w:p w14:paraId="0C1B0676"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EECO09 Участници с прогимназиален етап на основното образование или по-ниска степен (ISCED 0-2);</w:t>
            </w:r>
          </w:p>
          <w:p w14:paraId="03D387BB"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EEC010 Участници със средно образование (ISCED 3) или образование след средното образование (ISCED 4);</w:t>
            </w:r>
          </w:p>
          <w:p w14:paraId="650AC083"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6888488A"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EECR04 Участници, които при напускане на операцията имат работа, включително като самостоятелно заети лица.</w:t>
            </w:r>
          </w:p>
        </w:tc>
      </w:tr>
      <w:tr w:rsidR="00D857FE" w:rsidRPr="00D83669" w14:paraId="44294F14" w14:textId="77777777" w:rsidTr="00352C57">
        <w:tc>
          <w:tcPr>
            <w:tcW w:w="2552" w:type="dxa"/>
            <w:shd w:val="clear" w:color="auto" w:fill="auto"/>
            <w:vAlign w:val="center"/>
          </w:tcPr>
          <w:p w14:paraId="5BDFCF1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088" w:type="dxa"/>
            <w:shd w:val="clear" w:color="auto" w:fill="auto"/>
            <w:vAlign w:val="center"/>
          </w:tcPr>
          <w:p w14:paraId="3419283C" w14:textId="3A0047C5"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(ученици от системата на ПОО и студенти), които в резултат на подкрепата по СЦ по чл. 4, пар. 1, буква д) на Приоритет 3 на ПО 2021 – 2027 са започнали да търсят работа и е по-малка от броя на всички участници в дейности по тази специфична цел на Приоритет 3 на Програмата.</w:t>
            </w:r>
          </w:p>
        </w:tc>
      </w:tr>
    </w:tbl>
    <w:p w14:paraId="7FCB7E77" w14:textId="77777777" w:rsidR="00D857FE" w:rsidRPr="00D83669" w:rsidRDefault="00D857FE" w:rsidP="00D857FE"/>
    <w:p w14:paraId="3CBF9105" w14:textId="77777777" w:rsidR="00D857FE" w:rsidRPr="00D83669" w:rsidRDefault="00D857FE" w:rsidP="00D857FE">
      <w:r w:rsidRPr="00D83669">
        <w:br w:type="page"/>
      </w:r>
    </w:p>
    <w:p w14:paraId="1C2B34FA" w14:textId="53197E9C" w:rsidR="00D857FE" w:rsidRPr="00D83669" w:rsidRDefault="00D857FE" w:rsidP="00BB37EF">
      <w:pPr>
        <w:pStyle w:val="Heading3"/>
        <w:rPr>
          <w:b/>
          <w:bCs/>
          <w:i/>
          <w:iCs/>
          <w:sz w:val="22"/>
          <w:szCs w:val="22"/>
        </w:rPr>
      </w:pPr>
      <w:bookmarkStart w:id="210" w:name="_Toc100153030"/>
      <w:bookmarkStart w:id="211" w:name="_Toc103586705"/>
      <w:r w:rsidRPr="00D83669">
        <w:rPr>
          <w:b/>
          <w:bCs/>
          <w:i/>
          <w:iCs/>
          <w:sz w:val="22"/>
          <w:szCs w:val="22"/>
        </w:rPr>
        <w:lastRenderedPageBreak/>
        <w:t>SRI 3.2 Брой студенти, които се обучават в дуална форма</w:t>
      </w:r>
      <w:bookmarkEnd w:id="210"/>
      <w:bookmarkEnd w:id="211"/>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7088"/>
      </w:tblGrid>
      <w:tr w:rsidR="00D857FE" w:rsidRPr="00D83669" w14:paraId="4456ED07" w14:textId="77777777" w:rsidTr="00B20756">
        <w:tc>
          <w:tcPr>
            <w:tcW w:w="2552"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09C0B39" w14:textId="37CE32F3"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088"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D67709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339C4A33" w14:textId="77777777" w:rsidTr="00B20756">
        <w:tc>
          <w:tcPr>
            <w:tcW w:w="2552" w:type="dxa"/>
            <w:shd w:val="clear" w:color="auto" w:fill="auto"/>
            <w:vAlign w:val="center"/>
          </w:tcPr>
          <w:p w14:paraId="55D00AC5" w14:textId="7C855AB5"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088" w:type="dxa"/>
            <w:shd w:val="clear" w:color="auto" w:fill="auto"/>
            <w:vAlign w:val="center"/>
          </w:tcPr>
          <w:p w14:paraId="293A109E"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3.2 Брой студенти, които се обучават в дуална форма</w:t>
            </w:r>
          </w:p>
        </w:tc>
      </w:tr>
      <w:tr w:rsidR="00D857FE" w:rsidRPr="00D83669" w14:paraId="01CB1484" w14:textId="77777777" w:rsidTr="00B20756">
        <w:tc>
          <w:tcPr>
            <w:tcW w:w="2552" w:type="dxa"/>
            <w:shd w:val="clear" w:color="auto" w:fill="auto"/>
            <w:vAlign w:val="center"/>
          </w:tcPr>
          <w:p w14:paraId="0DD7675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088" w:type="dxa"/>
            <w:shd w:val="clear" w:color="auto" w:fill="auto"/>
            <w:vAlign w:val="center"/>
          </w:tcPr>
          <w:p w14:paraId="1BA41BCC" w14:textId="22F5C811"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038F9956" w14:textId="77777777" w:rsidTr="00B20756">
        <w:tc>
          <w:tcPr>
            <w:tcW w:w="2552" w:type="dxa"/>
            <w:shd w:val="clear" w:color="auto" w:fill="auto"/>
            <w:vAlign w:val="center"/>
          </w:tcPr>
          <w:p w14:paraId="66DEB04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088" w:type="dxa"/>
            <w:shd w:val="clear" w:color="auto" w:fill="auto"/>
            <w:vAlign w:val="center"/>
          </w:tcPr>
          <w:p w14:paraId="081E0AC3"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0CBF58FE" w14:textId="77777777" w:rsidTr="00B20756">
        <w:tc>
          <w:tcPr>
            <w:tcW w:w="2552" w:type="dxa"/>
            <w:shd w:val="clear" w:color="auto" w:fill="auto"/>
            <w:vAlign w:val="center"/>
          </w:tcPr>
          <w:p w14:paraId="36FA181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088" w:type="dxa"/>
            <w:shd w:val="clear" w:color="auto" w:fill="auto"/>
            <w:vAlign w:val="center"/>
          </w:tcPr>
          <w:p w14:paraId="337AE56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Въвеждане на форми на дуално обучение в приложими специалности във висшето образование</w:t>
            </w:r>
          </w:p>
        </w:tc>
      </w:tr>
      <w:tr w:rsidR="00D857FE" w:rsidRPr="00D83669" w14:paraId="517914DC" w14:textId="77777777" w:rsidTr="00B20756">
        <w:tc>
          <w:tcPr>
            <w:tcW w:w="2552" w:type="dxa"/>
            <w:shd w:val="clear" w:color="auto" w:fill="auto"/>
            <w:vAlign w:val="center"/>
          </w:tcPr>
          <w:p w14:paraId="23C5C11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088" w:type="dxa"/>
            <w:shd w:val="clear" w:color="auto" w:fill="auto"/>
            <w:vAlign w:val="center"/>
          </w:tcPr>
          <w:p w14:paraId="748C9D3D" w14:textId="4A0906D2"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студентите, които се обучават в дуална форма на обучение, 1 година след приключване на операцията.</w:t>
            </w:r>
          </w:p>
        </w:tc>
      </w:tr>
      <w:tr w:rsidR="00D857FE" w:rsidRPr="00D83669" w14:paraId="2228541D" w14:textId="77777777" w:rsidTr="00B20756">
        <w:tc>
          <w:tcPr>
            <w:tcW w:w="2552" w:type="dxa"/>
            <w:shd w:val="clear" w:color="auto" w:fill="auto"/>
            <w:vAlign w:val="center"/>
          </w:tcPr>
          <w:p w14:paraId="2D2224B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088" w:type="dxa"/>
            <w:shd w:val="clear" w:color="auto" w:fill="auto"/>
            <w:vAlign w:val="center"/>
          </w:tcPr>
          <w:p w14:paraId="11E891A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0B5393D3" w14:textId="77777777" w:rsidTr="00B20756">
        <w:tc>
          <w:tcPr>
            <w:tcW w:w="2552" w:type="dxa"/>
            <w:shd w:val="clear" w:color="auto" w:fill="auto"/>
            <w:vAlign w:val="center"/>
          </w:tcPr>
          <w:p w14:paraId="002FA8F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088" w:type="dxa"/>
            <w:shd w:val="clear" w:color="auto" w:fill="auto"/>
            <w:vAlign w:val="center"/>
          </w:tcPr>
          <w:p w14:paraId="3F71C9B2"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rPr>
              <w:t>2 59</w:t>
            </w:r>
            <w:r w:rsidRPr="00D83669">
              <w:rPr>
                <w:rFonts w:ascii="Times New Roman" w:hAnsi="Times New Roman"/>
                <w:sz w:val="24"/>
                <w:lang w:val="en-US"/>
              </w:rPr>
              <w:t>5</w:t>
            </w:r>
          </w:p>
        </w:tc>
      </w:tr>
      <w:tr w:rsidR="00D857FE" w:rsidRPr="00D83669" w14:paraId="7E04EEA1" w14:textId="77777777" w:rsidTr="00B20756">
        <w:tc>
          <w:tcPr>
            <w:tcW w:w="2552" w:type="dxa"/>
            <w:shd w:val="clear" w:color="auto" w:fill="auto"/>
            <w:vAlign w:val="center"/>
          </w:tcPr>
          <w:p w14:paraId="205AC59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088" w:type="dxa"/>
            <w:shd w:val="clear" w:color="auto" w:fill="auto"/>
            <w:vAlign w:val="center"/>
          </w:tcPr>
          <w:p w14:paraId="555A2331" w14:textId="57578D8A"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представлява 10% от студентите, които се обучават в технически науки и технически професии, които по данни на НСИ са 25 941 през учебната 2020/2021 г. Определена е на база експертно оценка, имайки предвид че програмата осигурява подкрепа за пилотно въвеждане на дуална форма на обучение на студенти и при допускане, че в петте висши училища, които ще въведат дуална форма на обучение в рамките на операцията ще се обучават средно по 519 студента в дуална форма (5</w:t>
            </w:r>
            <w:r w:rsidRPr="00D83669">
              <w:rPr>
                <w:rFonts w:ascii="Times New Roman" w:hAnsi="Times New Roman"/>
                <w:sz w:val="24"/>
                <w:lang w:val="en-US"/>
              </w:rPr>
              <w:t> </w:t>
            </w:r>
            <w:r w:rsidRPr="00D83669">
              <w:rPr>
                <w:rFonts w:ascii="Times New Roman" w:hAnsi="Times New Roman"/>
                <w:sz w:val="24"/>
              </w:rPr>
              <w:t>*</w:t>
            </w:r>
            <w:r w:rsidRPr="00D83669">
              <w:rPr>
                <w:rFonts w:ascii="Times New Roman" w:hAnsi="Times New Roman"/>
                <w:sz w:val="24"/>
                <w:lang w:val="en-US"/>
              </w:rPr>
              <w:t> </w:t>
            </w:r>
            <w:r w:rsidRPr="00D83669">
              <w:rPr>
                <w:rFonts w:ascii="Times New Roman" w:hAnsi="Times New Roman"/>
                <w:sz w:val="24"/>
              </w:rPr>
              <w:t xml:space="preserve">519 = 2 595). </w:t>
            </w:r>
          </w:p>
        </w:tc>
      </w:tr>
      <w:tr w:rsidR="00D857FE" w:rsidRPr="00D83669" w14:paraId="1910B6C5" w14:textId="77777777" w:rsidTr="00B20756">
        <w:tc>
          <w:tcPr>
            <w:tcW w:w="2552" w:type="dxa"/>
            <w:shd w:val="clear" w:color="auto" w:fill="auto"/>
            <w:vAlign w:val="center"/>
          </w:tcPr>
          <w:p w14:paraId="1E43A2E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088" w:type="dxa"/>
            <w:shd w:val="clear" w:color="auto" w:fill="auto"/>
            <w:vAlign w:val="center"/>
          </w:tcPr>
          <w:p w14:paraId="23CD610B" w14:textId="54DDCC83" w:rsidR="00D857FE" w:rsidRPr="00D83669" w:rsidRDefault="00D857FE" w:rsidP="00CC7BCB">
            <w:pPr>
              <w:jc w:val="both"/>
              <w:rPr>
                <w:rFonts w:ascii="Times New Roman" w:hAnsi="Times New Roman"/>
                <w:sz w:val="24"/>
                <w:lang w:val="en-US"/>
              </w:rPr>
            </w:pPr>
            <w:r w:rsidRPr="00D83669">
              <w:rPr>
                <w:rFonts w:ascii="Times New Roman" w:hAnsi="Times New Roman"/>
                <w:sz w:val="24"/>
                <w:lang w:val="en-US"/>
              </w:rPr>
              <w:t xml:space="preserve"> 2 226</w:t>
            </w:r>
          </w:p>
        </w:tc>
      </w:tr>
      <w:tr w:rsidR="00D857FE" w:rsidRPr="00D83669" w14:paraId="4FD46E85" w14:textId="77777777" w:rsidTr="00B20756">
        <w:tc>
          <w:tcPr>
            <w:tcW w:w="2552" w:type="dxa"/>
            <w:shd w:val="clear" w:color="auto" w:fill="auto"/>
            <w:vAlign w:val="center"/>
          </w:tcPr>
          <w:p w14:paraId="314059E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референтната цел</w:t>
            </w:r>
          </w:p>
        </w:tc>
        <w:tc>
          <w:tcPr>
            <w:tcW w:w="7088" w:type="dxa"/>
            <w:shd w:val="clear" w:color="auto" w:fill="auto"/>
            <w:vAlign w:val="center"/>
          </w:tcPr>
          <w:p w14:paraId="0844BB5C" w14:textId="19E599D2" w:rsidR="00D857FE" w:rsidRPr="00D83669" w:rsidRDefault="00D857FE" w:rsidP="00CC7BCB">
            <w:pPr>
              <w:jc w:val="both"/>
              <w:rPr>
                <w:rFonts w:ascii="Times New Roman" w:hAnsi="Times New Roman"/>
                <w:sz w:val="24"/>
              </w:rPr>
            </w:pPr>
            <w:r w:rsidRPr="00D83669">
              <w:rPr>
                <w:rFonts w:ascii="Times New Roman" w:hAnsi="Times New Roman"/>
                <w:sz w:val="24"/>
              </w:rPr>
              <w:t>Референтната стойност е към 2021 г. и отразява  броя на студентите, които се планира да се обучават по модернизирани учебни програми  по процедура "Модернизация на висшите училища" на ОПНОИР и размера на финансиране на дейностите по процедурата спрямо предвиденото финансиране за въвеждане на  дуално обучение в приложими специалности във висшето образовани. (2226 = 6679*1/3)</w:t>
            </w:r>
          </w:p>
        </w:tc>
      </w:tr>
      <w:tr w:rsidR="00D857FE" w:rsidRPr="00D83669" w14:paraId="039FFE31" w14:textId="77777777" w:rsidTr="00B20756">
        <w:tc>
          <w:tcPr>
            <w:tcW w:w="2552" w:type="dxa"/>
            <w:shd w:val="clear" w:color="auto" w:fill="auto"/>
            <w:vAlign w:val="center"/>
          </w:tcPr>
          <w:p w14:paraId="23A0C3B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088" w:type="dxa"/>
            <w:shd w:val="clear" w:color="auto" w:fill="auto"/>
            <w:vAlign w:val="center"/>
          </w:tcPr>
          <w:p w14:paraId="69808CA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отделни признаци на участниците. На етап отчитане ще бъдат представени данни за пол, възраст и друга демографска информация за участниците.</w:t>
            </w:r>
          </w:p>
        </w:tc>
      </w:tr>
      <w:tr w:rsidR="00D857FE" w:rsidRPr="00D83669" w14:paraId="3990B71D" w14:textId="77777777" w:rsidTr="00B20756">
        <w:tc>
          <w:tcPr>
            <w:tcW w:w="2552" w:type="dxa"/>
            <w:shd w:val="clear" w:color="auto" w:fill="auto"/>
            <w:vAlign w:val="center"/>
          </w:tcPr>
          <w:p w14:paraId="2BE7616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Обосновка </w:t>
            </w:r>
          </w:p>
        </w:tc>
        <w:tc>
          <w:tcPr>
            <w:tcW w:w="7088" w:type="dxa"/>
            <w:shd w:val="clear" w:color="auto" w:fill="auto"/>
            <w:vAlign w:val="center"/>
          </w:tcPr>
          <w:p w14:paraId="668FE6A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от мониторинга, събрани за този показател, ще предоставят важна информация за степента, до която е възприета дуалната система във висшето образование и ефекта от прилагането на дуалното обучение върху студентите.</w:t>
            </w:r>
          </w:p>
        </w:tc>
      </w:tr>
      <w:tr w:rsidR="00D857FE" w:rsidRPr="00D83669" w14:paraId="13C9C922" w14:textId="77777777" w:rsidTr="00B20756">
        <w:tc>
          <w:tcPr>
            <w:tcW w:w="2552" w:type="dxa"/>
            <w:shd w:val="clear" w:color="auto" w:fill="auto"/>
            <w:vAlign w:val="center"/>
          </w:tcPr>
          <w:p w14:paraId="7FCDA59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088" w:type="dxa"/>
            <w:shd w:val="clear" w:color="auto" w:fill="auto"/>
            <w:vAlign w:val="center"/>
          </w:tcPr>
          <w:p w14:paraId="0F561B0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се събират, за да се проследят броят студентите, които се обучават в дуална форма, една година след приключване на проекта, по професионални направления и по специалности. Мониторинг на ефекта от прилагането на дуално обучение ще се осъществява периодично, чрез анкети и изследвания на контролни групи студенти, преподаватели и ментори. Анализът на данните от мониторинга ще се съсредоточат върху ефекта от прилагането на дуалното обучение и по-тясно обвързване на знанията и уменията на студентите, придобити във висшето училище, с нуждите на пазара на труда и тяхното практическо приложение, както и за да се анализира какъв дял от общия брой студенти, които се обучават в съответното професионално направление/ специалност във всички висши училища в страната, са обхванати от пилотното въвеждане на дуална форма на обучение. Данните ще послужат за картографиране на висшите училища, в които може да бъде приложен въведеният пилотен модел на дуална форма на обучение на студенти с оглед по-широкото му въвеждане в следващите години.</w:t>
            </w:r>
          </w:p>
          <w:p w14:paraId="755688C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съдържат информация за: името на висшето училище; местоположението; професионалното направление, специалността и образователно-квалификационната степен, за които е въведена дуална форма на обучение; броя на студентите, които се обучават в дуална форма на обучение и др.</w:t>
            </w:r>
          </w:p>
        </w:tc>
      </w:tr>
      <w:tr w:rsidR="00D857FE" w:rsidRPr="00D83669" w14:paraId="40076914" w14:textId="77777777" w:rsidTr="00B20756">
        <w:tc>
          <w:tcPr>
            <w:tcW w:w="2552" w:type="dxa"/>
            <w:shd w:val="clear" w:color="auto" w:fill="auto"/>
            <w:vAlign w:val="center"/>
          </w:tcPr>
          <w:p w14:paraId="3F35CFA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088" w:type="dxa"/>
            <w:shd w:val="clear" w:color="auto" w:fill="auto"/>
            <w:vAlign w:val="center"/>
          </w:tcPr>
          <w:p w14:paraId="0E6B28C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E9B8A59" w14:textId="77777777" w:rsidTr="00B20756">
        <w:tc>
          <w:tcPr>
            <w:tcW w:w="2552" w:type="dxa"/>
            <w:shd w:val="clear" w:color="auto" w:fill="auto"/>
            <w:vAlign w:val="center"/>
          </w:tcPr>
          <w:p w14:paraId="7756EC7E" w14:textId="184ACD5B"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088" w:type="dxa"/>
            <w:shd w:val="clear" w:color="auto" w:fill="auto"/>
            <w:vAlign w:val="center"/>
          </w:tcPr>
          <w:p w14:paraId="5CBBA1DF"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SOI 3.4 Брой висши училища, въвели дуална форма на преподаване;</w:t>
            </w:r>
          </w:p>
          <w:p w14:paraId="253DCAD8" w14:textId="08B4DB2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3.1 – Ученици и студенти, започнали да търсят работа.</w:t>
            </w:r>
          </w:p>
        </w:tc>
      </w:tr>
      <w:tr w:rsidR="00D857FE" w:rsidRPr="00D83669" w14:paraId="14633BF5" w14:textId="77777777" w:rsidTr="00B20756">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01755E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088" w:type="dxa"/>
            <w:tcBorders>
              <w:top w:val="single" w:sz="4" w:space="0" w:color="auto"/>
              <w:left w:val="single" w:sz="4" w:space="0" w:color="auto"/>
              <w:bottom w:val="single" w:sz="4" w:space="0" w:color="auto"/>
              <w:right w:val="single" w:sz="4" w:space="0" w:color="auto"/>
            </w:tcBorders>
            <w:shd w:val="clear" w:color="auto" w:fill="auto"/>
            <w:vAlign w:val="center"/>
          </w:tcPr>
          <w:p w14:paraId="5A47ED30" w14:textId="1D481866"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студентите, които се обучават в дуална форма на обучение, подкрепени чрез дейности по операции по СЦ по чл. 4, пар. 1, буква д) на Приоритет 3 на ПО 2021 – 2027 и е по-малка от общия брой на всички участници в дейности по тази специфична цел на Приоритет 3 на Програмата.</w:t>
            </w:r>
          </w:p>
        </w:tc>
      </w:tr>
    </w:tbl>
    <w:p w14:paraId="3DFFE099" w14:textId="77777777" w:rsidR="00D857FE" w:rsidRPr="00D83669" w:rsidRDefault="00D857FE" w:rsidP="00D857FE">
      <w:r w:rsidRPr="00D83669">
        <w:br w:type="page"/>
      </w:r>
    </w:p>
    <w:p w14:paraId="1C582912" w14:textId="047D942C" w:rsidR="00D857FE" w:rsidRPr="00D83669" w:rsidRDefault="00D857FE" w:rsidP="00BB37EF">
      <w:pPr>
        <w:pStyle w:val="Heading3"/>
        <w:rPr>
          <w:b/>
          <w:bCs/>
          <w:i/>
          <w:iCs/>
          <w:sz w:val="22"/>
          <w:szCs w:val="22"/>
        </w:rPr>
      </w:pPr>
      <w:bookmarkStart w:id="212" w:name="_Toc100153031"/>
      <w:bookmarkStart w:id="213" w:name="_Toc103586706"/>
      <w:r w:rsidRPr="00D83669">
        <w:rPr>
          <w:b/>
          <w:bCs/>
          <w:i/>
          <w:iCs/>
          <w:sz w:val="22"/>
          <w:szCs w:val="22"/>
        </w:rPr>
        <w:lastRenderedPageBreak/>
        <w:t>SRI 3.3. Участници, които остават в образование</w:t>
      </w:r>
      <w:bookmarkEnd w:id="212"/>
      <w:bookmarkEnd w:id="213"/>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7088"/>
      </w:tblGrid>
      <w:tr w:rsidR="00D857FE" w:rsidRPr="00D83669" w14:paraId="1945453F" w14:textId="77777777" w:rsidTr="006C66B5">
        <w:tc>
          <w:tcPr>
            <w:tcW w:w="2552"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D2C690F" w14:textId="71DCC17E"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088"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BC7564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32A77565" w14:textId="77777777" w:rsidTr="006C66B5">
        <w:tc>
          <w:tcPr>
            <w:tcW w:w="2552" w:type="dxa"/>
            <w:shd w:val="clear" w:color="auto" w:fill="auto"/>
            <w:vAlign w:val="center"/>
          </w:tcPr>
          <w:p w14:paraId="117E53DD" w14:textId="3CF7E0B5"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088" w:type="dxa"/>
            <w:shd w:val="clear" w:color="auto" w:fill="auto"/>
            <w:vAlign w:val="center"/>
          </w:tcPr>
          <w:p w14:paraId="3663EDD3"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3.3. Участници, които остават в образование</w:t>
            </w:r>
          </w:p>
        </w:tc>
      </w:tr>
      <w:tr w:rsidR="00D857FE" w:rsidRPr="00D83669" w14:paraId="3B2E0706" w14:textId="77777777" w:rsidTr="006C66B5">
        <w:tc>
          <w:tcPr>
            <w:tcW w:w="2552" w:type="dxa"/>
            <w:shd w:val="clear" w:color="auto" w:fill="auto"/>
            <w:vAlign w:val="center"/>
          </w:tcPr>
          <w:p w14:paraId="5D4F70F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088" w:type="dxa"/>
            <w:shd w:val="clear" w:color="auto" w:fill="auto"/>
            <w:vAlign w:val="center"/>
          </w:tcPr>
          <w:p w14:paraId="4BACB1CE" w14:textId="0C7442D1"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777723B3" w14:textId="77777777" w:rsidTr="006C66B5">
        <w:tc>
          <w:tcPr>
            <w:tcW w:w="2552" w:type="dxa"/>
            <w:shd w:val="clear" w:color="auto" w:fill="auto"/>
            <w:vAlign w:val="center"/>
          </w:tcPr>
          <w:p w14:paraId="6FD04D3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088" w:type="dxa"/>
            <w:shd w:val="clear" w:color="auto" w:fill="auto"/>
            <w:vAlign w:val="center"/>
          </w:tcPr>
          <w:p w14:paraId="252E2CBD"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1E3EDB5E" w14:textId="77777777" w:rsidTr="006C66B5">
        <w:tc>
          <w:tcPr>
            <w:tcW w:w="2552" w:type="dxa"/>
            <w:shd w:val="clear" w:color="auto" w:fill="auto"/>
            <w:vAlign w:val="center"/>
          </w:tcPr>
          <w:p w14:paraId="30A1907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088" w:type="dxa"/>
            <w:shd w:val="clear" w:color="auto" w:fill="auto"/>
            <w:vAlign w:val="center"/>
          </w:tcPr>
          <w:p w14:paraId="412F6086" w14:textId="77777777" w:rsidR="00D857FE" w:rsidRPr="00D83669" w:rsidRDefault="00D857FE" w:rsidP="00E25912">
            <w:pPr>
              <w:pStyle w:val="ListParagraph"/>
              <w:numPr>
                <w:ilvl w:val="0"/>
                <w:numId w:val="39"/>
              </w:numPr>
              <w:spacing w:after="0" w:line="240" w:lineRule="auto"/>
              <w:ind w:left="31" w:firstLine="360"/>
              <w:jc w:val="both"/>
              <w:rPr>
                <w:rFonts w:ascii="Times New Roman" w:hAnsi="Times New Roman"/>
                <w:sz w:val="24"/>
              </w:rPr>
            </w:pPr>
            <w:r w:rsidRPr="00D83669">
              <w:rPr>
                <w:rFonts w:ascii="Times New Roman" w:hAnsi="Times New Roman"/>
                <w:sz w:val="24"/>
              </w:rPr>
              <w:t>Професионално ориентиране на студентите чрез практики и развиване на предприемачески умения;</w:t>
            </w:r>
          </w:p>
          <w:p w14:paraId="5196B8DD" w14:textId="77777777" w:rsidR="00D857FE" w:rsidRPr="00D83669" w:rsidRDefault="00D857FE" w:rsidP="00D857FE">
            <w:pPr>
              <w:pStyle w:val="ListParagraph"/>
              <w:numPr>
                <w:ilvl w:val="0"/>
                <w:numId w:val="39"/>
              </w:numPr>
              <w:spacing w:after="0" w:line="240" w:lineRule="auto"/>
              <w:ind w:left="31" w:firstLine="329"/>
              <w:jc w:val="both"/>
              <w:rPr>
                <w:rFonts w:ascii="Times New Roman" w:hAnsi="Times New Roman"/>
                <w:sz w:val="24"/>
              </w:rPr>
            </w:pPr>
            <w:r w:rsidRPr="00D83669">
              <w:rPr>
                <w:rFonts w:ascii="Times New Roman" w:hAnsi="Times New Roman"/>
                <w:sz w:val="24"/>
              </w:rPr>
              <w:t>Утвърждаване на компетентностния подход по важни за икономиката на региона и пазара на труда професионални направления, в партньорство с бизнеса, разширяване на дигиталните компетентности и дигиталното образователно съдържание във ВО.</w:t>
            </w:r>
          </w:p>
        </w:tc>
      </w:tr>
      <w:tr w:rsidR="00D857FE" w:rsidRPr="00D83669" w14:paraId="79174AB6" w14:textId="77777777" w:rsidTr="006C66B5">
        <w:tc>
          <w:tcPr>
            <w:tcW w:w="2552" w:type="dxa"/>
            <w:shd w:val="clear" w:color="auto" w:fill="auto"/>
            <w:vAlign w:val="center"/>
          </w:tcPr>
          <w:p w14:paraId="6C7259E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088" w:type="dxa"/>
            <w:shd w:val="clear" w:color="auto" w:fill="auto"/>
            <w:vAlign w:val="center"/>
          </w:tcPr>
          <w:p w14:paraId="79EFA198" w14:textId="63341534"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броя на студентите, които са получили подкрепа от ЕСФ+ по операции по Приоритет 3 на Програма „Образование“ 2021 – 2027 и са продължили своето образование и/или обучение, непосредствено след приключване на операцията. Това са студенти, които вече са записани за получаване на образователно-квалификационна степен от висшето образование, получават подкрепа и след като са участвали по операции по ПО продължават образованието си. </w:t>
            </w:r>
          </w:p>
        </w:tc>
      </w:tr>
      <w:tr w:rsidR="00D857FE" w:rsidRPr="00D83669" w14:paraId="596D8C81" w14:textId="77777777" w:rsidTr="006C66B5">
        <w:tc>
          <w:tcPr>
            <w:tcW w:w="2552" w:type="dxa"/>
            <w:shd w:val="clear" w:color="auto" w:fill="auto"/>
            <w:vAlign w:val="center"/>
          </w:tcPr>
          <w:p w14:paraId="0D9A2A1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088" w:type="dxa"/>
            <w:shd w:val="clear" w:color="auto" w:fill="auto"/>
            <w:vAlign w:val="center"/>
          </w:tcPr>
          <w:p w14:paraId="6E4EA06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112F71D4" w14:textId="77777777" w:rsidTr="006C66B5">
        <w:tc>
          <w:tcPr>
            <w:tcW w:w="2552" w:type="dxa"/>
            <w:shd w:val="clear" w:color="auto" w:fill="auto"/>
            <w:vAlign w:val="center"/>
          </w:tcPr>
          <w:p w14:paraId="5AB4041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088" w:type="dxa"/>
            <w:shd w:val="clear" w:color="auto" w:fill="auto"/>
            <w:vAlign w:val="center"/>
          </w:tcPr>
          <w:p w14:paraId="470E7871" w14:textId="77777777" w:rsidR="00D857FE" w:rsidRPr="00D83669" w:rsidRDefault="00D857FE" w:rsidP="00CC7BCB">
            <w:pPr>
              <w:jc w:val="both"/>
              <w:rPr>
                <w:rFonts w:ascii="Times New Roman" w:hAnsi="Times New Roman"/>
                <w:sz w:val="24"/>
                <w:lang w:val="en-US"/>
              </w:rPr>
            </w:pPr>
            <w:r w:rsidRPr="00D83669">
              <w:rPr>
                <w:rFonts w:ascii="Times New Roman" w:hAnsi="Times New Roman"/>
                <w:sz w:val="24"/>
                <w:lang w:val="en-US"/>
              </w:rPr>
              <w:t>63 939</w:t>
            </w:r>
          </w:p>
        </w:tc>
      </w:tr>
      <w:tr w:rsidR="00D857FE" w:rsidRPr="00D83669" w14:paraId="25170DE1" w14:textId="77777777" w:rsidTr="006C66B5">
        <w:tc>
          <w:tcPr>
            <w:tcW w:w="2552" w:type="dxa"/>
            <w:shd w:val="clear" w:color="auto" w:fill="auto"/>
            <w:vAlign w:val="center"/>
          </w:tcPr>
          <w:p w14:paraId="642E7F4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088" w:type="dxa"/>
            <w:shd w:val="clear" w:color="auto" w:fill="auto"/>
            <w:vAlign w:val="center"/>
          </w:tcPr>
          <w:p w14:paraId="66D56F2D" w14:textId="601E5E74"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представлява 90% от 2/3 от студентите, които са получили допълнителна подкрепа за практическо обучение в реална работна среда и 90% от студентите, получили подкрепа за развитие на предприемачески умения и компетентност, и на дигитални умения, завършили краткосрочна мобилност в чужбина и/или записани в модернизирани учебни програми определени на база експертна оценка, като е съобразена с продължителността на обучението за придобиване на ОКС бакалавър и ОКС магистър и продължителността на операциите.</w:t>
            </w:r>
          </w:p>
        </w:tc>
      </w:tr>
      <w:tr w:rsidR="00D857FE" w:rsidRPr="00D83669" w14:paraId="06F2616C" w14:textId="77777777" w:rsidTr="006C66B5">
        <w:tc>
          <w:tcPr>
            <w:tcW w:w="2552" w:type="dxa"/>
            <w:shd w:val="clear" w:color="auto" w:fill="auto"/>
            <w:vAlign w:val="center"/>
          </w:tcPr>
          <w:p w14:paraId="007C463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088" w:type="dxa"/>
            <w:shd w:val="clear" w:color="auto" w:fill="auto"/>
            <w:vAlign w:val="center"/>
          </w:tcPr>
          <w:p w14:paraId="3A9F28F0" w14:textId="081A7DEE" w:rsidR="00D857FE" w:rsidRPr="00D83669" w:rsidRDefault="00D857FE" w:rsidP="00CC7BCB">
            <w:pPr>
              <w:jc w:val="both"/>
              <w:rPr>
                <w:rFonts w:ascii="Times New Roman" w:hAnsi="Times New Roman"/>
                <w:color w:val="000000" w:themeColor="text1"/>
                <w:sz w:val="24"/>
                <w:lang w:val="en-US"/>
              </w:rPr>
            </w:pPr>
            <w:r w:rsidRPr="00D83669">
              <w:rPr>
                <w:rFonts w:ascii="Times New Roman" w:hAnsi="Times New Roman"/>
                <w:color w:val="000000" w:themeColor="text1"/>
                <w:sz w:val="24"/>
                <w:lang w:val="en-US"/>
              </w:rPr>
              <w:t xml:space="preserve"> 56 960</w:t>
            </w:r>
          </w:p>
        </w:tc>
      </w:tr>
      <w:tr w:rsidR="00D857FE" w:rsidRPr="00D83669" w14:paraId="795AF6C3" w14:textId="77777777" w:rsidTr="006C66B5">
        <w:tc>
          <w:tcPr>
            <w:tcW w:w="2552" w:type="dxa"/>
            <w:shd w:val="clear" w:color="auto" w:fill="auto"/>
            <w:vAlign w:val="center"/>
          </w:tcPr>
          <w:p w14:paraId="1B90303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референтната цел</w:t>
            </w:r>
          </w:p>
        </w:tc>
        <w:tc>
          <w:tcPr>
            <w:tcW w:w="7088" w:type="dxa"/>
            <w:shd w:val="clear" w:color="auto" w:fill="auto"/>
            <w:vAlign w:val="center"/>
          </w:tcPr>
          <w:p w14:paraId="5CB3D0B7" w14:textId="67EA9491" w:rsidR="00D857FE" w:rsidRPr="00D83669" w:rsidRDefault="00D857FE" w:rsidP="00CC7BCB">
            <w:pPr>
              <w:jc w:val="both"/>
              <w:rPr>
                <w:rFonts w:ascii="Times New Roman" w:hAnsi="Times New Roman"/>
                <w:color w:val="000000" w:themeColor="text1"/>
                <w:sz w:val="24"/>
              </w:rPr>
            </w:pPr>
            <w:r w:rsidRPr="00D83669">
              <w:rPr>
                <w:rFonts w:ascii="Times New Roman" w:hAnsi="Times New Roman"/>
                <w:color w:val="000000" w:themeColor="text1"/>
                <w:sz w:val="24"/>
              </w:rPr>
              <w:t xml:space="preserve">Референтната стойност отразява броя на българските студенти, които се обучават в ОКС „Бакалавър“ през 2020-2021 г. по данни на НСИ (142 401 студента), като са отчетени тенденциите за периода 2012-2020 за дела на студентите, които отпадат в процеса </w:t>
            </w:r>
            <w:r w:rsidRPr="00D83669">
              <w:rPr>
                <w:rFonts w:ascii="Times New Roman" w:hAnsi="Times New Roman"/>
                <w:color w:val="000000" w:themeColor="text1"/>
                <w:sz w:val="24"/>
              </w:rPr>
              <w:lastRenderedPageBreak/>
              <w:t xml:space="preserve">на обучението за придобиване на ОКС бакалавър и дела на студентите, които продължават обучението си в ОКС магистър, по данни на МОН (средно около 40% от студентите остават в образование). </w:t>
            </w:r>
            <w:r w:rsidRPr="00D83669">
              <w:rPr>
                <w:rFonts w:ascii="Times New Roman" w:hAnsi="Times New Roman"/>
                <w:color w:val="000000" w:themeColor="text1"/>
                <w:sz w:val="24"/>
                <w:lang w:val="en-US"/>
              </w:rPr>
              <w:t>(</w:t>
            </w:r>
            <w:r w:rsidRPr="00D83669">
              <w:rPr>
                <w:rFonts w:ascii="Times New Roman" w:hAnsi="Times New Roman"/>
                <w:color w:val="000000" w:themeColor="text1"/>
                <w:sz w:val="24"/>
              </w:rPr>
              <w:t>56 960 = 142401*0.4</w:t>
            </w:r>
            <w:r w:rsidRPr="00D83669">
              <w:rPr>
                <w:rFonts w:ascii="Times New Roman" w:hAnsi="Times New Roman"/>
                <w:color w:val="000000" w:themeColor="text1"/>
                <w:sz w:val="24"/>
                <w:lang w:val="en-US"/>
              </w:rPr>
              <w:t>)</w:t>
            </w:r>
          </w:p>
        </w:tc>
      </w:tr>
      <w:tr w:rsidR="00D857FE" w:rsidRPr="00D83669" w14:paraId="3E1002DF" w14:textId="77777777" w:rsidTr="006C66B5">
        <w:tc>
          <w:tcPr>
            <w:tcW w:w="2552" w:type="dxa"/>
            <w:shd w:val="clear" w:color="auto" w:fill="auto"/>
            <w:vAlign w:val="center"/>
          </w:tcPr>
          <w:p w14:paraId="31B9817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Разбивка </w:t>
            </w:r>
          </w:p>
        </w:tc>
        <w:tc>
          <w:tcPr>
            <w:tcW w:w="7088" w:type="dxa"/>
            <w:shd w:val="clear" w:color="auto" w:fill="auto"/>
            <w:vAlign w:val="center"/>
          </w:tcPr>
          <w:p w14:paraId="34A877F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отделни признаци на участниците. На етап отчитане ще бъдат представени данни за пол, възраст и друга демографска информация за участниците.</w:t>
            </w:r>
          </w:p>
        </w:tc>
      </w:tr>
      <w:tr w:rsidR="00D857FE" w:rsidRPr="00D83669" w14:paraId="39287081" w14:textId="77777777" w:rsidTr="006C66B5">
        <w:tc>
          <w:tcPr>
            <w:tcW w:w="2552" w:type="dxa"/>
            <w:shd w:val="clear" w:color="auto" w:fill="auto"/>
            <w:vAlign w:val="center"/>
          </w:tcPr>
          <w:p w14:paraId="074AF65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088" w:type="dxa"/>
            <w:shd w:val="clear" w:color="auto" w:fill="auto"/>
            <w:vAlign w:val="center"/>
          </w:tcPr>
          <w:p w14:paraId="61D8119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от мониторинга, събрани за този показател, ще предоставят важна информация за резултата от модернизираните учебни програми, проведените допълнителни обучения, практики, мобилност и др. и доколко прилагането на тези мерки успява да задържи в образование студентите.</w:t>
            </w:r>
          </w:p>
        </w:tc>
      </w:tr>
      <w:tr w:rsidR="00D857FE" w:rsidRPr="00D83669" w14:paraId="0594317F" w14:textId="77777777" w:rsidTr="006C66B5">
        <w:tc>
          <w:tcPr>
            <w:tcW w:w="2552" w:type="dxa"/>
            <w:shd w:val="clear" w:color="auto" w:fill="auto"/>
            <w:vAlign w:val="center"/>
          </w:tcPr>
          <w:p w14:paraId="5F70CEB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088" w:type="dxa"/>
            <w:shd w:val="clear" w:color="auto" w:fill="auto"/>
            <w:vAlign w:val="center"/>
          </w:tcPr>
          <w:p w14:paraId="05B82C9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включва броя на студентите, които се обучават по модернизирани учебни програми или са включени в допълнително практическо обучение в реална работна среда или в обучение за развитие на предприемачески умения или краткосрочна мобилност в чужбина. Данните ще съдържат информация за: пол, възраст, професионално направление, специалност, висше училище, район, област и община; период и място на провеждане на практическото обучение, обучението за развитие на предприемачески умения и компетентност, и на дигитални умения или на краткосрочната мобилност в чужбина.</w:t>
            </w:r>
          </w:p>
        </w:tc>
      </w:tr>
      <w:tr w:rsidR="00D857FE" w:rsidRPr="00D83669" w14:paraId="71A8A692" w14:textId="77777777" w:rsidTr="006C66B5">
        <w:tc>
          <w:tcPr>
            <w:tcW w:w="2552" w:type="dxa"/>
            <w:shd w:val="clear" w:color="auto" w:fill="auto"/>
            <w:vAlign w:val="center"/>
          </w:tcPr>
          <w:p w14:paraId="213B79E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088" w:type="dxa"/>
            <w:shd w:val="clear" w:color="auto" w:fill="auto"/>
            <w:vAlign w:val="center"/>
          </w:tcPr>
          <w:p w14:paraId="01C15A0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6704A4A4" w14:textId="77777777" w:rsidTr="006C66B5">
        <w:tc>
          <w:tcPr>
            <w:tcW w:w="2552" w:type="dxa"/>
            <w:shd w:val="clear" w:color="auto" w:fill="auto"/>
            <w:vAlign w:val="center"/>
          </w:tcPr>
          <w:p w14:paraId="6E0B26ED" w14:textId="6AE34E68"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088" w:type="dxa"/>
            <w:shd w:val="clear" w:color="auto" w:fill="auto"/>
            <w:vAlign w:val="center"/>
          </w:tcPr>
          <w:p w14:paraId="3CE134A1"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EEC010 Участници със средно образование (ISCED 3) или образование след средното образование (ISCED 4);</w:t>
            </w:r>
          </w:p>
          <w:p w14:paraId="26ACD8EF"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EECO09 Участници с прогимназиален етап на основното образование или по-ниска степен (ISCED 0-2);</w:t>
            </w:r>
          </w:p>
          <w:p w14:paraId="500B1780"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EECO15 малцинства (включително маргинализирани общности като ромите);</w:t>
            </w:r>
          </w:p>
          <w:p w14:paraId="549158B3" w14:textId="2D43E385"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3.1 – Ученици и студенти, започнали да търсят работа. </w:t>
            </w:r>
          </w:p>
        </w:tc>
      </w:tr>
      <w:tr w:rsidR="00D857FE" w:rsidRPr="00D83669" w14:paraId="3B26F354" w14:textId="77777777" w:rsidTr="006C66B5">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82D0AB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088" w:type="dxa"/>
            <w:tcBorders>
              <w:top w:val="single" w:sz="4" w:space="0" w:color="auto"/>
              <w:left w:val="single" w:sz="4" w:space="0" w:color="auto"/>
              <w:bottom w:val="single" w:sz="4" w:space="0" w:color="auto"/>
              <w:right w:val="single" w:sz="4" w:space="0" w:color="auto"/>
            </w:tcBorders>
            <w:shd w:val="clear" w:color="auto" w:fill="auto"/>
            <w:vAlign w:val="center"/>
          </w:tcPr>
          <w:p w14:paraId="3300A782" w14:textId="207C22FC"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студентите, които са получили подкрепа от ЕСФ+ по операции по Приоритет 3 на Програма „Образование“ 2021 – 2027 и са продължили своето образование и/или обучение, подкрепени чрез дейности по операции по СЦ по чл. 4, пар. 1, буква д) на Приоритет 3 на ПО 2021 – 2027 и е по-малка от общия брой на всички участници в дейности по тази специфична цел на Приоритет 3 на Програмата.</w:t>
            </w:r>
          </w:p>
        </w:tc>
      </w:tr>
    </w:tbl>
    <w:p w14:paraId="6051B3D5" w14:textId="77777777" w:rsidR="00D857FE" w:rsidRPr="00D83669" w:rsidRDefault="00D857FE" w:rsidP="00D857FE">
      <w:pPr>
        <w:rPr>
          <w:rFonts w:ascii="Times New Roman" w:eastAsia="Times New Roman" w:hAnsi="Times New Roman" w:cs="Times New Roman"/>
          <w:b/>
          <w:sz w:val="24"/>
          <w:szCs w:val="20"/>
          <w:lang w:eastAsia="bg-BG" w:bidi="bg-BG"/>
        </w:rPr>
      </w:pPr>
      <w:r w:rsidRPr="00D83669">
        <w:rPr>
          <w:rFonts w:ascii="Times New Roman" w:eastAsia="Times New Roman" w:hAnsi="Times New Roman" w:cs="Times New Roman"/>
          <w:b/>
          <w:sz w:val="24"/>
          <w:szCs w:val="20"/>
          <w:lang w:eastAsia="bg-BG" w:bidi="bg-BG"/>
        </w:rPr>
        <w:br w:type="page"/>
      </w:r>
    </w:p>
    <w:p w14:paraId="396CD5CF" w14:textId="24F61DDE" w:rsidR="00D857FE" w:rsidRPr="00D83669" w:rsidRDefault="00D857FE" w:rsidP="00BB37EF">
      <w:pPr>
        <w:pStyle w:val="Heading3"/>
        <w:rPr>
          <w:b/>
          <w:bCs/>
          <w:i/>
          <w:iCs/>
          <w:sz w:val="22"/>
          <w:szCs w:val="22"/>
        </w:rPr>
      </w:pPr>
      <w:bookmarkStart w:id="214" w:name="_Toc100153032"/>
      <w:bookmarkStart w:id="215" w:name="_Toc103586707"/>
      <w:r w:rsidRPr="00D83669">
        <w:rPr>
          <w:b/>
          <w:bCs/>
          <w:i/>
          <w:iCs/>
          <w:sz w:val="22"/>
          <w:szCs w:val="22"/>
        </w:rPr>
        <w:lastRenderedPageBreak/>
        <w:t>SRI 3.4. Брой подкрепени стартиращи фирми</w:t>
      </w:r>
      <w:bookmarkEnd w:id="214"/>
      <w:bookmarkEnd w:id="215"/>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7088"/>
      </w:tblGrid>
      <w:tr w:rsidR="00D857FE" w:rsidRPr="00D83669" w14:paraId="0D2912A7" w14:textId="77777777" w:rsidTr="00010007">
        <w:tc>
          <w:tcPr>
            <w:tcW w:w="2552"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1F534177" w14:textId="5556E3D4"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088"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58032ED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70D88DA2" w14:textId="77777777" w:rsidTr="00010007">
        <w:tc>
          <w:tcPr>
            <w:tcW w:w="2552" w:type="dxa"/>
            <w:shd w:val="clear" w:color="auto" w:fill="auto"/>
            <w:vAlign w:val="center"/>
          </w:tcPr>
          <w:p w14:paraId="7BBD3FA5" w14:textId="016F2465"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088" w:type="dxa"/>
            <w:shd w:val="clear" w:color="auto" w:fill="auto"/>
            <w:vAlign w:val="center"/>
          </w:tcPr>
          <w:p w14:paraId="263F98E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SRI 3.4. Брой подкрепени стартиращи фирми</w:t>
            </w:r>
          </w:p>
        </w:tc>
      </w:tr>
      <w:tr w:rsidR="00D857FE" w:rsidRPr="00D83669" w14:paraId="2E6BE905" w14:textId="77777777" w:rsidTr="00010007">
        <w:tc>
          <w:tcPr>
            <w:tcW w:w="2552" w:type="dxa"/>
            <w:shd w:val="clear" w:color="auto" w:fill="auto"/>
            <w:vAlign w:val="center"/>
          </w:tcPr>
          <w:p w14:paraId="3EBE6BE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088" w:type="dxa"/>
            <w:shd w:val="clear" w:color="auto" w:fill="auto"/>
            <w:vAlign w:val="center"/>
          </w:tcPr>
          <w:p w14:paraId="2A3E2DB3" w14:textId="1FD3EB25"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резултат</w:t>
            </w:r>
          </w:p>
        </w:tc>
      </w:tr>
      <w:tr w:rsidR="00D857FE" w:rsidRPr="00D83669" w14:paraId="6B142ADE" w14:textId="77777777" w:rsidTr="00010007">
        <w:tc>
          <w:tcPr>
            <w:tcW w:w="2552" w:type="dxa"/>
            <w:shd w:val="clear" w:color="auto" w:fill="auto"/>
            <w:vAlign w:val="center"/>
          </w:tcPr>
          <w:p w14:paraId="7CD7391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088" w:type="dxa"/>
            <w:shd w:val="clear" w:color="auto" w:fill="auto"/>
            <w:vAlign w:val="center"/>
          </w:tcPr>
          <w:p w14:paraId="67B6CE45"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д)</w:t>
            </w:r>
            <w:r w:rsidRPr="00D83669">
              <w:rPr>
                <w:rFonts w:ascii="Times New Roman" w:hAnsi="Times New Roman"/>
                <w:sz w:val="24"/>
              </w:rPr>
              <w:t xml:space="preserve"> – подобряване на качеството, приобщаващия характер, ефективността и съответствието на системите за образование и обучение с нуждите на пазара на труда, включително чрез валидиране на неформалното и информалното учене, така че да допринасят за придобиването на ключови компетентности, включително предприемачески и цифрови умения, също и чрез насърчаване на въвеждането на дуални системи на обучение и чиракуване</w:t>
            </w:r>
          </w:p>
        </w:tc>
      </w:tr>
      <w:tr w:rsidR="00D857FE" w:rsidRPr="00D83669" w14:paraId="534ABF46" w14:textId="77777777" w:rsidTr="00010007">
        <w:tc>
          <w:tcPr>
            <w:tcW w:w="2552" w:type="dxa"/>
            <w:shd w:val="clear" w:color="auto" w:fill="auto"/>
            <w:vAlign w:val="center"/>
          </w:tcPr>
          <w:p w14:paraId="7FBD85E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088" w:type="dxa"/>
            <w:shd w:val="clear" w:color="auto" w:fill="auto"/>
            <w:vAlign w:val="center"/>
          </w:tcPr>
          <w:p w14:paraId="24C5CCB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Професионално ориентиране на студентите чрез практики и развиване на предприемачески умения</w:t>
            </w:r>
          </w:p>
        </w:tc>
      </w:tr>
      <w:tr w:rsidR="00D857FE" w:rsidRPr="00D83669" w14:paraId="0523FF67" w14:textId="77777777" w:rsidTr="00010007">
        <w:tc>
          <w:tcPr>
            <w:tcW w:w="2552" w:type="dxa"/>
            <w:shd w:val="clear" w:color="auto" w:fill="auto"/>
            <w:vAlign w:val="center"/>
          </w:tcPr>
          <w:p w14:paraId="7598CED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088" w:type="dxa"/>
            <w:shd w:val="clear" w:color="auto" w:fill="auto"/>
            <w:vAlign w:val="center"/>
          </w:tcPr>
          <w:p w14:paraId="0245372D" w14:textId="1FF0A39D" w:rsidR="00D857FE" w:rsidRPr="00D83669" w:rsidRDefault="00D857FE" w:rsidP="00CC7BCB">
            <w:pPr>
              <w:jc w:val="both"/>
              <w:rPr>
                <w:rFonts w:ascii="Times New Roman" w:hAnsi="Times New Roman"/>
                <w:sz w:val="24"/>
              </w:rPr>
            </w:pPr>
            <w:r w:rsidRPr="00D83669">
              <w:rPr>
                <w:rFonts w:ascii="Times New Roman" w:hAnsi="Times New Roman"/>
                <w:sz w:val="24"/>
              </w:rPr>
              <w:t xml:space="preserve">Показателят измерва броя на подкрепените стартиращи компании на студенти, докторанти или преподаватели, които са получили подкрепа по Програма „Образование“ 2021 – 2027 г. </w:t>
            </w:r>
          </w:p>
          <w:p w14:paraId="34627E0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За „фирма“ се приема определението за „предприятие“, т.е. всеки субект, извършващ стопанска дейност, независимо от правната му форма и включва кооперации и предприятия от социалната икономика. Това включва по-специално самостоятелно заети лица и семейни предприятия, занимаващи се със занаятчийска или друга дейност, и партньорства или асоциации, нормативно извършващи икономическа дейност.</w:t>
            </w:r>
          </w:p>
          <w:p w14:paraId="418ACE9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Източник: чл. 1 от Препоръка на Комисията от 6 май 2003 г. относно дефиницията на микро, малки и средни предприятия (2003/361/ЕО). </w:t>
            </w:r>
          </w:p>
        </w:tc>
      </w:tr>
      <w:tr w:rsidR="00D857FE" w:rsidRPr="00D83669" w14:paraId="2F33F314" w14:textId="77777777" w:rsidTr="00010007">
        <w:tc>
          <w:tcPr>
            <w:tcW w:w="2552" w:type="dxa"/>
            <w:shd w:val="clear" w:color="auto" w:fill="auto"/>
            <w:vAlign w:val="center"/>
          </w:tcPr>
          <w:p w14:paraId="5109BAA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088" w:type="dxa"/>
            <w:shd w:val="clear" w:color="auto" w:fill="auto"/>
            <w:vAlign w:val="center"/>
          </w:tcPr>
          <w:p w14:paraId="7D4A874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39BD8C15" w14:textId="77777777" w:rsidTr="00010007">
        <w:tc>
          <w:tcPr>
            <w:tcW w:w="2552" w:type="dxa"/>
            <w:shd w:val="clear" w:color="auto" w:fill="auto"/>
            <w:vAlign w:val="center"/>
          </w:tcPr>
          <w:p w14:paraId="770102B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088" w:type="dxa"/>
            <w:shd w:val="clear" w:color="auto" w:fill="auto"/>
            <w:vAlign w:val="center"/>
          </w:tcPr>
          <w:p w14:paraId="7CD2B02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227</w:t>
            </w:r>
          </w:p>
        </w:tc>
      </w:tr>
      <w:tr w:rsidR="00D857FE" w:rsidRPr="00D83669" w14:paraId="229D18F9" w14:textId="77777777" w:rsidTr="00010007">
        <w:tc>
          <w:tcPr>
            <w:tcW w:w="2552" w:type="dxa"/>
            <w:shd w:val="clear" w:color="auto" w:fill="auto"/>
            <w:vAlign w:val="center"/>
          </w:tcPr>
          <w:p w14:paraId="37B3E47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088" w:type="dxa"/>
            <w:shd w:val="clear" w:color="auto" w:fill="auto"/>
            <w:vAlign w:val="center"/>
          </w:tcPr>
          <w:p w14:paraId="0B504CC0" w14:textId="37D136EE"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е определена въз основа на извършена Предварителна оценка за прилагане на финансови инструменти в областта на „Образованието“, който е изготвен и предаден в изпълнение на Договор № ДОГ – 25/06.03.2020 г. с предмет: „Изготвяне на предварителни оценки за прилагане на финансови инструменти по оперативни програми през програмен период 2021 – 2027 г.“, Обособена позиция № 5: Изготвяне на предварителна оценка за прилагане на финансови инструменти по Оперативна програма „Наука и образование“ 2021 – 2027 г. Вследствие извършената оценка се предлага да бъде включен настоящия показател, като приносът на финансовия инструмент е 100%. За определяне на целевата стойност е използвана средната стойност на инвестиция в най-ранните етапи на развитие на стартиращи </w:t>
            </w:r>
            <w:r w:rsidRPr="00D83669">
              <w:rPr>
                <w:rFonts w:ascii="Times New Roman" w:hAnsi="Times New Roman"/>
                <w:sz w:val="24"/>
              </w:rPr>
              <w:lastRenderedPageBreak/>
              <w:t>предприятия в България, която варира между 25 – 50 000 евро и 200 000 евро. Допълнително е взета предвид и обичайната практика да се правят последващи инвестиции в част от предприятията. Предвид натрупаната експертиза и практика от прилагането на финансови инструменти за капиталови инвестиции в най-ранна фаза на развитие на предприятията, за определянето на целевата стойност е използвана средна стойност в рамките на около 60 – 65 000 евро на подкрепа за стартиращо предприятие, при което броя на подкрепените стартиращи предприятия е получен на базата на изчисления размер на средствата за крайните получатели от 14,32 млн. евро при разпределение на общият размер на финансовия инструмент в съотношение 50%/50% между дялово и дългово финансиране.</w:t>
            </w:r>
          </w:p>
        </w:tc>
      </w:tr>
      <w:tr w:rsidR="00D857FE" w:rsidRPr="00D83669" w14:paraId="17899FF3" w14:textId="77777777" w:rsidTr="00010007">
        <w:tc>
          <w:tcPr>
            <w:tcW w:w="2552" w:type="dxa"/>
            <w:shd w:val="clear" w:color="auto" w:fill="auto"/>
            <w:vAlign w:val="center"/>
          </w:tcPr>
          <w:p w14:paraId="7FD3DD4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Референтна стойност</w:t>
            </w:r>
          </w:p>
        </w:tc>
        <w:tc>
          <w:tcPr>
            <w:tcW w:w="7088" w:type="dxa"/>
            <w:shd w:val="clear" w:color="auto" w:fill="auto"/>
            <w:vAlign w:val="center"/>
          </w:tcPr>
          <w:p w14:paraId="7DDCB7F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116</w:t>
            </w:r>
          </w:p>
        </w:tc>
      </w:tr>
      <w:tr w:rsidR="00D857FE" w:rsidRPr="00D83669" w14:paraId="692B7CB9" w14:textId="77777777" w:rsidTr="00010007">
        <w:tc>
          <w:tcPr>
            <w:tcW w:w="2552" w:type="dxa"/>
            <w:shd w:val="clear" w:color="auto" w:fill="auto"/>
            <w:vAlign w:val="center"/>
          </w:tcPr>
          <w:p w14:paraId="15C9E97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референтната цел</w:t>
            </w:r>
          </w:p>
        </w:tc>
        <w:tc>
          <w:tcPr>
            <w:tcW w:w="7088" w:type="dxa"/>
            <w:shd w:val="clear" w:color="auto" w:fill="auto"/>
            <w:vAlign w:val="center"/>
          </w:tcPr>
          <w:p w14:paraId="7E0D8EC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Доколкото финансови инструменти в областта на образованието се реализират за първи път през програмния период 2021 – 2027 г., референтната стойност отразява минималния брой на компаниите, които се очаква да бъдат финансирани по ПО 2021 – 2027 г.</w:t>
            </w:r>
          </w:p>
        </w:tc>
      </w:tr>
      <w:tr w:rsidR="00D857FE" w:rsidRPr="00D83669" w14:paraId="4B197EB8" w14:textId="77777777" w:rsidTr="00010007">
        <w:tc>
          <w:tcPr>
            <w:tcW w:w="2552" w:type="dxa"/>
            <w:shd w:val="clear" w:color="auto" w:fill="auto"/>
            <w:vAlign w:val="center"/>
          </w:tcPr>
          <w:p w14:paraId="445CBEF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088" w:type="dxa"/>
            <w:shd w:val="clear" w:color="auto" w:fill="auto"/>
            <w:vAlign w:val="center"/>
          </w:tcPr>
          <w:p w14:paraId="3516E9F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На етап отчитане ще бъдат представени данни за региона, където е създадена компанията, основна икономическа дейност и др.</w:t>
            </w:r>
          </w:p>
        </w:tc>
      </w:tr>
      <w:tr w:rsidR="00D857FE" w:rsidRPr="00D83669" w14:paraId="4C3B5942" w14:textId="77777777" w:rsidTr="00010007">
        <w:tc>
          <w:tcPr>
            <w:tcW w:w="2552" w:type="dxa"/>
            <w:shd w:val="clear" w:color="auto" w:fill="auto"/>
            <w:vAlign w:val="center"/>
          </w:tcPr>
          <w:p w14:paraId="2C1F2D3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088" w:type="dxa"/>
            <w:shd w:val="clear" w:color="auto" w:fill="auto"/>
            <w:vAlign w:val="center"/>
          </w:tcPr>
          <w:p w14:paraId="43165EB0" w14:textId="70351F86"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от мониторинга, събрани за този показател, ще предоставят важна информация за ролята на висшето образование в развиване на нови знания, използване на наличните знания за разработване на иновации и конкурентни технологии и формиране на предприемачески дух, който подпомага предприемаческата дейност с научно-обосновано решаване на предизвикателствата, с които се сблъскват студенти, докторанти и преподаватели. Сред основните предизвикателства, посочени в Стратегията за развитие на висшето образование в Република България 2021 – 2030 г. е повишаване на ролята на науката и иновациите, като е установена необходимост от въвеждане на качествено практическо обучение по иновации и предприемачество във всички професионални направления за изграждане на предприемаческа култура в следващите поколения специалисти. В тази връзка показателят допринася за измерване на резултатите по предвидената в Стратегията Мярка 7.3.3 </w:t>
            </w:r>
            <w:r w:rsidRPr="00D83669">
              <w:rPr>
                <w:rFonts w:ascii="Times New Roman" w:hAnsi="Times New Roman"/>
                <w:i/>
                <w:sz w:val="24"/>
              </w:rPr>
              <w:t>Включване на обучението по иновации, предприемачество и интелектуална собственост във всички академични планове и програми (с изключение на някои специфични професионални направления като теология и философия) според спецификата на професионалното направление и на образователната степен</w:t>
            </w:r>
            <w:r w:rsidRPr="00D83669">
              <w:rPr>
                <w:rFonts w:ascii="Times New Roman" w:hAnsi="Times New Roman"/>
                <w:sz w:val="24"/>
              </w:rPr>
              <w:t>.</w:t>
            </w:r>
          </w:p>
        </w:tc>
      </w:tr>
      <w:tr w:rsidR="00D857FE" w:rsidRPr="00D83669" w14:paraId="040D6010" w14:textId="77777777" w:rsidTr="00010007">
        <w:tc>
          <w:tcPr>
            <w:tcW w:w="2552" w:type="dxa"/>
            <w:shd w:val="clear" w:color="auto" w:fill="auto"/>
            <w:vAlign w:val="center"/>
          </w:tcPr>
          <w:p w14:paraId="1BDC123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088" w:type="dxa"/>
            <w:shd w:val="clear" w:color="auto" w:fill="auto"/>
            <w:vAlign w:val="center"/>
          </w:tcPr>
          <w:p w14:paraId="64B3AEA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се извършва на база административни документи, свързани с прилагането на финансови инструменти, включително споразумения с финансиращите институции.</w:t>
            </w:r>
          </w:p>
          <w:p w14:paraId="5C3F50D8" w14:textId="77777777" w:rsidR="00D857FE" w:rsidRPr="00D83669" w:rsidRDefault="00D857FE" w:rsidP="00CC7BCB">
            <w:pPr>
              <w:jc w:val="both"/>
              <w:rPr>
                <w:rFonts w:ascii="Times New Roman" w:hAnsi="Times New Roman"/>
                <w:sz w:val="24"/>
              </w:rPr>
            </w:pPr>
            <w:r w:rsidRPr="00D83669">
              <w:rPr>
                <w:rFonts w:ascii="Times New Roman" w:hAnsi="Times New Roman"/>
                <w:sz w:val="24"/>
              </w:rPr>
              <w:lastRenderedPageBreak/>
              <w:t>Трябва да се регистрират само предприятия, които са предвидили конкретни разходи за създаването и функционирането на предприятията. Това не включва разходите за техническа помощ, ако е приложимо.</w:t>
            </w:r>
          </w:p>
        </w:tc>
      </w:tr>
      <w:tr w:rsidR="00D857FE" w:rsidRPr="00D83669" w14:paraId="2D89AD6C" w14:textId="77777777" w:rsidTr="00010007">
        <w:tc>
          <w:tcPr>
            <w:tcW w:w="2552" w:type="dxa"/>
            <w:shd w:val="clear" w:color="auto" w:fill="auto"/>
            <w:vAlign w:val="center"/>
          </w:tcPr>
          <w:p w14:paraId="102B076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Честота на докладване</w:t>
            </w:r>
          </w:p>
        </w:tc>
        <w:tc>
          <w:tcPr>
            <w:tcW w:w="7088" w:type="dxa"/>
            <w:shd w:val="clear" w:color="auto" w:fill="auto"/>
            <w:vAlign w:val="center"/>
          </w:tcPr>
          <w:p w14:paraId="5DC6C53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0EE77406" w14:textId="77777777" w:rsidTr="00010007">
        <w:tc>
          <w:tcPr>
            <w:tcW w:w="2552" w:type="dxa"/>
            <w:shd w:val="clear" w:color="auto" w:fill="auto"/>
            <w:vAlign w:val="center"/>
          </w:tcPr>
          <w:p w14:paraId="15CED02B" w14:textId="41075A6E"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088" w:type="dxa"/>
            <w:shd w:val="clear" w:color="auto" w:fill="auto"/>
            <w:vAlign w:val="center"/>
          </w:tcPr>
          <w:p w14:paraId="3A14C37C"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EEC010 Участници със средно образование (ISCED 3) или образование след средното образование (ISCED 4);</w:t>
            </w:r>
          </w:p>
          <w:p w14:paraId="499C38EC" w14:textId="77777777"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rPr>
              <w:t>EEC011 Участници с висше образование (ISCED 5 до 8);</w:t>
            </w:r>
          </w:p>
          <w:p w14:paraId="09409D84" w14:textId="52250673" w:rsidR="00D857FE" w:rsidRPr="00D83669" w:rsidRDefault="00D857FE" w:rsidP="00D857FE">
            <w:pPr>
              <w:pStyle w:val="ListParagraph"/>
              <w:numPr>
                <w:ilvl w:val="0"/>
                <w:numId w:val="24"/>
              </w:numPr>
              <w:spacing w:after="0" w:line="240" w:lineRule="auto"/>
              <w:jc w:val="both"/>
              <w:rPr>
                <w:rFonts w:ascii="Times New Roman" w:hAnsi="Times New Roman"/>
                <w:sz w:val="24"/>
              </w:rPr>
            </w:pPr>
            <w:r w:rsidRPr="00D83669">
              <w:rPr>
                <w:rFonts w:ascii="Times New Roman" w:hAnsi="Times New Roman"/>
                <w:sz w:val="24"/>
                <w:lang w:val="en-US"/>
              </w:rPr>
              <w:t>SRI</w:t>
            </w:r>
            <w:r w:rsidRPr="00D83669">
              <w:rPr>
                <w:rFonts w:ascii="Times New Roman" w:hAnsi="Times New Roman"/>
                <w:sz w:val="24"/>
              </w:rPr>
              <w:t xml:space="preserve"> 3.1 – Ученици и студенти, започнали да търсят работа.</w:t>
            </w:r>
          </w:p>
        </w:tc>
      </w:tr>
      <w:tr w:rsidR="00D857FE" w:rsidRPr="00D83669" w14:paraId="7C8A2557" w14:textId="77777777" w:rsidTr="00010007">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605ABDF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088" w:type="dxa"/>
            <w:tcBorders>
              <w:top w:val="single" w:sz="4" w:space="0" w:color="auto"/>
              <w:left w:val="single" w:sz="4" w:space="0" w:color="auto"/>
              <w:bottom w:val="single" w:sz="4" w:space="0" w:color="auto"/>
              <w:right w:val="single" w:sz="4" w:space="0" w:color="auto"/>
            </w:tcBorders>
            <w:shd w:val="clear" w:color="auto" w:fill="auto"/>
            <w:vAlign w:val="center"/>
          </w:tcPr>
          <w:p w14:paraId="14362730" w14:textId="71755778"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стартиращите фирми, които са създадени в резултат на подкрепата по СЦ по чл. 4, пар. 1, буква д) на Приоритет 3 на ПО 2021 – 2027 и е равна на общия брой стартиращи фирми на студенти и докторанти, създадени по тази специфична цел на Приоритет 3 на Програмата.</w:t>
            </w:r>
          </w:p>
        </w:tc>
      </w:tr>
    </w:tbl>
    <w:p w14:paraId="5AC770B1" w14:textId="77777777" w:rsidR="00D857FE" w:rsidRPr="00D83669" w:rsidRDefault="00D857FE" w:rsidP="00D857FE">
      <w:pPr>
        <w:rPr>
          <w:rFonts w:ascii="Times New Roman" w:eastAsia="Times New Roman" w:hAnsi="Times New Roman" w:cs="Times New Roman"/>
          <w:b/>
          <w:sz w:val="24"/>
          <w:szCs w:val="20"/>
          <w:lang w:eastAsia="bg-BG" w:bidi="bg-BG"/>
        </w:rPr>
      </w:pPr>
      <w:r w:rsidRPr="00D83669">
        <w:rPr>
          <w:rFonts w:ascii="Times New Roman" w:eastAsia="Times New Roman" w:hAnsi="Times New Roman" w:cs="Times New Roman"/>
          <w:b/>
          <w:sz w:val="24"/>
          <w:szCs w:val="20"/>
          <w:lang w:eastAsia="bg-BG" w:bidi="bg-BG"/>
        </w:rPr>
        <w:br w:type="page"/>
      </w:r>
    </w:p>
    <w:p w14:paraId="65B16397" w14:textId="614672AB" w:rsidR="00972082" w:rsidRPr="00D83669" w:rsidRDefault="00D857FE" w:rsidP="00D857FE">
      <w:pPr>
        <w:pStyle w:val="Heading2"/>
        <w:ind w:left="426"/>
      </w:pPr>
      <w:bookmarkStart w:id="216" w:name="_Toc103586708"/>
      <w:bookmarkStart w:id="217" w:name="_Toc98778800"/>
      <w:bookmarkStart w:id="218" w:name="_Toc100153033"/>
      <w:r w:rsidRPr="00D83669">
        <w:rPr>
          <w:rFonts w:ascii="Times New Roman" w:hAnsi="Times New Roman" w:cs="Times New Roman"/>
          <w:b/>
          <w:bCs/>
          <w:sz w:val="28"/>
          <w:szCs w:val="28"/>
        </w:rPr>
        <w:lastRenderedPageBreak/>
        <w:t>СЦ по чл. 4, пар. 1, буква ж)</w:t>
      </w:r>
      <w:bookmarkEnd w:id="216"/>
      <w:r w:rsidRPr="00D83669">
        <w:t xml:space="preserve"> </w:t>
      </w:r>
    </w:p>
    <w:p w14:paraId="303B1A55" w14:textId="23C9C382" w:rsidR="00D857FE" w:rsidRPr="00D83669" w:rsidRDefault="00972082" w:rsidP="00B85644">
      <w:pPr>
        <w:jc w:val="both"/>
        <w:rPr>
          <w:rFonts w:ascii="Times New Roman" w:hAnsi="Times New Roman" w:cs="Times New Roman"/>
          <w:color w:val="2E74B5" w:themeColor="accent1" w:themeShade="BF"/>
          <w:sz w:val="24"/>
          <w:szCs w:val="24"/>
        </w:rPr>
      </w:pPr>
      <w:r w:rsidRPr="00D83669">
        <w:rPr>
          <w:rFonts w:ascii="Times New Roman" w:hAnsi="Times New Roman" w:cs="Times New Roman"/>
          <w:color w:val="2E74B5" w:themeColor="accent1" w:themeShade="BF"/>
          <w:sz w:val="24"/>
          <w:szCs w:val="24"/>
        </w:rPr>
        <w:t>Н</w:t>
      </w:r>
      <w:r w:rsidR="00D857FE" w:rsidRPr="00D83669">
        <w:rPr>
          <w:rFonts w:ascii="Times New Roman" w:hAnsi="Times New Roman" w:cs="Times New Roman"/>
          <w:color w:val="2E74B5" w:themeColor="accent1" w:themeShade="BF"/>
          <w:sz w:val="24"/>
          <w:szCs w:val="24"/>
        </w:rPr>
        <w:t>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предприемаческите и цифровите умения, по-доброто предвиждане на промените и изискванията за нови умения, в зависимост от нуждите на пазара на труда, улесняването на преходите в професионалното развитие и насърчаването на професионалната мобилност</w:t>
      </w:r>
      <w:bookmarkEnd w:id="217"/>
      <w:bookmarkEnd w:id="218"/>
    </w:p>
    <w:p w14:paraId="666DF529" w14:textId="209DD35D" w:rsidR="00D857FE" w:rsidRPr="00D83669" w:rsidRDefault="00D857FE" w:rsidP="00972082">
      <w:pPr>
        <w:pStyle w:val="Heading3"/>
        <w:ind w:left="567"/>
        <w:jc w:val="both"/>
        <w:rPr>
          <w:rFonts w:ascii="Times New Roman" w:hAnsi="Times New Roman" w:cs="Times New Roman"/>
          <w:color w:val="000000" w:themeColor="text1"/>
        </w:rPr>
      </w:pPr>
      <w:bookmarkStart w:id="219" w:name="_Toc98778801"/>
      <w:bookmarkStart w:id="220" w:name="_Toc100153034"/>
      <w:bookmarkStart w:id="221" w:name="_Toc103586709"/>
      <w:r w:rsidRPr="00D83669">
        <w:rPr>
          <w:rFonts w:ascii="Times New Roman" w:hAnsi="Times New Roman" w:cs="Times New Roman"/>
        </w:rPr>
        <w:t>Показатели за крайни продукти</w:t>
      </w:r>
      <w:bookmarkEnd w:id="219"/>
      <w:bookmarkEnd w:id="220"/>
      <w:bookmarkEnd w:id="221"/>
      <w:r w:rsidRPr="00D83669">
        <w:rPr>
          <w:rFonts w:ascii="Times New Roman" w:hAnsi="Times New Roman" w:cs="Times New Roman"/>
          <w:color w:val="000000" w:themeColor="text1"/>
        </w:rPr>
        <w:t xml:space="preserve"> </w:t>
      </w:r>
    </w:p>
    <w:p w14:paraId="23630E46" w14:textId="1F80C6C4" w:rsidR="00D857FE" w:rsidRPr="00D83669" w:rsidRDefault="00D857FE" w:rsidP="00BB37EF">
      <w:pPr>
        <w:pStyle w:val="Heading3"/>
        <w:rPr>
          <w:b/>
          <w:bCs/>
          <w:i/>
          <w:iCs/>
          <w:sz w:val="22"/>
          <w:szCs w:val="22"/>
        </w:rPr>
      </w:pPr>
      <w:bookmarkStart w:id="222" w:name="_Toc100153035"/>
      <w:bookmarkStart w:id="223" w:name="_Toc103586710"/>
      <w:r w:rsidRPr="00D83669">
        <w:rPr>
          <w:b/>
          <w:bCs/>
          <w:i/>
          <w:iCs/>
          <w:sz w:val="22"/>
          <w:szCs w:val="22"/>
        </w:rPr>
        <w:t>EEC011 Участници с висше образование (ISCED 5 до 8)</w:t>
      </w:r>
      <w:bookmarkEnd w:id="222"/>
      <w:bookmarkEnd w:id="223"/>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77"/>
      </w:tblGrid>
      <w:tr w:rsidR="00D857FE" w:rsidRPr="00D83669" w14:paraId="76AFE19B" w14:textId="77777777" w:rsidTr="000F2703">
        <w:tc>
          <w:tcPr>
            <w:tcW w:w="2263"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2A2747E2" w14:textId="0D1F28B1"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ПоказателятSMART ли е?</w:t>
            </w:r>
          </w:p>
        </w:tc>
        <w:tc>
          <w:tcPr>
            <w:tcW w:w="7377"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FFD624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02AF3F72" w14:textId="77777777" w:rsidTr="000F2703">
        <w:tc>
          <w:tcPr>
            <w:tcW w:w="2263" w:type="dxa"/>
            <w:shd w:val="clear" w:color="auto" w:fill="auto"/>
            <w:vAlign w:val="center"/>
          </w:tcPr>
          <w:p w14:paraId="546EF0C4" w14:textId="7F68C2F9"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7" w:type="dxa"/>
            <w:shd w:val="clear" w:color="auto" w:fill="auto"/>
            <w:vAlign w:val="center"/>
          </w:tcPr>
          <w:p w14:paraId="3F1779F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EEC011 Участници с висше образование (ISCED 5 до 8)</w:t>
            </w:r>
          </w:p>
        </w:tc>
      </w:tr>
      <w:tr w:rsidR="00D857FE" w:rsidRPr="00D83669" w14:paraId="1692B614" w14:textId="77777777" w:rsidTr="000F2703">
        <w:tc>
          <w:tcPr>
            <w:tcW w:w="2263" w:type="dxa"/>
            <w:shd w:val="clear" w:color="auto" w:fill="auto"/>
            <w:vAlign w:val="center"/>
          </w:tcPr>
          <w:p w14:paraId="1821A0C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7" w:type="dxa"/>
            <w:shd w:val="clear" w:color="auto" w:fill="auto"/>
            <w:vAlign w:val="center"/>
          </w:tcPr>
          <w:p w14:paraId="5D22AEA4" w14:textId="710CBEE5"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краен продукт</w:t>
            </w:r>
          </w:p>
        </w:tc>
      </w:tr>
      <w:tr w:rsidR="00D857FE" w:rsidRPr="00D83669" w14:paraId="4121072E" w14:textId="77777777" w:rsidTr="000F2703">
        <w:trPr>
          <w:trHeight w:val="2350"/>
        </w:trPr>
        <w:tc>
          <w:tcPr>
            <w:tcW w:w="2263" w:type="dxa"/>
            <w:shd w:val="clear" w:color="auto" w:fill="auto"/>
            <w:vAlign w:val="center"/>
          </w:tcPr>
          <w:p w14:paraId="155FD15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7" w:type="dxa"/>
            <w:shd w:val="clear" w:color="auto" w:fill="auto"/>
            <w:vAlign w:val="center"/>
          </w:tcPr>
          <w:p w14:paraId="17EED9AA"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w:t>
            </w:r>
            <w:r w:rsidRPr="00D83669">
              <w:rPr>
                <w:rFonts w:ascii="Times New Roman" w:eastAsia="Calibri" w:hAnsi="Times New Roman"/>
                <w:color w:val="000000"/>
                <w:sz w:val="24"/>
                <w:lang w:eastAsia="bg-BG" w:bidi="bg-BG"/>
              </w:rPr>
              <w:t>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предприемаческите и цифровите умения, по-доброто предвиждане на промените и изискванията за нови умения, в зависимост от нуждите на пазара, улесняването на преходите в професионалното развитие и насърчаването на професионалната мобилност</w:t>
            </w:r>
          </w:p>
        </w:tc>
      </w:tr>
      <w:tr w:rsidR="00D857FE" w:rsidRPr="00D83669" w14:paraId="66B1D427" w14:textId="77777777" w:rsidTr="000F2703">
        <w:tc>
          <w:tcPr>
            <w:tcW w:w="2263" w:type="dxa"/>
            <w:shd w:val="clear" w:color="auto" w:fill="auto"/>
            <w:vAlign w:val="center"/>
          </w:tcPr>
          <w:p w14:paraId="2B1D40E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7" w:type="dxa"/>
            <w:shd w:val="clear" w:color="auto" w:fill="auto"/>
            <w:vAlign w:val="center"/>
          </w:tcPr>
          <w:p w14:paraId="1C50E6C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развитие на академичния състав във висшите училища и научните организации, включително повишаване на интереса и подобряване на условията за докторски програми, свързани с потребностите на пазара на труда, чрез подкрепата на модулни програми</w:t>
            </w:r>
          </w:p>
        </w:tc>
      </w:tr>
      <w:tr w:rsidR="00D857FE" w:rsidRPr="00D83669" w14:paraId="0E628A4D" w14:textId="77777777" w:rsidTr="000F2703">
        <w:tc>
          <w:tcPr>
            <w:tcW w:w="2263" w:type="dxa"/>
            <w:shd w:val="clear" w:color="auto" w:fill="auto"/>
            <w:vAlign w:val="center"/>
          </w:tcPr>
          <w:p w14:paraId="4F24CC09" w14:textId="77777777" w:rsidR="00D857FE" w:rsidRPr="00D83669" w:rsidRDefault="00D857FE" w:rsidP="00CC7BCB">
            <w:pPr>
              <w:rPr>
                <w:rFonts w:ascii="Times New Roman" w:hAnsi="Times New Roman"/>
                <w:b/>
                <w:bCs/>
                <w:sz w:val="24"/>
                <w:lang w:val="en-US"/>
              </w:rPr>
            </w:pPr>
            <w:r w:rsidRPr="00D83669">
              <w:rPr>
                <w:rFonts w:ascii="Times New Roman" w:hAnsi="Times New Roman"/>
                <w:b/>
                <w:bCs/>
                <w:sz w:val="24"/>
              </w:rPr>
              <w:t xml:space="preserve">Дефиниция </w:t>
            </w:r>
          </w:p>
        </w:tc>
        <w:tc>
          <w:tcPr>
            <w:tcW w:w="7377" w:type="dxa"/>
            <w:shd w:val="clear" w:color="auto" w:fill="auto"/>
            <w:vAlign w:val="center"/>
          </w:tcPr>
          <w:p w14:paraId="51B45660" w14:textId="11043B86"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докторантите, които са зачислени в докторантура по операцията, и броя на представителите на академичния състав, които са преминали обучение по операцията за подобряване на уменията за преподаване на докторати.</w:t>
            </w:r>
          </w:p>
        </w:tc>
      </w:tr>
      <w:tr w:rsidR="00D857FE" w:rsidRPr="00D83669" w14:paraId="74CEC36C" w14:textId="77777777" w:rsidTr="000F2703">
        <w:tc>
          <w:tcPr>
            <w:tcW w:w="2263" w:type="dxa"/>
            <w:shd w:val="clear" w:color="auto" w:fill="auto"/>
            <w:vAlign w:val="center"/>
          </w:tcPr>
          <w:p w14:paraId="7560754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7" w:type="dxa"/>
            <w:shd w:val="clear" w:color="auto" w:fill="auto"/>
            <w:vAlign w:val="center"/>
          </w:tcPr>
          <w:p w14:paraId="107F0AD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Брой</w:t>
            </w:r>
          </w:p>
        </w:tc>
      </w:tr>
      <w:tr w:rsidR="00D857FE" w:rsidRPr="00D83669" w14:paraId="30612473" w14:textId="77777777" w:rsidTr="000F2703">
        <w:tc>
          <w:tcPr>
            <w:tcW w:w="2263" w:type="dxa"/>
            <w:shd w:val="clear" w:color="auto" w:fill="auto"/>
            <w:vAlign w:val="center"/>
          </w:tcPr>
          <w:p w14:paraId="3B2BFBB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7" w:type="dxa"/>
            <w:shd w:val="clear" w:color="auto" w:fill="auto"/>
            <w:vAlign w:val="center"/>
          </w:tcPr>
          <w:p w14:paraId="2164BADB" w14:textId="2CE14417" w:rsidR="00D857FE" w:rsidRPr="000E5835" w:rsidRDefault="000E5835" w:rsidP="00CC7BCB">
            <w:pPr>
              <w:jc w:val="both"/>
              <w:rPr>
                <w:rFonts w:ascii="Times New Roman" w:hAnsi="Times New Roman"/>
                <w:sz w:val="24"/>
                <w:lang w:val="en-US"/>
              </w:rPr>
            </w:pPr>
            <w:r>
              <w:rPr>
                <w:rFonts w:ascii="Times New Roman" w:hAnsi="Times New Roman"/>
                <w:sz w:val="24"/>
                <w:lang w:val="en-US"/>
              </w:rPr>
              <w:t>594</w:t>
            </w:r>
          </w:p>
        </w:tc>
      </w:tr>
      <w:tr w:rsidR="00D857FE" w:rsidRPr="00D83669" w14:paraId="58D8CB12" w14:textId="77777777" w:rsidTr="000F2703">
        <w:tc>
          <w:tcPr>
            <w:tcW w:w="2263" w:type="dxa"/>
            <w:shd w:val="clear" w:color="auto" w:fill="auto"/>
            <w:vAlign w:val="center"/>
          </w:tcPr>
          <w:p w14:paraId="19C00EC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7" w:type="dxa"/>
            <w:shd w:val="clear" w:color="auto" w:fill="auto"/>
            <w:vAlign w:val="center"/>
          </w:tcPr>
          <w:p w14:paraId="7804525E" w14:textId="5A32536E" w:rsidR="00D857FE" w:rsidRPr="00D83669" w:rsidRDefault="00D857FE" w:rsidP="00CC7BCB">
            <w:pPr>
              <w:jc w:val="both"/>
              <w:rPr>
                <w:rFonts w:ascii="Times New Roman" w:hAnsi="Times New Roman"/>
                <w:sz w:val="24"/>
              </w:rPr>
            </w:pPr>
            <w:r w:rsidRPr="00D83669">
              <w:rPr>
                <w:rFonts w:ascii="Times New Roman" w:hAnsi="Times New Roman"/>
                <w:sz w:val="24"/>
              </w:rPr>
              <w:t xml:space="preserve">Целевата стойност представлява средно </w:t>
            </w:r>
            <w:r w:rsidR="002F2A06">
              <w:rPr>
                <w:rFonts w:ascii="Times New Roman" w:hAnsi="Times New Roman"/>
                <w:sz w:val="24"/>
              </w:rPr>
              <w:t xml:space="preserve">около </w:t>
            </w:r>
            <w:r w:rsidR="002F2A06" w:rsidRPr="002F2A06">
              <w:rPr>
                <w:rFonts w:ascii="Times New Roman" w:hAnsi="Times New Roman"/>
                <w:sz w:val="24"/>
              </w:rPr>
              <w:t>3</w:t>
            </w:r>
            <w:r w:rsidRPr="00D83669">
              <w:rPr>
                <w:rFonts w:ascii="Times New Roman" w:hAnsi="Times New Roman"/>
                <w:sz w:val="24"/>
              </w:rPr>
              <w:t xml:space="preserve"> % от общия брой докторанти и преподаватели във висши училища и научни организации, които по данни на НСИ през 2020 г. са 20 716 преподаватели и 2 147 лица, зачислени в докторантура, отчитайки че операцията ще се реализира чрез подбор на проектни предложения и че подкрепата за преподавателите има спомагателен характер и не е основна дейност по операцията.</w:t>
            </w:r>
          </w:p>
        </w:tc>
      </w:tr>
      <w:tr w:rsidR="00D857FE" w:rsidRPr="00D83669" w14:paraId="697B5DA9" w14:textId="77777777" w:rsidTr="000F2703">
        <w:trPr>
          <w:trHeight w:val="125"/>
        </w:trPr>
        <w:tc>
          <w:tcPr>
            <w:tcW w:w="2263" w:type="dxa"/>
            <w:shd w:val="clear" w:color="auto" w:fill="auto"/>
            <w:vAlign w:val="center"/>
          </w:tcPr>
          <w:p w14:paraId="0FF3532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377" w:type="dxa"/>
            <w:shd w:val="clear" w:color="auto" w:fill="auto"/>
            <w:vAlign w:val="center"/>
          </w:tcPr>
          <w:p w14:paraId="04CA8C77" w14:textId="607570BF" w:rsidR="00D857FE" w:rsidRPr="000E5835" w:rsidRDefault="000E5835" w:rsidP="00CC7BCB">
            <w:pPr>
              <w:jc w:val="both"/>
              <w:rPr>
                <w:rFonts w:ascii="Times New Roman" w:hAnsi="Times New Roman"/>
                <w:sz w:val="24"/>
                <w:lang w:val="en-US"/>
              </w:rPr>
            </w:pPr>
            <w:r>
              <w:rPr>
                <w:rFonts w:ascii="Times New Roman" w:hAnsi="Times New Roman"/>
                <w:sz w:val="24"/>
                <w:lang w:val="en-US"/>
              </w:rPr>
              <w:t>119</w:t>
            </w:r>
          </w:p>
        </w:tc>
      </w:tr>
      <w:tr w:rsidR="00D857FE" w:rsidRPr="00D83669" w14:paraId="136D2814" w14:textId="77777777" w:rsidTr="000F2703">
        <w:tc>
          <w:tcPr>
            <w:tcW w:w="2263" w:type="dxa"/>
            <w:shd w:val="clear" w:color="auto" w:fill="auto"/>
            <w:vAlign w:val="center"/>
          </w:tcPr>
          <w:p w14:paraId="3CC5119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7" w:type="dxa"/>
            <w:shd w:val="clear" w:color="auto" w:fill="auto"/>
            <w:vAlign w:val="center"/>
          </w:tcPr>
          <w:p w14:paraId="6F405E43" w14:textId="6E35CECF" w:rsidR="00D857FE" w:rsidRPr="00D83669" w:rsidRDefault="00EB2B70" w:rsidP="00CC7BCB">
            <w:pPr>
              <w:jc w:val="both"/>
              <w:rPr>
                <w:rFonts w:ascii="Times New Roman" w:hAnsi="Times New Roman"/>
                <w:sz w:val="24"/>
              </w:rPr>
            </w:pPr>
            <w:r w:rsidRPr="00D83669">
              <w:rPr>
                <w:rFonts w:ascii="Times New Roman" w:hAnsi="Times New Roman"/>
                <w:sz w:val="24"/>
              </w:rPr>
              <w:t>Етапната цел представлява</w:t>
            </w:r>
            <w:r w:rsidR="00644DE4" w:rsidRPr="00D83669">
              <w:rPr>
                <w:rFonts w:ascii="Times New Roman" w:hAnsi="Times New Roman"/>
                <w:sz w:val="24"/>
              </w:rPr>
              <w:t xml:space="preserve"> </w:t>
            </w:r>
            <w:r w:rsidRPr="00D83669">
              <w:rPr>
                <w:rFonts w:ascii="Times New Roman" w:hAnsi="Times New Roman"/>
                <w:sz w:val="24"/>
              </w:rPr>
              <w:t xml:space="preserve">20% от броя на докторантите и преподавателите, които се планира да бъдат обхванати в дейности по операция " Подкрепа за развитие на академичния състав във висшите </w:t>
            </w:r>
            <w:r w:rsidRPr="00D83669">
              <w:rPr>
                <w:rFonts w:ascii="Times New Roman" w:hAnsi="Times New Roman"/>
                <w:sz w:val="24"/>
              </w:rPr>
              <w:lastRenderedPageBreak/>
              <w:t>училища и научните организации, включително повишаване на интереса и подобряване на условията за докторски програми, свързани с потребностите на пазара на труда, чрез подкрепата на модулни програми" (</w:t>
            </w:r>
            <w:r w:rsidR="00513EB3">
              <w:rPr>
                <w:rFonts w:ascii="Times New Roman" w:hAnsi="Times New Roman"/>
                <w:sz w:val="24"/>
              </w:rPr>
              <w:t>594</w:t>
            </w:r>
            <w:r w:rsidRPr="00D83669">
              <w:rPr>
                <w:rFonts w:ascii="Times New Roman" w:hAnsi="Times New Roman"/>
                <w:sz w:val="24"/>
              </w:rPr>
              <w:t xml:space="preserve"> лица). Определена е, като е съобразена с план-графика за стартиране на операцията на база 100% финансов ресурс за 5-годишна продължителност на операцията, при планирано стартиране на реалното изпълнение на дейностите в края на 2023 г. и отчитане стойности на индикатора през 2024 г., т.е. до края на 2024 г. реалното изпълнение е една година (</w:t>
            </w:r>
            <w:r w:rsidR="00513EB3">
              <w:rPr>
                <w:rFonts w:ascii="Times New Roman" w:hAnsi="Times New Roman"/>
                <w:sz w:val="24"/>
              </w:rPr>
              <w:t>119</w:t>
            </w:r>
            <w:r w:rsidRPr="00D83669">
              <w:rPr>
                <w:rFonts w:ascii="Times New Roman" w:hAnsi="Times New Roman"/>
                <w:sz w:val="24"/>
              </w:rPr>
              <w:t xml:space="preserve"> =</w:t>
            </w:r>
            <w:r w:rsidR="00513EB3">
              <w:rPr>
                <w:rFonts w:ascii="Times New Roman" w:hAnsi="Times New Roman"/>
                <w:sz w:val="24"/>
              </w:rPr>
              <w:t>5</w:t>
            </w:r>
            <w:r w:rsidRPr="00D83669">
              <w:rPr>
                <w:rFonts w:ascii="Times New Roman" w:hAnsi="Times New Roman"/>
                <w:sz w:val="24"/>
              </w:rPr>
              <w:t>9</w:t>
            </w:r>
            <w:r w:rsidR="00513EB3">
              <w:rPr>
                <w:rFonts w:ascii="Times New Roman" w:hAnsi="Times New Roman"/>
                <w:sz w:val="24"/>
              </w:rPr>
              <w:t>4</w:t>
            </w:r>
            <w:r w:rsidRPr="00D83669">
              <w:rPr>
                <w:rFonts w:ascii="Times New Roman" w:hAnsi="Times New Roman"/>
                <w:sz w:val="24"/>
              </w:rPr>
              <w:t>*100%*1/5).</w:t>
            </w:r>
          </w:p>
        </w:tc>
      </w:tr>
      <w:tr w:rsidR="00D857FE" w:rsidRPr="00D83669" w14:paraId="73AA332E" w14:textId="77777777" w:rsidTr="000F2703">
        <w:tc>
          <w:tcPr>
            <w:tcW w:w="2263" w:type="dxa"/>
            <w:shd w:val="clear" w:color="auto" w:fill="auto"/>
            <w:vAlign w:val="center"/>
          </w:tcPr>
          <w:p w14:paraId="5DA744E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Базова стойност</w:t>
            </w:r>
          </w:p>
        </w:tc>
        <w:tc>
          <w:tcPr>
            <w:tcW w:w="7377" w:type="dxa"/>
            <w:shd w:val="clear" w:color="auto" w:fill="auto"/>
            <w:vAlign w:val="center"/>
          </w:tcPr>
          <w:p w14:paraId="750C4B1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7011B3F0" w14:textId="77777777" w:rsidTr="000F2703">
        <w:tc>
          <w:tcPr>
            <w:tcW w:w="2263" w:type="dxa"/>
            <w:shd w:val="clear" w:color="auto" w:fill="auto"/>
            <w:vAlign w:val="center"/>
          </w:tcPr>
          <w:p w14:paraId="637A6CF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Разбивка </w:t>
            </w:r>
          </w:p>
        </w:tc>
        <w:tc>
          <w:tcPr>
            <w:tcW w:w="7377" w:type="dxa"/>
            <w:shd w:val="clear" w:color="auto" w:fill="auto"/>
            <w:vAlign w:val="center"/>
          </w:tcPr>
          <w:p w14:paraId="6AB2FFF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 по други демографски фактори. На етап отчитане ще бъдат представени данни за пол, възраст, район, област и община и друга демографска информация за участниците.</w:t>
            </w:r>
          </w:p>
        </w:tc>
      </w:tr>
      <w:tr w:rsidR="00D857FE" w:rsidRPr="00D83669" w14:paraId="1C3914A5" w14:textId="77777777" w:rsidTr="000F2703">
        <w:tc>
          <w:tcPr>
            <w:tcW w:w="2263" w:type="dxa"/>
            <w:shd w:val="clear" w:color="auto" w:fill="auto"/>
            <w:vAlign w:val="center"/>
          </w:tcPr>
          <w:p w14:paraId="7230F3E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7" w:type="dxa"/>
            <w:shd w:val="clear" w:color="auto" w:fill="auto"/>
            <w:vAlign w:val="center"/>
          </w:tcPr>
          <w:p w14:paraId="5B09A62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събират, за да се анализира дали е достатъчно висок интересът към проектната докторантура като цяло, както и към какви докторски програми се насочват докторантите. Тази информация ще подпомогне изграждането на цялостна картина за ефекта на такъв тип докторантури за посрещане на нуждите на бизнеса от научни резултати, както и за степента, в която академичния състав е подготвен за обучава докторанти в тези области. </w:t>
            </w:r>
          </w:p>
        </w:tc>
      </w:tr>
      <w:tr w:rsidR="00D857FE" w:rsidRPr="00D83669" w14:paraId="7AEF24A9" w14:textId="77777777" w:rsidTr="000F2703">
        <w:tc>
          <w:tcPr>
            <w:tcW w:w="2263" w:type="dxa"/>
            <w:shd w:val="clear" w:color="auto" w:fill="auto"/>
            <w:vAlign w:val="center"/>
          </w:tcPr>
          <w:p w14:paraId="54D9C0E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7" w:type="dxa"/>
            <w:shd w:val="clear" w:color="auto" w:fill="auto"/>
            <w:vAlign w:val="center"/>
          </w:tcPr>
          <w:p w14:paraId="40CB2CC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всички участници. </w:t>
            </w:r>
          </w:p>
          <w:p w14:paraId="4D81784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пол и възраст на участника; друга демографска информация; професионално направление; докторска програма и др.</w:t>
            </w:r>
          </w:p>
        </w:tc>
      </w:tr>
      <w:tr w:rsidR="00D857FE" w:rsidRPr="00D83669" w14:paraId="4BA06B69" w14:textId="77777777" w:rsidTr="000F2703">
        <w:tc>
          <w:tcPr>
            <w:tcW w:w="2263" w:type="dxa"/>
            <w:shd w:val="clear" w:color="auto" w:fill="auto"/>
            <w:vAlign w:val="center"/>
          </w:tcPr>
          <w:p w14:paraId="435E596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7" w:type="dxa"/>
            <w:shd w:val="clear" w:color="auto" w:fill="auto"/>
            <w:vAlign w:val="center"/>
          </w:tcPr>
          <w:p w14:paraId="1599E2D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 Два пъти годишно</w:t>
            </w:r>
          </w:p>
        </w:tc>
      </w:tr>
      <w:tr w:rsidR="00D857FE" w:rsidRPr="00D83669" w14:paraId="652F1ECE" w14:textId="77777777" w:rsidTr="000F2703">
        <w:trPr>
          <w:trHeight w:val="1036"/>
        </w:trPr>
        <w:tc>
          <w:tcPr>
            <w:tcW w:w="2263" w:type="dxa"/>
            <w:shd w:val="clear" w:color="auto" w:fill="auto"/>
            <w:vAlign w:val="center"/>
          </w:tcPr>
          <w:p w14:paraId="6445670C" w14:textId="6A6C3F8C"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7" w:type="dxa"/>
            <w:shd w:val="clear" w:color="auto" w:fill="auto"/>
            <w:vAlign w:val="center"/>
          </w:tcPr>
          <w:p w14:paraId="558F1146"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p w14:paraId="6C968311" w14:textId="77777777" w:rsidR="00D857FE" w:rsidRPr="00D83669" w:rsidRDefault="00D857FE" w:rsidP="00D857FE">
            <w:pPr>
              <w:pStyle w:val="ListParagraph"/>
              <w:numPr>
                <w:ilvl w:val="0"/>
                <w:numId w:val="26"/>
              </w:numPr>
              <w:spacing w:after="0" w:line="240" w:lineRule="auto"/>
              <w:jc w:val="both"/>
              <w:rPr>
                <w:rFonts w:ascii="Times New Roman" w:hAnsi="Times New Roman"/>
                <w:sz w:val="24"/>
              </w:rPr>
            </w:pPr>
            <w:r w:rsidRPr="00D83669">
              <w:rPr>
                <w:rFonts w:ascii="Times New Roman" w:hAnsi="Times New Roman"/>
                <w:sz w:val="24"/>
              </w:rPr>
              <w:t>SOI 3.5 Брой докторантски училища.</w:t>
            </w:r>
          </w:p>
        </w:tc>
      </w:tr>
      <w:tr w:rsidR="00D857FE" w:rsidRPr="00D83669" w14:paraId="6C0D6BE8" w14:textId="77777777" w:rsidTr="000F2703">
        <w:trPr>
          <w:trHeight w:val="1774"/>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tcPr>
          <w:p w14:paraId="5BBDB9F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7" w:type="dxa"/>
            <w:tcBorders>
              <w:top w:val="single" w:sz="4" w:space="0" w:color="auto"/>
              <w:left w:val="single" w:sz="4" w:space="0" w:color="auto"/>
              <w:bottom w:val="single" w:sz="4" w:space="0" w:color="auto"/>
              <w:right w:val="single" w:sz="4" w:space="0" w:color="auto"/>
            </w:tcBorders>
            <w:shd w:val="clear" w:color="auto" w:fill="auto"/>
            <w:vAlign w:val="center"/>
          </w:tcPr>
          <w:p w14:paraId="18937573" w14:textId="772AB708"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докторантите и представителите на академичния състав, подкрепени чрез дейности по операции по СЦ по чл. 4, пар. 1, буква ж) на Приоритет 3 на ПО 2021 – 2027 и е равна на броя на всички участници в дейности по тази специфична цел на Приоритет 3 на Програмата.</w:t>
            </w:r>
          </w:p>
        </w:tc>
      </w:tr>
    </w:tbl>
    <w:p w14:paraId="59F186C9" w14:textId="77777777" w:rsidR="00D857FE" w:rsidRPr="00D83669" w:rsidRDefault="00D857FE" w:rsidP="00D857FE">
      <w:r w:rsidRPr="00D83669">
        <w:br w:type="page"/>
      </w:r>
    </w:p>
    <w:p w14:paraId="21CCAF41" w14:textId="3D12E4AA" w:rsidR="00D857FE" w:rsidRPr="00D83669" w:rsidRDefault="00D857FE" w:rsidP="00BB37EF">
      <w:pPr>
        <w:pStyle w:val="Heading3"/>
        <w:rPr>
          <w:b/>
          <w:bCs/>
          <w:i/>
          <w:iCs/>
          <w:sz w:val="22"/>
          <w:szCs w:val="22"/>
        </w:rPr>
      </w:pPr>
      <w:bookmarkStart w:id="224" w:name="_Toc100153036"/>
      <w:bookmarkStart w:id="225" w:name="_Toc103586711"/>
      <w:r w:rsidRPr="00D83669">
        <w:rPr>
          <w:b/>
          <w:bCs/>
          <w:i/>
          <w:iCs/>
          <w:sz w:val="22"/>
          <w:szCs w:val="22"/>
        </w:rPr>
        <w:lastRenderedPageBreak/>
        <w:t>SOI 3.5 Брой докторантски училища</w:t>
      </w:r>
      <w:bookmarkEnd w:id="224"/>
      <w:bookmarkEnd w:id="225"/>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2A3F749C" w14:textId="77777777" w:rsidTr="000B0EB6">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446C091C" w14:textId="3CBCA61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FA64F5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19C22508" w14:textId="77777777" w:rsidTr="000B0EB6">
        <w:tc>
          <w:tcPr>
            <w:tcW w:w="2269" w:type="dxa"/>
            <w:shd w:val="clear" w:color="auto" w:fill="auto"/>
            <w:vAlign w:val="center"/>
          </w:tcPr>
          <w:p w14:paraId="5F6945A2" w14:textId="2DF9AA8F"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w:t>
            </w:r>
          </w:p>
        </w:tc>
        <w:tc>
          <w:tcPr>
            <w:tcW w:w="7371" w:type="dxa"/>
            <w:shd w:val="clear" w:color="auto" w:fill="auto"/>
            <w:vAlign w:val="center"/>
          </w:tcPr>
          <w:p w14:paraId="64A14432"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3.</w:t>
            </w:r>
            <w:r w:rsidRPr="00D83669">
              <w:rPr>
                <w:rFonts w:ascii="Times New Roman" w:hAnsi="Times New Roman"/>
                <w:sz w:val="24"/>
                <w:lang w:val="en-US"/>
              </w:rPr>
              <w:t>5</w:t>
            </w:r>
            <w:r w:rsidRPr="00D83669">
              <w:rPr>
                <w:rFonts w:ascii="Times New Roman" w:hAnsi="Times New Roman"/>
                <w:sz w:val="24"/>
              </w:rPr>
              <w:t xml:space="preserve"> Брой докторантски училища</w:t>
            </w:r>
          </w:p>
        </w:tc>
      </w:tr>
      <w:tr w:rsidR="00D857FE" w:rsidRPr="00D83669" w14:paraId="2EBBE358" w14:textId="77777777" w:rsidTr="000B0EB6">
        <w:tc>
          <w:tcPr>
            <w:tcW w:w="2269" w:type="dxa"/>
            <w:shd w:val="clear" w:color="auto" w:fill="auto"/>
            <w:vAlign w:val="center"/>
          </w:tcPr>
          <w:p w14:paraId="481368D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2BA9DE24" w14:textId="5E10FC73"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771EB7EE" w14:textId="77777777" w:rsidTr="000B0EB6">
        <w:tc>
          <w:tcPr>
            <w:tcW w:w="2269" w:type="dxa"/>
            <w:shd w:val="clear" w:color="auto" w:fill="auto"/>
            <w:vAlign w:val="center"/>
          </w:tcPr>
          <w:p w14:paraId="790D7FC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15EB18AF" w14:textId="77777777" w:rsidR="00D857FE" w:rsidRPr="00D83669" w:rsidRDefault="00D857FE" w:rsidP="00CC7BCB">
            <w:pPr>
              <w:jc w:val="both"/>
              <w:rPr>
                <w:rFonts w:ascii="Times New Roman" w:eastAsia="Calibri" w:hAnsi="Times New Roman"/>
                <w:b/>
                <w:color w:val="000000"/>
                <w:sz w:val="24"/>
                <w:lang w:eastAsia="bg-BG" w:bidi="bg-BG"/>
              </w:rPr>
            </w:pPr>
            <w:r w:rsidRPr="00D83669">
              <w:rPr>
                <w:rFonts w:ascii="Times New Roman" w:hAnsi="Times New Roman"/>
                <w:b/>
                <w:sz w:val="24"/>
              </w:rPr>
              <w:t>СЦ по чл. 4, пар. 1, буква ж)</w:t>
            </w:r>
            <w:r w:rsidRPr="00D83669">
              <w:rPr>
                <w:rFonts w:ascii="Times New Roman" w:hAnsi="Times New Roman"/>
                <w:sz w:val="24"/>
              </w:rPr>
              <w:t xml:space="preserve"> – Н</w:t>
            </w:r>
            <w:r w:rsidRPr="00D83669">
              <w:rPr>
                <w:rFonts w:ascii="Times New Roman" w:eastAsia="Calibri" w:hAnsi="Times New Roman"/>
                <w:color w:val="000000"/>
                <w:sz w:val="24"/>
                <w:lang w:eastAsia="bg-BG" w:bidi="bg-BG"/>
              </w:rPr>
              <w:t>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предприемаческите и цифровите умения, по-доброто предвиждане на промените и изискванията за нови умения, в зависимост от нуждите на пазара, улесняването на преходите в професионалното развитие и насърчаването на професионалната мобилност</w:t>
            </w:r>
          </w:p>
        </w:tc>
      </w:tr>
      <w:tr w:rsidR="00D857FE" w:rsidRPr="00D83669" w14:paraId="7F944FC4" w14:textId="77777777" w:rsidTr="000B0EB6">
        <w:tc>
          <w:tcPr>
            <w:tcW w:w="2269" w:type="dxa"/>
            <w:shd w:val="clear" w:color="auto" w:fill="auto"/>
            <w:vAlign w:val="center"/>
          </w:tcPr>
          <w:p w14:paraId="708314C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6FC1F9A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развитие на академичния състав във висшите училища и научните организации, включително повишаване на интереса и подобряване на условията за докторски програми, свързани с потребностите на пазара на труда, чрез подкрепата на модулни програми за следните групи дейности:</w:t>
            </w:r>
          </w:p>
        </w:tc>
      </w:tr>
      <w:tr w:rsidR="00D857FE" w:rsidRPr="00D83669" w14:paraId="76F12636" w14:textId="77777777" w:rsidTr="000B0EB6">
        <w:tc>
          <w:tcPr>
            <w:tcW w:w="2269" w:type="dxa"/>
            <w:shd w:val="clear" w:color="auto" w:fill="auto"/>
            <w:vAlign w:val="center"/>
          </w:tcPr>
          <w:p w14:paraId="77C4FE0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371" w:type="dxa"/>
            <w:shd w:val="clear" w:color="auto" w:fill="auto"/>
            <w:vAlign w:val="center"/>
          </w:tcPr>
          <w:p w14:paraId="5B5214B4" w14:textId="4CB1B313"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докторантските училища на участващите висши училища и научни организации, които са подкрепени по настоящата операция.</w:t>
            </w:r>
          </w:p>
        </w:tc>
      </w:tr>
      <w:tr w:rsidR="00D857FE" w:rsidRPr="00D83669" w14:paraId="004E300D" w14:textId="77777777" w:rsidTr="000B0EB6">
        <w:tc>
          <w:tcPr>
            <w:tcW w:w="2269" w:type="dxa"/>
            <w:shd w:val="clear" w:color="auto" w:fill="auto"/>
            <w:vAlign w:val="center"/>
          </w:tcPr>
          <w:p w14:paraId="1C53EA3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5A4E137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775D1905" w14:textId="77777777" w:rsidTr="000B0EB6">
        <w:tc>
          <w:tcPr>
            <w:tcW w:w="2269" w:type="dxa"/>
            <w:shd w:val="clear" w:color="auto" w:fill="auto"/>
            <w:vAlign w:val="center"/>
          </w:tcPr>
          <w:p w14:paraId="5296187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6334B052"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47</w:t>
            </w:r>
          </w:p>
        </w:tc>
      </w:tr>
      <w:tr w:rsidR="00D857FE" w:rsidRPr="00D83669" w14:paraId="0983B417" w14:textId="77777777" w:rsidTr="000B0EB6">
        <w:tc>
          <w:tcPr>
            <w:tcW w:w="2269" w:type="dxa"/>
            <w:shd w:val="clear" w:color="auto" w:fill="auto"/>
            <w:vAlign w:val="center"/>
          </w:tcPr>
          <w:p w14:paraId="4995CFD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13539B9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представлява 36 % от общия брой докторантски центрове/школи/училища във висшите училища и научните организации, по данни за 2021 г., имайки предвид че операцията ще се реализира чрез подбор на проектни предложения.</w:t>
            </w:r>
          </w:p>
        </w:tc>
      </w:tr>
      <w:tr w:rsidR="00D857FE" w:rsidRPr="00D83669" w14:paraId="1D997CD4" w14:textId="77777777" w:rsidTr="000B0EB6">
        <w:tc>
          <w:tcPr>
            <w:tcW w:w="2269" w:type="dxa"/>
            <w:shd w:val="clear" w:color="auto" w:fill="auto"/>
            <w:vAlign w:val="center"/>
          </w:tcPr>
          <w:p w14:paraId="1CA0827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371" w:type="dxa"/>
            <w:shd w:val="clear" w:color="auto" w:fill="auto"/>
            <w:vAlign w:val="center"/>
          </w:tcPr>
          <w:p w14:paraId="54BACEB9" w14:textId="32ED4527" w:rsidR="00D857FE" w:rsidRPr="00D83669" w:rsidRDefault="00EB2B70" w:rsidP="00CC7BCB">
            <w:pPr>
              <w:jc w:val="both"/>
              <w:rPr>
                <w:rFonts w:ascii="Times New Roman" w:hAnsi="Times New Roman"/>
                <w:sz w:val="24"/>
              </w:rPr>
            </w:pPr>
            <w:r w:rsidRPr="00D83669">
              <w:rPr>
                <w:rFonts w:ascii="Times New Roman" w:hAnsi="Times New Roman"/>
                <w:sz w:val="24"/>
              </w:rPr>
              <w:t>9</w:t>
            </w:r>
          </w:p>
        </w:tc>
      </w:tr>
      <w:tr w:rsidR="00D857FE" w:rsidRPr="00D83669" w14:paraId="4FD45E5D" w14:textId="77777777" w:rsidTr="000B0EB6">
        <w:tc>
          <w:tcPr>
            <w:tcW w:w="2269" w:type="dxa"/>
            <w:shd w:val="clear" w:color="auto" w:fill="auto"/>
            <w:vAlign w:val="center"/>
          </w:tcPr>
          <w:p w14:paraId="2456A0E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1" w:type="dxa"/>
            <w:shd w:val="clear" w:color="auto" w:fill="auto"/>
            <w:vAlign w:val="center"/>
          </w:tcPr>
          <w:p w14:paraId="2A67166F" w14:textId="4A86A04C" w:rsidR="00D857FE" w:rsidRPr="00D83669" w:rsidRDefault="00EB2B70" w:rsidP="00CC7BCB">
            <w:pPr>
              <w:jc w:val="both"/>
              <w:rPr>
                <w:rFonts w:ascii="Times New Roman" w:hAnsi="Times New Roman"/>
                <w:sz w:val="24"/>
              </w:rPr>
            </w:pPr>
            <w:r w:rsidRPr="00D83669">
              <w:rPr>
                <w:rFonts w:ascii="Times New Roman" w:hAnsi="Times New Roman"/>
                <w:sz w:val="24"/>
              </w:rPr>
              <w:t>Етапната цел представлява</w:t>
            </w:r>
            <w:r w:rsidR="00644DE4" w:rsidRPr="00D83669">
              <w:rPr>
                <w:rFonts w:ascii="Times New Roman" w:hAnsi="Times New Roman"/>
                <w:sz w:val="24"/>
              </w:rPr>
              <w:t xml:space="preserve"> </w:t>
            </w:r>
            <w:r w:rsidRPr="00D83669">
              <w:rPr>
                <w:rFonts w:ascii="Times New Roman" w:hAnsi="Times New Roman"/>
                <w:sz w:val="24"/>
              </w:rPr>
              <w:t xml:space="preserve">20% от броя на докторантските училища, които се планира да бъдат подкрепени по операция " Подкрепа за развитие на академичния състав във висшите училища и научните организации, включително повишаване на интереса и подобряване на условията за докторски програми, свързани с потребностите на пазара на труда, чрез подкрепата на модулни програми" (47 докторантски училища). Определена е, като е съобразена с план-графика за стартиране на операцията на база 100% финансов ресурс за 5-годишна продължителност на операцията, при планирано стартиране на реалното изпълнение на дейностите в края на 2023 г. и отчитане стойности на индикатора през 2024 г., т.е. до края на 2024 г. реалното изпълнение е една година (9 =47*100%*1/5). </w:t>
            </w:r>
          </w:p>
        </w:tc>
      </w:tr>
      <w:tr w:rsidR="00D857FE" w:rsidRPr="00D83669" w14:paraId="45CA3332" w14:textId="77777777" w:rsidTr="000B0EB6">
        <w:tc>
          <w:tcPr>
            <w:tcW w:w="2269" w:type="dxa"/>
            <w:shd w:val="clear" w:color="auto" w:fill="auto"/>
            <w:vAlign w:val="center"/>
          </w:tcPr>
          <w:p w14:paraId="2134FEE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Базова стойност</w:t>
            </w:r>
          </w:p>
        </w:tc>
        <w:tc>
          <w:tcPr>
            <w:tcW w:w="7371" w:type="dxa"/>
            <w:shd w:val="clear" w:color="auto" w:fill="auto"/>
            <w:vAlign w:val="center"/>
          </w:tcPr>
          <w:p w14:paraId="0924046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0</w:t>
            </w:r>
          </w:p>
        </w:tc>
      </w:tr>
      <w:tr w:rsidR="00D857FE" w:rsidRPr="00D83669" w14:paraId="2B949D1F" w14:textId="77777777" w:rsidTr="000B0EB6">
        <w:tc>
          <w:tcPr>
            <w:tcW w:w="2269" w:type="dxa"/>
            <w:shd w:val="clear" w:color="auto" w:fill="auto"/>
            <w:vAlign w:val="center"/>
          </w:tcPr>
          <w:p w14:paraId="791AD31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Разбивка </w:t>
            </w:r>
          </w:p>
        </w:tc>
        <w:tc>
          <w:tcPr>
            <w:tcW w:w="7371" w:type="dxa"/>
            <w:shd w:val="clear" w:color="auto" w:fill="auto"/>
            <w:vAlign w:val="center"/>
          </w:tcPr>
          <w:p w14:paraId="1520EF9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отделни признаци. На етап отчитане ще бъдат представени данни за научните области, професионалните направления и докторските програми, по които обучават подкрепените докторантски училища и друга информация.</w:t>
            </w:r>
          </w:p>
        </w:tc>
      </w:tr>
      <w:tr w:rsidR="00D857FE" w:rsidRPr="00D83669" w14:paraId="1677E716" w14:textId="77777777" w:rsidTr="000B0EB6">
        <w:tc>
          <w:tcPr>
            <w:tcW w:w="2269" w:type="dxa"/>
            <w:shd w:val="clear" w:color="auto" w:fill="auto"/>
            <w:vAlign w:val="center"/>
          </w:tcPr>
          <w:p w14:paraId="7F5C6E3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17FE6BBD"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Събирането на данни за броя на докторантските училища, подкрепени по програмата, е необходимо за извършването на анализи на резултатите от предприетите мерки за подобряване на съответствието на висшето образование с потребностите на пазара на труда. Данните от мониторинга, събрани за този показател, ще предоставят важна информация за степента, в която обучението по докторски програми съответства на потребностите на пазара на труда, както и за научните области, в които е необходимо да се предприемат допълнителни мерки с оглед преодоляване на дефицитите на пазара на труда.</w:t>
            </w:r>
          </w:p>
        </w:tc>
      </w:tr>
      <w:tr w:rsidR="00D857FE" w:rsidRPr="00D83669" w14:paraId="5F9D54DD" w14:textId="77777777" w:rsidTr="000B0EB6">
        <w:tc>
          <w:tcPr>
            <w:tcW w:w="2269" w:type="dxa"/>
            <w:shd w:val="clear" w:color="auto" w:fill="auto"/>
            <w:vAlign w:val="center"/>
          </w:tcPr>
          <w:p w14:paraId="10E8FE0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55660D8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Данните ще се събрат текущо на база технически отчети с изчерпателен обхват на информацията. </w:t>
            </w:r>
          </w:p>
          <w:p w14:paraId="4721328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Данните ще съдържат информация за: името на висшето училище/научната организация; местоположението; научната област, професионалното направление, докторската програма, за които са разработени нови курсове за обучение на докторанти; и др.</w:t>
            </w:r>
          </w:p>
        </w:tc>
      </w:tr>
      <w:tr w:rsidR="00D857FE" w:rsidRPr="00D83669" w14:paraId="7D935646" w14:textId="77777777" w:rsidTr="000B0EB6">
        <w:tc>
          <w:tcPr>
            <w:tcW w:w="2269" w:type="dxa"/>
            <w:shd w:val="clear" w:color="auto" w:fill="auto"/>
            <w:vAlign w:val="center"/>
          </w:tcPr>
          <w:p w14:paraId="31CD95F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36FF5CAE"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479B868C" w14:textId="77777777" w:rsidTr="000B0EB6">
        <w:tc>
          <w:tcPr>
            <w:tcW w:w="2269" w:type="dxa"/>
            <w:shd w:val="clear" w:color="auto" w:fill="auto"/>
            <w:vAlign w:val="center"/>
          </w:tcPr>
          <w:p w14:paraId="1861BE2F" w14:textId="582FBDF0"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78C9C333" w14:textId="77777777" w:rsidR="00D857FE" w:rsidRPr="00D83669" w:rsidRDefault="00D857FE" w:rsidP="00D857FE">
            <w:pPr>
              <w:pStyle w:val="ListParagraph"/>
              <w:numPr>
                <w:ilvl w:val="0"/>
                <w:numId w:val="40"/>
              </w:numPr>
              <w:spacing w:after="0" w:line="240" w:lineRule="auto"/>
              <w:jc w:val="both"/>
              <w:rPr>
                <w:rFonts w:ascii="Times New Roman" w:hAnsi="Times New Roman"/>
                <w:sz w:val="24"/>
              </w:rPr>
            </w:pPr>
            <w:r w:rsidRPr="00D83669">
              <w:rPr>
                <w:rFonts w:ascii="Times New Roman" w:hAnsi="Times New Roman"/>
                <w:sz w:val="24"/>
              </w:rPr>
              <w:t>EEC011 Участници с висше образование (ISCED 5 до 8);</w:t>
            </w:r>
          </w:p>
          <w:p w14:paraId="6F526938" w14:textId="77777777" w:rsidR="00D857FE" w:rsidRPr="00D83669" w:rsidRDefault="00D857FE" w:rsidP="00D857FE">
            <w:pPr>
              <w:pStyle w:val="ListParagraph"/>
              <w:numPr>
                <w:ilvl w:val="0"/>
                <w:numId w:val="40"/>
              </w:numPr>
              <w:spacing w:after="0" w:line="240" w:lineRule="auto"/>
              <w:jc w:val="both"/>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186A2D1E" w14:textId="77777777" w:rsidTr="000B0EB6">
        <w:tc>
          <w:tcPr>
            <w:tcW w:w="2269" w:type="dxa"/>
            <w:tcBorders>
              <w:top w:val="single" w:sz="4" w:space="0" w:color="auto"/>
              <w:left w:val="single" w:sz="4" w:space="0" w:color="auto"/>
              <w:bottom w:val="single" w:sz="4" w:space="0" w:color="auto"/>
              <w:right w:val="single" w:sz="4" w:space="0" w:color="auto"/>
            </w:tcBorders>
            <w:shd w:val="clear" w:color="auto" w:fill="auto"/>
            <w:vAlign w:val="center"/>
          </w:tcPr>
          <w:p w14:paraId="348596C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tcBorders>
              <w:top w:val="single" w:sz="4" w:space="0" w:color="auto"/>
              <w:left w:val="single" w:sz="4" w:space="0" w:color="auto"/>
              <w:bottom w:val="single" w:sz="4" w:space="0" w:color="auto"/>
              <w:right w:val="single" w:sz="4" w:space="0" w:color="auto"/>
            </w:tcBorders>
            <w:shd w:val="clear" w:color="auto" w:fill="auto"/>
            <w:vAlign w:val="center"/>
          </w:tcPr>
          <w:p w14:paraId="03F63C0B" w14:textId="3997D2EE"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докторантите училища, подкрепени чрез дейности по операции по СЦ по чл. 4, пар. 1, буква ж) на Приоритет 3 на ПО 2021 – 2027 и е равна на броя на всички докторантски училища, обхванати в дейности по тази специфична цел на Приоритет 3 на Програмата.</w:t>
            </w:r>
          </w:p>
        </w:tc>
      </w:tr>
    </w:tbl>
    <w:p w14:paraId="3C519770" w14:textId="77777777" w:rsidR="00D857FE" w:rsidRPr="00D83669" w:rsidRDefault="00D857FE" w:rsidP="00D857FE">
      <w:pPr>
        <w:rPr>
          <w:rFonts w:ascii="Times New Roman" w:eastAsia="Times New Roman" w:hAnsi="Times New Roman" w:cs="Times New Roman"/>
          <w:i/>
          <w:sz w:val="24"/>
          <w:szCs w:val="20"/>
          <w:lang w:eastAsia="bg-BG" w:bidi="bg-BG"/>
        </w:rPr>
      </w:pPr>
    </w:p>
    <w:p w14:paraId="212B7EBA" w14:textId="77777777" w:rsidR="00D857FE" w:rsidRPr="00D83669" w:rsidRDefault="00D857FE" w:rsidP="00D857FE">
      <w:pPr>
        <w:rPr>
          <w:lang w:eastAsia="bg-BG" w:bidi="bg-BG"/>
        </w:rPr>
      </w:pPr>
      <w:r w:rsidRPr="00D83669">
        <w:rPr>
          <w:lang w:eastAsia="bg-BG" w:bidi="bg-BG"/>
        </w:rPr>
        <w:br w:type="page"/>
      </w:r>
    </w:p>
    <w:p w14:paraId="1CA973A6" w14:textId="53B23819" w:rsidR="00D857FE" w:rsidRPr="00D83669" w:rsidRDefault="00D857FE" w:rsidP="00D857FE">
      <w:pPr>
        <w:pStyle w:val="Heading3"/>
        <w:ind w:left="567"/>
        <w:rPr>
          <w:rFonts w:ascii="Times New Roman" w:hAnsi="Times New Roman" w:cs="Times New Roman"/>
          <w:color w:val="000000" w:themeColor="text1"/>
        </w:rPr>
      </w:pPr>
      <w:bookmarkStart w:id="226" w:name="_Toc98778802"/>
      <w:bookmarkStart w:id="227" w:name="_Toc100153037"/>
      <w:bookmarkStart w:id="228" w:name="_Toc103586712"/>
      <w:r w:rsidRPr="00D83669">
        <w:rPr>
          <w:rFonts w:ascii="Times New Roman" w:hAnsi="Times New Roman" w:cs="Times New Roman"/>
        </w:rPr>
        <w:lastRenderedPageBreak/>
        <w:t>Показатели за резултатите</w:t>
      </w:r>
      <w:bookmarkEnd w:id="226"/>
      <w:bookmarkEnd w:id="227"/>
      <w:bookmarkEnd w:id="228"/>
      <w:r w:rsidRPr="00D83669">
        <w:rPr>
          <w:rFonts w:ascii="Times New Roman" w:hAnsi="Times New Roman" w:cs="Times New Roman"/>
          <w:color w:val="000000" w:themeColor="text1"/>
        </w:rPr>
        <w:t xml:space="preserve"> </w:t>
      </w:r>
    </w:p>
    <w:p w14:paraId="2BC6651F" w14:textId="154FC7A7" w:rsidR="00D857FE" w:rsidRPr="00D83669" w:rsidRDefault="00D857FE" w:rsidP="00BB37EF">
      <w:pPr>
        <w:pStyle w:val="Heading3"/>
        <w:rPr>
          <w:b/>
          <w:bCs/>
          <w:i/>
          <w:iCs/>
          <w:sz w:val="22"/>
          <w:szCs w:val="22"/>
        </w:rPr>
      </w:pPr>
      <w:bookmarkStart w:id="229" w:name="_Toc100153038"/>
      <w:bookmarkStart w:id="230" w:name="_Toc103586713"/>
      <w:r w:rsidRPr="00D83669">
        <w:rPr>
          <w:b/>
          <w:bCs/>
          <w:i/>
          <w:iCs/>
          <w:sz w:val="22"/>
          <w:szCs w:val="22"/>
        </w:rPr>
        <w:t>EECR03 участници, които при напускане на операцията получават квалификация</w:t>
      </w:r>
      <w:bookmarkEnd w:id="229"/>
      <w:bookmarkEnd w:id="230"/>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21F47D91" w14:textId="77777777" w:rsidTr="00047B78">
        <w:tc>
          <w:tcPr>
            <w:tcW w:w="2269"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75222A7A" w14:textId="1083D7AB"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AC490D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02584B4C" w14:textId="77777777" w:rsidTr="00047B78">
        <w:tc>
          <w:tcPr>
            <w:tcW w:w="2269" w:type="dxa"/>
            <w:shd w:val="clear" w:color="auto" w:fill="auto"/>
            <w:vAlign w:val="center"/>
          </w:tcPr>
          <w:p w14:paraId="3B81DCC6" w14:textId="2CF5817B"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7FFF5B2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EECR03 участници, които при напускане на операцията получават квалификация</w:t>
            </w:r>
          </w:p>
        </w:tc>
      </w:tr>
      <w:tr w:rsidR="00D857FE" w:rsidRPr="00D83669" w14:paraId="28087919" w14:textId="77777777" w:rsidTr="00047B78">
        <w:tc>
          <w:tcPr>
            <w:tcW w:w="2269" w:type="dxa"/>
            <w:shd w:val="clear" w:color="auto" w:fill="auto"/>
            <w:vAlign w:val="center"/>
          </w:tcPr>
          <w:p w14:paraId="104D669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0464BF38" w14:textId="617514A9" w:rsidR="00D857FE" w:rsidRPr="00D83669" w:rsidRDefault="00D857FE" w:rsidP="00CC7BCB">
            <w:pPr>
              <w:jc w:val="both"/>
              <w:rPr>
                <w:rFonts w:ascii="Times New Roman" w:hAnsi="Times New Roman"/>
                <w:sz w:val="24"/>
              </w:rPr>
            </w:pPr>
            <w:r w:rsidRPr="00D83669">
              <w:rPr>
                <w:rFonts w:ascii="Times New Roman" w:hAnsi="Times New Roman"/>
                <w:sz w:val="24"/>
              </w:rPr>
              <w:t>Общ показател за резултат</w:t>
            </w:r>
          </w:p>
        </w:tc>
      </w:tr>
      <w:tr w:rsidR="00D857FE" w:rsidRPr="00D83669" w14:paraId="05867D0B" w14:textId="77777777" w:rsidTr="00047B78">
        <w:tc>
          <w:tcPr>
            <w:tcW w:w="2269" w:type="dxa"/>
            <w:shd w:val="clear" w:color="auto" w:fill="auto"/>
            <w:vAlign w:val="center"/>
          </w:tcPr>
          <w:p w14:paraId="681A7EE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5B848245" w14:textId="77777777" w:rsidR="00D857FE" w:rsidRPr="00D83669" w:rsidRDefault="00D857FE" w:rsidP="00CC7BCB">
            <w:pPr>
              <w:jc w:val="both"/>
              <w:rPr>
                <w:rFonts w:ascii="Times New Roman" w:hAnsi="Times New Roman"/>
                <w:sz w:val="24"/>
              </w:rPr>
            </w:pPr>
            <w:r w:rsidRPr="00D83669">
              <w:rPr>
                <w:rFonts w:ascii="Times New Roman" w:hAnsi="Times New Roman"/>
                <w:b/>
                <w:sz w:val="24"/>
              </w:rPr>
              <w:t>СЦ по чл. 4, пар. 1, буква ж)</w:t>
            </w:r>
            <w:r w:rsidRPr="00D83669">
              <w:rPr>
                <w:rFonts w:ascii="Times New Roman" w:hAnsi="Times New Roman"/>
                <w:sz w:val="24"/>
              </w:rPr>
              <w:t xml:space="preserve"> – Н</w:t>
            </w:r>
            <w:r w:rsidRPr="00D83669">
              <w:rPr>
                <w:rFonts w:ascii="Times New Roman" w:eastAsia="Calibri" w:hAnsi="Times New Roman"/>
                <w:color w:val="000000"/>
                <w:sz w:val="24"/>
                <w:lang w:eastAsia="bg-BG" w:bidi="bg-BG"/>
              </w:rPr>
              <w:t>асърчаване на ученето през целия живот, по-специално гъвкавите възможности за повишаване на квалификацията и за преквалификация за всички, като се вземат предвид предприемаческите и цифровите умения, по-доброто предвиждане на промените и изискванията за нови умения, в зависимост от нуждите на пазара, улесняването на преходите в професионалното развитие и насърчаването на професионалната мобилност</w:t>
            </w:r>
          </w:p>
        </w:tc>
      </w:tr>
      <w:tr w:rsidR="00D857FE" w:rsidRPr="00D83669" w14:paraId="10AE6334" w14:textId="77777777" w:rsidTr="00047B78">
        <w:tc>
          <w:tcPr>
            <w:tcW w:w="2269" w:type="dxa"/>
            <w:shd w:val="clear" w:color="auto" w:fill="auto"/>
            <w:vAlign w:val="center"/>
          </w:tcPr>
          <w:p w14:paraId="1377B8A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72F3DE91"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развитие на академичния състав във висшите училища и научните организации, включително повишаване на интереса и подобряване на условията за докторски програми, свързани с потребностите на пазара на труда, чрез подкрепата на модулни програми</w:t>
            </w:r>
          </w:p>
        </w:tc>
      </w:tr>
      <w:tr w:rsidR="00D857FE" w:rsidRPr="00D83669" w14:paraId="0D827211" w14:textId="77777777" w:rsidTr="00047B78">
        <w:tc>
          <w:tcPr>
            <w:tcW w:w="2269" w:type="dxa"/>
            <w:shd w:val="clear" w:color="auto" w:fill="auto"/>
            <w:vAlign w:val="center"/>
          </w:tcPr>
          <w:p w14:paraId="0D20858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Дефиниция </w:t>
            </w:r>
          </w:p>
        </w:tc>
        <w:tc>
          <w:tcPr>
            <w:tcW w:w="7371" w:type="dxa"/>
            <w:shd w:val="clear" w:color="auto" w:fill="auto"/>
            <w:vAlign w:val="center"/>
          </w:tcPr>
          <w:p w14:paraId="33B04CE3" w14:textId="63A69473"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докторантите, които в рамките на периода на изпълнение на операцията, са изпълнили учебния план и са придобили образователна и научна степен „доктор“, за което са получили документ.</w:t>
            </w:r>
          </w:p>
        </w:tc>
      </w:tr>
      <w:tr w:rsidR="00D857FE" w:rsidRPr="00D83669" w14:paraId="14C618D2" w14:textId="77777777" w:rsidTr="00047B78">
        <w:tc>
          <w:tcPr>
            <w:tcW w:w="2269" w:type="dxa"/>
            <w:shd w:val="clear" w:color="auto" w:fill="auto"/>
            <w:vAlign w:val="center"/>
          </w:tcPr>
          <w:p w14:paraId="605EA23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2982AA25"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Брой </w:t>
            </w:r>
          </w:p>
        </w:tc>
      </w:tr>
      <w:tr w:rsidR="00D857FE" w:rsidRPr="00D83669" w14:paraId="508BC8DF" w14:textId="77777777" w:rsidTr="00047B78">
        <w:tc>
          <w:tcPr>
            <w:tcW w:w="2269" w:type="dxa"/>
            <w:shd w:val="clear" w:color="auto" w:fill="auto"/>
            <w:vAlign w:val="center"/>
          </w:tcPr>
          <w:p w14:paraId="0EB2FFC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040BB783" w14:textId="40764129" w:rsidR="00D857FE" w:rsidRPr="00D83669" w:rsidRDefault="00DD0AC2" w:rsidP="00CC7BCB">
            <w:pPr>
              <w:jc w:val="both"/>
              <w:rPr>
                <w:rFonts w:ascii="Times New Roman" w:hAnsi="Times New Roman"/>
                <w:sz w:val="24"/>
                <w:lang w:val="en-US"/>
              </w:rPr>
            </w:pPr>
            <w:r>
              <w:rPr>
                <w:rFonts w:ascii="Times New Roman" w:hAnsi="Times New Roman"/>
                <w:sz w:val="24"/>
              </w:rPr>
              <w:t>300</w:t>
            </w:r>
          </w:p>
        </w:tc>
      </w:tr>
      <w:tr w:rsidR="00D857FE" w:rsidRPr="00D83669" w14:paraId="30DA8078" w14:textId="77777777" w:rsidTr="00047B78">
        <w:tc>
          <w:tcPr>
            <w:tcW w:w="2269" w:type="dxa"/>
            <w:shd w:val="clear" w:color="auto" w:fill="auto"/>
            <w:vAlign w:val="center"/>
          </w:tcPr>
          <w:p w14:paraId="1DA5FA4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037EC1B9" w14:textId="0B6409EB"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представлява средно 60% от всички докторанти, които са зачислени в докторантура по операцията (</w:t>
            </w:r>
            <w:r w:rsidR="00DD0AC2">
              <w:rPr>
                <w:rFonts w:ascii="Times New Roman" w:hAnsi="Times New Roman"/>
                <w:sz w:val="24"/>
              </w:rPr>
              <w:t>500</w:t>
            </w:r>
            <w:r w:rsidRPr="00D83669">
              <w:rPr>
                <w:rFonts w:ascii="Times New Roman" w:hAnsi="Times New Roman"/>
                <w:sz w:val="24"/>
              </w:rPr>
              <w:t>). Определена е на база експертна оценка, като е съобразена с продължителността на операцията (</w:t>
            </w:r>
            <w:r w:rsidR="00A0219E">
              <w:rPr>
                <w:rFonts w:ascii="Times New Roman" w:hAnsi="Times New Roman"/>
                <w:sz w:val="24"/>
              </w:rPr>
              <w:t>5</w:t>
            </w:r>
            <w:r w:rsidRPr="00D83669">
              <w:rPr>
                <w:rFonts w:ascii="Times New Roman" w:hAnsi="Times New Roman"/>
                <w:sz w:val="24"/>
              </w:rPr>
              <w:t xml:space="preserve"> години), с продължителността на докторантурата, съгласно Закона за висшето образование, с факта, че тя трябва да се основава на потребностите на бизнеса и нейната реална продължителност зависи именно от това, както и с необходимото време за защита на дисертационен труд и присъждане на образователна и научна степен „доктор“.</w:t>
            </w:r>
          </w:p>
        </w:tc>
      </w:tr>
      <w:tr w:rsidR="00D857FE" w:rsidRPr="00D83669" w14:paraId="1F951B15" w14:textId="77777777" w:rsidTr="00047B78">
        <w:tc>
          <w:tcPr>
            <w:tcW w:w="2269" w:type="dxa"/>
            <w:shd w:val="clear" w:color="auto" w:fill="auto"/>
            <w:vAlign w:val="center"/>
          </w:tcPr>
          <w:p w14:paraId="497F402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Референтна стойност</w:t>
            </w:r>
          </w:p>
        </w:tc>
        <w:tc>
          <w:tcPr>
            <w:tcW w:w="7371" w:type="dxa"/>
            <w:shd w:val="clear" w:color="auto" w:fill="auto"/>
            <w:vAlign w:val="center"/>
          </w:tcPr>
          <w:p w14:paraId="31CCF9BA" w14:textId="03739114" w:rsidR="00D857FE" w:rsidRPr="00D83669" w:rsidRDefault="00D857FE" w:rsidP="00CC7BCB">
            <w:pPr>
              <w:jc w:val="both"/>
              <w:rPr>
                <w:rFonts w:ascii="Times New Roman" w:hAnsi="Times New Roman"/>
                <w:sz w:val="24"/>
                <w:lang w:val="en-US"/>
              </w:rPr>
            </w:pPr>
            <w:r w:rsidRPr="00D83669">
              <w:rPr>
                <w:rFonts w:ascii="Times New Roman" w:hAnsi="Times New Roman"/>
                <w:sz w:val="24"/>
                <w:lang w:val="en-US"/>
              </w:rPr>
              <w:t xml:space="preserve"> 375</w:t>
            </w:r>
          </w:p>
        </w:tc>
      </w:tr>
      <w:tr w:rsidR="00D857FE" w:rsidRPr="00D83669" w14:paraId="1A526439" w14:textId="77777777" w:rsidTr="00047B78">
        <w:trPr>
          <w:trHeight w:val="1045"/>
        </w:trPr>
        <w:tc>
          <w:tcPr>
            <w:tcW w:w="2269" w:type="dxa"/>
            <w:shd w:val="clear" w:color="auto" w:fill="auto"/>
            <w:vAlign w:val="center"/>
          </w:tcPr>
          <w:p w14:paraId="363CA52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Методология за определяне на референтната стойност </w:t>
            </w:r>
          </w:p>
        </w:tc>
        <w:tc>
          <w:tcPr>
            <w:tcW w:w="7371" w:type="dxa"/>
            <w:shd w:val="clear" w:color="auto" w:fill="auto"/>
            <w:vAlign w:val="center"/>
          </w:tcPr>
          <w:p w14:paraId="4F99CA86" w14:textId="77777777" w:rsidR="00D857FE" w:rsidRPr="00D83669" w:rsidRDefault="00D857FE" w:rsidP="00CC7BCB">
            <w:pPr>
              <w:jc w:val="both"/>
              <w:rPr>
                <w:rFonts w:ascii="Times New Roman" w:hAnsi="Times New Roman"/>
                <w:sz w:val="24"/>
              </w:rPr>
            </w:pPr>
            <w:r w:rsidRPr="00D83669">
              <w:rPr>
                <w:rFonts w:ascii="Times New Roman" w:hAnsi="Times New Roman"/>
                <w:sz w:val="24"/>
              </w:rPr>
              <w:t>Референтната стойност е към 2021 г. и отразява броя на младите преподаватели, които се планира да получат квалификация в рамките на процедура "Модернизация на висшите училища" на ОПНОИР (процедурата е в процес на изпълнение).</w:t>
            </w:r>
          </w:p>
          <w:p w14:paraId="59FB5756" w14:textId="7821AF93" w:rsidR="00D857FE" w:rsidRPr="00D83669" w:rsidRDefault="00D857FE" w:rsidP="00CC7BCB">
            <w:pPr>
              <w:jc w:val="both"/>
              <w:rPr>
                <w:rFonts w:ascii="Times New Roman" w:hAnsi="Times New Roman"/>
                <w:sz w:val="24"/>
              </w:rPr>
            </w:pPr>
          </w:p>
        </w:tc>
      </w:tr>
      <w:tr w:rsidR="00D857FE" w:rsidRPr="00D83669" w14:paraId="5A331CDB" w14:textId="77777777" w:rsidTr="00047B78">
        <w:tc>
          <w:tcPr>
            <w:tcW w:w="2269" w:type="dxa"/>
            <w:shd w:val="clear" w:color="auto" w:fill="auto"/>
            <w:vAlign w:val="center"/>
          </w:tcPr>
          <w:p w14:paraId="65DB9A5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 xml:space="preserve">Разбивка </w:t>
            </w:r>
          </w:p>
        </w:tc>
        <w:tc>
          <w:tcPr>
            <w:tcW w:w="7371" w:type="dxa"/>
            <w:shd w:val="clear" w:color="auto" w:fill="auto"/>
            <w:vAlign w:val="center"/>
          </w:tcPr>
          <w:p w14:paraId="34BD38A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Няма да бъде направена предварителна разбивка по пол или по други демографски фактори. На етап отчитане ще бъдат представени данни за пол и друга демографска информация за участниците.</w:t>
            </w:r>
          </w:p>
        </w:tc>
      </w:tr>
      <w:tr w:rsidR="00D857FE" w:rsidRPr="00D83669" w14:paraId="07794B52" w14:textId="77777777" w:rsidTr="00047B78">
        <w:tc>
          <w:tcPr>
            <w:tcW w:w="2269" w:type="dxa"/>
            <w:shd w:val="clear" w:color="auto" w:fill="auto"/>
            <w:vAlign w:val="center"/>
          </w:tcPr>
          <w:p w14:paraId="75E6F49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 xml:space="preserve">Обосновка </w:t>
            </w:r>
          </w:p>
        </w:tc>
        <w:tc>
          <w:tcPr>
            <w:tcW w:w="7371" w:type="dxa"/>
            <w:shd w:val="clear" w:color="auto" w:fill="auto"/>
            <w:vAlign w:val="center"/>
          </w:tcPr>
          <w:p w14:paraId="3843434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Събирането на данни е необходимо, за да се гарантира устойчивостта на операцията. Данните ще предоставят информация за икономическите сектори, които имат потребност от специфични научни изследвания обект на подкрепата по програмата, както и за конкретните научни резултати. Данните ще се събират и за да се анализира ефекта за самите докторанти от провеждането на проектна докторантура, включително по отношение на подобряването на перспективите им на пазара на труда. </w:t>
            </w:r>
          </w:p>
        </w:tc>
      </w:tr>
      <w:tr w:rsidR="00D857FE" w:rsidRPr="00D83669" w14:paraId="6FFBAD71" w14:textId="77777777" w:rsidTr="00047B78">
        <w:tc>
          <w:tcPr>
            <w:tcW w:w="2269" w:type="dxa"/>
            <w:shd w:val="clear" w:color="auto" w:fill="auto"/>
            <w:vAlign w:val="center"/>
          </w:tcPr>
          <w:p w14:paraId="534B4FA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0B3C4CE2" w14:textId="77777777" w:rsidR="00D857FE" w:rsidRPr="00D83669" w:rsidRDefault="00D857FE" w:rsidP="00CC7BCB">
            <w:pPr>
              <w:spacing w:after="120"/>
              <w:jc w:val="both"/>
              <w:rPr>
                <w:rFonts w:ascii="Times New Roman" w:hAnsi="Times New Roman"/>
                <w:sz w:val="24"/>
              </w:rPr>
            </w:pPr>
            <w:r w:rsidRPr="00D83669">
              <w:rPr>
                <w:rFonts w:ascii="Times New Roman" w:hAnsi="Times New Roman"/>
                <w:sz w:val="24"/>
              </w:rPr>
              <w:t xml:space="preserve">Данните ще се събират текущо на база технически отчети за изпълнение на проекта с изчерпателен обхват на всички участници. </w:t>
            </w:r>
          </w:p>
          <w:p w14:paraId="235E33F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Информацията ще включва: пол и възраст на участника; друга демографска информация; продължителност и област, в която се провежда проектната докторантура, и др.</w:t>
            </w:r>
          </w:p>
        </w:tc>
      </w:tr>
      <w:tr w:rsidR="00D857FE" w:rsidRPr="00D83669" w14:paraId="747B52A1" w14:textId="77777777" w:rsidTr="00047B78">
        <w:tc>
          <w:tcPr>
            <w:tcW w:w="2269" w:type="dxa"/>
            <w:shd w:val="clear" w:color="auto" w:fill="auto"/>
            <w:vAlign w:val="center"/>
          </w:tcPr>
          <w:p w14:paraId="2539C2C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33F260E0"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Два пъти годишно</w:t>
            </w:r>
          </w:p>
        </w:tc>
      </w:tr>
      <w:tr w:rsidR="00D857FE" w:rsidRPr="00D83669" w14:paraId="7D198B05" w14:textId="77777777" w:rsidTr="00047B78">
        <w:tc>
          <w:tcPr>
            <w:tcW w:w="2269" w:type="dxa"/>
            <w:shd w:val="clear" w:color="auto" w:fill="auto"/>
            <w:vAlign w:val="center"/>
          </w:tcPr>
          <w:p w14:paraId="3A1DE1DA" w14:textId="3F599FB3"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276E294F"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EEC011 Участници с висше образование (ISCED 5 до 8);</w:t>
            </w:r>
          </w:p>
          <w:p w14:paraId="48338F9E" w14:textId="77777777" w:rsidR="00D857FE" w:rsidRPr="00D83669" w:rsidRDefault="00D857FE" w:rsidP="00D857FE">
            <w:pPr>
              <w:pStyle w:val="ListParagraph"/>
              <w:numPr>
                <w:ilvl w:val="0"/>
                <w:numId w:val="32"/>
              </w:numPr>
              <w:spacing w:after="0" w:line="240" w:lineRule="auto"/>
              <w:jc w:val="both"/>
              <w:rPr>
                <w:rFonts w:ascii="Times New Roman" w:hAnsi="Times New Roman"/>
                <w:sz w:val="24"/>
              </w:rPr>
            </w:pPr>
            <w:r w:rsidRPr="00D83669">
              <w:rPr>
                <w:rFonts w:ascii="Times New Roman" w:hAnsi="Times New Roman"/>
                <w:sz w:val="24"/>
              </w:rPr>
              <w:t>SOI 3.5 Брой докторантски училища.</w:t>
            </w:r>
          </w:p>
        </w:tc>
      </w:tr>
      <w:tr w:rsidR="00D857FE" w:rsidRPr="00D83669" w14:paraId="2E3F33F4" w14:textId="77777777" w:rsidTr="00047B78">
        <w:tc>
          <w:tcPr>
            <w:tcW w:w="2269" w:type="dxa"/>
            <w:shd w:val="clear" w:color="auto" w:fill="auto"/>
            <w:vAlign w:val="center"/>
          </w:tcPr>
          <w:p w14:paraId="57F72ADD"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shd w:val="clear" w:color="auto" w:fill="auto"/>
            <w:vAlign w:val="center"/>
          </w:tcPr>
          <w:p w14:paraId="4034376D" w14:textId="65AF6002" w:rsidR="00D857FE" w:rsidRPr="00D83669" w:rsidRDefault="00D857FE" w:rsidP="00CC7BCB">
            <w:pPr>
              <w:jc w:val="both"/>
              <w:rPr>
                <w:rFonts w:ascii="Times New Roman" w:hAnsi="Times New Roman"/>
                <w:sz w:val="24"/>
              </w:rPr>
            </w:pPr>
            <w:r w:rsidRPr="00D83669">
              <w:rPr>
                <w:rFonts w:ascii="Times New Roman" w:hAnsi="Times New Roman"/>
                <w:sz w:val="24"/>
              </w:rPr>
              <w:t>Целевата стойност на показателя обхваща броя на участниците, които са получили квалификация – докторанти, които са придобили образователна и научна степен „доктор“ чрез подкрепа в дейности по операции по СЦ по чл. 4, пар. 1, буква ж) на Приоритет 3 на ПО 2021 – 2027 и е по-малка от броя на всички участници в дейности по тази специфична цел на Приоритет 3 на Програмата.</w:t>
            </w:r>
          </w:p>
        </w:tc>
      </w:tr>
    </w:tbl>
    <w:p w14:paraId="49B8EBEF" w14:textId="77777777" w:rsidR="00D857FE" w:rsidRPr="00D83669" w:rsidRDefault="00D857FE" w:rsidP="00D857FE">
      <w:r w:rsidRPr="00D83669">
        <w:br w:type="page"/>
      </w:r>
    </w:p>
    <w:p w14:paraId="564016ED" w14:textId="153AE9DE" w:rsidR="00D857FE" w:rsidRPr="00D83669" w:rsidRDefault="00D857FE" w:rsidP="00D857FE">
      <w:pPr>
        <w:pStyle w:val="Heading1"/>
        <w:rPr>
          <w:rFonts w:ascii="Times New Roman" w:hAnsi="Times New Roman" w:cs="Times New Roman"/>
          <w:lang w:val="bg-BG"/>
        </w:rPr>
      </w:pPr>
      <w:bookmarkStart w:id="231" w:name="_Toc98778803"/>
      <w:bookmarkStart w:id="232" w:name="_Toc100153039"/>
      <w:bookmarkStart w:id="233" w:name="_Toc103586714"/>
      <w:r w:rsidRPr="00D83669">
        <w:rPr>
          <w:rFonts w:ascii="Times New Roman" w:hAnsi="Times New Roman" w:cs="Times New Roman"/>
          <w:lang w:val="bg-BG"/>
        </w:rPr>
        <w:lastRenderedPageBreak/>
        <w:t>ПРИОРИТЕТ ЗА ТЕХНИЧЕСКА ПОМОЩ</w:t>
      </w:r>
      <w:bookmarkEnd w:id="231"/>
      <w:bookmarkEnd w:id="232"/>
      <w:bookmarkEnd w:id="233"/>
    </w:p>
    <w:p w14:paraId="73BC5989" w14:textId="1233B49C" w:rsidR="00D857FE" w:rsidRPr="00D83669" w:rsidRDefault="00D857FE" w:rsidP="00D857FE">
      <w:pPr>
        <w:pStyle w:val="Heading3"/>
        <w:ind w:left="567"/>
        <w:rPr>
          <w:rFonts w:ascii="Times New Roman" w:hAnsi="Times New Roman" w:cs="Times New Roman"/>
          <w:color w:val="000000" w:themeColor="text1"/>
        </w:rPr>
      </w:pPr>
      <w:bookmarkStart w:id="234" w:name="_Toc98778804"/>
      <w:bookmarkStart w:id="235" w:name="_Toc100153040"/>
      <w:bookmarkStart w:id="236" w:name="_Toc103586715"/>
      <w:r w:rsidRPr="00D83669">
        <w:rPr>
          <w:rFonts w:ascii="Times New Roman" w:hAnsi="Times New Roman" w:cs="Times New Roman"/>
        </w:rPr>
        <w:t>Показатели за крайни продукти</w:t>
      </w:r>
      <w:bookmarkEnd w:id="234"/>
      <w:bookmarkEnd w:id="235"/>
      <w:bookmarkEnd w:id="236"/>
      <w:r w:rsidRPr="00D83669">
        <w:rPr>
          <w:rFonts w:ascii="Times New Roman" w:hAnsi="Times New Roman" w:cs="Times New Roman"/>
          <w:color w:val="000000" w:themeColor="text1"/>
        </w:rPr>
        <w:t xml:space="preserve"> </w:t>
      </w:r>
    </w:p>
    <w:p w14:paraId="1BC3DC00" w14:textId="3C014F1E" w:rsidR="00D857FE" w:rsidRPr="00D83669" w:rsidRDefault="00D857FE" w:rsidP="00BB37EF">
      <w:pPr>
        <w:pStyle w:val="Heading3"/>
        <w:rPr>
          <w:b/>
          <w:bCs/>
          <w:i/>
          <w:iCs/>
          <w:sz w:val="22"/>
          <w:szCs w:val="22"/>
        </w:rPr>
      </w:pPr>
      <w:bookmarkStart w:id="237" w:name="_Toc100153041"/>
      <w:bookmarkStart w:id="238" w:name="_Toc103586716"/>
      <w:r w:rsidRPr="00D83669">
        <w:rPr>
          <w:b/>
          <w:bCs/>
          <w:i/>
          <w:iCs/>
          <w:sz w:val="22"/>
          <w:szCs w:val="22"/>
        </w:rPr>
        <w:t>SOI 4.1 Брой  участия на лица от УО в обучения и работни посещения</w:t>
      </w:r>
      <w:bookmarkEnd w:id="237"/>
      <w:bookmarkEnd w:id="238"/>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648AD59B" w14:textId="77777777" w:rsidTr="005B3D37">
        <w:tc>
          <w:tcPr>
            <w:tcW w:w="2269" w:type="dxa"/>
            <w:shd w:val="clear" w:color="auto" w:fill="E7E6E6" w:themeFill="background2"/>
            <w:vAlign w:val="center"/>
          </w:tcPr>
          <w:p w14:paraId="43DBAFF6" w14:textId="14031076"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371" w:type="dxa"/>
            <w:shd w:val="clear" w:color="auto" w:fill="E7E6E6" w:themeFill="background2"/>
            <w:vAlign w:val="center"/>
          </w:tcPr>
          <w:p w14:paraId="5DFA408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0F99B05F" w14:textId="77777777" w:rsidTr="005B3D37">
        <w:tc>
          <w:tcPr>
            <w:tcW w:w="2269" w:type="dxa"/>
            <w:vAlign w:val="center"/>
          </w:tcPr>
          <w:p w14:paraId="3D319598" w14:textId="549B2947"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3244AC7B" w14:textId="4E373CBF" w:rsidR="00D857FE" w:rsidRPr="00D83669" w:rsidRDefault="00D857FE" w:rsidP="00CC7BCB">
            <w:pPr>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4.1 </w:t>
            </w:r>
            <w:r w:rsidR="009D17EB" w:rsidRPr="00D83669">
              <w:rPr>
                <w:rFonts w:ascii="Times New Roman" w:hAnsi="Times New Roman"/>
                <w:sz w:val="24"/>
              </w:rPr>
              <w:t>Брой участия</w:t>
            </w:r>
            <w:r w:rsidRPr="00D83669">
              <w:rPr>
                <w:rFonts w:ascii="Times New Roman" w:hAnsi="Times New Roman"/>
                <w:sz w:val="24"/>
              </w:rPr>
              <w:t xml:space="preserve"> на лица от УО в обучения и работни посещения</w:t>
            </w:r>
          </w:p>
        </w:tc>
      </w:tr>
      <w:tr w:rsidR="00D857FE" w:rsidRPr="00D83669" w14:paraId="10F87BAD" w14:textId="77777777" w:rsidTr="005B3D37">
        <w:tc>
          <w:tcPr>
            <w:tcW w:w="2269" w:type="dxa"/>
            <w:vAlign w:val="center"/>
          </w:tcPr>
          <w:p w14:paraId="160FDD2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79A3837E" w14:textId="5F8B5B4A"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1C9A99AD" w14:textId="77777777" w:rsidTr="005B3D37">
        <w:tc>
          <w:tcPr>
            <w:tcW w:w="2269" w:type="dxa"/>
            <w:vAlign w:val="center"/>
          </w:tcPr>
          <w:p w14:paraId="27AD5BE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40ABDF1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r w:rsidR="00D857FE" w:rsidRPr="00D83669" w14:paraId="5F954133" w14:textId="77777777" w:rsidTr="005B3D37">
        <w:tc>
          <w:tcPr>
            <w:tcW w:w="2269" w:type="dxa"/>
            <w:vAlign w:val="center"/>
          </w:tcPr>
          <w:p w14:paraId="7206424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7529CC73"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подобряване административния капацитет на УО и осигуряване на външна експертиза, свързана с планирането, управлението, изпълнението, наблюдението и контрола на ПО</w:t>
            </w:r>
          </w:p>
        </w:tc>
      </w:tr>
      <w:tr w:rsidR="00D857FE" w:rsidRPr="00D83669" w14:paraId="68D96F62" w14:textId="77777777" w:rsidTr="005B3D37">
        <w:tc>
          <w:tcPr>
            <w:tcW w:w="2269" w:type="dxa"/>
            <w:vAlign w:val="center"/>
          </w:tcPr>
          <w:p w14:paraId="7BF3313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Дефиниция</w:t>
            </w:r>
          </w:p>
          <w:p w14:paraId="3BB5110F" w14:textId="77777777" w:rsidR="00D857FE" w:rsidRPr="00D83669" w:rsidRDefault="00D857FE" w:rsidP="00CC7BCB">
            <w:pPr>
              <w:rPr>
                <w:rFonts w:ascii="Times New Roman" w:hAnsi="Times New Roman"/>
                <w:b/>
                <w:bCs/>
                <w:sz w:val="24"/>
              </w:rPr>
            </w:pPr>
          </w:p>
        </w:tc>
        <w:tc>
          <w:tcPr>
            <w:tcW w:w="7371" w:type="dxa"/>
            <w:shd w:val="clear" w:color="auto" w:fill="auto"/>
            <w:vAlign w:val="center"/>
          </w:tcPr>
          <w:p w14:paraId="2C5C37E7" w14:textId="0039FF34"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участието на представители от УО в обучения, работни посещения, семинари, работни срещи, обмяна на опит и добри практики и др. присъствени и дистанционни / онлайн форми на служителите на УО и други структури, подпомагащи изпълнението на ПО, както и подпомагане капацитета на УО чрез осигуряване на допълнителна експертиза и обучение за развиване на умения в сферата на информационните технологии, стратегическо планиране, ефективно организиране на работните процеси, услуги, подпомагащи дейностите по изпълнение на ПО, и др.</w:t>
            </w:r>
          </w:p>
        </w:tc>
      </w:tr>
      <w:tr w:rsidR="00D857FE" w:rsidRPr="00D83669" w14:paraId="5D8FF043" w14:textId="77777777" w:rsidTr="005B3D37">
        <w:tc>
          <w:tcPr>
            <w:tcW w:w="2269" w:type="dxa"/>
            <w:vAlign w:val="center"/>
          </w:tcPr>
          <w:p w14:paraId="7892F3F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38A6441D"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Брой</w:t>
            </w:r>
          </w:p>
        </w:tc>
      </w:tr>
      <w:tr w:rsidR="00D857FE" w:rsidRPr="00D83669" w14:paraId="2A711651" w14:textId="77777777" w:rsidTr="005B3D37">
        <w:tc>
          <w:tcPr>
            <w:tcW w:w="2269" w:type="dxa"/>
            <w:vAlign w:val="center"/>
          </w:tcPr>
          <w:p w14:paraId="7601317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26D3E7D1" w14:textId="4C000EC9"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Целевата стойност на показателя представлява 100% обучени служителите от Изпълнителна агенция „Програма за образование“, за всеки от които е предвидено поне по едно обучение на година (118 служители, съгласно Устройствен правилник на ИАПО от 17.08.2021 г.), т.е. 118 служители от УО х 8 години (от 2022 г. до 2029 г. вкл.) = 944 участия в обучения и работни посещения. Заложената целева стойност е определена на база опита от изпълнението на обучения за служителите на УО по ОПНОИР 2014-2020 г. Предприет е подход на равномерно разпределение между 6-те региона на планиране на ниво NUTS II в България, т.е. </w:t>
            </w:r>
            <m:oMath>
              <m:f>
                <m:fPr>
                  <m:type m:val="skw"/>
                  <m:ctrlPr>
                    <w:rPr>
                      <w:rFonts w:ascii="Cambria Math" w:hAnsi="Cambria Math"/>
                      <w:bCs/>
                      <w:i/>
                      <w:sz w:val="16"/>
                      <w:szCs w:val="16"/>
                    </w:rPr>
                  </m:ctrlPr>
                </m:fPr>
                <m:num>
                  <m:r>
                    <w:rPr>
                      <w:rFonts w:ascii="Cambria Math" w:hAnsi="Cambria Math"/>
                      <w:sz w:val="16"/>
                      <w:szCs w:val="16"/>
                    </w:rPr>
                    <m:t>1</m:t>
                  </m:r>
                </m:num>
                <m:den>
                  <m:r>
                    <w:rPr>
                      <w:rFonts w:ascii="Cambria Math" w:hAnsi="Cambria Math"/>
                      <w:sz w:val="16"/>
                      <w:szCs w:val="16"/>
                    </w:rPr>
                    <m:t>6</m:t>
                  </m:r>
                </m:den>
              </m:f>
            </m:oMath>
            <w:r w:rsidRPr="00D83669">
              <w:rPr>
                <w:rFonts w:ascii="Times New Roman" w:hAnsi="Times New Roman"/>
                <w:bCs/>
                <w:sz w:val="24"/>
              </w:rPr>
              <w:t xml:space="preserve"> за региони в преход и</w:t>
            </w:r>
            <w:r w:rsidRPr="00D83669">
              <w:rPr>
                <w:rFonts w:ascii="Times New Roman" w:hAnsi="Times New Roman"/>
                <w:bCs/>
                <w:sz w:val="16"/>
                <w:szCs w:val="16"/>
              </w:rPr>
              <w:t xml:space="preserve"> </w:t>
            </w:r>
            <m:oMath>
              <m:f>
                <m:fPr>
                  <m:type m:val="skw"/>
                  <m:ctrlPr>
                    <w:rPr>
                      <w:rFonts w:ascii="Cambria Math" w:hAnsi="Cambria Math"/>
                      <w:bCs/>
                      <w:i/>
                      <w:sz w:val="16"/>
                      <w:szCs w:val="16"/>
                    </w:rPr>
                  </m:ctrlPr>
                </m:fPr>
                <m:num>
                  <m:r>
                    <w:rPr>
                      <w:rFonts w:ascii="Cambria Math" w:hAnsi="Cambria Math"/>
                      <w:sz w:val="16"/>
                      <w:szCs w:val="16"/>
                    </w:rPr>
                    <m:t>5</m:t>
                  </m:r>
                </m:num>
                <m:den>
                  <m:r>
                    <w:rPr>
                      <w:rFonts w:ascii="Cambria Math" w:hAnsi="Cambria Math"/>
                      <w:sz w:val="16"/>
                      <w:szCs w:val="16"/>
                    </w:rPr>
                    <m:t>6</m:t>
                  </m:r>
                </m:den>
              </m:f>
            </m:oMath>
            <w:r w:rsidRPr="00D83669">
              <w:rPr>
                <w:rFonts w:ascii="Times New Roman" w:hAnsi="Times New Roman"/>
                <w:bCs/>
                <w:sz w:val="24"/>
              </w:rPr>
              <w:t xml:space="preserve"> за по-слаборазвити региони.</w:t>
            </w:r>
          </w:p>
        </w:tc>
      </w:tr>
      <w:tr w:rsidR="00D857FE" w:rsidRPr="00D83669" w14:paraId="63EDEC36" w14:textId="77777777" w:rsidTr="005B3D37">
        <w:tc>
          <w:tcPr>
            <w:tcW w:w="2269" w:type="dxa"/>
            <w:vAlign w:val="center"/>
          </w:tcPr>
          <w:p w14:paraId="4F71EFA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371" w:type="dxa"/>
            <w:shd w:val="clear" w:color="auto" w:fill="auto"/>
            <w:vAlign w:val="center"/>
          </w:tcPr>
          <w:p w14:paraId="6103A56B" w14:textId="77777777" w:rsidR="00D857FE" w:rsidRPr="00D83669" w:rsidRDefault="00D857FE" w:rsidP="00CC7BCB">
            <w:pPr>
              <w:jc w:val="both"/>
              <w:rPr>
                <w:rFonts w:ascii="Times New Roman" w:hAnsi="Times New Roman"/>
                <w:bCs/>
                <w:sz w:val="24"/>
                <w:lang w:val="en-US"/>
              </w:rPr>
            </w:pPr>
            <w:r w:rsidRPr="00D83669">
              <w:rPr>
                <w:rFonts w:ascii="Times New Roman" w:hAnsi="Times New Roman"/>
                <w:bCs/>
                <w:sz w:val="24"/>
                <w:lang w:val="en-US"/>
              </w:rPr>
              <w:t>944</w:t>
            </w:r>
          </w:p>
        </w:tc>
      </w:tr>
      <w:tr w:rsidR="00D857FE" w:rsidRPr="00D83669" w14:paraId="54B50075" w14:textId="77777777" w:rsidTr="005B3D37">
        <w:tc>
          <w:tcPr>
            <w:tcW w:w="2269" w:type="dxa"/>
            <w:vAlign w:val="center"/>
          </w:tcPr>
          <w:p w14:paraId="398BB48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371" w:type="dxa"/>
            <w:shd w:val="clear" w:color="auto" w:fill="auto"/>
            <w:vAlign w:val="center"/>
          </w:tcPr>
          <w:p w14:paraId="3F986705" w14:textId="77777777" w:rsidR="00D857FE" w:rsidRPr="00D83669" w:rsidRDefault="00D857FE" w:rsidP="00CC7BCB">
            <w:pPr>
              <w:jc w:val="both"/>
              <w:rPr>
                <w:rFonts w:ascii="Times New Roman" w:hAnsi="Times New Roman"/>
                <w:bCs/>
                <w:sz w:val="24"/>
                <w:lang w:val="en-US"/>
              </w:rPr>
            </w:pPr>
            <w:r w:rsidRPr="00D83669">
              <w:rPr>
                <w:rFonts w:ascii="Times New Roman" w:hAnsi="Times New Roman"/>
                <w:bCs/>
                <w:sz w:val="24"/>
                <w:lang w:val="en-US"/>
              </w:rPr>
              <w:t>236</w:t>
            </w:r>
          </w:p>
        </w:tc>
      </w:tr>
      <w:tr w:rsidR="00D857FE" w:rsidRPr="00D83669" w14:paraId="67200786" w14:textId="77777777" w:rsidTr="005B3D37">
        <w:tc>
          <w:tcPr>
            <w:tcW w:w="2269" w:type="dxa"/>
            <w:vAlign w:val="center"/>
          </w:tcPr>
          <w:p w14:paraId="3EDF79F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1" w:type="dxa"/>
            <w:shd w:val="clear" w:color="auto" w:fill="auto"/>
            <w:vAlign w:val="center"/>
          </w:tcPr>
          <w:p w14:paraId="1E5612E8"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Междинната цел представлява 25% от крайната цел. Изчислението е направено на база допускането, че 2024 година е третата година от 8 години и следователно ще са проведени поне ¼ от обученията на служителите на УО (25% х 944 = 236). Взета е предвид и възможността от забавяне на стартиране на изпълнението на ПО и конкретно на техническата помощ, както и възможността да не може да се пътува за присъствени обучения и увеличените възможности за обучения онлайн вследствие от усложнена пандемична ситуация. Предприет е подход на равномерно разпределение между 6-те региона на </w:t>
            </w:r>
            <w:r w:rsidRPr="00D83669">
              <w:rPr>
                <w:rFonts w:ascii="Times New Roman" w:hAnsi="Times New Roman"/>
                <w:bCs/>
                <w:sz w:val="24"/>
              </w:rPr>
              <w:lastRenderedPageBreak/>
              <w:t xml:space="preserve">планиране на ниво NUTS II в България, т.е. </w:t>
            </w:r>
            <m:oMath>
              <m:f>
                <m:fPr>
                  <m:type m:val="skw"/>
                  <m:ctrlPr>
                    <w:rPr>
                      <w:rFonts w:ascii="Cambria Math" w:hAnsi="Cambria Math"/>
                      <w:bCs/>
                      <w:i/>
                      <w:sz w:val="16"/>
                      <w:szCs w:val="16"/>
                    </w:rPr>
                  </m:ctrlPr>
                </m:fPr>
                <m:num>
                  <m:r>
                    <w:rPr>
                      <w:rFonts w:ascii="Cambria Math" w:hAnsi="Cambria Math"/>
                      <w:sz w:val="16"/>
                      <w:szCs w:val="16"/>
                    </w:rPr>
                    <m:t>1</m:t>
                  </m:r>
                </m:num>
                <m:den>
                  <m:r>
                    <w:rPr>
                      <w:rFonts w:ascii="Cambria Math" w:hAnsi="Cambria Math"/>
                      <w:sz w:val="16"/>
                      <w:szCs w:val="16"/>
                    </w:rPr>
                    <m:t>6</m:t>
                  </m:r>
                </m:den>
              </m:f>
            </m:oMath>
            <w:r w:rsidRPr="00D83669">
              <w:rPr>
                <w:rFonts w:ascii="Times New Roman" w:hAnsi="Times New Roman"/>
                <w:bCs/>
                <w:sz w:val="24"/>
              </w:rPr>
              <w:t xml:space="preserve"> за региони в преход и</w:t>
            </w:r>
            <w:r w:rsidRPr="00D83669">
              <w:rPr>
                <w:rFonts w:ascii="Times New Roman" w:hAnsi="Times New Roman"/>
                <w:bCs/>
                <w:sz w:val="16"/>
                <w:szCs w:val="16"/>
              </w:rPr>
              <w:t xml:space="preserve"> </w:t>
            </w:r>
            <m:oMath>
              <m:f>
                <m:fPr>
                  <m:type m:val="skw"/>
                  <m:ctrlPr>
                    <w:rPr>
                      <w:rFonts w:ascii="Cambria Math" w:hAnsi="Cambria Math"/>
                      <w:bCs/>
                      <w:i/>
                      <w:sz w:val="16"/>
                      <w:szCs w:val="16"/>
                    </w:rPr>
                  </m:ctrlPr>
                </m:fPr>
                <m:num>
                  <m:r>
                    <w:rPr>
                      <w:rFonts w:ascii="Cambria Math" w:hAnsi="Cambria Math"/>
                      <w:sz w:val="16"/>
                      <w:szCs w:val="16"/>
                    </w:rPr>
                    <m:t>5</m:t>
                  </m:r>
                </m:num>
                <m:den>
                  <m:r>
                    <w:rPr>
                      <w:rFonts w:ascii="Cambria Math" w:hAnsi="Cambria Math"/>
                      <w:sz w:val="16"/>
                      <w:szCs w:val="16"/>
                    </w:rPr>
                    <m:t>6</m:t>
                  </m:r>
                </m:den>
              </m:f>
            </m:oMath>
            <w:r w:rsidRPr="00D83669">
              <w:rPr>
                <w:rFonts w:ascii="Times New Roman" w:hAnsi="Times New Roman"/>
                <w:bCs/>
                <w:sz w:val="24"/>
              </w:rPr>
              <w:t xml:space="preserve"> за по-слаборазвити региони.</w:t>
            </w:r>
          </w:p>
        </w:tc>
      </w:tr>
      <w:tr w:rsidR="00D857FE" w:rsidRPr="00D83669" w14:paraId="79CB937D" w14:textId="77777777" w:rsidTr="005B3D37">
        <w:tc>
          <w:tcPr>
            <w:tcW w:w="2269" w:type="dxa"/>
            <w:vAlign w:val="center"/>
          </w:tcPr>
          <w:p w14:paraId="52CD973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Разбивка</w:t>
            </w:r>
          </w:p>
          <w:p w14:paraId="342E01C7" w14:textId="77777777" w:rsidR="00D857FE" w:rsidRPr="00D83669" w:rsidRDefault="00D857FE" w:rsidP="00CC7BCB">
            <w:pPr>
              <w:rPr>
                <w:rFonts w:ascii="Times New Roman" w:hAnsi="Times New Roman"/>
                <w:b/>
                <w:bCs/>
                <w:sz w:val="24"/>
              </w:rPr>
            </w:pPr>
          </w:p>
        </w:tc>
        <w:tc>
          <w:tcPr>
            <w:tcW w:w="7371" w:type="dxa"/>
            <w:shd w:val="clear" w:color="auto" w:fill="auto"/>
            <w:vAlign w:val="center"/>
          </w:tcPr>
          <w:p w14:paraId="6406F400"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Няма да бъде направена предварителна разбивка по пол и по други демографски фактори. На етап отчитане ще бъдат представени данни за пола на участниците, както и друга необходима демографска информация.</w:t>
            </w:r>
          </w:p>
        </w:tc>
      </w:tr>
      <w:tr w:rsidR="00D857FE" w:rsidRPr="00D83669" w14:paraId="36D51345" w14:textId="77777777" w:rsidTr="005B3D37">
        <w:tc>
          <w:tcPr>
            <w:tcW w:w="2269" w:type="dxa"/>
            <w:vAlign w:val="center"/>
          </w:tcPr>
          <w:p w14:paraId="11E62D6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Обосновка</w:t>
            </w:r>
          </w:p>
        </w:tc>
        <w:tc>
          <w:tcPr>
            <w:tcW w:w="7371" w:type="dxa"/>
            <w:shd w:val="clear" w:color="auto" w:fill="auto"/>
            <w:vAlign w:val="center"/>
          </w:tcPr>
          <w:p w14:paraId="4668A029"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Данните са необходими с оглед постигане на заложени цели за осигуряване и поддържане на високи нива на компетентност на служителите на УО на програмата, както и за необходимостта от засилване на административния капацитет на служителите на УО за извършване на вътрешни оценки на процедурите по програмата</w:t>
            </w:r>
          </w:p>
        </w:tc>
      </w:tr>
      <w:tr w:rsidR="00D857FE" w:rsidRPr="00D83669" w14:paraId="14B1C640" w14:textId="77777777" w:rsidTr="005B3D37">
        <w:tc>
          <w:tcPr>
            <w:tcW w:w="2269" w:type="dxa"/>
            <w:vAlign w:val="center"/>
          </w:tcPr>
          <w:p w14:paraId="275117C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6D093136"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Данните ще се събират текущо на база технически отчети с изчерпателен обхват на всички участници.</w:t>
            </w:r>
          </w:p>
        </w:tc>
      </w:tr>
      <w:tr w:rsidR="00D857FE" w:rsidRPr="00D83669" w14:paraId="56275ADD" w14:textId="77777777" w:rsidTr="005B3D37">
        <w:tc>
          <w:tcPr>
            <w:tcW w:w="2269" w:type="dxa"/>
            <w:vAlign w:val="center"/>
          </w:tcPr>
          <w:p w14:paraId="030F52C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7DE85C3C"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Два пъти годишно.</w:t>
            </w:r>
          </w:p>
        </w:tc>
      </w:tr>
      <w:tr w:rsidR="00D857FE" w:rsidRPr="00D83669" w14:paraId="51FC0113" w14:textId="77777777" w:rsidTr="005B3D37">
        <w:tc>
          <w:tcPr>
            <w:tcW w:w="2269" w:type="dxa"/>
            <w:vAlign w:val="center"/>
          </w:tcPr>
          <w:p w14:paraId="3ED5C4CD" w14:textId="394404E5"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29EBB142"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r w:rsidR="00D857FE" w:rsidRPr="00D83669" w14:paraId="620EFF52" w14:textId="77777777" w:rsidTr="005B3D37">
        <w:tc>
          <w:tcPr>
            <w:tcW w:w="2269" w:type="dxa"/>
            <w:vAlign w:val="center"/>
          </w:tcPr>
          <w:p w14:paraId="4BC21669"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shd w:val="clear" w:color="auto" w:fill="auto"/>
            <w:vAlign w:val="center"/>
          </w:tcPr>
          <w:p w14:paraId="6FE2922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bl>
    <w:p w14:paraId="7465DC81" w14:textId="77777777" w:rsidR="00D857FE" w:rsidRPr="00D83669" w:rsidRDefault="00D857FE" w:rsidP="00D857FE"/>
    <w:p w14:paraId="02C93A67" w14:textId="77777777" w:rsidR="00D857FE" w:rsidRPr="00D83669" w:rsidRDefault="00D857FE" w:rsidP="00D857FE">
      <w:r w:rsidRPr="00D83669">
        <w:br w:type="page"/>
      </w:r>
    </w:p>
    <w:p w14:paraId="7CD22681" w14:textId="2DF9EED2" w:rsidR="00D857FE" w:rsidRPr="00D83669" w:rsidRDefault="00D857FE" w:rsidP="00BB37EF">
      <w:pPr>
        <w:pStyle w:val="Heading3"/>
        <w:rPr>
          <w:b/>
          <w:bCs/>
          <w:i/>
          <w:iCs/>
          <w:sz w:val="22"/>
          <w:szCs w:val="22"/>
        </w:rPr>
      </w:pPr>
      <w:bookmarkStart w:id="239" w:name="_Toc100153042"/>
      <w:bookmarkStart w:id="240" w:name="_Toc103586717"/>
      <w:r w:rsidRPr="00D83669">
        <w:rPr>
          <w:b/>
          <w:bCs/>
          <w:i/>
          <w:iCs/>
          <w:sz w:val="22"/>
          <w:szCs w:val="22"/>
        </w:rPr>
        <w:lastRenderedPageBreak/>
        <w:t>SOI 4.2 Извършени оценки на програмата, анализи и проучвания</w:t>
      </w:r>
      <w:bookmarkEnd w:id="239"/>
      <w:bookmarkEnd w:id="240"/>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7371"/>
      </w:tblGrid>
      <w:tr w:rsidR="00D857FE" w:rsidRPr="00D83669" w14:paraId="5E935D4F" w14:textId="77777777" w:rsidTr="001B345C">
        <w:tc>
          <w:tcPr>
            <w:tcW w:w="2269"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51C1FB3" w14:textId="017C9F2F" w:rsidR="00D857FE" w:rsidRPr="00D83669" w:rsidRDefault="00D857FE" w:rsidP="00CC7BCB">
            <w:pPr>
              <w:rPr>
                <w:rFonts w:ascii="Times New Roman" w:hAnsi="Times New Roman"/>
                <w:b/>
                <w:bCs/>
                <w:sz w:val="18"/>
                <w:szCs w:val="18"/>
              </w:rPr>
            </w:pPr>
            <w:r w:rsidRPr="00D83669">
              <w:rPr>
                <w:rFonts w:ascii="Times New Roman" w:hAnsi="Times New Roman"/>
                <w:b/>
                <w:bCs/>
                <w:sz w:val="24"/>
              </w:rPr>
              <w:t>Показателят SMART ли е?</w:t>
            </w:r>
          </w:p>
        </w:tc>
        <w:tc>
          <w:tcPr>
            <w:tcW w:w="73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2F8D1BF" w14:textId="77777777" w:rsidR="00D857FE" w:rsidRPr="00D83669" w:rsidRDefault="00D857FE" w:rsidP="00CC7BCB">
            <w:pPr>
              <w:jc w:val="both"/>
              <w:rPr>
                <w:rFonts w:ascii="Times New Roman" w:hAnsi="Times New Roman"/>
                <w:b/>
                <w:sz w:val="18"/>
                <w:szCs w:val="18"/>
              </w:rPr>
            </w:pPr>
            <w:r w:rsidRPr="00D83669">
              <w:rPr>
                <w:rFonts w:ascii="Times New Roman" w:hAnsi="Times New Roman"/>
                <w:sz w:val="24"/>
              </w:rPr>
              <w:t xml:space="preserve">Да. </w:t>
            </w:r>
          </w:p>
        </w:tc>
      </w:tr>
      <w:tr w:rsidR="00D857FE" w:rsidRPr="00D83669" w14:paraId="4840429B" w14:textId="77777777" w:rsidTr="001B345C">
        <w:tc>
          <w:tcPr>
            <w:tcW w:w="2269" w:type="dxa"/>
            <w:vAlign w:val="center"/>
          </w:tcPr>
          <w:p w14:paraId="566F8022" w14:textId="24F38752"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371" w:type="dxa"/>
            <w:shd w:val="clear" w:color="auto" w:fill="auto"/>
            <w:vAlign w:val="center"/>
          </w:tcPr>
          <w:p w14:paraId="0E93696D"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4.2 Извършени оценки на програмата, анализи и проучвания</w:t>
            </w:r>
          </w:p>
        </w:tc>
      </w:tr>
      <w:tr w:rsidR="00D857FE" w:rsidRPr="00D83669" w14:paraId="48C3D187" w14:textId="77777777" w:rsidTr="001B345C">
        <w:tc>
          <w:tcPr>
            <w:tcW w:w="2269" w:type="dxa"/>
            <w:vAlign w:val="center"/>
          </w:tcPr>
          <w:p w14:paraId="6447FD2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371" w:type="dxa"/>
            <w:shd w:val="clear" w:color="auto" w:fill="auto"/>
            <w:vAlign w:val="center"/>
          </w:tcPr>
          <w:p w14:paraId="38C716D6" w14:textId="2D9B25F0"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2F9BA26C" w14:textId="77777777" w:rsidTr="001B345C">
        <w:tc>
          <w:tcPr>
            <w:tcW w:w="2269" w:type="dxa"/>
            <w:vAlign w:val="center"/>
          </w:tcPr>
          <w:p w14:paraId="1B4A145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371" w:type="dxa"/>
            <w:shd w:val="clear" w:color="auto" w:fill="auto"/>
            <w:vAlign w:val="center"/>
          </w:tcPr>
          <w:p w14:paraId="03FA2CF7"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Н/П</w:t>
            </w:r>
          </w:p>
        </w:tc>
      </w:tr>
      <w:tr w:rsidR="00D857FE" w:rsidRPr="00D83669" w14:paraId="3621F638" w14:textId="77777777" w:rsidTr="001B345C">
        <w:tc>
          <w:tcPr>
            <w:tcW w:w="2269" w:type="dxa"/>
            <w:vAlign w:val="center"/>
          </w:tcPr>
          <w:p w14:paraId="00B2E6E6"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371" w:type="dxa"/>
            <w:shd w:val="clear" w:color="auto" w:fill="auto"/>
            <w:vAlign w:val="center"/>
          </w:tcPr>
          <w:p w14:paraId="6A50BAFA"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подобряване административния капацитет на УО за извършване на вътрешни оценки на процедурите, изпълнявани по ПО и осигуряване на външна експертиза за извършване на оценки на ПО</w:t>
            </w:r>
          </w:p>
        </w:tc>
      </w:tr>
      <w:tr w:rsidR="00D857FE" w:rsidRPr="00D83669" w14:paraId="3067DC01" w14:textId="77777777" w:rsidTr="001B345C">
        <w:tc>
          <w:tcPr>
            <w:tcW w:w="2269" w:type="dxa"/>
            <w:vAlign w:val="center"/>
          </w:tcPr>
          <w:p w14:paraId="4FEF88C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Дефиниция</w:t>
            </w:r>
          </w:p>
          <w:p w14:paraId="335F0A3E" w14:textId="77777777" w:rsidR="00D857FE" w:rsidRPr="00D83669" w:rsidRDefault="00D857FE" w:rsidP="00CC7BCB">
            <w:pPr>
              <w:rPr>
                <w:rFonts w:ascii="Times New Roman" w:hAnsi="Times New Roman"/>
                <w:b/>
                <w:bCs/>
                <w:sz w:val="24"/>
              </w:rPr>
            </w:pPr>
          </w:p>
        </w:tc>
        <w:tc>
          <w:tcPr>
            <w:tcW w:w="7371" w:type="dxa"/>
            <w:shd w:val="clear" w:color="auto" w:fill="auto"/>
            <w:vAlign w:val="center"/>
          </w:tcPr>
          <w:p w14:paraId="6018BF18" w14:textId="340B42AA"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извършените оценки на Програма „Образование“ 2021 – 2027 г. с осигуряване на външна експертиза, вкл. и подготовка на експертни доклади, анализи, проучвания, изследвания и оценки на ниво програма и операция, свързани с управлението на ПО.</w:t>
            </w:r>
          </w:p>
        </w:tc>
      </w:tr>
      <w:tr w:rsidR="00D857FE" w:rsidRPr="00D83669" w14:paraId="3B8C10D5" w14:textId="77777777" w:rsidTr="001B345C">
        <w:tc>
          <w:tcPr>
            <w:tcW w:w="2269" w:type="dxa"/>
            <w:vAlign w:val="center"/>
          </w:tcPr>
          <w:p w14:paraId="1B6FD58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371" w:type="dxa"/>
            <w:shd w:val="clear" w:color="auto" w:fill="auto"/>
            <w:vAlign w:val="center"/>
          </w:tcPr>
          <w:p w14:paraId="2C5E5FC0"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Брой</w:t>
            </w:r>
          </w:p>
        </w:tc>
      </w:tr>
      <w:tr w:rsidR="00D857FE" w:rsidRPr="00D83669" w14:paraId="3A5F8528" w14:textId="77777777" w:rsidTr="001B345C">
        <w:tc>
          <w:tcPr>
            <w:tcW w:w="2269" w:type="dxa"/>
            <w:vAlign w:val="center"/>
          </w:tcPr>
          <w:p w14:paraId="076E8B2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371" w:type="dxa"/>
            <w:shd w:val="clear" w:color="auto" w:fill="auto"/>
            <w:vAlign w:val="center"/>
          </w:tcPr>
          <w:p w14:paraId="36DE2859" w14:textId="2F09471E"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Целевата стойност на показателя предвижда извършването на 9 бр. оценки, които са от следния вид: </w:t>
            </w:r>
          </w:p>
          <w:p w14:paraId="03BEA07F" w14:textId="11FA1372" w:rsidR="00D857FE" w:rsidRPr="00D83669" w:rsidRDefault="00D857FE" w:rsidP="00D857FE">
            <w:pPr>
              <w:pStyle w:val="ListParagraph"/>
              <w:numPr>
                <w:ilvl w:val="0"/>
                <w:numId w:val="42"/>
              </w:numPr>
              <w:spacing w:after="0" w:line="240" w:lineRule="auto"/>
              <w:jc w:val="both"/>
              <w:rPr>
                <w:rFonts w:ascii="Times New Roman" w:hAnsi="Times New Roman"/>
                <w:bCs/>
                <w:sz w:val="24"/>
              </w:rPr>
            </w:pPr>
            <w:r w:rsidRPr="00D83669">
              <w:rPr>
                <w:rFonts w:ascii="Times New Roman" w:hAnsi="Times New Roman"/>
                <w:bCs/>
                <w:sz w:val="24"/>
              </w:rPr>
              <w:t>7 бр. тематични оценки – за извършване на оценка на въздействието на прилаганите мерки при изпълнение на ПО с оглед прецизиране на критериите за подбор на операции, надграждането на вече реализирани операции и постигането на максимален ефект и подобрения на ключови  показатели при планирането и одобрението на бъдещи операции – в областта на:</w:t>
            </w:r>
          </w:p>
          <w:p w14:paraId="431FEA86" w14:textId="77777777" w:rsidR="00D857FE" w:rsidRPr="00D83669" w:rsidRDefault="00D857FE" w:rsidP="00D857FE">
            <w:pPr>
              <w:pStyle w:val="ListParagraph"/>
              <w:numPr>
                <w:ilvl w:val="0"/>
                <w:numId w:val="44"/>
              </w:numPr>
              <w:spacing w:after="0" w:line="240" w:lineRule="auto"/>
              <w:jc w:val="both"/>
              <w:rPr>
                <w:rFonts w:ascii="Times New Roman" w:hAnsi="Times New Roman"/>
                <w:bCs/>
                <w:sz w:val="24"/>
              </w:rPr>
            </w:pPr>
            <w:r w:rsidRPr="00D83669">
              <w:rPr>
                <w:rFonts w:ascii="Times New Roman" w:hAnsi="Times New Roman"/>
                <w:bCs/>
                <w:sz w:val="24"/>
              </w:rPr>
              <w:t>приобщаващото образование;</w:t>
            </w:r>
          </w:p>
          <w:p w14:paraId="3A74EDF9" w14:textId="77777777" w:rsidR="00D857FE" w:rsidRPr="00D83669" w:rsidRDefault="00D857FE" w:rsidP="00D857FE">
            <w:pPr>
              <w:pStyle w:val="ListParagraph"/>
              <w:numPr>
                <w:ilvl w:val="0"/>
                <w:numId w:val="44"/>
              </w:numPr>
              <w:spacing w:after="0" w:line="240" w:lineRule="auto"/>
              <w:jc w:val="both"/>
              <w:rPr>
                <w:rFonts w:ascii="Times New Roman" w:hAnsi="Times New Roman"/>
                <w:bCs/>
                <w:sz w:val="24"/>
              </w:rPr>
            </w:pPr>
            <w:r w:rsidRPr="00D83669">
              <w:rPr>
                <w:rFonts w:ascii="Times New Roman" w:hAnsi="Times New Roman"/>
                <w:bCs/>
                <w:sz w:val="24"/>
              </w:rPr>
              <w:t>дигитализация и прилагане на компетентностния модел в образованието;</w:t>
            </w:r>
          </w:p>
          <w:p w14:paraId="32DA3463" w14:textId="77777777" w:rsidR="00D857FE" w:rsidRPr="00D83669" w:rsidRDefault="00D857FE" w:rsidP="00D857FE">
            <w:pPr>
              <w:pStyle w:val="ListParagraph"/>
              <w:numPr>
                <w:ilvl w:val="0"/>
                <w:numId w:val="44"/>
              </w:numPr>
              <w:spacing w:after="0" w:line="240" w:lineRule="auto"/>
              <w:jc w:val="both"/>
              <w:rPr>
                <w:rFonts w:ascii="Times New Roman" w:hAnsi="Times New Roman"/>
                <w:bCs/>
                <w:sz w:val="24"/>
              </w:rPr>
            </w:pPr>
            <w:r w:rsidRPr="00D83669">
              <w:rPr>
                <w:rFonts w:ascii="Times New Roman" w:hAnsi="Times New Roman"/>
                <w:bCs/>
                <w:sz w:val="24"/>
              </w:rPr>
              <w:t>професионалното образование и обучение;</w:t>
            </w:r>
          </w:p>
          <w:p w14:paraId="78188604" w14:textId="77777777" w:rsidR="00D857FE" w:rsidRPr="00D83669" w:rsidRDefault="00D857FE" w:rsidP="00D857FE">
            <w:pPr>
              <w:pStyle w:val="ListParagraph"/>
              <w:numPr>
                <w:ilvl w:val="0"/>
                <w:numId w:val="44"/>
              </w:numPr>
              <w:spacing w:after="0" w:line="240" w:lineRule="auto"/>
              <w:jc w:val="both"/>
              <w:rPr>
                <w:rFonts w:ascii="Times New Roman" w:hAnsi="Times New Roman"/>
                <w:bCs/>
                <w:sz w:val="24"/>
              </w:rPr>
            </w:pPr>
            <w:r w:rsidRPr="00D83669">
              <w:rPr>
                <w:rFonts w:ascii="Times New Roman" w:hAnsi="Times New Roman"/>
                <w:bCs/>
                <w:sz w:val="24"/>
              </w:rPr>
              <w:t>висшето образование;</w:t>
            </w:r>
          </w:p>
          <w:p w14:paraId="5FDA2F4D" w14:textId="77777777" w:rsidR="00D857FE" w:rsidRPr="00D83669" w:rsidRDefault="00D857FE" w:rsidP="00D857FE">
            <w:pPr>
              <w:pStyle w:val="ListParagraph"/>
              <w:numPr>
                <w:ilvl w:val="0"/>
                <w:numId w:val="44"/>
              </w:numPr>
              <w:spacing w:after="0" w:line="240" w:lineRule="auto"/>
              <w:jc w:val="both"/>
              <w:rPr>
                <w:rFonts w:ascii="Times New Roman" w:hAnsi="Times New Roman"/>
                <w:bCs/>
                <w:sz w:val="24"/>
              </w:rPr>
            </w:pPr>
            <w:r w:rsidRPr="00D83669">
              <w:rPr>
                <w:rFonts w:ascii="Times New Roman" w:hAnsi="Times New Roman"/>
                <w:bCs/>
                <w:sz w:val="24"/>
              </w:rPr>
              <w:t>социално-икономическата интеграция на маргинализирани общности, като  ромите и подход отдолу-нагоре;</w:t>
            </w:r>
          </w:p>
          <w:p w14:paraId="505593E2" w14:textId="77777777" w:rsidR="00D857FE" w:rsidRPr="00D83669" w:rsidRDefault="00D857FE" w:rsidP="00D857FE">
            <w:pPr>
              <w:pStyle w:val="ListParagraph"/>
              <w:numPr>
                <w:ilvl w:val="0"/>
                <w:numId w:val="44"/>
              </w:numPr>
              <w:spacing w:after="0" w:line="240" w:lineRule="auto"/>
              <w:jc w:val="both"/>
              <w:rPr>
                <w:rFonts w:ascii="Times New Roman" w:hAnsi="Times New Roman"/>
                <w:bCs/>
                <w:sz w:val="24"/>
              </w:rPr>
            </w:pPr>
            <w:r w:rsidRPr="00D83669">
              <w:rPr>
                <w:rFonts w:ascii="Times New Roman" w:hAnsi="Times New Roman"/>
                <w:bCs/>
                <w:sz w:val="24"/>
              </w:rPr>
              <w:t>подкрепата във връзка с целевите действия за борба с детската бедност;</w:t>
            </w:r>
          </w:p>
          <w:p w14:paraId="7E17290D" w14:textId="77777777" w:rsidR="00D857FE" w:rsidRPr="00D83669" w:rsidRDefault="00D857FE" w:rsidP="00D857FE">
            <w:pPr>
              <w:pStyle w:val="ListParagraph"/>
              <w:numPr>
                <w:ilvl w:val="0"/>
                <w:numId w:val="44"/>
              </w:numPr>
              <w:spacing w:after="0" w:line="240" w:lineRule="auto"/>
              <w:jc w:val="both"/>
              <w:rPr>
                <w:rFonts w:ascii="Times New Roman" w:hAnsi="Times New Roman"/>
                <w:bCs/>
                <w:sz w:val="24"/>
              </w:rPr>
            </w:pPr>
            <w:r w:rsidRPr="00D83669">
              <w:rPr>
                <w:rFonts w:ascii="Times New Roman" w:hAnsi="Times New Roman"/>
                <w:bCs/>
                <w:sz w:val="24"/>
              </w:rPr>
              <w:t>качеството и съответствието с пазара на труда на образованието;</w:t>
            </w:r>
          </w:p>
          <w:p w14:paraId="598EE3C3" w14:textId="77777777" w:rsidR="00D857FE" w:rsidRPr="00D83669" w:rsidRDefault="00D857FE" w:rsidP="00D857FE">
            <w:pPr>
              <w:pStyle w:val="ListParagraph"/>
              <w:numPr>
                <w:ilvl w:val="0"/>
                <w:numId w:val="42"/>
              </w:numPr>
              <w:spacing w:after="0" w:line="240" w:lineRule="auto"/>
              <w:jc w:val="both"/>
              <w:rPr>
                <w:rFonts w:ascii="Times New Roman" w:hAnsi="Times New Roman"/>
                <w:bCs/>
                <w:sz w:val="24"/>
              </w:rPr>
            </w:pPr>
            <w:r w:rsidRPr="00D83669">
              <w:rPr>
                <w:rFonts w:ascii="Times New Roman" w:hAnsi="Times New Roman"/>
                <w:bCs/>
                <w:sz w:val="24"/>
              </w:rPr>
              <w:t>1 бр. оценка на въздействието до 30 юни 2029 г., съгласно изискванията на чл. 44 от Регламент (ЕС) 2021/1060 на Европейския парламент и на Съвета от 24 юни 2021 година;</w:t>
            </w:r>
          </w:p>
          <w:p w14:paraId="59C49C69" w14:textId="77777777" w:rsidR="00D857FE" w:rsidRPr="00D83669" w:rsidRDefault="00D857FE" w:rsidP="00D857FE">
            <w:pPr>
              <w:pStyle w:val="ListParagraph"/>
              <w:numPr>
                <w:ilvl w:val="0"/>
                <w:numId w:val="42"/>
              </w:numPr>
              <w:spacing w:after="0" w:line="240" w:lineRule="auto"/>
              <w:jc w:val="both"/>
              <w:rPr>
                <w:rFonts w:ascii="Times New Roman" w:hAnsi="Times New Roman"/>
                <w:bCs/>
                <w:sz w:val="24"/>
              </w:rPr>
            </w:pPr>
            <w:r w:rsidRPr="00D83669">
              <w:rPr>
                <w:rFonts w:ascii="Times New Roman" w:hAnsi="Times New Roman"/>
                <w:bCs/>
                <w:sz w:val="24"/>
              </w:rPr>
              <w:t>1 бр. оценка на процедурите по ОПНОИР по отношение на използването на средствата по линия на REACT-EU до 31.12.2024 г., съгласно чл. 92б), параграф 12 от Регламент (ЕС) № 1303/2013.</w:t>
            </w:r>
          </w:p>
          <w:p w14:paraId="66B1498D"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Предприет е подход на равномерно разпределение между 6-те региона на планиране на ниво NUTS II в България, т.е. </w:t>
            </w:r>
            <m:oMath>
              <m:f>
                <m:fPr>
                  <m:type m:val="skw"/>
                  <m:ctrlPr>
                    <w:rPr>
                      <w:rFonts w:ascii="Cambria Math" w:hAnsi="Cambria Math"/>
                      <w:bCs/>
                      <w:i/>
                      <w:sz w:val="16"/>
                      <w:szCs w:val="16"/>
                    </w:rPr>
                  </m:ctrlPr>
                </m:fPr>
                <m:num>
                  <m:r>
                    <w:rPr>
                      <w:rFonts w:ascii="Cambria Math" w:hAnsi="Cambria Math"/>
                      <w:sz w:val="16"/>
                      <w:szCs w:val="16"/>
                    </w:rPr>
                    <m:t>1</m:t>
                  </m:r>
                </m:num>
                <m:den>
                  <m:r>
                    <w:rPr>
                      <w:rFonts w:ascii="Cambria Math" w:hAnsi="Cambria Math"/>
                      <w:sz w:val="16"/>
                      <w:szCs w:val="16"/>
                    </w:rPr>
                    <m:t>6</m:t>
                  </m:r>
                </m:den>
              </m:f>
            </m:oMath>
            <w:r w:rsidRPr="00D83669">
              <w:rPr>
                <w:rFonts w:ascii="Times New Roman" w:hAnsi="Times New Roman"/>
                <w:bCs/>
                <w:sz w:val="24"/>
              </w:rPr>
              <w:t xml:space="preserve"> за региони в преход и</w:t>
            </w:r>
            <w:r w:rsidRPr="00D83669">
              <w:rPr>
                <w:rFonts w:ascii="Times New Roman" w:hAnsi="Times New Roman"/>
                <w:bCs/>
                <w:sz w:val="16"/>
                <w:szCs w:val="16"/>
              </w:rPr>
              <w:t xml:space="preserve"> </w:t>
            </w:r>
            <m:oMath>
              <m:f>
                <m:fPr>
                  <m:type m:val="skw"/>
                  <m:ctrlPr>
                    <w:rPr>
                      <w:rFonts w:ascii="Cambria Math" w:hAnsi="Cambria Math"/>
                      <w:bCs/>
                      <w:i/>
                      <w:sz w:val="16"/>
                      <w:szCs w:val="16"/>
                    </w:rPr>
                  </m:ctrlPr>
                </m:fPr>
                <m:num>
                  <m:r>
                    <w:rPr>
                      <w:rFonts w:ascii="Cambria Math" w:hAnsi="Cambria Math"/>
                      <w:sz w:val="16"/>
                      <w:szCs w:val="16"/>
                    </w:rPr>
                    <m:t>5</m:t>
                  </m:r>
                </m:num>
                <m:den>
                  <m:r>
                    <w:rPr>
                      <w:rFonts w:ascii="Cambria Math" w:hAnsi="Cambria Math"/>
                      <w:sz w:val="16"/>
                      <w:szCs w:val="16"/>
                    </w:rPr>
                    <m:t>6</m:t>
                  </m:r>
                </m:den>
              </m:f>
            </m:oMath>
            <w:r w:rsidRPr="00D83669">
              <w:rPr>
                <w:rFonts w:ascii="Times New Roman" w:hAnsi="Times New Roman"/>
                <w:bCs/>
                <w:sz w:val="24"/>
              </w:rPr>
              <w:t xml:space="preserve"> за по-слаборазвити региони.</w:t>
            </w:r>
          </w:p>
        </w:tc>
      </w:tr>
      <w:tr w:rsidR="00D857FE" w:rsidRPr="00D83669" w14:paraId="438C89C7" w14:textId="77777777" w:rsidTr="001B345C">
        <w:tc>
          <w:tcPr>
            <w:tcW w:w="2269" w:type="dxa"/>
            <w:vAlign w:val="center"/>
          </w:tcPr>
          <w:p w14:paraId="7D842EB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Крайна цел</w:t>
            </w:r>
          </w:p>
        </w:tc>
        <w:tc>
          <w:tcPr>
            <w:tcW w:w="7371" w:type="dxa"/>
            <w:shd w:val="clear" w:color="auto" w:fill="auto"/>
            <w:vAlign w:val="center"/>
          </w:tcPr>
          <w:p w14:paraId="53000A00"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9</w:t>
            </w:r>
          </w:p>
        </w:tc>
      </w:tr>
      <w:tr w:rsidR="00D857FE" w:rsidRPr="00D83669" w14:paraId="7452E483" w14:textId="77777777" w:rsidTr="001B345C">
        <w:tc>
          <w:tcPr>
            <w:tcW w:w="2269" w:type="dxa"/>
            <w:vAlign w:val="center"/>
          </w:tcPr>
          <w:p w14:paraId="018E60B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371" w:type="dxa"/>
            <w:shd w:val="clear" w:color="auto" w:fill="auto"/>
            <w:vAlign w:val="center"/>
          </w:tcPr>
          <w:p w14:paraId="4E217358"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2</w:t>
            </w:r>
          </w:p>
        </w:tc>
      </w:tr>
      <w:tr w:rsidR="00D857FE" w:rsidRPr="00D83669" w14:paraId="625A846F" w14:textId="77777777" w:rsidTr="001B345C">
        <w:tc>
          <w:tcPr>
            <w:tcW w:w="2269" w:type="dxa"/>
            <w:vAlign w:val="center"/>
          </w:tcPr>
          <w:p w14:paraId="2B15705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371" w:type="dxa"/>
            <w:shd w:val="clear" w:color="auto" w:fill="auto"/>
            <w:vAlign w:val="center"/>
          </w:tcPr>
          <w:p w14:paraId="7082E802"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Етапната цел е изчислена като сумата на 2 броя оценки, които съгласно Регламентите за програмен период 2021-2027 г. следва да бъдат извършени до 2024 г.:</w:t>
            </w:r>
          </w:p>
          <w:p w14:paraId="690B75FB" w14:textId="77777777" w:rsidR="00D857FE" w:rsidRPr="00D83669" w:rsidRDefault="00D857FE" w:rsidP="00D857FE">
            <w:pPr>
              <w:pStyle w:val="ListParagraph"/>
              <w:numPr>
                <w:ilvl w:val="0"/>
                <w:numId w:val="43"/>
              </w:numPr>
              <w:spacing w:after="0" w:line="240" w:lineRule="auto"/>
              <w:jc w:val="both"/>
              <w:rPr>
                <w:rFonts w:ascii="Times New Roman" w:hAnsi="Times New Roman"/>
                <w:bCs/>
                <w:sz w:val="24"/>
              </w:rPr>
            </w:pPr>
            <w:r w:rsidRPr="00D83669">
              <w:rPr>
                <w:rFonts w:ascii="Times New Roman" w:hAnsi="Times New Roman"/>
                <w:bCs/>
                <w:sz w:val="24"/>
              </w:rPr>
              <w:t>Оценка на процедурите по ОПНОИР по отношение на използването на средствата по линия на REACT-EU до 31.12.2024 г., съгласно чл. 92б), параграф 12 от Регламент (ЕС) № 1303/2013;</w:t>
            </w:r>
          </w:p>
          <w:p w14:paraId="77BA15B1" w14:textId="77777777" w:rsidR="00D857FE" w:rsidRPr="00D83669" w:rsidRDefault="00D857FE" w:rsidP="00D857FE">
            <w:pPr>
              <w:pStyle w:val="ListParagraph"/>
              <w:numPr>
                <w:ilvl w:val="0"/>
                <w:numId w:val="43"/>
              </w:numPr>
              <w:spacing w:after="0" w:line="240" w:lineRule="auto"/>
              <w:jc w:val="both"/>
              <w:rPr>
                <w:rFonts w:ascii="Times New Roman" w:hAnsi="Times New Roman"/>
                <w:bCs/>
                <w:sz w:val="24"/>
              </w:rPr>
            </w:pPr>
            <w:r w:rsidRPr="00D83669">
              <w:rPr>
                <w:rFonts w:ascii="Times New Roman" w:hAnsi="Times New Roman"/>
                <w:bCs/>
                <w:sz w:val="24"/>
              </w:rPr>
              <w:t>Оценка на подкрепата във връзка с целевите действия за борба с детската бедност, съгласно чл. 11, параграф e) от Препоръката за създаване на Европейска гаранция за децата (докладване на всеки две години относно напредъка в изпълнението на препоръката в съответствие с националния план за действие).</w:t>
            </w:r>
          </w:p>
          <w:p w14:paraId="38DF1CA4"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Предприет е подход на равномерно разпределение между 6-те региона на планиране на ниво NUTS II в България, т.е. </w:t>
            </w:r>
            <m:oMath>
              <m:f>
                <m:fPr>
                  <m:type m:val="skw"/>
                  <m:ctrlPr>
                    <w:rPr>
                      <w:rFonts w:ascii="Cambria Math" w:hAnsi="Cambria Math"/>
                      <w:bCs/>
                      <w:i/>
                      <w:sz w:val="16"/>
                      <w:szCs w:val="16"/>
                    </w:rPr>
                  </m:ctrlPr>
                </m:fPr>
                <m:num>
                  <m:r>
                    <w:rPr>
                      <w:rFonts w:ascii="Cambria Math" w:hAnsi="Cambria Math"/>
                      <w:sz w:val="16"/>
                      <w:szCs w:val="16"/>
                    </w:rPr>
                    <m:t>1</m:t>
                  </m:r>
                </m:num>
                <m:den>
                  <m:r>
                    <w:rPr>
                      <w:rFonts w:ascii="Cambria Math" w:hAnsi="Cambria Math"/>
                      <w:sz w:val="16"/>
                      <w:szCs w:val="16"/>
                    </w:rPr>
                    <m:t>6</m:t>
                  </m:r>
                </m:den>
              </m:f>
            </m:oMath>
            <w:r w:rsidRPr="00D83669">
              <w:rPr>
                <w:rFonts w:ascii="Times New Roman" w:hAnsi="Times New Roman"/>
                <w:bCs/>
                <w:sz w:val="24"/>
              </w:rPr>
              <w:t xml:space="preserve"> за региони в преход и</w:t>
            </w:r>
            <w:r w:rsidRPr="00D83669">
              <w:rPr>
                <w:rFonts w:ascii="Times New Roman" w:hAnsi="Times New Roman"/>
                <w:bCs/>
                <w:sz w:val="16"/>
                <w:szCs w:val="16"/>
              </w:rPr>
              <w:t xml:space="preserve"> </w:t>
            </w:r>
            <m:oMath>
              <m:f>
                <m:fPr>
                  <m:type m:val="skw"/>
                  <m:ctrlPr>
                    <w:rPr>
                      <w:rFonts w:ascii="Cambria Math" w:hAnsi="Cambria Math"/>
                      <w:bCs/>
                      <w:i/>
                      <w:sz w:val="16"/>
                      <w:szCs w:val="16"/>
                    </w:rPr>
                  </m:ctrlPr>
                </m:fPr>
                <m:num>
                  <m:r>
                    <w:rPr>
                      <w:rFonts w:ascii="Cambria Math" w:hAnsi="Cambria Math"/>
                      <w:sz w:val="16"/>
                      <w:szCs w:val="16"/>
                    </w:rPr>
                    <m:t>5</m:t>
                  </m:r>
                </m:num>
                <m:den>
                  <m:r>
                    <w:rPr>
                      <w:rFonts w:ascii="Cambria Math" w:hAnsi="Cambria Math"/>
                      <w:sz w:val="16"/>
                      <w:szCs w:val="16"/>
                    </w:rPr>
                    <m:t>6</m:t>
                  </m:r>
                </m:den>
              </m:f>
            </m:oMath>
            <w:r w:rsidRPr="00D83669">
              <w:rPr>
                <w:rFonts w:ascii="Times New Roman" w:hAnsi="Times New Roman"/>
                <w:bCs/>
                <w:sz w:val="24"/>
              </w:rPr>
              <w:t xml:space="preserve"> за по-слаборазвити региони.</w:t>
            </w:r>
          </w:p>
        </w:tc>
      </w:tr>
      <w:tr w:rsidR="00D857FE" w:rsidRPr="00D83669" w14:paraId="0AFA0CBD" w14:textId="77777777" w:rsidTr="001B345C">
        <w:tc>
          <w:tcPr>
            <w:tcW w:w="2269" w:type="dxa"/>
            <w:vAlign w:val="center"/>
          </w:tcPr>
          <w:p w14:paraId="459793C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Разбивка</w:t>
            </w:r>
          </w:p>
          <w:p w14:paraId="630C2F80" w14:textId="77777777" w:rsidR="00D857FE" w:rsidRPr="00D83669" w:rsidRDefault="00D857FE" w:rsidP="00CC7BCB">
            <w:pPr>
              <w:rPr>
                <w:rFonts w:ascii="Times New Roman" w:hAnsi="Times New Roman"/>
                <w:b/>
                <w:bCs/>
                <w:sz w:val="24"/>
              </w:rPr>
            </w:pPr>
          </w:p>
        </w:tc>
        <w:tc>
          <w:tcPr>
            <w:tcW w:w="7371" w:type="dxa"/>
            <w:shd w:val="clear" w:color="auto" w:fill="auto"/>
            <w:vAlign w:val="center"/>
          </w:tcPr>
          <w:p w14:paraId="658719EA"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Неприложимо</w:t>
            </w:r>
          </w:p>
        </w:tc>
      </w:tr>
      <w:tr w:rsidR="00D857FE" w:rsidRPr="00D83669" w14:paraId="2011A5B7" w14:textId="77777777" w:rsidTr="001B345C">
        <w:tc>
          <w:tcPr>
            <w:tcW w:w="2269" w:type="dxa"/>
            <w:vAlign w:val="center"/>
          </w:tcPr>
          <w:p w14:paraId="35C7634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Обосновка</w:t>
            </w:r>
          </w:p>
        </w:tc>
        <w:tc>
          <w:tcPr>
            <w:tcW w:w="7371" w:type="dxa"/>
            <w:shd w:val="clear" w:color="auto" w:fill="auto"/>
            <w:vAlign w:val="center"/>
          </w:tcPr>
          <w:p w14:paraId="3D37C873"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Неприложимо</w:t>
            </w:r>
          </w:p>
        </w:tc>
      </w:tr>
      <w:tr w:rsidR="00D857FE" w:rsidRPr="00D83669" w14:paraId="67CB6F00" w14:textId="77777777" w:rsidTr="001B345C">
        <w:tc>
          <w:tcPr>
            <w:tcW w:w="2269" w:type="dxa"/>
            <w:vAlign w:val="center"/>
          </w:tcPr>
          <w:p w14:paraId="600F315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371" w:type="dxa"/>
            <w:shd w:val="clear" w:color="auto" w:fill="auto"/>
            <w:vAlign w:val="center"/>
          </w:tcPr>
          <w:p w14:paraId="41E420CF"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Неприложимо</w:t>
            </w:r>
          </w:p>
        </w:tc>
      </w:tr>
      <w:tr w:rsidR="00D857FE" w:rsidRPr="00D83669" w14:paraId="43D97B68" w14:textId="77777777" w:rsidTr="001B345C">
        <w:tc>
          <w:tcPr>
            <w:tcW w:w="2269" w:type="dxa"/>
            <w:vAlign w:val="center"/>
          </w:tcPr>
          <w:p w14:paraId="026E4FF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371" w:type="dxa"/>
            <w:shd w:val="clear" w:color="auto" w:fill="auto"/>
            <w:vAlign w:val="center"/>
          </w:tcPr>
          <w:p w14:paraId="5CFF291F"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Два пъти годишно</w:t>
            </w:r>
          </w:p>
        </w:tc>
      </w:tr>
      <w:tr w:rsidR="00D857FE" w:rsidRPr="00D83669" w14:paraId="7934EB99" w14:textId="77777777" w:rsidTr="001B345C">
        <w:tc>
          <w:tcPr>
            <w:tcW w:w="2269" w:type="dxa"/>
            <w:vAlign w:val="center"/>
          </w:tcPr>
          <w:p w14:paraId="096019E7" w14:textId="41C8A776"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371" w:type="dxa"/>
            <w:shd w:val="clear" w:color="auto" w:fill="auto"/>
            <w:vAlign w:val="center"/>
          </w:tcPr>
          <w:p w14:paraId="46CE7395" w14:textId="77777777" w:rsidR="00D857FE" w:rsidRPr="00D83669" w:rsidRDefault="00D857FE" w:rsidP="00CC7BCB">
            <w:pPr>
              <w:jc w:val="both"/>
              <w:rPr>
                <w:rFonts w:ascii="Times New Roman" w:hAnsi="Times New Roman"/>
                <w:sz w:val="24"/>
              </w:rPr>
            </w:pPr>
            <w:r w:rsidRPr="00D83669">
              <w:rPr>
                <w:rFonts w:ascii="Times New Roman" w:hAnsi="Times New Roman"/>
                <w:bCs/>
                <w:sz w:val="24"/>
              </w:rPr>
              <w:t>Неприложимо</w:t>
            </w:r>
          </w:p>
        </w:tc>
      </w:tr>
      <w:tr w:rsidR="00D857FE" w:rsidRPr="00D83669" w14:paraId="7FBF7B0A" w14:textId="77777777" w:rsidTr="001B345C">
        <w:tc>
          <w:tcPr>
            <w:tcW w:w="2269" w:type="dxa"/>
            <w:vAlign w:val="center"/>
          </w:tcPr>
          <w:p w14:paraId="7E3F4FEE"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371" w:type="dxa"/>
            <w:shd w:val="clear" w:color="auto" w:fill="auto"/>
            <w:vAlign w:val="center"/>
          </w:tcPr>
          <w:p w14:paraId="5DEA4755" w14:textId="77777777" w:rsidR="00D857FE" w:rsidRPr="00D83669" w:rsidRDefault="00D857FE" w:rsidP="00CC7BCB">
            <w:pPr>
              <w:jc w:val="both"/>
              <w:rPr>
                <w:rFonts w:ascii="Times New Roman" w:hAnsi="Times New Roman"/>
                <w:bCs/>
                <w:sz w:val="24"/>
              </w:rPr>
            </w:pPr>
            <w:r w:rsidRPr="00D83669">
              <w:rPr>
                <w:rFonts w:ascii="Times New Roman" w:hAnsi="Times New Roman"/>
                <w:sz w:val="24"/>
              </w:rPr>
              <w:t>Неприложимо.</w:t>
            </w:r>
          </w:p>
        </w:tc>
      </w:tr>
    </w:tbl>
    <w:p w14:paraId="6FE035CD" w14:textId="77777777" w:rsidR="00D857FE" w:rsidRPr="00D83669" w:rsidRDefault="00D857FE" w:rsidP="00D857FE"/>
    <w:p w14:paraId="077CED64" w14:textId="77777777" w:rsidR="00D857FE" w:rsidRPr="00D83669" w:rsidRDefault="00D857FE" w:rsidP="00D857FE">
      <w:r w:rsidRPr="00D83669">
        <w:br w:type="page"/>
      </w:r>
    </w:p>
    <w:p w14:paraId="5EABC8CD" w14:textId="2A5B76A8" w:rsidR="00D857FE" w:rsidRPr="00D83669" w:rsidRDefault="00D857FE" w:rsidP="00BB37EF">
      <w:pPr>
        <w:pStyle w:val="Heading3"/>
        <w:rPr>
          <w:b/>
          <w:bCs/>
          <w:i/>
          <w:iCs/>
          <w:sz w:val="22"/>
          <w:szCs w:val="22"/>
        </w:rPr>
      </w:pPr>
      <w:bookmarkStart w:id="241" w:name="_Toc100153043"/>
      <w:bookmarkStart w:id="242" w:name="_Toc103586718"/>
      <w:r w:rsidRPr="00D83669">
        <w:rPr>
          <w:b/>
          <w:bCs/>
          <w:i/>
          <w:iCs/>
          <w:sz w:val="22"/>
          <w:szCs w:val="22"/>
        </w:rPr>
        <w:lastRenderedPageBreak/>
        <w:t>SOI 4.3 Обучени представители на бенефициенти/партньори/целеви групи и на потенциални бенефициенти/партньори/целеви групи</w:t>
      </w:r>
      <w:bookmarkEnd w:id="241"/>
      <w:bookmarkEnd w:id="242"/>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0E3317B4" w14:textId="77777777" w:rsidTr="001B345C">
        <w:tc>
          <w:tcPr>
            <w:tcW w:w="240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F435881" w14:textId="49CD2E0D" w:rsidR="00D857FE" w:rsidRPr="00D83669" w:rsidRDefault="00D857FE" w:rsidP="00CC7BCB">
            <w:pPr>
              <w:rPr>
                <w:rFonts w:ascii="Times New Roman" w:hAnsi="Times New Roman"/>
                <w:b/>
                <w:bCs/>
                <w:sz w:val="18"/>
                <w:szCs w:val="18"/>
              </w:rPr>
            </w:pPr>
            <w:r w:rsidRPr="00D83669">
              <w:rPr>
                <w:rFonts w:ascii="Times New Roman" w:hAnsi="Times New Roman"/>
                <w:b/>
                <w:bCs/>
                <w:sz w:val="24"/>
              </w:rPr>
              <w:t>Показателят SMART ли е?</w:t>
            </w:r>
          </w:p>
        </w:tc>
        <w:tc>
          <w:tcPr>
            <w:tcW w:w="7235"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5A74C9D" w14:textId="77777777" w:rsidR="00D857FE" w:rsidRPr="00D83669" w:rsidRDefault="00D857FE" w:rsidP="00CC7BCB">
            <w:pPr>
              <w:jc w:val="both"/>
              <w:rPr>
                <w:rFonts w:ascii="Times New Roman" w:hAnsi="Times New Roman"/>
                <w:b/>
                <w:sz w:val="18"/>
                <w:szCs w:val="18"/>
              </w:rPr>
            </w:pPr>
            <w:r w:rsidRPr="00D83669">
              <w:rPr>
                <w:rFonts w:ascii="Times New Roman" w:hAnsi="Times New Roman"/>
                <w:sz w:val="24"/>
              </w:rPr>
              <w:t xml:space="preserve">Да. </w:t>
            </w:r>
          </w:p>
        </w:tc>
      </w:tr>
      <w:tr w:rsidR="00D857FE" w:rsidRPr="00D83669" w14:paraId="7C135490" w14:textId="77777777" w:rsidTr="001B345C">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2100BF" w14:textId="5F6C7227" w:rsidR="00D857FE" w:rsidRPr="00D83669" w:rsidRDefault="00D857FE" w:rsidP="00CC7BCB">
            <w:pPr>
              <w:rPr>
                <w:rFonts w:ascii="Times New Roman" w:hAnsi="Times New Roman"/>
                <w:b/>
                <w:bCs/>
                <w:sz w:val="18"/>
                <w:szCs w:val="18"/>
              </w:rPr>
            </w:pPr>
            <w:r w:rsidRPr="00D83669">
              <w:rPr>
                <w:rFonts w:ascii="Times New Roman" w:hAnsi="Times New Roman"/>
                <w:b/>
                <w:bCs/>
                <w:sz w:val="24"/>
              </w:rPr>
              <w:t>Показател</w:t>
            </w:r>
          </w:p>
        </w:tc>
        <w:tc>
          <w:tcPr>
            <w:tcW w:w="72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68D9B" w14:textId="77777777" w:rsidR="00D857FE" w:rsidRPr="00D83669" w:rsidRDefault="00D857FE" w:rsidP="00CC7BCB">
            <w:pPr>
              <w:jc w:val="both"/>
              <w:rPr>
                <w:rFonts w:ascii="Times New Roman" w:hAnsi="Times New Roman"/>
                <w:b/>
                <w:sz w:val="18"/>
                <w:szCs w:val="18"/>
              </w:rPr>
            </w:pPr>
            <w:r w:rsidRPr="00D83669">
              <w:rPr>
                <w:rFonts w:ascii="Times New Roman" w:hAnsi="Times New Roman"/>
                <w:sz w:val="24"/>
                <w:lang w:val="en-US"/>
              </w:rPr>
              <w:t>SOI</w:t>
            </w:r>
            <w:r w:rsidRPr="00D83669">
              <w:rPr>
                <w:rFonts w:ascii="Times New Roman" w:hAnsi="Times New Roman"/>
                <w:sz w:val="24"/>
              </w:rPr>
              <w:t xml:space="preserve"> 4.3 Обучени представители на бенефициенти/партньори/целеви групи и на потенциални бенефициенти/партньори/целеви групи</w:t>
            </w:r>
          </w:p>
        </w:tc>
      </w:tr>
      <w:tr w:rsidR="00D857FE" w:rsidRPr="00D83669" w14:paraId="7BAB5149" w14:textId="77777777" w:rsidTr="001B345C">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A00FAD" w14:textId="77777777" w:rsidR="00D857FE" w:rsidRPr="00D83669" w:rsidRDefault="00D857FE" w:rsidP="00CC7BCB">
            <w:pPr>
              <w:rPr>
                <w:rFonts w:ascii="Times New Roman" w:hAnsi="Times New Roman"/>
                <w:b/>
                <w:bCs/>
                <w:sz w:val="18"/>
                <w:szCs w:val="18"/>
              </w:rPr>
            </w:pPr>
            <w:r w:rsidRPr="00D83669">
              <w:rPr>
                <w:rFonts w:ascii="Times New Roman" w:hAnsi="Times New Roman"/>
                <w:b/>
                <w:bCs/>
                <w:sz w:val="24"/>
              </w:rPr>
              <w:t>Тип</w:t>
            </w:r>
          </w:p>
        </w:tc>
        <w:tc>
          <w:tcPr>
            <w:tcW w:w="72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8620F5" w14:textId="5E641C4E" w:rsidR="00D857FE" w:rsidRPr="00D83669" w:rsidRDefault="00D857FE" w:rsidP="00CC7BCB">
            <w:pPr>
              <w:jc w:val="both"/>
              <w:rPr>
                <w:rFonts w:ascii="Times New Roman" w:hAnsi="Times New Roman"/>
                <w:b/>
                <w:sz w:val="18"/>
                <w:szCs w:val="18"/>
              </w:rPr>
            </w:pPr>
            <w:r w:rsidRPr="00D83669">
              <w:rPr>
                <w:rFonts w:ascii="Times New Roman" w:hAnsi="Times New Roman"/>
                <w:sz w:val="24"/>
              </w:rPr>
              <w:t>Специфичен показател за краен продукт</w:t>
            </w:r>
          </w:p>
        </w:tc>
      </w:tr>
      <w:tr w:rsidR="00D857FE" w:rsidRPr="00D83669" w14:paraId="74CC778F" w14:textId="77777777" w:rsidTr="001B345C">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5A482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8E7934"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r w:rsidR="00D857FE" w:rsidRPr="00D83669" w14:paraId="113323E1" w14:textId="77777777" w:rsidTr="001B345C">
        <w:tc>
          <w:tcPr>
            <w:tcW w:w="24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13A794"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10BD19"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за подобряване административния капацитет на бенефициентите и потенциалните бенефициенти</w:t>
            </w:r>
          </w:p>
        </w:tc>
      </w:tr>
      <w:tr w:rsidR="00D857FE" w:rsidRPr="00D83669" w14:paraId="3C41B967" w14:textId="77777777" w:rsidTr="001B345C">
        <w:tc>
          <w:tcPr>
            <w:tcW w:w="2405" w:type="dxa"/>
            <w:vAlign w:val="center"/>
          </w:tcPr>
          <w:p w14:paraId="71F4204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Дефиниция</w:t>
            </w:r>
          </w:p>
          <w:p w14:paraId="3D86AD04" w14:textId="77777777" w:rsidR="00D857FE" w:rsidRPr="00D83669" w:rsidRDefault="00D857FE" w:rsidP="00CC7BCB">
            <w:pPr>
              <w:rPr>
                <w:rFonts w:ascii="Times New Roman" w:hAnsi="Times New Roman"/>
                <w:b/>
                <w:bCs/>
                <w:sz w:val="24"/>
              </w:rPr>
            </w:pPr>
          </w:p>
        </w:tc>
        <w:tc>
          <w:tcPr>
            <w:tcW w:w="7235" w:type="dxa"/>
            <w:shd w:val="clear" w:color="auto" w:fill="auto"/>
            <w:vAlign w:val="center"/>
          </w:tcPr>
          <w:p w14:paraId="72A843E6" w14:textId="419EC9E2" w:rsidR="00D857FE" w:rsidRPr="00D83669" w:rsidRDefault="00D857FE" w:rsidP="00CC7BCB">
            <w:pPr>
              <w:jc w:val="both"/>
              <w:rPr>
                <w:rFonts w:ascii="Times New Roman" w:hAnsi="Times New Roman"/>
                <w:sz w:val="24"/>
              </w:rPr>
            </w:pPr>
            <w:r w:rsidRPr="00D83669">
              <w:rPr>
                <w:rFonts w:ascii="Times New Roman" w:hAnsi="Times New Roman"/>
                <w:sz w:val="24"/>
              </w:rPr>
              <w:t>Показателят измерва броя на включените участници в обучения за изграждане на капацитет на служителите от МОН като ключов бенефициент, училища (общообразователни и професионални), детски градини, РУО, висши училища за мониторинг на данни, както и за информация и публичност, както и участници в обучения за изграждане на капацитет на други структури, подпомагащи изпълнението на ПО, с цел осигуряване и поддържане на високи нива на компетентност, вкл. членове на Комитета за наблюдение (КН) на ПО.</w:t>
            </w:r>
          </w:p>
        </w:tc>
      </w:tr>
      <w:tr w:rsidR="00D857FE" w:rsidRPr="00D83669" w14:paraId="1F7B5F62" w14:textId="77777777" w:rsidTr="001B345C">
        <w:tc>
          <w:tcPr>
            <w:tcW w:w="2405" w:type="dxa"/>
            <w:vAlign w:val="center"/>
          </w:tcPr>
          <w:p w14:paraId="40727F2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0384FA1A"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Брой</w:t>
            </w:r>
          </w:p>
        </w:tc>
      </w:tr>
      <w:tr w:rsidR="00D857FE" w:rsidRPr="00D83669" w14:paraId="2C28975F" w14:textId="77777777" w:rsidTr="001B345C">
        <w:tc>
          <w:tcPr>
            <w:tcW w:w="2405" w:type="dxa"/>
            <w:vAlign w:val="center"/>
          </w:tcPr>
          <w:p w14:paraId="5B07055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37640902" w14:textId="03B3AC03"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При определянето на крайната цел на показателя, участниците са разделени в две основни групи обучения, със заложен индикативен брой, а именно:  </w:t>
            </w:r>
          </w:p>
          <w:p w14:paraId="13BA72FD"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1. Обучения за изграждане на капацитет на служителите от МОН като ключов бенефициент, училища (общообразователни и професионални), детски градини, РУО, висши училища за мониторинг на данни, както и за информация и публичност:</w:t>
            </w:r>
          </w:p>
          <w:p w14:paraId="72D9FE8B"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брой служители от УИП – 10 /целева стойност за 2029 г./</w:t>
            </w:r>
          </w:p>
          <w:p w14:paraId="300701E6"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брой на други служители от МОН – 20 /целева стойност за 2029 г./</w:t>
            </w:r>
          </w:p>
          <w:p w14:paraId="17E0A182"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по един участник от училища и детски градини – 4 170 /целева стойност за 2029 г./</w:t>
            </w:r>
          </w:p>
          <w:p w14:paraId="1FA0C09C"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по един участник от висши училища – 52 /целева стойност за 2029 г./</w:t>
            </w:r>
          </w:p>
          <w:p w14:paraId="7509E5FA"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служители в РУО – 300 /целева стойност за 2029 г./</w:t>
            </w:r>
          </w:p>
          <w:p w14:paraId="17C8A8B3" w14:textId="77777777" w:rsidR="00D857FE" w:rsidRPr="00D83669" w:rsidRDefault="00D857FE" w:rsidP="00CC7BCB">
            <w:pPr>
              <w:jc w:val="both"/>
              <w:rPr>
                <w:rFonts w:ascii="Times New Roman" w:hAnsi="Times New Roman"/>
                <w:bCs/>
                <w:i/>
                <w:sz w:val="24"/>
              </w:rPr>
            </w:pPr>
            <w:r w:rsidRPr="00D83669">
              <w:rPr>
                <w:rFonts w:ascii="Times New Roman" w:hAnsi="Times New Roman"/>
                <w:bCs/>
                <w:i/>
                <w:sz w:val="24"/>
              </w:rPr>
              <w:t>Общ брой участници в обучения по т. 1: 4 552</w:t>
            </w:r>
          </w:p>
          <w:p w14:paraId="07FC9EB1"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2. Обучения за изграждане на капацитет на други структури, подпомагащи изпълнението на ПО, с цел осигуряване и поддържане на високи нива на компетентност, вкл. членове на Комитета за наблюдение на ПО;</w:t>
            </w:r>
          </w:p>
          <w:p w14:paraId="0160A09B"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lastRenderedPageBreak/>
              <w:t>- брой представители на Комитета за наблюдение – 70 /целева стойност за 2029 г./</w:t>
            </w:r>
          </w:p>
          <w:p w14:paraId="72FE058A"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брой представители на неправителствени организации в сферата на образованието – 50 /целева стойност за 2029 г./</w:t>
            </w:r>
          </w:p>
          <w:p w14:paraId="162777EC" w14:textId="77777777" w:rsidR="00D857FE" w:rsidRPr="00D83669" w:rsidRDefault="00D857FE" w:rsidP="00CC7BCB">
            <w:pPr>
              <w:jc w:val="both"/>
              <w:rPr>
                <w:rFonts w:ascii="Times New Roman" w:hAnsi="Times New Roman"/>
                <w:bCs/>
                <w:i/>
                <w:sz w:val="24"/>
              </w:rPr>
            </w:pPr>
            <w:r w:rsidRPr="00D83669">
              <w:rPr>
                <w:rFonts w:ascii="Times New Roman" w:hAnsi="Times New Roman"/>
                <w:bCs/>
                <w:i/>
                <w:sz w:val="24"/>
              </w:rPr>
              <w:t>Общ брой участници в обучения по т. 2: 120</w:t>
            </w:r>
          </w:p>
          <w:p w14:paraId="03305043" w14:textId="77777777" w:rsidR="00D857FE" w:rsidRPr="00D83669" w:rsidRDefault="00D857FE" w:rsidP="00CC7BCB">
            <w:pPr>
              <w:jc w:val="both"/>
              <w:rPr>
                <w:rFonts w:ascii="Times New Roman" w:hAnsi="Times New Roman"/>
                <w:bCs/>
                <w:sz w:val="24"/>
              </w:rPr>
            </w:pPr>
            <w:r w:rsidRPr="00D83669">
              <w:rPr>
                <w:rFonts w:ascii="Times New Roman" w:hAnsi="Times New Roman"/>
                <w:b/>
                <w:bCs/>
                <w:i/>
                <w:sz w:val="24"/>
              </w:rPr>
              <w:t>Определена крайна цел: 4 552 + 120 = 4 672</w:t>
            </w:r>
          </w:p>
          <w:p w14:paraId="6F83BE4E"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Предприет е подход на равномерно разпределение между 6-те региона на планиране на ниво NUTS II в България, т.е. </w:t>
            </w:r>
            <m:oMath>
              <m:f>
                <m:fPr>
                  <m:type m:val="skw"/>
                  <m:ctrlPr>
                    <w:rPr>
                      <w:rFonts w:ascii="Cambria Math" w:hAnsi="Cambria Math"/>
                      <w:bCs/>
                      <w:i/>
                      <w:sz w:val="16"/>
                      <w:szCs w:val="16"/>
                    </w:rPr>
                  </m:ctrlPr>
                </m:fPr>
                <m:num>
                  <m:r>
                    <w:rPr>
                      <w:rFonts w:ascii="Cambria Math" w:hAnsi="Cambria Math"/>
                      <w:sz w:val="16"/>
                      <w:szCs w:val="16"/>
                    </w:rPr>
                    <m:t>1</m:t>
                  </m:r>
                </m:num>
                <m:den>
                  <m:r>
                    <w:rPr>
                      <w:rFonts w:ascii="Cambria Math" w:hAnsi="Cambria Math"/>
                      <w:sz w:val="16"/>
                      <w:szCs w:val="16"/>
                    </w:rPr>
                    <m:t>6</m:t>
                  </m:r>
                </m:den>
              </m:f>
            </m:oMath>
            <w:r w:rsidRPr="00D83669">
              <w:rPr>
                <w:rFonts w:ascii="Times New Roman" w:hAnsi="Times New Roman"/>
                <w:bCs/>
                <w:sz w:val="24"/>
              </w:rPr>
              <w:t xml:space="preserve"> за региони в преход и</w:t>
            </w:r>
            <w:r w:rsidRPr="00D83669">
              <w:rPr>
                <w:rFonts w:ascii="Times New Roman" w:hAnsi="Times New Roman"/>
                <w:bCs/>
                <w:sz w:val="16"/>
                <w:szCs w:val="16"/>
              </w:rPr>
              <w:t xml:space="preserve"> </w:t>
            </w:r>
            <m:oMath>
              <m:f>
                <m:fPr>
                  <m:type m:val="skw"/>
                  <m:ctrlPr>
                    <w:rPr>
                      <w:rFonts w:ascii="Cambria Math" w:hAnsi="Cambria Math"/>
                      <w:bCs/>
                      <w:i/>
                      <w:sz w:val="16"/>
                      <w:szCs w:val="16"/>
                    </w:rPr>
                  </m:ctrlPr>
                </m:fPr>
                <m:num>
                  <m:r>
                    <w:rPr>
                      <w:rFonts w:ascii="Cambria Math" w:hAnsi="Cambria Math"/>
                      <w:sz w:val="16"/>
                      <w:szCs w:val="16"/>
                    </w:rPr>
                    <m:t>5</m:t>
                  </m:r>
                </m:num>
                <m:den>
                  <m:r>
                    <w:rPr>
                      <w:rFonts w:ascii="Cambria Math" w:hAnsi="Cambria Math"/>
                      <w:sz w:val="16"/>
                      <w:szCs w:val="16"/>
                    </w:rPr>
                    <m:t>6</m:t>
                  </m:r>
                </m:den>
              </m:f>
            </m:oMath>
            <w:r w:rsidRPr="00D83669">
              <w:rPr>
                <w:rFonts w:ascii="Times New Roman" w:hAnsi="Times New Roman"/>
                <w:bCs/>
                <w:sz w:val="24"/>
              </w:rPr>
              <w:t xml:space="preserve"> за по-слаборазвити региони.</w:t>
            </w:r>
          </w:p>
        </w:tc>
      </w:tr>
      <w:tr w:rsidR="00D857FE" w:rsidRPr="00D83669" w14:paraId="4FC14461" w14:textId="77777777" w:rsidTr="001B345C">
        <w:tc>
          <w:tcPr>
            <w:tcW w:w="2405" w:type="dxa"/>
            <w:vAlign w:val="center"/>
          </w:tcPr>
          <w:p w14:paraId="2C43EA9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Крайна цел</w:t>
            </w:r>
          </w:p>
        </w:tc>
        <w:tc>
          <w:tcPr>
            <w:tcW w:w="7235" w:type="dxa"/>
            <w:shd w:val="clear" w:color="auto" w:fill="auto"/>
            <w:vAlign w:val="center"/>
          </w:tcPr>
          <w:p w14:paraId="448C2702"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4 672</w:t>
            </w:r>
          </w:p>
        </w:tc>
      </w:tr>
      <w:tr w:rsidR="00D857FE" w:rsidRPr="00D83669" w14:paraId="2EB8F7BF" w14:textId="77777777" w:rsidTr="001B345C">
        <w:tc>
          <w:tcPr>
            <w:tcW w:w="2405" w:type="dxa"/>
            <w:vAlign w:val="center"/>
          </w:tcPr>
          <w:p w14:paraId="4469101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0D9BD7F8"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1 168</w:t>
            </w:r>
          </w:p>
        </w:tc>
      </w:tr>
      <w:tr w:rsidR="00D857FE" w:rsidRPr="00D83669" w14:paraId="73B0BAD5" w14:textId="77777777" w:rsidTr="001B345C">
        <w:tc>
          <w:tcPr>
            <w:tcW w:w="2405" w:type="dxa"/>
            <w:vAlign w:val="center"/>
          </w:tcPr>
          <w:p w14:paraId="09052C23"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267AF4B6"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Междинната цел представлява 25% от крайната цел. Изчислението е направено на база допускането, че към края на 2024 година ще са минали 3 от 8 години (стартирайки от 2022 г. до 2029 г. включително) и поне ¼ от предвидените участници ще са обучени 25% х 4 672 = 1 168 участници). Взета е предвид и възможността от забавяне на стартиране на изпълнението на ПО и конкретно на техническата помощ.</w:t>
            </w:r>
          </w:p>
          <w:p w14:paraId="560AB438"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Предприет е подход на равномерно разпределение между 6-те региона на планиране на ниво NUTS II в България, т.е. </w:t>
            </w:r>
            <m:oMath>
              <m:f>
                <m:fPr>
                  <m:type m:val="skw"/>
                  <m:ctrlPr>
                    <w:rPr>
                      <w:rFonts w:ascii="Cambria Math" w:hAnsi="Cambria Math"/>
                      <w:bCs/>
                      <w:i/>
                      <w:sz w:val="16"/>
                      <w:szCs w:val="16"/>
                    </w:rPr>
                  </m:ctrlPr>
                </m:fPr>
                <m:num>
                  <m:r>
                    <w:rPr>
                      <w:rFonts w:ascii="Cambria Math" w:hAnsi="Cambria Math"/>
                      <w:sz w:val="16"/>
                      <w:szCs w:val="16"/>
                    </w:rPr>
                    <m:t>1</m:t>
                  </m:r>
                </m:num>
                <m:den>
                  <m:r>
                    <w:rPr>
                      <w:rFonts w:ascii="Cambria Math" w:hAnsi="Cambria Math"/>
                      <w:sz w:val="16"/>
                      <w:szCs w:val="16"/>
                    </w:rPr>
                    <m:t>6</m:t>
                  </m:r>
                </m:den>
              </m:f>
            </m:oMath>
            <w:r w:rsidRPr="00D83669">
              <w:rPr>
                <w:rFonts w:ascii="Times New Roman" w:hAnsi="Times New Roman"/>
                <w:bCs/>
                <w:sz w:val="24"/>
              </w:rPr>
              <w:t xml:space="preserve"> за региони в преход и</w:t>
            </w:r>
            <w:r w:rsidRPr="00D83669">
              <w:rPr>
                <w:rFonts w:ascii="Times New Roman" w:hAnsi="Times New Roman"/>
                <w:bCs/>
                <w:sz w:val="16"/>
                <w:szCs w:val="16"/>
              </w:rPr>
              <w:t xml:space="preserve"> </w:t>
            </w:r>
            <m:oMath>
              <m:f>
                <m:fPr>
                  <m:type m:val="skw"/>
                  <m:ctrlPr>
                    <w:rPr>
                      <w:rFonts w:ascii="Cambria Math" w:hAnsi="Cambria Math"/>
                      <w:bCs/>
                      <w:i/>
                      <w:sz w:val="16"/>
                      <w:szCs w:val="16"/>
                    </w:rPr>
                  </m:ctrlPr>
                </m:fPr>
                <m:num>
                  <m:r>
                    <w:rPr>
                      <w:rFonts w:ascii="Cambria Math" w:hAnsi="Cambria Math"/>
                      <w:sz w:val="16"/>
                      <w:szCs w:val="16"/>
                    </w:rPr>
                    <m:t>5</m:t>
                  </m:r>
                </m:num>
                <m:den>
                  <m:r>
                    <w:rPr>
                      <w:rFonts w:ascii="Cambria Math" w:hAnsi="Cambria Math"/>
                      <w:sz w:val="16"/>
                      <w:szCs w:val="16"/>
                    </w:rPr>
                    <m:t>6</m:t>
                  </m:r>
                </m:den>
              </m:f>
            </m:oMath>
            <w:r w:rsidRPr="00D83669">
              <w:rPr>
                <w:rFonts w:ascii="Times New Roman" w:hAnsi="Times New Roman"/>
                <w:bCs/>
                <w:sz w:val="24"/>
              </w:rPr>
              <w:t xml:space="preserve"> за по-слаборазвити региони.</w:t>
            </w:r>
          </w:p>
        </w:tc>
      </w:tr>
      <w:tr w:rsidR="00D857FE" w:rsidRPr="00D83669" w14:paraId="5D24D25C" w14:textId="77777777" w:rsidTr="001B345C">
        <w:tc>
          <w:tcPr>
            <w:tcW w:w="2405" w:type="dxa"/>
            <w:vAlign w:val="center"/>
          </w:tcPr>
          <w:p w14:paraId="5DFC6C32"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Разбивка</w:t>
            </w:r>
          </w:p>
          <w:p w14:paraId="37CFACE1" w14:textId="77777777" w:rsidR="00D857FE" w:rsidRPr="00D83669" w:rsidRDefault="00D857FE" w:rsidP="00CC7BCB">
            <w:pPr>
              <w:rPr>
                <w:rFonts w:ascii="Times New Roman" w:hAnsi="Times New Roman"/>
                <w:b/>
                <w:bCs/>
                <w:sz w:val="24"/>
              </w:rPr>
            </w:pPr>
          </w:p>
        </w:tc>
        <w:tc>
          <w:tcPr>
            <w:tcW w:w="7235" w:type="dxa"/>
            <w:shd w:val="clear" w:color="auto" w:fill="auto"/>
            <w:vAlign w:val="center"/>
          </w:tcPr>
          <w:p w14:paraId="3528111A"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Няма да бъде направена предварителна разбивка по пол и по други демографски фактори. На етап отчитане ще бъдат представени данни за пол, възраст, образователна институция, район, област и община и друга демографска информация за участниците. </w:t>
            </w:r>
          </w:p>
        </w:tc>
      </w:tr>
      <w:tr w:rsidR="00D857FE" w:rsidRPr="00D83669" w14:paraId="37857ADF" w14:textId="77777777" w:rsidTr="001B345C">
        <w:tc>
          <w:tcPr>
            <w:tcW w:w="2405" w:type="dxa"/>
            <w:vAlign w:val="center"/>
          </w:tcPr>
          <w:p w14:paraId="68A6EAF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Обосновка</w:t>
            </w:r>
          </w:p>
        </w:tc>
        <w:tc>
          <w:tcPr>
            <w:tcW w:w="7235" w:type="dxa"/>
            <w:shd w:val="clear" w:color="auto" w:fill="auto"/>
            <w:vAlign w:val="center"/>
          </w:tcPr>
          <w:p w14:paraId="668FD905"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Данните са необходими с оглед постигане на заложени цели за</w:t>
            </w:r>
            <w:r w:rsidRPr="00D83669">
              <w:t xml:space="preserve"> </w:t>
            </w:r>
            <w:r w:rsidRPr="00D83669">
              <w:rPr>
                <w:rFonts w:ascii="Times New Roman" w:hAnsi="Times New Roman"/>
                <w:bCs/>
                <w:sz w:val="24"/>
              </w:rPr>
              <w:t>повишаване на капацитета на бенефициентите за участие в Програма „Образование“ 2021-2027 г., за подготовка на качествени проектни предложения, успешно изпълнение и отчитане. Планираните обучения ще подкрепят капацитета на ключови бенефициенти и техните партньори с оглед подготовката и успешното реализиране на предвидените стратегически операции по ПО, както и на членовете на КН за качествено изпълнение на функциите им.</w:t>
            </w:r>
          </w:p>
        </w:tc>
      </w:tr>
      <w:tr w:rsidR="00D857FE" w:rsidRPr="00D83669" w14:paraId="45325F13" w14:textId="77777777" w:rsidTr="001B345C">
        <w:tc>
          <w:tcPr>
            <w:tcW w:w="2405" w:type="dxa"/>
            <w:vAlign w:val="center"/>
          </w:tcPr>
          <w:p w14:paraId="16C77FA0"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събиране на данните</w:t>
            </w:r>
          </w:p>
        </w:tc>
        <w:tc>
          <w:tcPr>
            <w:tcW w:w="7235" w:type="dxa"/>
            <w:shd w:val="clear" w:color="auto" w:fill="auto"/>
            <w:vAlign w:val="center"/>
          </w:tcPr>
          <w:p w14:paraId="7E77E2F4"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Данните ще се събират текущо на база технически отчети с изчерпателен обхват на всички участници. </w:t>
            </w:r>
          </w:p>
          <w:p w14:paraId="584AB5EE"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Информацията ще включва: пол, възраст, район, област и община и друга демографска информация за участниците. </w:t>
            </w:r>
          </w:p>
        </w:tc>
      </w:tr>
      <w:tr w:rsidR="00D857FE" w:rsidRPr="00D83669" w14:paraId="1F4F83DC" w14:textId="77777777" w:rsidTr="001B345C">
        <w:tc>
          <w:tcPr>
            <w:tcW w:w="2405" w:type="dxa"/>
            <w:vAlign w:val="center"/>
          </w:tcPr>
          <w:p w14:paraId="3876402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2B8819B8"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Два пъти годишно</w:t>
            </w:r>
          </w:p>
        </w:tc>
      </w:tr>
      <w:tr w:rsidR="00D857FE" w:rsidRPr="00D83669" w14:paraId="06ED91E7" w14:textId="77777777" w:rsidTr="001B345C">
        <w:tc>
          <w:tcPr>
            <w:tcW w:w="2405" w:type="dxa"/>
            <w:vAlign w:val="center"/>
          </w:tcPr>
          <w:p w14:paraId="4882447F" w14:textId="1EDA9874"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Свързаност на показателите</w:t>
            </w:r>
          </w:p>
        </w:tc>
        <w:tc>
          <w:tcPr>
            <w:tcW w:w="7235" w:type="dxa"/>
            <w:shd w:val="clear" w:color="auto" w:fill="auto"/>
            <w:vAlign w:val="center"/>
          </w:tcPr>
          <w:p w14:paraId="488A911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r w:rsidR="00D857FE" w:rsidRPr="00D83669" w14:paraId="1939A6D1" w14:textId="77777777" w:rsidTr="001B345C">
        <w:tc>
          <w:tcPr>
            <w:tcW w:w="2405" w:type="dxa"/>
            <w:vAlign w:val="center"/>
          </w:tcPr>
          <w:p w14:paraId="6302FD4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04BB1C4F"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bl>
    <w:p w14:paraId="53C16888" w14:textId="77777777" w:rsidR="00D857FE" w:rsidRPr="00D83669" w:rsidRDefault="00D857FE" w:rsidP="00D857FE"/>
    <w:p w14:paraId="3DD4039F" w14:textId="77777777" w:rsidR="00D857FE" w:rsidRPr="00D83669" w:rsidRDefault="00D857FE" w:rsidP="00D857FE">
      <w:r w:rsidRPr="00D83669">
        <w:br w:type="page"/>
      </w:r>
    </w:p>
    <w:p w14:paraId="099BB8EA" w14:textId="77777777" w:rsidR="00D857FE" w:rsidRPr="00D83669" w:rsidRDefault="00D857FE" w:rsidP="00BB37EF">
      <w:pPr>
        <w:pStyle w:val="Heading3"/>
        <w:rPr>
          <w:b/>
          <w:bCs/>
          <w:i/>
          <w:iCs/>
          <w:sz w:val="22"/>
          <w:szCs w:val="22"/>
        </w:rPr>
      </w:pPr>
      <w:bookmarkStart w:id="243" w:name="_Toc100153044"/>
      <w:bookmarkStart w:id="244" w:name="_Toc103586719"/>
      <w:r w:rsidRPr="00D83669">
        <w:rPr>
          <w:b/>
          <w:bCs/>
          <w:i/>
          <w:iCs/>
          <w:sz w:val="22"/>
          <w:szCs w:val="22"/>
        </w:rPr>
        <w:lastRenderedPageBreak/>
        <w:t>SOI 4.4 Участници в събития по програмата</w:t>
      </w:r>
      <w:bookmarkEnd w:id="243"/>
      <w:bookmarkEnd w:id="244"/>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235"/>
      </w:tblGrid>
      <w:tr w:rsidR="00D857FE" w:rsidRPr="00D83669" w14:paraId="783D82F9" w14:textId="77777777" w:rsidTr="0024791C">
        <w:tc>
          <w:tcPr>
            <w:tcW w:w="2405" w:type="dxa"/>
            <w:shd w:val="clear" w:color="auto" w:fill="E7E6E6" w:themeFill="background2"/>
            <w:vAlign w:val="center"/>
          </w:tcPr>
          <w:p w14:paraId="3611ADCB" w14:textId="431757CF"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Показателят SMART ли е?</w:t>
            </w:r>
          </w:p>
        </w:tc>
        <w:tc>
          <w:tcPr>
            <w:tcW w:w="7235" w:type="dxa"/>
            <w:shd w:val="clear" w:color="auto" w:fill="E7E6E6" w:themeFill="background2"/>
            <w:vAlign w:val="center"/>
          </w:tcPr>
          <w:p w14:paraId="5F4514D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 xml:space="preserve">Да. </w:t>
            </w:r>
          </w:p>
        </w:tc>
      </w:tr>
      <w:tr w:rsidR="00D857FE" w:rsidRPr="00D83669" w14:paraId="07262324" w14:textId="77777777" w:rsidTr="0024791C">
        <w:tc>
          <w:tcPr>
            <w:tcW w:w="2405" w:type="dxa"/>
            <w:vAlign w:val="center"/>
          </w:tcPr>
          <w:p w14:paraId="6AD688DC" w14:textId="7190667B" w:rsidR="00D857FE" w:rsidRPr="00D83669" w:rsidRDefault="00D857FE" w:rsidP="00CC7BCB">
            <w:pPr>
              <w:rPr>
                <w:rFonts w:ascii="Times New Roman" w:hAnsi="Times New Roman"/>
                <w:b/>
                <w:bCs/>
                <w:sz w:val="24"/>
              </w:rPr>
            </w:pPr>
            <w:r w:rsidRPr="00D83669">
              <w:rPr>
                <w:rFonts w:ascii="Times New Roman" w:hAnsi="Times New Roman"/>
                <w:b/>
                <w:bCs/>
                <w:sz w:val="24"/>
              </w:rPr>
              <w:t>Показател</w:t>
            </w:r>
          </w:p>
        </w:tc>
        <w:tc>
          <w:tcPr>
            <w:tcW w:w="7235" w:type="dxa"/>
            <w:shd w:val="clear" w:color="auto" w:fill="auto"/>
            <w:vAlign w:val="center"/>
          </w:tcPr>
          <w:p w14:paraId="434D4A3F" w14:textId="77777777" w:rsidR="00D857FE" w:rsidRPr="00D83669" w:rsidRDefault="00D857FE" w:rsidP="00CC7BCB">
            <w:pPr>
              <w:jc w:val="both"/>
              <w:rPr>
                <w:rFonts w:ascii="Times New Roman" w:hAnsi="Times New Roman"/>
                <w:sz w:val="24"/>
              </w:rPr>
            </w:pPr>
            <w:r w:rsidRPr="00D83669">
              <w:rPr>
                <w:rFonts w:ascii="Times New Roman" w:hAnsi="Times New Roman"/>
                <w:sz w:val="24"/>
                <w:lang w:val="en-US"/>
              </w:rPr>
              <w:t>SOI</w:t>
            </w:r>
            <w:r w:rsidRPr="00D83669">
              <w:rPr>
                <w:rFonts w:ascii="Times New Roman" w:hAnsi="Times New Roman"/>
                <w:sz w:val="24"/>
              </w:rPr>
              <w:t xml:space="preserve"> 4.4 Участници в събития по програмата</w:t>
            </w:r>
          </w:p>
        </w:tc>
      </w:tr>
      <w:tr w:rsidR="00D857FE" w:rsidRPr="00D83669" w14:paraId="3C035148" w14:textId="77777777" w:rsidTr="0024791C">
        <w:tc>
          <w:tcPr>
            <w:tcW w:w="2405" w:type="dxa"/>
            <w:vAlign w:val="center"/>
          </w:tcPr>
          <w:p w14:paraId="5D1EBDC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Тип</w:t>
            </w:r>
          </w:p>
        </w:tc>
        <w:tc>
          <w:tcPr>
            <w:tcW w:w="7235" w:type="dxa"/>
            <w:shd w:val="clear" w:color="auto" w:fill="auto"/>
            <w:vAlign w:val="center"/>
          </w:tcPr>
          <w:p w14:paraId="7F640AE8" w14:textId="4BB8650F" w:rsidR="00D857FE" w:rsidRPr="00D83669" w:rsidRDefault="00D857FE" w:rsidP="00CC7BCB">
            <w:pPr>
              <w:jc w:val="both"/>
              <w:rPr>
                <w:rFonts w:ascii="Times New Roman" w:hAnsi="Times New Roman"/>
                <w:sz w:val="24"/>
              </w:rPr>
            </w:pPr>
            <w:r w:rsidRPr="00D83669">
              <w:rPr>
                <w:rFonts w:ascii="Times New Roman" w:hAnsi="Times New Roman"/>
                <w:sz w:val="24"/>
              </w:rPr>
              <w:t>Специфичен показател за краен продукт</w:t>
            </w:r>
          </w:p>
        </w:tc>
      </w:tr>
      <w:tr w:rsidR="00D857FE" w:rsidRPr="00D83669" w14:paraId="4D2672A3" w14:textId="77777777" w:rsidTr="0024791C">
        <w:tc>
          <w:tcPr>
            <w:tcW w:w="2405" w:type="dxa"/>
            <w:vAlign w:val="center"/>
          </w:tcPr>
          <w:p w14:paraId="6651F951"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СЦ</w:t>
            </w:r>
          </w:p>
        </w:tc>
        <w:tc>
          <w:tcPr>
            <w:tcW w:w="7235" w:type="dxa"/>
            <w:shd w:val="clear" w:color="auto" w:fill="auto"/>
            <w:vAlign w:val="center"/>
          </w:tcPr>
          <w:p w14:paraId="71D6812C"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r w:rsidR="00D857FE" w:rsidRPr="00D83669" w14:paraId="382EC889" w14:textId="77777777" w:rsidTr="0024791C">
        <w:tc>
          <w:tcPr>
            <w:tcW w:w="2405" w:type="dxa"/>
            <w:vAlign w:val="center"/>
          </w:tcPr>
          <w:p w14:paraId="5708C89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Свързана дейност</w:t>
            </w:r>
          </w:p>
        </w:tc>
        <w:tc>
          <w:tcPr>
            <w:tcW w:w="7235" w:type="dxa"/>
            <w:shd w:val="clear" w:color="auto" w:fill="auto"/>
            <w:vAlign w:val="center"/>
          </w:tcPr>
          <w:p w14:paraId="0703CF27"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Подкрепа на публичността на програмата</w:t>
            </w:r>
          </w:p>
        </w:tc>
      </w:tr>
      <w:tr w:rsidR="00D857FE" w:rsidRPr="00D83669" w14:paraId="056037AB" w14:textId="77777777" w:rsidTr="0024791C">
        <w:tc>
          <w:tcPr>
            <w:tcW w:w="2405" w:type="dxa"/>
            <w:vAlign w:val="center"/>
          </w:tcPr>
          <w:p w14:paraId="75D0008A"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Мерна единица</w:t>
            </w:r>
          </w:p>
        </w:tc>
        <w:tc>
          <w:tcPr>
            <w:tcW w:w="7235" w:type="dxa"/>
            <w:shd w:val="clear" w:color="auto" w:fill="auto"/>
            <w:vAlign w:val="center"/>
          </w:tcPr>
          <w:p w14:paraId="47B1A6FE"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Брой</w:t>
            </w:r>
          </w:p>
        </w:tc>
      </w:tr>
      <w:tr w:rsidR="00D857FE" w:rsidRPr="00D83669" w14:paraId="5CD0BD4F" w14:textId="77777777" w:rsidTr="0024791C">
        <w:tc>
          <w:tcPr>
            <w:tcW w:w="2405" w:type="dxa"/>
            <w:vAlign w:val="center"/>
          </w:tcPr>
          <w:p w14:paraId="574442F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крайната цел</w:t>
            </w:r>
          </w:p>
        </w:tc>
        <w:tc>
          <w:tcPr>
            <w:tcW w:w="7235" w:type="dxa"/>
            <w:shd w:val="clear" w:color="auto" w:fill="auto"/>
            <w:vAlign w:val="center"/>
          </w:tcPr>
          <w:p w14:paraId="70CA894C" w14:textId="7C09CB55" w:rsidR="00D857FE" w:rsidRPr="00D83669" w:rsidRDefault="00D857FE" w:rsidP="00CC7BCB">
            <w:pPr>
              <w:jc w:val="both"/>
              <w:rPr>
                <w:rFonts w:ascii="Times New Roman" w:hAnsi="Times New Roman"/>
                <w:bCs/>
                <w:sz w:val="24"/>
              </w:rPr>
            </w:pPr>
            <w:r w:rsidRPr="00D83669">
              <w:rPr>
                <w:rFonts w:ascii="Times New Roman" w:hAnsi="Times New Roman"/>
                <w:bCs/>
                <w:sz w:val="24"/>
              </w:rPr>
              <w:t>Целевата стойност на показателя е определена на база предходен опит и исторически данни от участия в събития по Оперативна програма „Наука и образование за интелигентен растеж“ 2014</w:t>
            </w:r>
            <w:r w:rsidRPr="00D83669">
              <w:rPr>
                <w:rFonts w:ascii="Times New Roman" w:hAnsi="Times New Roman"/>
                <w:bCs/>
                <w:sz w:val="24"/>
                <w:lang w:val="en-US"/>
              </w:rPr>
              <w:t> </w:t>
            </w:r>
            <w:r w:rsidRPr="00D83669">
              <w:rPr>
                <w:rFonts w:ascii="Times New Roman" w:hAnsi="Times New Roman"/>
                <w:bCs/>
                <w:sz w:val="24"/>
              </w:rPr>
              <w:t>–</w:t>
            </w:r>
            <w:r w:rsidRPr="00D83669">
              <w:rPr>
                <w:rFonts w:ascii="Times New Roman" w:hAnsi="Times New Roman"/>
                <w:bCs/>
                <w:sz w:val="24"/>
                <w:lang w:val="en-US"/>
              </w:rPr>
              <w:t> </w:t>
            </w:r>
            <w:r w:rsidRPr="00D83669">
              <w:rPr>
                <w:rFonts w:ascii="Times New Roman" w:hAnsi="Times New Roman"/>
                <w:bCs/>
                <w:sz w:val="24"/>
              </w:rPr>
              <w:t>2020 г. За програмен период 2021</w:t>
            </w:r>
            <w:r w:rsidRPr="00D83669">
              <w:rPr>
                <w:rFonts w:ascii="Times New Roman" w:hAnsi="Times New Roman"/>
                <w:bCs/>
                <w:sz w:val="24"/>
                <w:lang w:val="en-US"/>
              </w:rPr>
              <w:t> </w:t>
            </w:r>
            <w:r w:rsidRPr="00D83669">
              <w:rPr>
                <w:rFonts w:ascii="Times New Roman" w:hAnsi="Times New Roman"/>
                <w:bCs/>
                <w:sz w:val="24"/>
              </w:rPr>
              <w:t>–</w:t>
            </w:r>
            <w:r w:rsidRPr="00D83669">
              <w:rPr>
                <w:rFonts w:ascii="Times New Roman" w:hAnsi="Times New Roman"/>
                <w:bCs/>
                <w:sz w:val="24"/>
                <w:lang w:val="en-US"/>
              </w:rPr>
              <w:t> </w:t>
            </w:r>
            <w:r w:rsidRPr="00D83669">
              <w:rPr>
                <w:rFonts w:ascii="Times New Roman" w:hAnsi="Times New Roman"/>
                <w:bCs/>
                <w:sz w:val="24"/>
              </w:rPr>
              <w:t>2027 г. е предвидено в рамките на събитията по ПО да се провеждат комуникационни и разяснителни кампании сред заинтересованите страни и потенциални бенефициенти (образователни институции, социално-икономически партньори, НПО) за популяризиране на подхода ИТИ и мерките, подкрепени чрез финансови инструменти. Заложени са индикативно по 200 участника на всяка една от годините, стартирайки от 2022 г. до 2029 г. включително, т.е. 200 участници х 8 години = 1 600 участници в събития по Програмата.</w:t>
            </w:r>
          </w:p>
          <w:p w14:paraId="25021AF4"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Предприет е подход на равномерно разпределение между 6-те региона на планиране на ниво NUTS II в България, т.е. </w:t>
            </w:r>
            <m:oMath>
              <m:f>
                <m:fPr>
                  <m:type m:val="skw"/>
                  <m:ctrlPr>
                    <w:rPr>
                      <w:rFonts w:ascii="Cambria Math" w:hAnsi="Cambria Math"/>
                      <w:bCs/>
                      <w:i/>
                      <w:sz w:val="16"/>
                      <w:szCs w:val="16"/>
                    </w:rPr>
                  </m:ctrlPr>
                </m:fPr>
                <m:num>
                  <m:r>
                    <w:rPr>
                      <w:rFonts w:ascii="Cambria Math" w:hAnsi="Cambria Math"/>
                      <w:sz w:val="16"/>
                      <w:szCs w:val="16"/>
                    </w:rPr>
                    <m:t>1</m:t>
                  </m:r>
                </m:num>
                <m:den>
                  <m:r>
                    <w:rPr>
                      <w:rFonts w:ascii="Cambria Math" w:hAnsi="Cambria Math"/>
                      <w:sz w:val="16"/>
                      <w:szCs w:val="16"/>
                    </w:rPr>
                    <m:t>6</m:t>
                  </m:r>
                </m:den>
              </m:f>
            </m:oMath>
            <w:r w:rsidRPr="00D83669">
              <w:rPr>
                <w:rFonts w:ascii="Times New Roman" w:hAnsi="Times New Roman"/>
                <w:bCs/>
                <w:sz w:val="24"/>
              </w:rPr>
              <w:t xml:space="preserve"> за региони в преход и</w:t>
            </w:r>
            <w:r w:rsidRPr="00D83669">
              <w:rPr>
                <w:rFonts w:ascii="Times New Roman" w:hAnsi="Times New Roman"/>
                <w:bCs/>
                <w:sz w:val="16"/>
                <w:szCs w:val="16"/>
              </w:rPr>
              <w:t xml:space="preserve"> </w:t>
            </w:r>
            <m:oMath>
              <m:f>
                <m:fPr>
                  <m:type m:val="skw"/>
                  <m:ctrlPr>
                    <w:rPr>
                      <w:rFonts w:ascii="Cambria Math" w:hAnsi="Cambria Math"/>
                      <w:bCs/>
                      <w:i/>
                      <w:sz w:val="16"/>
                      <w:szCs w:val="16"/>
                    </w:rPr>
                  </m:ctrlPr>
                </m:fPr>
                <m:num>
                  <m:r>
                    <w:rPr>
                      <w:rFonts w:ascii="Cambria Math" w:hAnsi="Cambria Math"/>
                      <w:sz w:val="16"/>
                      <w:szCs w:val="16"/>
                    </w:rPr>
                    <m:t>5</m:t>
                  </m:r>
                </m:num>
                <m:den>
                  <m:r>
                    <w:rPr>
                      <w:rFonts w:ascii="Cambria Math" w:hAnsi="Cambria Math"/>
                      <w:sz w:val="16"/>
                      <w:szCs w:val="16"/>
                    </w:rPr>
                    <m:t>6</m:t>
                  </m:r>
                </m:den>
              </m:f>
            </m:oMath>
            <w:r w:rsidRPr="00D83669">
              <w:rPr>
                <w:rFonts w:ascii="Times New Roman" w:hAnsi="Times New Roman"/>
                <w:bCs/>
                <w:sz w:val="24"/>
              </w:rPr>
              <w:t xml:space="preserve"> за по-слаборазвити региони.</w:t>
            </w:r>
          </w:p>
        </w:tc>
      </w:tr>
      <w:tr w:rsidR="00D857FE" w:rsidRPr="00D83669" w14:paraId="73E04DA6" w14:textId="77777777" w:rsidTr="0024791C">
        <w:tc>
          <w:tcPr>
            <w:tcW w:w="2405" w:type="dxa"/>
            <w:vAlign w:val="center"/>
          </w:tcPr>
          <w:p w14:paraId="4EFB6228"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Крайна цел</w:t>
            </w:r>
          </w:p>
        </w:tc>
        <w:tc>
          <w:tcPr>
            <w:tcW w:w="7235" w:type="dxa"/>
            <w:shd w:val="clear" w:color="auto" w:fill="auto"/>
            <w:vAlign w:val="center"/>
          </w:tcPr>
          <w:p w14:paraId="1CF165EF"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1 600</w:t>
            </w:r>
          </w:p>
        </w:tc>
      </w:tr>
      <w:tr w:rsidR="00D857FE" w:rsidRPr="00D83669" w14:paraId="7D8E1FF2" w14:textId="77777777" w:rsidTr="0024791C">
        <w:tc>
          <w:tcPr>
            <w:tcW w:w="2405" w:type="dxa"/>
            <w:vAlign w:val="center"/>
          </w:tcPr>
          <w:p w14:paraId="7F0FD29C"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Междинна цел</w:t>
            </w:r>
          </w:p>
        </w:tc>
        <w:tc>
          <w:tcPr>
            <w:tcW w:w="7235" w:type="dxa"/>
            <w:shd w:val="clear" w:color="auto" w:fill="auto"/>
            <w:vAlign w:val="center"/>
          </w:tcPr>
          <w:p w14:paraId="1D0FADE0"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400</w:t>
            </w:r>
          </w:p>
        </w:tc>
      </w:tr>
      <w:tr w:rsidR="00D857FE" w:rsidRPr="00D83669" w14:paraId="7DC1C5EF" w14:textId="77777777" w:rsidTr="0024791C">
        <w:tc>
          <w:tcPr>
            <w:tcW w:w="2405" w:type="dxa"/>
            <w:vAlign w:val="center"/>
          </w:tcPr>
          <w:p w14:paraId="506C823F"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Методология за определяне на междинната цел</w:t>
            </w:r>
          </w:p>
        </w:tc>
        <w:tc>
          <w:tcPr>
            <w:tcW w:w="7235" w:type="dxa"/>
            <w:shd w:val="clear" w:color="auto" w:fill="auto"/>
            <w:vAlign w:val="center"/>
          </w:tcPr>
          <w:p w14:paraId="6DCD8420"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Междинната цел представлява 25% от крайната цел. Изчислението е направено на база допускането, че съм 2024 година ще са минали 3 години (1/4 от 8 години) и поне 1/4 от предвидените участници ще са взели участие в събития по Програмата (25% х 1 600 = 400 участници). Взета е предвид и възможността от забавяне на стартиране на изпълнението на ПО и конкретно на техническата помощ.</w:t>
            </w:r>
          </w:p>
          <w:p w14:paraId="0052A648"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 xml:space="preserve">Предприет е подход на равномерно разпределение между 6-те региона на планиране на ниво NUTS II в България, т.е. </w:t>
            </w:r>
            <m:oMath>
              <m:f>
                <m:fPr>
                  <m:type m:val="skw"/>
                  <m:ctrlPr>
                    <w:rPr>
                      <w:rFonts w:ascii="Cambria Math" w:hAnsi="Cambria Math"/>
                      <w:bCs/>
                      <w:i/>
                      <w:sz w:val="16"/>
                      <w:szCs w:val="16"/>
                    </w:rPr>
                  </m:ctrlPr>
                </m:fPr>
                <m:num>
                  <m:r>
                    <w:rPr>
                      <w:rFonts w:ascii="Cambria Math" w:hAnsi="Cambria Math"/>
                      <w:sz w:val="16"/>
                      <w:szCs w:val="16"/>
                    </w:rPr>
                    <m:t>1</m:t>
                  </m:r>
                </m:num>
                <m:den>
                  <m:r>
                    <w:rPr>
                      <w:rFonts w:ascii="Cambria Math" w:hAnsi="Cambria Math"/>
                      <w:sz w:val="16"/>
                      <w:szCs w:val="16"/>
                    </w:rPr>
                    <m:t>6</m:t>
                  </m:r>
                </m:den>
              </m:f>
            </m:oMath>
            <w:r w:rsidRPr="00D83669">
              <w:rPr>
                <w:rFonts w:ascii="Times New Roman" w:hAnsi="Times New Roman"/>
                <w:bCs/>
                <w:sz w:val="24"/>
              </w:rPr>
              <w:t xml:space="preserve"> за региони в преход и</w:t>
            </w:r>
            <w:r w:rsidRPr="00D83669">
              <w:rPr>
                <w:rFonts w:ascii="Times New Roman" w:hAnsi="Times New Roman"/>
                <w:bCs/>
                <w:sz w:val="16"/>
                <w:szCs w:val="16"/>
              </w:rPr>
              <w:t xml:space="preserve"> </w:t>
            </w:r>
            <m:oMath>
              <m:f>
                <m:fPr>
                  <m:type m:val="skw"/>
                  <m:ctrlPr>
                    <w:rPr>
                      <w:rFonts w:ascii="Cambria Math" w:hAnsi="Cambria Math"/>
                      <w:bCs/>
                      <w:i/>
                      <w:sz w:val="16"/>
                      <w:szCs w:val="16"/>
                    </w:rPr>
                  </m:ctrlPr>
                </m:fPr>
                <m:num>
                  <m:r>
                    <w:rPr>
                      <w:rFonts w:ascii="Cambria Math" w:hAnsi="Cambria Math"/>
                      <w:sz w:val="16"/>
                      <w:szCs w:val="16"/>
                    </w:rPr>
                    <m:t>5</m:t>
                  </m:r>
                </m:num>
                <m:den>
                  <m:r>
                    <w:rPr>
                      <w:rFonts w:ascii="Cambria Math" w:hAnsi="Cambria Math"/>
                      <w:sz w:val="16"/>
                      <w:szCs w:val="16"/>
                    </w:rPr>
                    <m:t>6</m:t>
                  </m:r>
                </m:den>
              </m:f>
            </m:oMath>
            <w:r w:rsidRPr="00D83669">
              <w:rPr>
                <w:rFonts w:ascii="Times New Roman" w:hAnsi="Times New Roman"/>
                <w:bCs/>
                <w:sz w:val="24"/>
              </w:rPr>
              <w:t xml:space="preserve"> за по-слаборазвити региони.</w:t>
            </w:r>
          </w:p>
        </w:tc>
      </w:tr>
      <w:tr w:rsidR="00D857FE" w:rsidRPr="00D83669" w14:paraId="76C936EB" w14:textId="77777777" w:rsidTr="0024791C">
        <w:tc>
          <w:tcPr>
            <w:tcW w:w="2405" w:type="dxa"/>
            <w:vAlign w:val="center"/>
          </w:tcPr>
          <w:p w14:paraId="0DD3615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Разбивка</w:t>
            </w:r>
          </w:p>
          <w:p w14:paraId="014AA7C5" w14:textId="77777777" w:rsidR="00D857FE" w:rsidRPr="00D83669" w:rsidRDefault="00D857FE" w:rsidP="00CC7BCB">
            <w:pPr>
              <w:rPr>
                <w:rFonts w:ascii="Times New Roman" w:hAnsi="Times New Roman"/>
                <w:b/>
                <w:bCs/>
                <w:sz w:val="24"/>
              </w:rPr>
            </w:pPr>
          </w:p>
        </w:tc>
        <w:tc>
          <w:tcPr>
            <w:tcW w:w="7235" w:type="dxa"/>
            <w:shd w:val="clear" w:color="auto" w:fill="auto"/>
            <w:vAlign w:val="center"/>
          </w:tcPr>
          <w:p w14:paraId="2812DD86"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Няма да бъде направена предварителна разбивка по пол и по други демографски фактори. На етап отчитане ще бъдат представени данни за налична демографска информация за участниците.</w:t>
            </w:r>
          </w:p>
        </w:tc>
      </w:tr>
      <w:tr w:rsidR="00D857FE" w:rsidRPr="00D83669" w14:paraId="5EF1A5BA" w14:textId="77777777" w:rsidTr="0024791C">
        <w:tc>
          <w:tcPr>
            <w:tcW w:w="2405" w:type="dxa"/>
            <w:vAlign w:val="center"/>
          </w:tcPr>
          <w:p w14:paraId="204CC787"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Обосновка</w:t>
            </w:r>
          </w:p>
        </w:tc>
        <w:tc>
          <w:tcPr>
            <w:tcW w:w="7235" w:type="dxa"/>
            <w:shd w:val="clear" w:color="auto" w:fill="auto"/>
            <w:vAlign w:val="center"/>
          </w:tcPr>
          <w:p w14:paraId="3C8F425C"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Данните са необходими с оглед постигане и отчитане на заложени цели,</w:t>
            </w:r>
            <w:r w:rsidRPr="00D83669">
              <w:t xml:space="preserve"> </w:t>
            </w:r>
            <w:r w:rsidRPr="00D83669">
              <w:rPr>
                <w:rFonts w:ascii="Times New Roman" w:hAnsi="Times New Roman"/>
                <w:bCs/>
                <w:sz w:val="24"/>
              </w:rPr>
              <w:t>свързани с изпълнение на мерките за прозрачност и комуникация по Програмата.</w:t>
            </w:r>
          </w:p>
        </w:tc>
      </w:tr>
      <w:tr w:rsidR="00D857FE" w:rsidRPr="00D83669" w14:paraId="2AAA0CF9" w14:textId="77777777" w:rsidTr="0024791C">
        <w:tc>
          <w:tcPr>
            <w:tcW w:w="2405" w:type="dxa"/>
            <w:vAlign w:val="center"/>
          </w:tcPr>
          <w:p w14:paraId="776FB66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lastRenderedPageBreak/>
              <w:t>Методология за събиране на данните</w:t>
            </w:r>
          </w:p>
        </w:tc>
        <w:tc>
          <w:tcPr>
            <w:tcW w:w="7235" w:type="dxa"/>
            <w:shd w:val="clear" w:color="auto" w:fill="auto"/>
            <w:vAlign w:val="center"/>
          </w:tcPr>
          <w:p w14:paraId="13B53B21"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Данните ще се събират текущо на база технически отчети с изчерпателен обхват на всички участници.</w:t>
            </w:r>
          </w:p>
        </w:tc>
      </w:tr>
      <w:tr w:rsidR="00D857FE" w:rsidRPr="00D83669" w14:paraId="33C245A6" w14:textId="77777777" w:rsidTr="0024791C">
        <w:tc>
          <w:tcPr>
            <w:tcW w:w="2405" w:type="dxa"/>
            <w:vAlign w:val="center"/>
          </w:tcPr>
          <w:p w14:paraId="58C077D5"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Честота на докладване</w:t>
            </w:r>
          </w:p>
        </w:tc>
        <w:tc>
          <w:tcPr>
            <w:tcW w:w="7235" w:type="dxa"/>
            <w:shd w:val="clear" w:color="auto" w:fill="auto"/>
            <w:vAlign w:val="center"/>
          </w:tcPr>
          <w:p w14:paraId="6AC21C3D" w14:textId="77777777" w:rsidR="00D857FE" w:rsidRPr="00D83669" w:rsidRDefault="00D857FE" w:rsidP="00CC7BCB">
            <w:pPr>
              <w:jc w:val="both"/>
              <w:rPr>
                <w:rFonts w:ascii="Times New Roman" w:hAnsi="Times New Roman"/>
                <w:bCs/>
                <w:sz w:val="24"/>
              </w:rPr>
            </w:pPr>
            <w:r w:rsidRPr="00D83669">
              <w:rPr>
                <w:rFonts w:ascii="Times New Roman" w:hAnsi="Times New Roman"/>
                <w:bCs/>
                <w:sz w:val="24"/>
              </w:rPr>
              <w:t>Два пъти годишно</w:t>
            </w:r>
          </w:p>
        </w:tc>
      </w:tr>
      <w:tr w:rsidR="00D857FE" w:rsidRPr="00D83669" w14:paraId="68C7A86B" w14:textId="77777777" w:rsidTr="0024791C">
        <w:tc>
          <w:tcPr>
            <w:tcW w:w="2405" w:type="dxa"/>
            <w:vAlign w:val="center"/>
          </w:tcPr>
          <w:p w14:paraId="3EF6C3F3" w14:textId="1ECA88BF" w:rsidR="00D857FE" w:rsidRPr="00D83669" w:rsidRDefault="00D857FE" w:rsidP="00CC7BCB">
            <w:pPr>
              <w:rPr>
                <w:rFonts w:ascii="Times New Roman" w:hAnsi="Times New Roman"/>
                <w:b/>
                <w:bCs/>
                <w:sz w:val="24"/>
              </w:rPr>
            </w:pPr>
            <w:r w:rsidRPr="00D83669">
              <w:rPr>
                <w:rFonts w:ascii="Times New Roman" w:hAnsi="Times New Roman"/>
                <w:b/>
                <w:bCs/>
                <w:sz w:val="24"/>
              </w:rPr>
              <w:t>Свързаност на показателите</w:t>
            </w:r>
          </w:p>
        </w:tc>
        <w:tc>
          <w:tcPr>
            <w:tcW w:w="7235" w:type="dxa"/>
            <w:shd w:val="clear" w:color="auto" w:fill="auto"/>
            <w:vAlign w:val="center"/>
          </w:tcPr>
          <w:p w14:paraId="1BC82888"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r w:rsidR="00D857FE" w:rsidRPr="00D83669" w14:paraId="36D21B3E" w14:textId="77777777" w:rsidTr="0024791C">
        <w:tc>
          <w:tcPr>
            <w:tcW w:w="2405" w:type="dxa"/>
            <w:vAlign w:val="center"/>
          </w:tcPr>
          <w:p w14:paraId="4E9507DB" w14:textId="77777777" w:rsidR="00D857FE" w:rsidRPr="00D83669" w:rsidRDefault="00D857FE" w:rsidP="00CC7BCB">
            <w:pPr>
              <w:rPr>
                <w:rFonts w:ascii="Times New Roman" w:hAnsi="Times New Roman"/>
                <w:b/>
                <w:bCs/>
                <w:sz w:val="24"/>
              </w:rPr>
            </w:pPr>
            <w:r w:rsidRPr="00D83669">
              <w:rPr>
                <w:rFonts w:ascii="Times New Roman" w:hAnsi="Times New Roman"/>
                <w:b/>
                <w:bCs/>
                <w:sz w:val="24"/>
              </w:rPr>
              <w:t>Валидиране</w:t>
            </w:r>
          </w:p>
        </w:tc>
        <w:tc>
          <w:tcPr>
            <w:tcW w:w="7235" w:type="dxa"/>
            <w:shd w:val="clear" w:color="auto" w:fill="auto"/>
            <w:vAlign w:val="center"/>
          </w:tcPr>
          <w:p w14:paraId="465B477B" w14:textId="77777777" w:rsidR="00D857FE" w:rsidRPr="00D83669" w:rsidRDefault="00D857FE" w:rsidP="00CC7BCB">
            <w:pPr>
              <w:jc w:val="both"/>
              <w:rPr>
                <w:rFonts w:ascii="Times New Roman" w:hAnsi="Times New Roman"/>
                <w:sz w:val="24"/>
              </w:rPr>
            </w:pPr>
            <w:r w:rsidRPr="00D83669">
              <w:rPr>
                <w:rFonts w:ascii="Times New Roman" w:hAnsi="Times New Roman"/>
                <w:sz w:val="24"/>
              </w:rPr>
              <w:t>Неприложимо.</w:t>
            </w:r>
          </w:p>
        </w:tc>
      </w:tr>
    </w:tbl>
    <w:p w14:paraId="28B3569F" w14:textId="41F423FA" w:rsidR="00D857FE" w:rsidRPr="00D83669" w:rsidRDefault="00D857FE" w:rsidP="00D857FE">
      <w:pPr>
        <w:pStyle w:val="ListParagraph"/>
        <w:ind w:left="360"/>
        <w:jc w:val="both"/>
        <w:rPr>
          <w:rFonts w:ascii="Times New Roman" w:hAnsi="Times New Roman" w:cs="Times New Roman"/>
          <w:sz w:val="24"/>
          <w:szCs w:val="24"/>
          <w:lang w:val="en-US"/>
        </w:rPr>
      </w:pPr>
    </w:p>
    <w:p w14:paraId="4E150E8D" w14:textId="18DC242C" w:rsidR="008D7881" w:rsidRPr="00D83669" w:rsidRDefault="008D7881" w:rsidP="00D857FE">
      <w:pPr>
        <w:pStyle w:val="ListParagraph"/>
        <w:ind w:left="360"/>
        <w:jc w:val="both"/>
        <w:rPr>
          <w:rFonts w:ascii="Times New Roman" w:hAnsi="Times New Roman" w:cs="Times New Roman"/>
          <w:sz w:val="24"/>
          <w:szCs w:val="24"/>
          <w:lang w:val="en-US"/>
        </w:rPr>
      </w:pPr>
    </w:p>
    <w:p w14:paraId="50646381" w14:textId="364A3C8E" w:rsidR="008D7881" w:rsidRPr="00D83669" w:rsidRDefault="008D7881" w:rsidP="00D857FE">
      <w:pPr>
        <w:pStyle w:val="ListParagraph"/>
        <w:ind w:left="360"/>
        <w:jc w:val="both"/>
        <w:rPr>
          <w:rFonts w:ascii="Times New Roman" w:hAnsi="Times New Roman" w:cs="Times New Roman"/>
          <w:sz w:val="24"/>
          <w:szCs w:val="24"/>
          <w:lang w:val="en-US"/>
        </w:rPr>
      </w:pPr>
    </w:p>
    <w:p w14:paraId="79BADE17" w14:textId="77777777" w:rsidR="008D7881" w:rsidRPr="00D83669" w:rsidRDefault="008D7881" w:rsidP="008D7881">
      <w:pPr>
        <w:pStyle w:val="ListParagraph"/>
        <w:ind w:left="0"/>
        <w:jc w:val="both"/>
        <w:rPr>
          <w:rFonts w:ascii="Times New Roman" w:hAnsi="Times New Roman" w:cs="Times New Roman"/>
          <w:sz w:val="24"/>
          <w:szCs w:val="24"/>
          <w:lang w:val="en-US"/>
        </w:rPr>
      </w:pPr>
    </w:p>
    <w:p w14:paraId="29DEC31D" w14:textId="72E8EB7E" w:rsidR="008D7881" w:rsidRPr="00D83669" w:rsidRDefault="008D7881" w:rsidP="00D83669">
      <w:pPr>
        <w:pStyle w:val="Heading1"/>
        <w:spacing w:after="240" w:line="360" w:lineRule="auto"/>
        <w:jc w:val="both"/>
        <w:rPr>
          <w:rFonts w:ascii="Times New Roman" w:hAnsi="Times New Roman" w:cs="Times New Roman"/>
          <w:b/>
          <w:sz w:val="28"/>
          <w:szCs w:val="28"/>
        </w:rPr>
      </w:pPr>
      <w:bookmarkStart w:id="245" w:name="_Toc103586720"/>
      <w:r w:rsidRPr="00D83669">
        <w:rPr>
          <w:rFonts w:ascii="Times New Roman" w:hAnsi="Times New Roman" w:cs="Times New Roman"/>
          <w:b/>
          <w:color w:val="auto"/>
          <w:sz w:val="28"/>
          <w:szCs w:val="28"/>
          <w:lang w:val="bg-BG"/>
        </w:rPr>
        <w:t>Приложения:</w:t>
      </w:r>
      <w:bookmarkEnd w:id="245"/>
    </w:p>
    <w:p w14:paraId="6C9F362F" w14:textId="3CB32DDB" w:rsidR="008D7881" w:rsidRPr="00D83669" w:rsidRDefault="008D7881" w:rsidP="008D7881">
      <w:pPr>
        <w:ind w:left="1560" w:hanging="1560"/>
        <w:rPr>
          <w:rFonts w:ascii="Times New Roman" w:hAnsi="Times New Roman" w:cs="Times New Roman"/>
          <w:i/>
          <w:iCs/>
          <w:sz w:val="24"/>
          <w:szCs w:val="24"/>
        </w:rPr>
      </w:pPr>
      <w:r w:rsidRPr="00D83669">
        <w:rPr>
          <w:rFonts w:ascii="Times New Roman" w:hAnsi="Times New Roman" w:cs="Times New Roman"/>
          <w:i/>
          <w:iCs/>
          <w:sz w:val="24"/>
          <w:szCs w:val="24"/>
        </w:rPr>
        <w:t>Приложение 1: Методология с агрегирани данни за показателите по всички специфични цели и приоритети на Програма „Образование“ 2021-2027 г.</w:t>
      </w:r>
    </w:p>
    <w:p w14:paraId="3A11172F" w14:textId="4BBF8F7A" w:rsidR="008D7881" w:rsidRPr="008D7881" w:rsidRDefault="008D7881" w:rsidP="008D7881">
      <w:pPr>
        <w:ind w:left="1560" w:hanging="1560"/>
        <w:rPr>
          <w:rFonts w:ascii="Times New Roman" w:hAnsi="Times New Roman" w:cs="Times New Roman"/>
          <w:i/>
          <w:iCs/>
          <w:sz w:val="24"/>
          <w:szCs w:val="24"/>
        </w:rPr>
      </w:pPr>
      <w:r w:rsidRPr="00D83669">
        <w:rPr>
          <w:rFonts w:ascii="Times New Roman" w:hAnsi="Times New Roman" w:cs="Times New Roman"/>
          <w:i/>
          <w:iCs/>
          <w:sz w:val="24"/>
          <w:szCs w:val="24"/>
        </w:rPr>
        <w:t>Приложение 2: Микроиндикатори по Приоритети 1, 2 и 3 на Програма „Образование“ 2021-2027 г.</w:t>
      </w:r>
    </w:p>
    <w:p w14:paraId="41AFCFAB" w14:textId="77777777" w:rsidR="008D7881" w:rsidRPr="008D7881" w:rsidRDefault="008D7881" w:rsidP="008D7881">
      <w:pPr>
        <w:pStyle w:val="ListParagraph"/>
        <w:ind w:left="0"/>
        <w:jc w:val="both"/>
        <w:rPr>
          <w:rFonts w:ascii="Times New Roman" w:hAnsi="Times New Roman" w:cs="Times New Roman"/>
          <w:sz w:val="24"/>
          <w:szCs w:val="24"/>
        </w:rPr>
      </w:pPr>
    </w:p>
    <w:sectPr w:rsidR="008D7881" w:rsidRPr="008D7881" w:rsidSect="0068160A">
      <w:pgSz w:w="11906" w:h="16838"/>
      <w:pgMar w:top="851" w:right="991" w:bottom="993" w:left="1411"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D0D819" w14:textId="77777777" w:rsidR="00C911EA" w:rsidRDefault="00C911EA" w:rsidP="001B529E">
      <w:pPr>
        <w:spacing w:after="0" w:line="240" w:lineRule="auto"/>
      </w:pPr>
      <w:r>
        <w:separator/>
      </w:r>
    </w:p>
  </w:endnote>
  <w:endnote w:type="continuationSeparator" w:id="0">
    <w:p w14:paraId="56DC29FE" w14:textId="77777777" w:rsidR="00C911EA" w:rsidRDefault="00C911EA" w:rsidP="001B52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25619502"/>
      <w:docPartObj>
        <w:docPartGallery w:val="Page Numbers (Bottom of Page)"/>
        <w:docPartUnique/>
      </w:docPartObj>
    </w:sdtPr>
    <w:sdtEndPr>
      <w:rPr>
        <w:noProof/>
      </w:rPr>
    </w:sdtEndPr>
    <w:sdtContent>
      <w:p w14:paraId="56033A83" w14:textId="28FA28ED" w:rsidR="00A1025C" w:rsidRDefault="00A1025C">
        <w:pPr>
          <w:pStyle w:val="Footer"/>
          <w:jc w:val="right"/>
        </w:pPr>
        <w:r>
          <w:fldChar w:fldCharType="begin"/>
        </w:r>
        <w:r>
          <w:instrText xml:space="preserve"> PAGE   \* MERGEFORMAT </w:instrText>
        </w:r>
        <w:r>
          <w:fldChar w:fldCharType="separate"/>
        </w:r>
        <w:r w:rsidR="00FD7C3A">
          <w:rPr>
            <w:noProof/>
          </w:rPr>
          <w:t>20</w:t>
        </w:r>
        <w:r>
          <w:rPr>
            <w:noProof/>
          </w:rPr>
          <w:fldChar w:fldCharType="end"/>
        </w:r>
      </w:p>
    </w:sdtContent>
  </w:sdt>
  <w:p w14:paraId="54E88855" w14:textId="77777777" w:rsidR="00A1025C" w:rsidRDefault="00A102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5C907B" w14:textId="77777777" w:rsidR="00C911EA" w:rsidRDefault="00C911EA" w:rsidP="001B529E">
      <w:pPr>
        <w:spacing w:after="0" w:line="240" w:lineRule="auto"/>
      </w:pPr>
      <w:r>
        <w:separator/>
      </w:r>
    </w:p>
  </w:footnote>
  <w:footnote w:type="continuationSeparator" w:id="0">
    <w:p w14:paraId="6643F847" w14:textId="77777777" w:rsidR="00C911EA" w:rsidRDefault="00C911EA" w:rsidP="001B529E">
      <w:pPr>
        <w:spacing w:after="0" w:line="240" w:lineRule="auto"/>
      </w:pPr>
      <w:r>
        <w:continuationSeparator/>
      </w:r>
    </w:p>
  </w:footnote>
  <w:footnote w:id="1">
    <w:p w14:paraId="069AA10A" w14:textId="77777777" w:rsidR="00C63818" w:rsidRPr="00C15E3A" w:rsidRDefault="00C63818" w:rsidP="00C63818">
      <w:pPr>
        <w:pStyle w:val="FootnoteText"/>
        <w:rPr>
          <w:rFonts w:ascii="Times New Roman" w:hAnsi="Times New Roman" w:cs="Times New Roman"/>
        </w:rPr>
      </w:pPr>
      <w:r w:rsidRPr="00C15E3A">
        <w:rPr>
          <w:rStyle w:val="FootnoteReference"/>
          <w:rFonts w:ascii="Times New Roman" w:hAnsi="Times New Roman" w:cs="Times New Roman"/>
        </w:rPr>
        <w:footnoteRef/>
      </w:r>
      <w:r w:rsidRPr="00C15E3A">
        <w:rPr>
          <w:rFonts w:ascii="Times New Roman" w:hAnsi="Times New Roman" w:cs="Times New Roman"/>
        </w:rPr>
        <w:t xml:space="preserve"> </w:t>
      </w:r>
      <w:hyperlink r:id="rId1" w:history="1">
        <w:r w:rsidRPr="0055172D">
          <w:rPr>
            <w:rStyle w:val="Hyperlink"/>
            <w:rFonts w:ascii="Times New Roman" w:hAnsi="Times New Roman" w:cs="Times New Roman"/>
          </w:rPr>
          <w:t>https://ec.europa.eu/sfc/en/system/files/2021/ged/Toolbox_October_2021.pdf</w:t>
        </w:r>
      </w:hyperlink>
    </w:p>
  </w:footnote>
  <w:footnote w:id="2">
    <w:p w14:paraId="7520B247" w14:textId="77777777" w:rsidR="00C63818" w:rsidRPr="00C2233F" w:rsidRDefault="00C63818" w:rsidP="00C63818">
      <w:pPr>
        <w:pStyle w:val="FootnoteText"/>
        <w:jc w:val="both"/>
      </w:pPr>
      <w:r w:rsidRPr="00C15E3A">
        <w:rPr>
          <w:rStyle w:val="FootnoteReference"/>
          <w:rFonts w:ascii="Times New Roman" w:hAnsi="Times New Roman" w:cs="Times New Roman"/>
        </w:rPr>
        <w:footnoteRef/>
      </w:r>
      <w:r w:rsidRPr="00C15E3A">
        <w:rPr>
          <w:rFonts w:ascii="Times New Roman" w:hAnsi="Times New Roman" w:cs="Times New Roman"/>
        </w:rPr>
        <w:t xml:space="preserve"> Споразумение от 12 февруари 2020 г. между Министерство на образованието и науката и Изпълнителна агенция „Наука и образование за интелигентен растеж“ и Международната банка за възстановяване и развитие</w:t>
      </w:r>
    </w:p>
  </w:footnote>
  <w:footnote w:id="3">
    <w:p w14:paraId="02645019" w14:textId="77777777" w:rsidR="00C63818" w:rsidRPr="00C15E3A" w:rsidRDefault="00C63818" w:rsidP="00C63818">
      <w:pPr>
        <w:pStyle w:val="FootnoteText"/>
        <w:jc w:val="both"/>
        <w:rPr>
          <w:rFonts w:ascii="Times New Roman" w:hAnsi="Times New Roman" w:cs="Times New Roman"/>
        </w:rPr>
      </w:pPr>
      <w:r w:rsidRPr="00C15E3A">
        <w:rPr>
          <w:rStyle w:val="FootnoteReference"/>
          <w:rFonts w:ascii="Times New Roman" w:hAnsi="Times New Roman" w:cs="Times New Roman"/>
        </w:rPr>
        <w:footnoteRef/>
      </w:r>
      <w:r w:rsidRPr="00C15E3A">
        <w:rPr>
          <w:rFonts w:ascii="Times New Roman" w:hAnsi="Times New Roman" w:cs="Times New Roman"/>
        </w:rPr>
        <w:t xml:space="preserve"> Преглед до каква степен показателите са специфични, измерими, достижими, относими и обвързани със срокове (SMART) и подходящи (съобразени с целите, които трябва да бъдат постигнати), приети (да се ползват с доверие от използващите ги заинтересовани страни), правдоподобни, лесни (за наблюдение, опростени и не изискващи много големи разходи) и устойчиви (RACER)</w:t>
      </w:r>
    </w:p>
  </w:footnote>
  <w:footnote w:id="4">
    <w:p w14:paraId="4BBB371C" w14:textId="4C04441C" w:rsidR="00A01460" w:rsidRDefault="00A01460" w:rsidP="0010156D">
      <w:pPr>
        <w:pStyle w:val="FootnoteText"/>
        <w:jc w:val="both"/>
      </w:pPr>
      <w:r>
        <w:rPr>
          <w:rStyle w:val="FootnoteReference"/>
        </w:rPr>
        <w:footnoteRef/>
      </w:r>
      <w:r>
        <w:t xml:space="preserve"> </w:t>
      </w:r>
      <w:r w:rsidRPr="0010156D">
        <w:rPr>
          <w:rFonts w:ascii="Times New Roman" w:hAnsi="Times New Roman" w:cs="Times New Roman"/>
        </w:rPr>
        <w:t xml:space="preserve">Индекс на разходите за труд за сектор „Образование“, съгласно данни от ЕВРОСТАТ: </w:t>
      </w:r>
      <w:r w:rsidRPr="0010156D">
        <w:rPr>
          <w:rFonts w:ascii="Times New Roman" w:hAnsi="Times New Roman" w:cs="Times New Roman"/>
          <w:lang w:val="en-GB"/>
        </w:rPr>
        <w:t>Labour</w:t>
      </w:r>
      <w:r w:rsidRPr="0010156D">
        <w:rPr>
          <w:rFonts w:ascii="Times New Roman" w:hAnsi="Times New Roman" w:cs="Times New Roman"/>
        </w:rPr>
        <w:t xml:space="preserve"> </w:t>
      </w:r>
      <w:r w:rsidRPr="0010156D">
        <w:rPr>
          <w:rFonts w:ascii="Times New Roman" w:hAnsi="Times New Roman" w:cs="Times New Roman"/>
          <w:lang w:val="en-GB"/>
        </w:rPr>
        <w:t>cost</w:t>
      </w:r>
      <w:r w:rsidRPr="0010156D">
        <w:rPr>
          <w:rFonts w:ascii="Times New Roman" w:hAnsi="Times New Roman" w:cs="Times New Roman"/>
        </w:rPr>
        <w:t xml:space="preserve"> </w:t>
      </w:r>
      <w:r w:rsidRPr="0010156D">
        <w:rPr>
          <w:rFonts w:ascii="Times New Roman" w:hAnsi="Times New Roman" w:cs="Times New Roman"/>
          <w:lang w:val="en-GB"/>
        </w:rPr>
        <w:t>index</w:t>
      </w:r>
      <w:r w:rsidRPr="0010156D">
        <w:rPr>
          <w:rFonts w:ascii="Times New Roman" w:hAnsi="Times New Roman" w:cs="Times New Roman"/>
        </w:rPr>
        <w:t xml:space="preserve"> </w:t>
      </w:r>
      <w:r w:rsidRPr="0010156D">
        <w:rPr>
          <w:rFonts w:ascii="Times New Roman" w:hAnsi="Times New Roman" w:cs="Times New Roman"/>
          <w:lang w:val="en-GB"/>
        </w:rPr>
        <w:t>by</w:t>
      </w:r>
      <w:r w:rsidRPr="0010156D">
        <w:rPr>
          <w:rFonts w:ascii="Times New Roman" w:hAnsi="Times New Roman" w:cs="Times New Roman"/>
        </w:rPr>
        <w:t xml:space="preserve"> </w:t>
      </w:r>
      <w:r w:rsidRPr="0010156D">
        <w:rPr>
          <w:rFonts w:ascii="Times New Roman" w:hAnsi="Times New Roman" w:cs="Times New Roman"/>
          <w:lang w:val="en-GB"/>
        </w:rPr>
        <w:t>NACE</w:t>
      </w:r>
      <w:r w:rsidRPr="0010156D">
        <w:rPr>
          <w:rFonts w:ascii="Times New Roman" w:hAnsi="Times New Roman" w:cs="Times New Roman"/>
        </w:rPr>
        <w:t xml:space="preserve"> </w:t>
      </w:r>
      <w:r w:rsidRPr="0010156D">
        <w:rPr>
          <w:rFonts w:ascii="Times New Roman" w:hAnsi="Times New Roman" w:cs="Times New Roman"/>
          <w:lang w:val="en-GB"/>
        </w:rPr>
        <w:t>Rev</w:t>
      </w:r>
      <w:r w:rsidRPr="0010156D">
        <w:rPr>
          <w:rFonts w:ascii="Times New Roman" w:hAnsi="Times New Roman" w:cs="Times New Roman"/>
        </w:rPr>
        <w:t xml:space="preserve">. 2 </w:t>
      </w:r>
      <w:r w:rsidRPr="0010156D">
        <w:rPr>
          <w:rFonts w:ascii="Times New Roman" w:hAnsi="Times New Roman" w:cs="Times New Roman"/>
          <w:lang w:val="en-GB"/>
        </w:rPr>
        <w:t>activity</w:t>
      </w:r>
      <w:r w:rsidRPr="0010156D">
        <w:rPr>
          <w:rFonts w:ascii="Times New Roman" w:hAnsi="Times New Roman" w:cs="Times New Roman"/>
        </w:rPr>
        <w:t xml:space="preserve"> - </w:t>
      </w:r>
      <w:r w:rsidRPr="0010156D">
        <w:rPr>
          <w:rFonts w:ascii="Times New Roman" w:hAnsi="Times New Roman" w:cs="Times New Roman"/>
          <w:lang w:val="en-GB"/>
        </w:rPr>
        <w:t>nominal</w:t>
      </w:r>
      <w:r w:rsidRPr="0010156D">
        <w:rPr>
          <w:rFonts w:ascii="Times New Roman" w:hAnsi="Times New Roman" w:cs="Times New Roman"/>
        </w:rPr>
        <w:t xml:space="preserve"> </w:t>
      </w:r>
      <w:r w:rsidRPr="0010156D">
        <w:rPr>
          <w:rFonts w:ascii="Times New Roman" w:hAnsi="Times New Roman" w:cs="Times New Roman"/>
          <w:lang w:val="en-GB"/>
        </w:rPr>
        <w:t>value</w:t>
      </w:r>
      <w:r w:rsidRPr="0010156D">
        <w:rPr>
          <w:rFonts w:ascii="Times New Roman" w:hAnsi="Times New Roman" w:cs="Times New Roman"/>
        </w:rPr>
        <w:t xml:space="preserve">, </w:t>
      </w:r>
      <w:r w:rsidRPr="0010156D">
        <w:rPr>
          <w:rFonts w:ascii="Times New Roman" w:hAnsi="Times New Roman" w:cs="Times New Roman"/>
          <w:lang w:val="en-GB"/>
        </w:rPr>
        <w:t>annual</w:t>
      </w:r>
      <w:r w:rsidRPr="0010156D">
        <w:rPr>
          <w:rFonts w:ascii="Times New Roman" w:hAnsi="Times New Roman" w:cs="Times New Roman"/>
        </w:rPr>
        <w:t xml:space="preserve"> </w:t>
      </w:r>
      <w:r w:rsidRPr="0010156D">
        <w:rPr>
          <w:rFonts w:ascii="Times New Roman" w:hAnsi="Times New Roman" w:cs="Times New Roman"/>
          <w:lang w:val="en-GB"/>
        </w:rPr>
        <w:t>data</w:t>
      </w:r>
      <w:r w:rsidRPr="0010156D">
        <w:rPr>
          <w:rFonts w:ascii="Times New Roman" w:hAnsi="Times New Roman" w:cs="Times New Roman"/>
        </w:rPr>
        <w:t>, [</w:t>
      </w:r>
      <w:r w:rsidRPr="0010156D">
        <w:rPr>
          <w:rFonts w:ascii="Times New Roman" w:hAnsi="Times New Roman" w:cs="Times New Roman"/>
          <w:lang w:val="en-GB"/>
        </w:rPr>
        <w:t>lc</w:t>
      </w:r>
      <w:r w:rsidRPr="0010156D">
        <w:rPr>
          <w:rFonts w:ascii="Times New Roman" w:hAnsi="Times New Roman" w:cs="Times New Roman"/>
        </w:rPr>
        <w:t>_</w:t>
      </w:r>
      <w:r w:rsidRPr="0010156D">
        <w:rPr>
          <w:rFonts w:ascii="Times New Roman" w:hAnsi="Times New Roman" w:cs="Times New Roman"/>
          <w:lang w:val="en-GB"/>
        </w:rPr>
        <w:t>lci</w:t>
      </w:r>
      <w:r w:rsidRPr="0010156D">
        <w:rPr>
          <w:rFonts w:ascii="Times New Roman" w:hAnsi="Times New Roman" w:cs="Times New Roman"/>
        </w:rPr>
        <w:t>_</w:t>
      </w:r>
      <w:r w:rsidRPr="0010156D">
        <w:rPr>
          <w:rFonts w:ascii="Times New Roman" w:hAnsi="Times New Roman" w:cs="Times New Roman"/>
          <w:lang w:val="en-GB"/>
        </w:rPr>
        <w:t>r</w:t>
      </w:r>
      <w:r w:rsidRPr="0010156D">
        <w:rPr>
          <w:rFonts w:ascii="Times New Roman" w:hAnsi="Times New Roman" w:cs="Times New Roman"/>
        </w:rPr>
        <w:t>2_</w:t>
      </w:r>
      <w:r w:rsidRPr="0010156D">
        <w:rPr>
          <w:rFonts w:ascii="Times New Roman" w:hAnsi="Times New Roman" w:cs="Times New Roman"/>
          <w:lang w:val="en-GB"/>
        </w:rPr>
        <w:t>a</w:t>
      </w:r>
      <w:r w:rsidRPr="0010156D">
        <w:rPr>
          <w:rFonts w:ascii="Times New Roman" w:hAnsi="Times New Roman" w:cs="Times New Roman"/>
        </w:rPr>
        <w:t xml:space="preserve">] </w:t>
      </w:r>
      <w:r w:rsidRPr="0010156D">
        <w:rPr>
          <w:rFonts w:ascii="Times New Roman" w:hAnsi="Times New Roman" w:cs="Times New Roman"/>
          <w:lang w:val="en-GB"/>
        </w:rPr>
        <w:t>NACE</w:t>
      </w:r>
      <w:r w:rsidRPr="0010156D">
        <w:rPr>
          <w:rFonts w:ascii="Times New Roman" w:hAnsi="Times New Roman" w:cs="Times New Roman"/>
        </w:rPr>
        <w:t xml:space="preserve"> </w:t>
      </w:r>
      <w:r w:rsidRPr="0010156D">
        <w:rPr>
          <w:rFonts w:ascii="Times New Roman" w:hAnsi="Times New Roman" w:cs="Times New Roman"/>
          <w:lang w:val="en-GB"/>
        </w:rPr>
        <w:t>Rev</w:t>
      </w:r>
      <w:r w:rsidRPr="0010156D">
        <w:rPr>
          <w:rFonts w:ascii="Times New Roman" w:hAnsi="Times New Roman" w:cs="Times New Roman"/>
        </w:rPr>
        <w:t>. 2 (</w:t>
      </w:r>
      <w:r w:rsidRPr="0010156D">
        <w:rPr>
          <w:rFonts w:ascii="Times New Roman" w:hAnsi="Times New Roman" w:cs="Times New Roman"/>
          <w:lang w:val="en-GB"/>
        </w:rPr>
        <w:t>activity</w:t>
      </w:r>
      <w:r w:rsidRPr="0010156D">
        <w:rPr>
          <w:rFonts w:ascii="Times New Roman" w:hAnsi="Times New Roman" w:cs="Times New Roman"/>
        </w:rPr>
        <w:t xml:space="preserve"> = </w:t>
      </w:r>
      <w:r w:rsidRPr="0010156D">
        <w:rPr>
          <w:rFonts w:ascii="Times New Roman" w:hAnsi="Times New Roman" w:cs="Times New Roman"/>
          <w:lang w:val="en-GB"/>
        </w:rPr>
        <w:t>P</w:t>
      </w:r>
      <w:r w:rsidRPr="0010156D">
        <w:rPr>
          <w:rFonts w:ascii="Times New Roman" w:hAnsi="Times New Roman" w:cs="Times New Roman"/>
        </w:rPr>
        <w:t xml:space="preserve">. </w:t>
      </w:r>
      <w:r w:rsidRPr="0010156D">
        <w:rPr>
          <w:rFonts w:ascii="Times New Roman" w:hAnsi="Times New Roman" w:cs="Times New Roman"/>
          <w:lang w:val="en-GB"/>
        </w:rPr>
        <w:t>Education</w:t>
      </w:r>
      <w:r w:rsidRPr="0010156D">
        <w:rPr>
          <w:rFonts w:ascii="Times New Roman" w:hAnsi="Times New Roman" w:cs="Times New Roman"/>
        </w:rPr>
        <w:t xml:space="preserve">) </w:t>
      </w:r>
      <w:r w:rsidRPr="0010156D">
        <w:rPr>
          <w:rFonts w:ascii="Times New Roman" w:hAnsi="Times New Roman" w:cs="Times New Roman"/>
          <w:lang w:val="en-GB"/>
        </w:rPr>
        <w:t>Last</w:t>
      </w:r>
      <w:r w:rsidRPr="0010156D">
        <w:rPr>
          <w:rFonts w:ascii="Times New Roman" w:hAnsi="Times New Roman" w:cs="Times New Roman"/>
        </w:rPr>
        <w:t xml:space="preserve"> </w:t>
      </w:r>
      <w:r w:rsidRPr="0010156D">
        <w:rPr>
          <w:rFonts w:ascii="Times New Roman" w:hAnsi="Times New Roman" w:cs="Times New Roman"/>
          <w:lang w:val="en-GB"/>
        </w:rPr>
        <w:t>update</w:t>
      </w:r>
      <w:r w:rsidRPr="0010156D">
        <w:rPr>
          <w:rFonts w:ascii="Times New Roman" w:hAnsi="Times New Roman" w:cs="Times New Roman"/>
        </w:rPr>
        <w:t xml:space="preserve">: 16-12-2021  </w:t>
      </w:r>
      <w:hyperlink r:id="rId2" w:history="1">
        <w:r w:rsidRPr="0010156D">
          <w:rPr>
            <w:rStyle w:val="Hyperlink"/>
            <w:rFonts w:ascii="Times New Roman" w:hAnsi="Times New Roman" w:cs="Times New Roman"/>
            <w:lang w:val="en-GB"/>
          </w:rPr>
          <w:t>https</w:t>
        </w:r>
        <w:r w:rsidRPr="0010156D">
          <w:rPr>
            <w:rStyle w:val="Hyperlink"/>
            <w:rFonts w:ascii="Times New Roman" w:hAnsi="Times New Roman" w:cs="Times New Roman"/>
          </w:rPr>
          <w:t>://</w:t>
        </w:r>
        <w:r w:rsidRPr="0010156D">
          <w:rPr>
            <w:rStyle w:val="Hyperlink"/>
            <w:rFonts w:ascii="Times New Roman" w:hAnsi="Times New Roman" w:cs="Times New Roman"/>
            <w:lang w:val="en-GB"/>
          </w:rPr>
          <w:t>appsso</w:t>
        </w:r>
        <w:r w:rsidRPr="0010156D">
          <w:rPr>
            <w:rStyle w:val="Hyperlink"/>
            <w:rFonts w:ascii="Times New Roman" w:hAnsi="Times New Roman" w:cs="Times New Roman"/>
          </w:rPr>
          <w:t>.</w:t>
        </w:r>
        <w:r w:rsidRPr="0010156D">
          <w:rPr>
            <w:rStyle w:val="Hyperlink"/>
            <w:rFonts w:ascii="Times New Roman" w:hAnsi="Times New Roman" w:cs="Times New Roman"/>
            <w:lang w:val="en-GB"/>
          </w:rPr>
          <w:t>eurostat</w:t>
        </w:r>
        <w:r w:rsidRPr="0010156D">
          <w:rPr>
            <w:rStyle w:val="Hyperlink"/>
            <w:rFonts w:ascii="Times New Roman" w:hAnsi="Times New Roman" w:cs="Times New Roman"/>
          </w:rPr>
          <w:t>.</w:t>
        </w:r>
        <w:r w:rsidRPr="0010156D">
          <w:rPr>
            <w:rStyle w:val="Hyperlink"/>
            <w:rFonts w:ascii="Times New Roman" w:hAnsi="Times New Roman" w:cs="Times New Roman"/>
            <w:lang w:val="en-GB"/>
          </w:rPr>
          <w:t>ec</w:t>
        </w:r>
        <w:r w:rsidRPr="0010156D">
          <w:rPr>
            <w:rStyle w:val="Hyperlink"/>
            <w:rFonts w:ascii="Times New Roman" w:hAnsi="Times New Roman" w:cs="Times New Roman"/>
          </w:rPr>
          <w:t>.</w:t>
        </w:r>
        <w:r w:rsidRPr="0010156D">
          <w:rPr>
            <w:rStyle w:val="Hyperlink"/>
            <w:rFonts w:ascii="Times New Roman" w:hAnsi="Times New Roman" w:cs="Times New Roman"/>
            <w:lang w:val="en-GB"/>
          </w:rPr>
          <w:t>europa</w:t>
        </w:r>
        <w:r w:rsidRPr="0010156D">
          <w:rPr>
            <w:rStyle w:val="Hyperlink"/>
            <w:rFonts w:ascii="Times New Roman" w:hAnsi="Times New Roman" w:cs="Times New Roman"/>
          </w:rPr>
          <w:t>.</w:t>
        </w:r>
        <w:r w:rsidRPr="0010156D">
          <w:rPr>
            <w:rStyle w:val="Hyperlink"/>
            <w:rFonts w:ascii="Times New Roman" w:hAnsi="Times New Roman" w:cs="Times New Roman"/>
            <w:lang w:val="en-GB"/>
          </w:rPr>
          <w:t>eu</w:t>
        </w:r>
        <w:r w:rsidRPr="0010156D">
          <w:rPr>
            <w:rStyle w:val="Hyperlink"/>
            <w:rFonts w:ascii="Times New Roman" w:hAnsi="Times New Roman" w:cs="Times New Roman"/>
          </w:rPr>
          <w:t>/</w:t>
        </w:r>
        <w:r w:rsidRPr="0010156D">
          <w:rPr>
            <w:rStyle w:val="Hyperlink"/>
            <w:rFonts w:ascii="Times New Roman" w:hAnsi="Times New Roman" w:cs="Times New Roman"/>
            <w:lang w:val="en-GB"/>
          </w:rPr>
          <w:t>nui</w:t>
        </w:r>
        <w:r w:rsidRPr="0010156D">
          <w:rPr>
            <w:rStyle w:val="Hyperlink"/>
            <w:rFonts w:ascii="Times New Roman" w:hAnsi="Times New Roman" w:cs="Times New Roman"/>
          </w:rPr>
          <w:t>/</w:t>
        </w:r>
        <w:r w:rsidRPr="0010156D">
          <w:rPr>
            <w:rStyle w:val="Hyperlink"/>
            <w:rFonts w:ascii="Times New Roman" w:hAnsi="Times New Roman" w:cs="Times New Roman"/>
            <w:lang w:val="en-GB"/>
          </w:rPr>
          <w:t>show</w:t>
        </w:r>
        <w:r w:rsidRPr="0010156D">
          <w:rPr>
            <w:rStyle w:val="Hyperlink"/>
            <w:rFonts w:ascii="Times New Roman" w:hAnsi="Times New Roman" w:cs="Times New Roman"/>
          </w:rPr>
          <w:t>.</w:t>
        </w:r>
        <w:r w:rsidRPr="0010156D">
          <w:rPr>
            <w:rStyle w:val="Hyperlink"/>
            <w:rFonts w:ascii="Times New Roman" w:hAnsi="Times New Roman" w:cs="Times New Roman"/>
            <w:lang w:val="en-GB"/>
          </w:rPr>
          <w:t>do</w:t>
        </w:r>
        <w:r w:rsidRPr="0010156D">
          <w:rPr>
            <w:rStyle w:val="Hyperlink"/>
            <w:rFonts w:ascii="Times New Roman" w:hAnsi="Times New Roman" w:cs="Times New Roman"/>
          </w:rPr>
          <w:t>?</w:t>
        </w:r>
        <w:r w:rsidRPr="0010156D">
          <w:rPr>
            <w:rStyle w:val="Hyperlink"/>
            <w:rFonts w:ascii="Times New Roman" w:hAnsi="Times New Roman" w:cs="Times New Roman"/>
            <w:lang w:val="en-GB"/>
          </w:rPr>
          <w:t>query</w:t>
        </w:r>
        <w:r w:rsidRPr="0010156D">
          <w:rPr>
            <w:rStyle w:val="Hyperlink"/>
            <w:rFonts w:ascii="Times New Roman" w:hAnsi="Times New Roman" w:cs="Times New Roman"/>
          </w:rPr>
          <w:t>=</w:t>
        </w:r>
        <w:r w:rsidRPr="0010156D">
          <w:rPr>
            <w:rStyle w:val="Hyperlink"/>
            <w:rFonts w:ascii="Times New Roman" w:hAnsi="Times New Roman" w:cs="Times New Roman"/>
            <w:lang w:val="en-GB"/>
          </w:rPr>
          <w:t>BOOKMARK</w:t>
        </w:r>
        <w:r w:rsidRPr="0010156D">
          <w:rPr>
            <w:rStyle w:val="Hyperlink"/>
            <w:rFonts w:ascii="Times New Roman" w:hAnsi="Times New Roman" w:cs="Times New Roman"/>
          </w:rPr>
          <w:t>_</w:t>
        </w:r>
        <w:r w:rsidRPr="0010156D">
          <w:rPr>
            <w:rStyle w:val="Hyperlink"/>
            <w:rFonts w:ascii="Times New Roman" w:hAnsi="Times New Roman" w:cs="Times New Roman"/>
            <w:lang w:val="en-GB"/>
          </w:rPr>
          <w:t>DS</w:t>
        </w:r>
        <w:r w:rsidRPr="0010156D">
          <w:rPr>
            <w:rStyle w:val="Hyperlink"/>
            <w:rFonts w:ascii="Times New Roman" w:hAnsi="Times New Roman" w:cs="Times New Roman"/>
          </w:rPr>
          <w:t>-056390_</w:t>
        </w:r>
        <w:r w:rsidRPr="0010156D">
          <w:rPr>
            <w:rStyle w:val="Hyperlink"/>
            <w:rFonts w:ascii="Times New Roman" w:hAnsi="Times New Roman" w:cs="Times New Roman"/>
            <w:lang w:val="en-GB"/>
          </w:rPr>
          <w:t>QID</w:t>
        </w:r>
        <w:r w:rsidRPr="0010156D">
          <w:rPr>
            <w:rStyle w:val="Hyperlink"/>
            <w:rFonts w:ascii="Times New Roman" w:hAnsi="Times New Roman" w:cs="Times New Roman"/>
          </w:rPr>
          <w:t>_479</w:t>
        </w:r>
        <w:r w:rsidRPr="0010156D">
          <w:rPr>
            <w:rStyle w:val="Hyperlink"/>
            <w:rFonts w:ascii="Times New Roman" w:hAnsi="Times New Roman" w:cs="Times New Roman"/>
            <w:lang w:val="en-GB"/>
          </w:rPr>
          <w:t>FD</w:t>
        </w:r>
        <w:r w:rsidRPr="0010156D">
          <w:rPr>
            <w:rStyle w:val="Hyperlink"/>
            <w:rFonts w:ascii="Times New Roman" w:hAnsi="Times New Roman" w:cs="Times New Roman"/>
          </w:rPr>
          <w:t>81</w:t>
        </w:r>
        <w:r w:rsidRPr="0010156D">
          <w:rPr>
            <w:rStyle w:val="Hyperlink"/>
            <w:rFonts w:ascii="Times New Roman" w:hAnsi="Times New Roman" w:cs="Times New Roman"/>
            <w:lang w:val="en-GB"/>
          </w:rPr>
          <w:t>B</w:t>
        </w:r>
        <w:r w:rsidRPr="0010156D">
          <w:rPr>
            <w:rStyle w:val="Hyperlink"/>
            <w:rFonts w:ascii="Times New Roman" w:hAnsi="Times New Roman" w:cs="Times New Roman"/>
          </w:rPr>
          <w:t>_</w:t>
        </w:r>
        <w:r w:rsidRPr="0010156D">
          <w:rPr>
            <w:rStyle w:val="Hyperlink"/>
            <w:rFonts w:ascii="Times New Roman" w:hAnsi="Times New Roman" w:cs="Times New Roman"/>
            <w:lang w:val="en-GB"/>
          </w:rPr>
          <w:t>UID</w:t>
        </w:r>
        <w:r w:rsidRPr="0010156D">
          <w:rPr>
            <w:rStyle w:val="Hyperlink"/>
            <w:rFonts w:ascii="Times New Roman" w:hAnsi="Times New Roman" w:cs="Times New Roman"/>
          </w:rPr>
          <w:t>_-3</w:t>
        </w:r>
        <w:r w:rsidRPr="0010156D">
          <w:rPr>
            <w:rStyle w:val="Hyperlink"/>
            <w:rFonts w:ascii="Times New Roman" w:hAnsi="Times New Roman" w:cs="Times New Roman"/>
            <w:lang w:val="en-GB"/>
          </w:rPr>
          <w:t>F</w:t>
        </w:r>
        <w:r w:rsidRPr="0010156D">
          <w:rPr>
            <w:rStyle w:val="Hyperlink"/>
            <w:rFonts w:ascii="Times New Roman" w:hAnsi="Times New Roman" w:cs="Times New Roman"/>
          </w:rPr>
          <w:t>171</w:t>
        </w:r>
        <w:r w:rsidRPr="0010156D">
          <w:rPr>
            <w:rStyle w:val="Hyperlink"/>
            <w:rFonts w:ascii="Times New Roman" w:hAnsi="Times New Roman" w:cs="Times New Roman"/>
            <w:lang w:val="en-GB"/>
          </w:rPr>
          <w:t>EB</w:t>
        </w:r>
        <w:r w:rsidRPr="0010156D">
          <w:rPr>
            <w:rStyle w:val="Hyperlink"/>
            <w:rFonts w:ascii="Times New Roman" w:hAnsi="Times New Roman" w:cs="Times New Roman"/>
          </w:rPr>
          <w:t>0&amp;</w:t>
        </w:r>
        <w:r w:rsidRPr="0010156D">
          <w:rPr>
            <w:rStyle w:val="Hyperlink"/>
            <w:rFonts w:ascii="Times New Roman" w:hAnsi="Times New Roman" w:cs="Times New Roman"/>
            <w:lang w:val="en-GB"/>
          </w:rPr>
          <w:t>layout</w:t>
        </w:r>
        <w:r w:rsidRPr="0010156D">
          <w:rPr>
            <w:rStyle w:val="Hyperlink"/>
            <w:rFonts w:ascii="Times New Roman" w:hAnsi="Times New Roman" w:cs="Times New Roman"/>
          </w:rPr>
          <w:t>=</w:t>
        </w:r>
        <w:r w:rsidRPr="0010156D">
          <w:rPr>
            <w:rStyle w:val="Hyperlink"/>
            <w:rFonts w:ascii="Times New Roman" w:hAnsi="Times New Roman" w:cs="Times New Roman"/>
            <w:lang w:val="en-GB"/>
          </w:rPr>
          <w:t>TIME</w:t>
        </w:r>
        <w:r w:rsidRPr="0010156D">
          <w:rPr>
            <w:rStyle w:val="Hyperlink"/>
            <w:rFonts w:ascii="Times New Roman" w:hAnsi="Times New Roman" w:cs="Times New Roman"/>
          </w:rPr>
          <w:t>,</w:t>
        </w:r>
        <w:r w:rsidRPr="0010156D">
          <w:rPr>
            <w:rStyle w:val="Hyperlink"/>
            <w:rFonts w:ascii="Times New Roman" w:hAnsi="Times New Roman" w:cs="Times New Roman"/>
            <w:lang w:val="en-GB"/>
          </w:rPr>
          <w:t>C</w:t>
        </w:r>
        <w:r w:rsidRPr="0010156D">
          <w:rPr>
            <w:rStyle w:val="Hyperlink"/>
            <w:rFonts w:ascii="Times New Roman" w:hAnsi="Times New Roman" w:cs="Times New Roman"/>
          </w:rPr>
          <w:t>,</w:t>
        </w:r>
        <w:r w:rsidRPr="0010156D">
          <w:rPr>
            <w:rStyle w:val="Hyperlink"/>
            <w:rFonts w:ascii="Times New Roman" w:hAnsi="Times New Roman" w:cs="Times New Roman"/>
            <w:lang w:val="en-GB"/>
          </w:rPr>
          <w:t>X</w:t>
        </w:r>
        <w:r w:rsidRPr="0010156D">
          <w:rPr>
            <w:rStyle w:val="Hyperlink"/>
            <w:rFonts w:ascii="Times New Roman" w:hAnsi="Times New Roman" w:cs="Times New Roman"/>
          </w:rPr>
          <w:t>,0;</w:t>
        </w:r>
        <w:r w:rsidRPr="0010156D">
          <w:rPr>
            <w:rStyle w:val="Hyperlink"/>
            <w:rFonts w:ascii="Times New Roman" w:hAnsi="Times New Roman" w:cs="Times New Roman"/>
            <w:lang w:val="en-GB"/>
          </w:rPr>
          <w:t>GEO</w:t>
        </w:r>
        <w:r w:rsidRPr="0010156D">
          <w:rPr>
            <w:rStyle w:val="Hyperlink"/>
            <w:rFonts w:ascii="Times New Roman" w:hAnsi="Times New Roman" w:cs="Times New Roman"/>
          </w:rPr>
          <w:t>,</w:t>
        </w:r>
        <w:r w:rsidRPr="0010156D">
          <w:rPr>
            <w:rStyle w:val="Hyperlink"/>
            <w:rFonts w:ascii="Times New Roman" w:hAnsi="Times New Roman" w:cs="Times New Roman"/>
            <w:lang w:val="en-GB"/>
          </w:rPr>
          <w:t>L</w:t>
        </w:r>
        <w:r w:rsidRPr="0010156D">
          <w:rPr>
            <w:rStyle w:val="Hyperlink"/>
            <w:rFonts w:ascii="Times New Roman" w:hAnsi="Times New Roman" w:cs="Times New Roman"/>
          </w:rPr>
          <w:t>,</w:t>
        </w:r>
        <w:r w:rsidRPr="0010156D">
          <w:rPr>
            <w:rStyle w:val="Hyperlink"/>
            <w:rFonts w:ascii="Times New Roman" w:hAnsi="Times New Roman" w:cs="Times New Roman"/>
            <w:lang w:val="en-GB"/>
          </w:rPr>
          <w:t>Y</w:t>
        </w:r>
        <w:r w:rsidRPr="0010156D">
          <w:rPr>
            <w:rStyle w:val="Hyperlink"/>
            <w:rFonts w:ascii="Times New Roman" w:hAnsi="Times New Roman" w:cs="Times New Roman"/>
          </w:rPr>
          <w:t>,0;</w:t>
        </w:r>
        <w:r w:rsidRPr="0010156D">
          <w:rPr>
            <w:rStyle w:val="Hyperlink"/>
            <w:rFonts w:ascii="Times New Roman" w:hAnsi="Times New Roman" w:cs="Times New Roman"/>
            <w:lang w:val="en-GB"/>
          </w:rPr>
          <w:t>UNIT</w:t>
        </w:r>
        <w:r w:rsidRPr="0010156D">
          <w:rPr>
            <w:rStyle w:val="Hyperlink"/>
            <w:rFonts w:ascii="Times New Roman" w:hAnsi="Times New Roman" w:cs="Times New Roman"/>
          </w:rPr>
          <w:t>,</w:t>
        </w:r>
        <w:r w:rsidRPr="0010156D">
          <w:rPr>
            <w:rStyle w:val="Hyperlink"/>
            <w:rFonts w:ascii="Times New Roman" w:hAnsi="Times New Roman" w:cs="Times New Roman"/>
            <w:lang w:val="en-GB"/>
          </w:rPr>
          <w:t>L</w:t>
        </w:r>
        <w:r w:rsidRPr="0010156D">
          <w:rPr>
            <w:rStyle w:val="Hyperlink"/>
            <w:rFonts w:ascii="Times New Roman" w:hAnsi="Times New Roman" w:cs="Times New Roman"/>
          </w:rPr>
          <w:t>,</w:t>
        </w:r>
        <w:r w:rsidRPr="0010156D">
          <w:rPr>
            <w:rStyle w:val="Hyperlink"/>
            <w:rFonts w:ascii="Times New Roman" w:hAnsi="Times New Roman" w:cs="Times New Roman"/>
            <w:lang w:val="en-GB"/>
          </w:rPr>
          <w:t>Z</w:t>
        </w:r>
        <w:r w:rsidRPr="0010156D">
          <w:rPr>
            <w:rStyle w:val="Hyperlink"/>
            <w:rFonts w:ascii="Times New Roman" w:hAnsi="Times New Roman" w:cs="Times New Roman"/>
          </w:rPr>
          <w:t>,0;</w:t>
        </w:r>
        <w:r w:rsidRPr="0010156D">
          <w:rPr>
            <w:rStyle w:val="Hyperlink"/>
            <w:rFonts w:ascii="Times New Roman" w:hAnsi="Times New Roman" w:cs="Times New Roman"/>
            <w:lang w:val="en-GB"/>
          </w:rPr>
          <w:t>NACE</w:t>
        </w:r>
        <w:r w:rsidRPr="0010156D">
          <w:rPr>
            <w:rStyle w:val="Hyperlink"/>
            <w:rFonts w:ascii="Times New Roman" w:hAnsi="Times New Roman" w:cs="Times New Roman"/>
          </w:rPr>
          <w:t>_</w:t>
        </w:r>
        <w:r w:rsidRPr="0010156D">
          <w:rPr>
            <w:rStyle w:val="Hyperlink"/>
            <w:rFonts w:ascii="Times New Roman" w:hAnsi="Times New Roman" w:cs="Times New Roman"/>
            <w:lang w:val="en-GB"/>
          </w:rPr>
          <w:t>R</w:t>
        </w:r>
        <w:r w:rsidRPr="0010156D">
          <w:rPr>
            <w:rStyle w:val="Hyperlink"/>
            <w:rFonts w:ascii="Times New Roman" w:hAnsi="Times New Roman" w:cs="Times New Roman"/>
          </w:rPr>
          <w:t>2,</w:t>
        </w:r>
        <w:r w:rsidRPr="0010156D">
          <w:rPr>
            <w:rStyle w:val="Hyperlink"/>
            <w:rFonts w:ascii="Times New Roman" w:hAnsi="Times New Roman" w:cs="Times New Roman"/>
            <w:lang w:val="en-GB"/>
          </w:rPr>
          <w:t>L</w:t>
        </w:r>
        <w:r w:rsidRPr="0010156D">
          <w:rPr>
            <w:rStyle w:val="Hyperlink"/>
            <w:rFonts w:ascii="Times New Roman" w:hAnsi="Times New Roman" w:cs="Times New Roman"/>
          </w:rPr>
          <w:t>,</w:t>
        </w:r>
        <w:r w:rsidRPr="0010156D">
          <w:rPr>
            <w:rStyle w:val="Hyperlink"/>
            <w:rFonts w:ascii="Times New Roman" w:hAnsi="Times New Roman" w:cs="Times New Roman"/>
            <w:lang w:val="en-GB"/>
          </w:rPr>
          <w:t>Z</w:t>
        </w:r>
        <w:r w:rsidRPr="0010156D">
          <w:rPr>
            <w:rStyle w:val="Hyperlink"/>
            <w:rFonts w:ascii="Times New Roman" w:hAnsi="Times New Roman" w:cs="Times New Roman"/>
          </w:rPr>
          <w:t>,1;</w:t>
        </w:r>
        <w:r w:rsidRPr="0010156D">
          <w:rPr>
            <w:rStyle w:val="Hyperlink"/>
            <w:rFonts w:ascii="Times New Roman" w:hAnsi="Times New Roman" w:cs="Times New Roman"/>
            <w:lang w:val="en-GB"/>
          </w:rPr>
          <w:t>LCSTRUCT</w:t>
        </w:r>
        <w:r w:rsidRPr="0010156D">
          <w:rPr>
            <w:rStyle w:val="Hyperlink"/>
            <w:rFonts w:ascii="Times New Roman" w:hAnsi="Times New Roman" w:cs="Times New Roman"/>
          </w:rPr>
          <w:t>,</w:t>
        </w:r>
        <w:r w:rsidRPr="0010156D">
          <w:rPr>
            <w:rStyle w:val="Hyperlink"/>
            <w:rFonts w:ascii="Times New Roman" w:hAnsi="Times New Roman" w:cs="Times New Roman"/>
            <w:lang w:val="en-GB"/>
          </w:rPr>
          <w:t>L</w:t>
        </w:r>
        <w:r w:rsidRPr="0010156D">
          <w:rPr>
            <w:rStyle w:val="Hyperlink"/>
            <w:rFonts w:ascii="Times New Roman" w:hAnsi="Times New Roman" w:cs="Times New Roman"/>
          </w:rPr>
          <w:t>,</w:t>
        </w:r>
        <w:r w:rsidRPr="0010156D">
          <w:rPr>
            <w:rStyle w:val="Hyperlink"/>
            <w:rFonts w:ascii="Times New Roman" w:hAnsi="Times New Roman" w:cs="Times New Roman"/>
            <w:lang w:val="en-GB"/>
          </w:rPr>
          <w:t>Z</w:t>
        </w:r>
        <w:r w:rsidRPr="0010156D">
          <w:rPr>
            <w:rStyle w:val="Hyperlink"/>
            <w:rFonts w:ascii="Times New Roman" w:hAnsi="Times New Roman" w:cs="Times New Roman"/>
          </w:rPr>
          <w:t>,2;</w:t>
        </w:r>
        <w:r w:rsidRPr="0010156D">
          <w:rPr>
            <w:rStyle w:val="Hyperlink"/>
            <w:rFonts w:ascii="Times New Roman" w:hAnsi="Times New Roman" w:cs="Times New Roman"/>
            <w:lang w:val="en-GB"/>
          </w:rPr>
          <w:t>INDICATORS</w:t>
        </w:r>
        <w:r w:rsidRPr="0010156D">
          <w:rPr>
            <w:rStyle w:val="Hyperlink"/>
            <w:rFonts w:ascii="Times New Roman" w:hAnsi="Times New Roman" w:cs="Times New Roman"/>
          </w:rPr>
          <w:t>,</w:t>
        </w:r>
        <w:r w:rsidRPr="0010156D">
          <w:rPr>
            <w:rStyle w:val="Hyperlink"/>
            <w:rFonts w:ascii="Times New Roman" w:hAnsi="Times New Roman" w:cs="Times New Roman"/>
            <w:lang w:val="en-GB"/>
          </w:rPr>
          <w:t>C</w:t>
        </w:r>
        <w:r w:rsidRPr="0010156D">
          <w:rPr>
            <w:rStyle w:val="Hyperlink"/>
            <w:rFonts w:ascii="Times New Roman" w:hAnsi="Times New Roman" w:cs="Times New Roman"/>
          </w:rPr>
          <w:t>,</w:t>
        </w:r>
        <w:r w:rsidRPr="0010156D">
          <w:rPr>
            <w:rStyle w:val="Hyperlink"/>
            <w:rFonts w:ascii="Times New Roman" w:hAnsi="Times New Roman" w:cs="Times New Roman"/>
            <w:lang w:val="en-GB"/>
          </w:rPr>
          <w:t>Z</w:t>
        </w:r>
        <w:r w:rsidRPr="0010156D">
          <w:rPr>
            <w:rStyle w:val="Hyperlink"/>
            <w:rFonts w:ascii="Times New Roman" w:hAnsi="Times New Roman" w:cs="Times New Roman"/>
          </w:rPr>
          <w:t>,3;&amp;</w:t>
        </w:r>
        <w:r w:rsidRPr="0010156D">
          <w:rPr>
            <w:rStyle w:val="Hyperlink"/>
            <w:rFonts w:ascii="Times New Roman" w:hAnsi="Times New Roman" w:cs="Times New Roman"/>
            <w:lang w:val="en-GB"/>
          </w:rPr>
          <w:t>zSelection</w:t>
        </w:r>
        <w:r w:rsidRPr="0010156D">
          <w:rPr>
            <w:rStyle w:val="Hyperlink"/>
            <w:rFonts w:ascii="Times New Roman" w:hAnsi="Times New Roman" w:cs="Times New Roman"/>
          </w:rPr>
          <w:t>=</w:t>
        </w:r>
        <w:r w:rsidRPr="0010156D">
          <w:rPr>
            <w:rStyle w:val="Hyperlink"/>
            <w:rFonts w:ascii="Times New Roman" w:hAnsi="Times New Roman" w:cs="Times New Roman"/>
            <w:lang w:val="en-GB"/>
          </w:rPr>
          <w:t>DS</w:t>
        </w:r>
        <w:r w:rsidRPr="0010156D">
          <w:rPr>
            <w:rStyle w:val="Hyperlink"/>
            <w:rFonts w:ascii="Times New Roman" w:hAnsi="Times New Roman" w:cs="Times New Roman"/>
          </w:rPr>
          <w:t>-056390</w:t>
        </w:r>
        <w:r w:rsidRPr="0010156D">
          <w:rPr>
            <w:rStyle w:val="Hyperlink"/>
            <w:rFonts w:ascii="Times New Roman" w:hAnsi="Times New Roman" w:cs="Times New Roman"/>
            <w:lang w:val="en-GB"/>
          </w:rPr>
          <w:t>UNIT</w:t>
        </w:r>
        <w:r w:rsidRPr="0010156D">
          <w:rPr>
            <w:rStyle w:val="Hyperlink"/>
            <w:rFonts w:ascii="Times New Roman" w:hAnsi="Times New Roman" w:cs="Times New Roman"/>
          </w:rPr>
          <w:t>,</w:t>
        </w:r>
        <w:r w:rsidRPr="0010156D">
          <w:rPr>
            <w:rStyle w:val="Hyperlink"/>
            <w:rFonts w:ascii="Times New Roman" w:hAnsi="Times New Roman" w:cs="Times New Roman"/>
            <w:lang w:val="en-GB"/>
          </w:rPr>
          <w:t>PCH</w:t>
        </w:r>
        <w:r w:rsidRPr="0010156D">
          <w:rPr>
            <w:rStyle w:val="Hyperlink"/>
            <w:rFonts w:ascii="Times New Roman" w:hAnsi="Times New Roman" w:cs="Times New Roman"/>
          </w:rPr>
          <w:t>_</w:t>
        </w:r>
        <w:r w:rsidRPr="0010156D">
          <w:rPr>
            <w:rStyle w:val="Hyperlink"/>
            <w:rFonts w:ascii="Times New Roman" w:hAnsi="Times New Roman" w:cs="Times New Roman"/>
            <w:lang w:val="en-GB"/>
          </w:rPr>
          <w:t>PRE</w:t>
        </w:r>
        <w:r w:rsidRPr="0010156D">
          <w:rPr>
            <w:rStyle w:val="Hyperlink"/>
            <w:rFonts w:ascii="Times New Roman" w:hAnsi="Times New Roman" w:cs="Times New Roman"/>
          </w:rPr>
          <w:t>;</w:t>
        </w:r>
        <w:r w:rsidRPr="0010156D">
          <w:rPr>
            <w:rStyle w:val="Hyperlink"/>
            <w:rFonts w:ascii="Times New Roman" w:hAnsi="Times New Roman" w:cs="Times New Roman"/>
            <w:lang w:val="en-GB"/>
          </w:rPr>
          <w:t>DS</w:t>
        </w:r>
        <w:r w:rsidRPr="0010156D">
          <w:rPr>
            <w:rStyle w:val="Hyperlink"/>
            <w:rFonts w:ascii="Times New Roman" w:hAnsi="Times New Roman" w:cs="Times New Roman"/>
          </w:rPr>
          <w:t>-056390</w:t>
        </w:r>
        <w:r w:rsidRPr="0010156D">
          <w:rPr>
            <w:rStyle w:val="Hyperlink"/>
            <w:rFonts w:ascii="Times New Roman" w:hAnsi="Times New Roman" w:cs="Times New Roman"/>
            <w:lang w:val="en-GB"/>
          </w:rPr>
          <w:t>INDICATORS</w:t>
        </w:r>
        <w:r w:rsidRPr="0010156D">
          <w:rPr>
            <w:rStyle w:val="Hyperlink"/>
            <w:rFonts w:ascii="Times New Roman" w:hAnsi="Times New Roman" w:cs="Times New Roman"/>
          </w:rPr>
          <w:t>,</w:t>
        </w:r>
        <w:r w:rsidRPr="0010156D">
          <w:rPr>
            <w:rStyle w:val="Hyperlink"/>
            <w:rFonts w:ascii="Times New Roman" w:hAnsi="Times New Roman" w:cs="Times New Roman"/>
            <w:lang w:val="en-GB"/>
          </w:rPr>
          <w:t>OBS</w:t>
        </w:r>
        <w:r w:rsidRPr="0010156D">
          <w:rPr>
            <w:rStyle w:val="Hyperlink"/>
            <w:rFonts w:ascii="Times New Roman" w:hAnsi="Times New Roman" w:cs="Times New Roman"/>
          </w:rPr>
          <w:t>_</w:t>
        </w:r>
        <w:r w:rsidRPr="0010156D">
          <w:rPr>
            <w:rStyle w:val="Hyperlink"/>
            <w:rFonts w:ascii="Times New Roman" w:hAnsi="Times New Roman" w:cs="Times New Roman"/>
            <w:lang w:val="en-GB"/>
          </w:rPr>
          <w:t>FLAG</w:t>
        </w:r>
        <w:r w:rsidRPr="0010156D">
          <w:rPr>
            <w:rStyle w:val="Hyperlink"/>
            <w:rFonts w:ascii="Times New Roman" w:hAnsi="Times New Roman" w:cs="Times New Roman"/>
          </w:rPr>
          <w:t>;</w:t>
        </w:r>
        <w:r w:rsidRPr="0010156D">
          <w:rPr>
            <w:rStyle w:val="Hyperlink"/>
            <w:rFonts w:ascii="Times New Roman" w:hAnsi="Times New Roman" w:cs="Times New Roman"/>
            <w:lang w:val="en-GB"/>
          </w:rPr>
          <w:t>DS</w:t>
        </w:r>
        <w:r w:rsidRPr="0010156D">
          <w:rPr>
            <w:rStyle w:val="Hyperlink"/>
            <w:rFonts w:ascii="Times New Roman" w:hAnsi="Times New Roman" w:cs="Times New Roman"/>
          </w:rPr>
          <w:t>-056390</w:t>
        </w:r>
        <w:r w:rsidRPr="0010156D">
          <w:rPr>
            <w:rStyle w:val="Hyperlink"/>
            <w:rFonts w:ascii="Times New Roman" w:hAnsi="Times New Roman" w:cs="Times New Roman"/>
            <w:lang w:val="en-GB"/>
          </w:rPr>
          <w:t>NACE</w:t>
        </w:r>
        <w:r w:rsidRPr="0010156D">
          <w:rPr>
            <w:rStyle w:val="Hyperlink"/>
            <w:rFonts w:ascii="Times New Roman" w:hAnsi="Times New Roman" w:cs="Times New Roman"/>
          </w:rPr>
          <w:t>_</w:t>
        </w:r>
        <w:r w:rsidRPr="0010156D">
          <w:rPr>
            <w:rStyle w:val="Hyperlink"/>
            <w:rFonts w:ascii="Times New Roman" w:hAnsi="Times New Roman" w:cs="Times New Roman"/>
            <w:lang w:val="en-GB"/>
          </w:rPr>
          <w:t>R</w:t>
        </w:r>
        <w:r w:rsidRPr="0010156D">
          <w:rPr>
            <w:rStyle w:val="Hyperlink"/>
            <w:rFonts w:ascii="Times New Roman" w:hAnsi="Times New Roman" w:cs="Times New Roman"/>
          </w:rPr>
          <w:t>2,</w:t>
        </w:r>
        <w:r w:rsidRPr="0010156D">
          <w:rPr>
            <w:rStyle w:val="Hyperlink"/>
            <w:rFonts w:ascii="Times New Roman" w:hAnsi="Times New Roman" w:cs="Times New Roman"/>
            <w:lang w:val="en-GB"/>
          </w:rPr>
          <w:t>P</w:t>
        </w:r>
        <w:r w:rsidRPr="0010156D">
          <w:rPr>
            <w:rStyle w:val="Hyperlink"/>
            <w:rFonts w:ascii="Times New Roman" w:hAnsi="Times New Roman" w:cs="Times New Roman"/>
          </w:rPr>
          <w:t>;</w:t>
        </w:r>
        <w:r w:rsidRPr="0010156D">
          <w:rPr>
            <w:rStyle w:val="Hyperlink"/>
            <w:rFonts w:ascii="Times New Roman" w:hAnsi="Times New Roman" w:cs="Times New Roman"/>
            <w:lang w:val="en-GB"/>
          </w:rPr>
          <w:t>DS</w:t>
        </w:r>
        <w:r w:rsidRPr="0010156D">
          <w:rPr>
            <w:rStyle w:val="Hyperlink"/>
            <w:rFonts w:ascii="Times New Roman" w:hAnsi="Times New Roman" w:cs="Times New Roman"/>
          </w:rPr>
          <w:t>-056390</w:t>
        </w:r>
        <w:r w:rsidRPr="0010156D">
          <w:rPr>
            <w:rStyle w:val="Hyperlink"/>
            <w:rFonts w:ascii="Times New Roman" w:hAnsi="Times New Roman" w:cs="Times New Roman"/>
            <w:lang w:val="en-GB"/>
          </w:rPr>
          <w:t>LCSTRUCT</w:t>
        </w:r>
        <w:r w:rsidRPr="0010156D">
          <w:rPr>
            <w:rStyle w:val="Hyperlink"/>
            <w:rFonts w:ascii="Times New Roman" w:hAnsi="Times New Roman" w:cs="Times New Roman"/>
          </w:rPr>
          <w:t>,</w:t>
        </w:r>
        <w:r w:rsidRPr="0010156D">
          <w:rPr>
            <w:rStyle w:val="Hyperlink"/>
            <w:rFonts w:ascii="Times New Roman" w:hAnsi="Times New Roman" w:cs="Times New Roman"/>
            <w:lang w:val="en-GB"/>
          </w:rPr>
          <w:t>D</w:t>
        </w:r>
        <w:r w:rsidRPr="0010156D">
          <w:rPr>
            <w:rStyle w:val="Hyperlink"/>
            <w:rFonts w:ascii="Times New Roman" w:hAnsi="Times New Roman" w:cs="Times New Roman"/>
          </w:rPr>
          <w:t>1_</w:t>
        </w:r>
        <w:r w:rsidRPr="0010156D">
          <w:rPr>
            <w:rStyle w:val="Hyperlink"/>
            <w:rFonts w:ascii="Times New Roman" w:hAnsi="Times New Roman" w:cs="Times New Roman"/>
            <w:lang w:val="en-GB"/>
          </w:rPr>
          <w:t>D</w:t>
        </w:r>
        <w:r w:rsidRPr="0010156D">
          <w:rPr>
            <w:rStyle w:val="Hyperlink"/>
            <w:rFonts w:ascii="Times New Roman" w:hAnsi="Times New Roman" w:cs="Times New Roman"/>
          </w:rPr>
          <w:t>4_</w:t>
        </w:r>
        <w:r w:rsidRPr="0010156D">
          <w:rPr>
            <w:rStyle w:val="Hyperlink"/>
            <w:rFonts w:ascii="Times New Roman" w:hAnsi="Times New Roman" w:cs="Times New Roman"/>
            <w:lang w:val="en-GB"/>
          </w:rPr>
          <w:t>MD</w:t>
        </w:r>
        <w:r w:rsidRPr="0010156D">
          <w:rPr>
            <w:rStyle w:val="Hyperlink"/>
            <w:rFonts w:ascii="Times New Roman" w:hAnsi="Times New Roman" w:cs="Times New Roman"/>
          </w:rPr>
          <w:t>5;&amp;</w:t>
        </w:r>
        <w:r w:rsidRPr="0010156D">
          <w:rPr>
            <w:rStyle w:val="Hyperlink"/>
            <w:rFonts w:ascii="Times New Roman" w:hAnsi="Times New Roman" w:cs="Times New Roman"/>
            <w:lang w:val="en-GB"/>
          </w:rPr>
          <w:t>rankName</w:t>
        </w:r>
        <w:r w:rsidRPr="0010156D">
          <w:rPr>
            <w:rStyle w:val="Hyperlink"/>
            <w:rFonts w:ascii="Times New Roman" w:hAnsi="Times New Roman" w:cs="Times New Roman"/>
          </w:rPr>
          <w:t>1=</w:t>
        </w:r>
        <w:r w:rsidRPr="0010156D">
          <w:rPr>
            <w:rStyle w:val="Hyperlink"/>
            <w:rFonts w:ascii="Times New Roman" w:hAnsi="Times New Roman" w:cs="Times New Roman"/>
            <w:lang w:val="en-GB"/>
          </w:rPr>
          <w:t>UNIT</w:t>
        </w:r>
        <w:r w:rsidRPr="0010156D">
          <w:rPr>
            <w:rStyle w:val="Hyperlink"/>
            <w:rFonts w:ascii="Times New Roman" w:hAnsi="Times New Roman" w:cs="Times New Roman"/>
          </w:rPr>
          <w:t>_1_2_-1_2&amp;</w:t>
        </w:r>
        <w:r w:rsidRPr="0010156D">
          <w:rPr>
            <w:rStyle w:val="Hyperlink"/>
            <w:rFonts w:ascii="Times New Roman" w:hAnsi="Times New Roman" w:cs="Times New Roman"/>
            <w:lang w:val="en-GB"/>
          </w:rPr>
          <w:t>rankName</w:t>
        </w:r>
        <w:r w:rsidRPr="0010156D">
          <w:rPr>
            <w:rStyle w:val="Hyperlink"/>
            <w:rFonts w:ascii="Times New Roman" w:hAnsi="Times New Roman" w:cs="Times New Roman"/>
          </w:rPr>
          <w:t>2=</w:t>
        </w:r>
        <w:r w:rsidRPr="0010156D">
          <w:rPr>
            <w:rStyle w:val="Hyperlink"/>
            <w:rFonts w:ascii="Times New Roman" w:hAnsi="Times New Roman" w:cs="Times New Roman"/>
            <w:lang w:val="en-GB"/>
          </w:rPr>
          <w:t>INDICATORS</w:t>
        </w:r>
        <w:r w:rsidRPr="0010156D">
          <w:rPr>
            <w:rStyle w:val="Hyperlink"/>
            <w:rFonts w:ascii="Times New Roman" w:hAnsi="Times New Roman" w:cs="Times New Roman"/>
          </w:rPr>
          <w:t>_1_2_-1_2&amp;</w:t>
        </w:r>
        <w:r w:rsidRPr="0010156D">
          <w:rPr>
            <w:rStyle w:val="Hyperlink"/>
            <w:rFonts w:ascii="Times New Roman" w:hAnsi="Times New Roman" w:cs="Times New Roman"/>
            <w:lang w:val="en-GB"/>
          </w:rPr>
          <w:t>rankName</w:t>
        </w:r>
        <w:r w:rsidRPr="0010156D">
          <w:rPr>
            <w:rStyle w:val="Hyperlink"/>
            <w:rFonts w:ascii="Times New Roman" w:hAnsi="Times New Roman" w:cs="Times New Roman"/>
          </w:rPr>
          <w:t>3=</w:t>
        </w:r>
        <w:r w:rsidRPr="0010156D">
          <w:rPr>
            <w:rStyle w:val="Hyperlink"/>
            <w:rFonts w:ascii="Times New Roman" w:hAnsi="Times New Roman" w:cs="Times New Roman"/>
            <w:lang w:val="en-GB"/>
          </w:rPr>
          <w:t>NACE</w:t>
        </w:r>
        <w:r w:rsidRPr="0010156D">
          <w:rPr>
            <w:rStyle w:val="Hyperlink"/>
            <w:rFonts w:ascii="Times New Roman" w:hAnsi="Times New Roman" w:cs="Times New Roman"/>
          </w:rPr>
          <w:t>-</w:t>
        </w:r>
        <w:r w:rsidRPr="0010156D">
          <w:rPr>
            <w:rStyle w:val="Hyperlink"/>
            <w:rFonts w:ascii="Times New Roman" w:hAnsi="Times New Roman" w:cs="Times New Roman"/>
            <w:lang w:val="en-GB"/>
          </w:rPr>
          <w:t>R</w:t>
        </w:r>
        <w:r w:rsidRPr="0010156D">
          <w:rPr>
            <w:rStyle w:val="Hyperlink"/>
            <w:rFonts w:ascii="Times New Roman" w:hAnsi="Times New Roman" w:cs="Times New Roman"/>
          </w:rPr>
          <w:t>2_1_2_-1_2&amp;</w:t>
        </w:r>
        <w:r w:rsidRPr="0010156D">
          <w:rPr>
            <w:rStyle w:val="Hyperlink"/>
            <w:rFonts w:ascii="Times New Roman" w:hAnsi="Times New Roman" w:cs="Times New Roman"/>
            <w:lang w:val="en-GB"/>
          </w:rPr>
          <w:t>rankName</w:t>
        </w:r>
        <w:r w:rsidRPr="0010156D">
          <w:rPr>
            <w:rStyle w:val="Hyperlink"/>
            <w:rFonts w:ascii="Times New Roman" w:hAnsi="Times New Roman" w:cs="Times New Roman"/>
          </w:rPr>
          <w:t>4=</w:t>
        </w:r>
        <w:r w:rsidRPr="0010156D">
          <w:rPr>
            <w:rStyle w:val="Hyperlink"/>
            <w:rFonts w:ascii="Times New Roman" w:hAnsi="Times New Roman" w:cs="Times New Roman"/>
            <w:lang w:val="en-GB"/>
          </w:rPr>
          <w:t>LCSTRUCT</w:t>
        </w:r>
        <w:r w:rsidRPr="0010156D">
          <w:rPr>
            <w:rStyle w:val="Hyperlink"/>
            <w:rFonts w:ascii="Times New Roman" w:hAnsi="Times New Roman" w:cs="Times New Roman"/>
          </w:rPr>
          <w:t>_1_2_-1_2&amp;</w:t>
        </w:r>
        <w:r w:rsidRPr="0010156D">
          <w:rPr>
            <w:rStyle w:val="Hyperlink"/>
            <w:rFonts w:ascii="Times New Roman" w:hAnsi="Times New Roman" w:cs="Times New Roman"/>
            <w:lang w:val="en-GB"/>
          </w:rPr>
          <w:t>rankName</w:t>
        </w:r>
        <w:r w:rsidRPr="0010156D">
          <w:rPr>
            <w:rStyle w:val="Hyperlink"/>
            <w:rFonts w:ascii="Times New Roman" w:hAnsi="Times New Roman" w:cs="Times New Roman"/>
          </w:rPr>
          <w:t>5=</w:t>
        </w:r>
        <w:r w:rsidRPr="0010156D">
          <w:rPr>
            <w:rStyle w:val="Hyperlink"/>
            <w:rFonts w:ascii="Times New Roman" w:hAnsi="Times New Roman" w:cs="Times New Roman"/>
            <w:lang w:val="en-GB"/>
          </w:rPr>
          <w:t>TIME</w:t>
        </w:r>
        <w:r w:rsidRPr="0010156D">
          <w:rPr>
            <w:rStyle w:val="Hyperlink"/>
            <w:rFonts w:ascii="Times New Roman" w:hAnsi="Times New Roman" w:cs="Times New Roman"/>
          </w:rPr>
          <w:t>_1_0_0_0&amp;</w:t>
        </w:r>
        <w:r w:rsidRPr="0010156D">
          <w:rPr>
            <w:rStyle w:val="Hyperlink"/>
            <w:rFonts w:ascii="Times New Roman" w:hAnsi="Times New Roman" w:cs="Times New Roman"/>
            <w:lang w:val="en-GB"/>
          </w:rPr>
          <w:t>rankName</w:t>
        </w:r>
        <w:r w:rsidRPr="0010156D">
          <w:rPr>
            <w:rStyle w:val="Hyperlink"/>
            <w:rFonts w:ascii="Times New Roman" w:hAnsi="Times New Roman" w:cs="Times New Roman"/>
          </w:rPr>
          <w:t>6=</w:t>
        </w:r>
        <w:r w:rsidRPr="0010156D">
          <w:rPr>
            <w:rStyle w:val="Hyperlink"/>
            <w:rFonts w:ascii="Times New Roman" w:hAnsi="Times New Roman" w:cs="Times New Roman"/>
            <w:lang w:val="en-GB"/>
          </w:rPr>
          <w:t>GEO</w:t>
        </w:r>
        <w:r w:rsidRPr="0010156D">
          <w:rPr>
            <w:rStyle w:val="Hyperlink"/>
            <w:rFonts w:ascii="Times New Roman" w:hAnsi="Times New Roman" w:cs="Times New Roman"/>
          </w:rPr>
          <w:t>_1_2_0_1&amp;</w:t>
        </w:r>
        <w:r w:rsidRPr="0010156D">
          <w:rPr>
            <w:rStyle w:val="Hyperlink"/>
            <w:rFonts w:ascii="Times New Roman" w:hAnsi="Times New Roman" w:cs="Times New Roman"/>
            <w:lang w:val="en-GB"/>
          </w:rPr>
          <w:t>sortC</w:t>
        </w:r>
        <w:r w:rsidRPr="0010156D">
          <w:rPr>
            <w:rStyle w:val="Hyperlink"/>
            <w:rFonts w:ascii="Times New Roman" w:hAnsi="Times New Roman" w:cs="Times New Roman"/>
          </w:rPr>
          <w:t>=</w:t>
        </w:r>
        <w:r w:rsidRPr="0010156D">
          <w:rPr>
            <w:rStyle w:val="Hyperlink"/>
            <w:rFonts w:ascii="Times New Roman" w:hAnsi="Times New Roman" w:cs="Times New Roman"/>
            <w:lang w:val="en-GB"/>
          </w:rPr>
          <w:t>ASC</w:t>
        </w:r>
        <w:r w:rsidRPr="0010156D">
          <w:rPr>
            <w:rStyle w:val="Hyperlink"/>
            <w:rFonts w:ascii="Times New Roman" w:hAnsi="Times New Roman" w:cs="Times New Roman"/>
          </w:rPr>
          <w:t>_-1_</w:t>
        </w:r>
        <w:r w:rsidRPr="0010156D">
          <w:rPr>
            <w:rStyle w:val="Hyperlink"/>
            <w:rFonts w:ascii="Times New Roman" w:hAnsi="Times New Roman" w:cs="Times New Roman"/>
            <w:lang w:val="en-GB"/>
          </w:rPr>
          <w:t>FIRST</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rStp</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cStp</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rDCh</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cDCh</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rDM</w:t>
        </w:r>
        <w:r w:rsidRPr="0010156D">
          <w:rPr>
            <w:rStyle w:val="Hyperlink"/>
            <w:rFonts w:ascii="Times New Roman" w:hAnsi="Times New Roman" w:cs="Times New Roman"/>
          </w:rPr>
          <w:t>=</w:t>
        </w:r>
        <w:r w:rsidRPr="0010156D">
          <w:rPr>
            <w:rStyle w:val="Hyperlink"/>
            <w:rFonts w:ascii="Times New Roman" w:hAnsi="Times New Roman" w:cs="Times New Roman"/>
            <w:lang w:val="en-GB"/>
          </w:rPr>
          <w:t>true</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cDM</w:t>
        </w:r>
        <w:r w:rsidRPr="0010156D">
          <w:rPr>
            <w:rStyle w:val="Hyperlink"/>
            <w:rFonts w:ascii="Times New Roman" w:hAnsi="Times New Roman" w:cs="Times New Roman"/>
          </w:rPr>
          <w:t>=</w:t>
        </w:r>
        <w:r w:rsidRPr="0010156D">
          <w:rPr>
            <w:rStyle w:val="Hyperlink"/>
            <w:rFonts w:ascii="Times New Roman" w:hAnsi="Times New Roman" w:cs="Times New Roman"/>
            <w:lang w:val="en-GB"/>
          </w:rPr>
          <w:t>true</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footnes</w:t>
        </w:r>
        <w:r w:rsidRPr="0010156D">
          <w:rPr>
            <w:rStyle w:val="Hyperlink"/>
            <w:rFonts w:ascii="Times New Roman" w:hAnsi="Times New Roman" w:cs="Times New Roman"/>
          </w:rPr>
          <w:t>=</w:t>
        </w:r>
        <w:r w:rsidRPr="0010156D">
          <w:rPr>
            <w:rStyle w:val="Hyperlink"/>
            <w:rFonts w:ascii="Times New Roman" w:hAnsi="Times New Roman" w:cs="Times New Roman"/>
            <w:lang w:val="en-GB"/>
          </w:rPr>
          <w:t>false</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empty</w:t>
        </w:r>
        <w:r w:rsidRPr="0010156D">
          <w:rPr>
            <w:rStyle w:val="Hyperlink"/>
            <w:rFonts w:ascii="Times New Roman" w:hAnsi="Times New Roman" w:cs="Times New Roman"/>
          </w:rPr>
          <w:t>=</w:t>
        </w:r>
        <w:r w:rsidRPr="0010156D">
          <w:rPr>
            <w:rStyle w:val="Hyperlink"/>
            <w:rFonts w:ascii="Times New Roman" w:hAnsi="Times New Roman" w:cs="Times New Roman"/>
            <w:lang w:val="en-GB"/>
          </w:rPr>
          <w:t>false</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wai</w:t>
        </w:r>
        <w:r w:rsidRPr="0010156D">
          <w:rPr>
            <w:rStyle w:val="Hyperlink"/>
            <w:rFonts w:ascii="Times New Roman" w:hAnsi="Times New Roman" w:cs="Times New Roman"/>
          </w:rPr>
          <w:t>=</w:t>
        </w:r>
        <w:r w:rsidRPr="0010156D">
          <w:rPr>
            <w:rStyle w:val="Hyperlink"/>
            <w:rFonts w:ascii="Times New Roman" w:hAnsi="Times New Roman" w:cs="Times New Roman"/>
            <w:lang w:val="en-GB"/>
          </w:rPr>
          <w:t>false</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time</w:t>
        </w:r>
        <w:r w:rsidRPr="0010156D">
          <w:rPr>
            <w:rStyle w:val="Hyperlink"/>
            <w:rFonts w:ascii="Times New Roman" w:hAnsi="Times New Roman" w:cs="Times New Roman"/>
          </w:rPr>
          <w:t>_</w:t>
        </w:r>
        <w:r w:rsidRPr="0010156D">
          <w:rPr>
            <w:rStyle w:val="Hyperlink"/>
            <w:rFonts w:ascii="Times New Roman" w:hAnsi="Times New Roman" w:cs="Times New Roman"/>
            <w:lang w:val="en-GB"/>
          </w:rPr>
          <w:t>mode</w:t>
        </w:r>
        <w:r w:rsidRPr="0010156D">
          <w:rPr>
            <w:rStyle w:val="Hyperlink"/>
            <w:rFonts w:ascii="Times New Roman" w:hAnsi="Times New Roman" w:cs="Times New Roman"/>
          </w:rPr>
          <w:t>=</w:t>
        </w:r>
        <w:r w:rsidRPr="0010156D">
          <w:rPr>
            <w:rStyle w:val="Hyperlink"/>
            <w:rFonts w:ascii="Times New Roman" w:hAnsi="Times New Roman" w:cs="Times New Roman"/>
            <w:lang w:val="en-GB"/>
          </w:rPr>
          <w:t>NONE</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time</w:t>
        </w:r>
        <w:r w:rsidRPr="0010156D">
          <w:rPr>
            <w:rStyle w:val="Hyperlink"/>
            <w:rFonts w:ascii="Times New Roman" w:hAnsi="Times New Roman" w:cs="Times New Roman"/>
          </w:rPr>
          <w:t>_</w:t>
        </w:r>
        <w:r w:rsidRPr="0010156D">
          <w:rPr>
            <w:rStyle w:val="Hyperlink"/>
            <w:rFonts w:ascii="Times New Roman" w:hAnsi="Times New Roman" w:cs="Times New Roman"/>
            <w:lang w:val="en-GB"/>
          </w:rPr>
          <w:t>most</w:t>
        </w:r>
        <w:r w:rsidRPr="0010156D">
          <w:rPr>
            <w:rStyle w:val="Hyperlink"/>
            <w:rFonts w:ascii="Times New Roman" w:hAnsi="Times New Roman" w:cs="Times New Roman"/>
          </w:rPr>
          <w:t>_</w:t>
        </w:r>
        <w:r w:rsidRPr="0010156D">
          <w:rPr>
            <w:rStyle w:val="Hyperlink"/>
            <w:rFonts w:ascii="Times New Roman" w:hAnsi="Times New Roman" w:cs="Times New Roman"/>
            <w:lang w:val="en-GB"/>
          </w:rPr>
          <w:t>recent</w:t>
        </w:r>
        <w:r w:rsidRPr="0010156D">
          <w:rPr>
            <w:rStyle w:val="Hyperlink"/>
            <w:rFonts w:ascii="Times New Roman" w:hAnsi="Times New Roman" w:cs="Times New Roman"/>
          </w:rPr>
          <w:t>=</w:t>
        </w:r>
        <w:r w:rsidRPr="0010156D">
          <w:rPr>
            <w:rStyle w:val="Hyperlink"/>
            <w:rFonts w:ascii="Times New Roman" w:hAnsi="Times New Roman" w:cs="Times New Roman"/>
            <w:lang w:val="en-GB"/>
          </w:rPr>
          <w:t>false</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lang</w:t>
        </w:r>
        <w:r w:rsidRPr="0010156D">
          <w:rPr>
            <w:rStyle w:val="Hyperlink"/>
            <w:rFonts w:ascii="Times New Roman" w:hAnsi="Times New Roman" w:cs="Times New Roman"/>
          </w:rPr>
          <w:t>=</w:t>
        </w:r>
        <w:r w:rsidRPr="0010156D">
          <w:rPr>
            <w:rStyle w:val="Hyperlink"/>
            <w:rFonts w:ascii="Times New Roman" w:hAnsi="Times New Roman" w:cs="Times New Roman"/>
            <w:lang w:val="en-GB"/>
          </w:rPr>
          <w:t>EN</w:t>
        </w:r>
        <w:r w:rsidRPr="0010156D">
          <w:rPr>
            <w:rStyle w:val="Hyperlink"/>
            <w:rFonts w:ascii="Times New Roman" w:hAnsi="Times New Roman" w:cs="Times New Roman"/>
          </w:rPr>
          <w:t>&amp;</w:t>
        </w:r>
        <w:r w:rsidRPr="0010156D">
          <w:rPr>
            <w:rStyle w:val="Hyperlink"/>
            <w:rFonts w:ascii="Times New Roman" w:hAnsi="Times New Roman" w:cs="Times New Roman"/>
            <w:lang w:val="en-GB"/>
          </w:rPr>
          <w:t>cfo</w:t>
        </w:r>
        <w:r w:rsidRPr="0010156D">
          <w:rPr>
            <w:rStyle w:val="Hyperlink"/>
            <w:rFonts w:ascii="Times New Roman" w:hAnsi="Times New Roman" w:cs="Times New Roman"/>
          </w:rPr>
          <w:t>=%23%23%23%2</w:t>
        </w:r>
        <w:r w:rsidRPr="0010156D">
          <w:rPr>
            <w:rStyle w:val="Hyperlink"/>
            <w:rFonts w:ascii="Times New Roman" w:hAnsi="Times New Roman" w:cs="Times New Roman"/>
            <w:lang w:val="en-GB"/>
          </w:rPr>
          <w:t>C</w:t>
        </w:r>
        <w:r w:rsidRPr="0010156D">
          <w:rPr>
            <w:rStyle w:val="Hyperlink"/>
            <w:rFonts w:ascii="Times New Roman" w:hAnsi="Times New Roman" w:cs="Times New Roman"/>
          </w:rPr>
          <w:t>%23%23%23.%23%23%23</w:t>
        </w:r>
      </w:hyperlink>
      <w:r>
        <w:t xml:space="preserve"> </w:t>
      </w:r>
      <w:r w:rsidRPr="00FF3269">
        <w:t xml:space="preserve"> </w:t>
      </w:r>
    </w:p>
    <w:p w14:paraId="36C72C33" w14:textId="4410CDEC" w:rsidR="00A01460" w:rsidRDefault="00A01460" w:rsidP="00A01460">
      <w:pPr>
        <w:pStyle w:val="FootnoteText"/>
      </w:pPr>
    </w:p>
  </w:footnote>
  <w:footnote w:id="5">
    <w:p w14:paraId="11260CE9" w14:textId="77777777" w:rsidR="00613F47" w:rsidRPr="00161975" w:rsidRDefault="00613F47" w:rsidP="00613F47">
      <w:pPr>
        <w:pStyle w:val="FootnoteText"/>
      </w:pPr>
      <w:r>
        <w:rPr>
          <w:rStyle w:val="FootnoteReference"/>
        </w:rPr>
        <w:footnoteRef/>
      </w:r>
      <w:r>
        <w:t xml:space="preserve"> Общ инструментариум за показателите на ЕСФ+, Работен документ, октомври, 2021 г. с. 17.</w:t>
      </w:r>
    </w:p>
  </w:footnote>
  <w:footnote w:id="6">
    <w:p w14:paraId="20CA5D72" w14:textId="62530D17" w:rsidR="00895AC9" w:rsidRPr="00E25912" w:rsidRDefault="00895AC9">
      <w:pPr>
        <w:pStyle w:val="FootnoteText"/>
        <w:rPr>
          <w:rFonts w:ascii="Times New Roman" w:hAnsi="Times New Roman" w:cs="Times New Roman"/>
        </w:rPr>
      </w:pPr>
      <w:r w:rsidRPr="000632B9">
        <w:rPr>
          <w:rStyle w:val="FootnoteReference"/>
          <w:rFonts w:ascii="Times New Roman" w:hAnsi="Times New Roman" w:cs="Times New Roman"/>
        </w:rPr>
        <w:footnoteRef/>
      </w:r>
      <w:r w:rsidRPr="000632B9">
        <w:rPr>
          <w:rFonts w:ascii="Times New Roman" w:hAnsi="Times New Roman" w:cs="Times New Roman"/>
        </w:rPr>
        <w:t xml:space="preserve"> въздействие, което не е било възможно да бъде предвидено на по-ранен етап</w:t>
      </w:r>
    </w:p>
  </w:footnote>
  <w:footnote w:id="7">
    <w:p w14:paraId="356BE008" w14:textId="77777777" w:rsidR="00D857FE" w:rsidRPr="007837E9" w:rsidRDefault="00D857FE" w:rsidP="00D857FE">
      <w:pPr>
        <w:pStyle w:val="FootnoteText"/>
        <w:rPr>
          <w:rFonts w:ascii="Times New Roman" w:hAnsi="Times New Roman"/>
        </w:rPr>
      </w:pPr>
      <w:r w:rsidRPr="007837E9">
        <w:rPr>
          <w:rStyle w:val="FootnoteReference"/>
          <w:rFonts w:ascii="Times New Roman" w:hAnsi="Times New Roman"/>
        </w:rPr>
        <w:footnoteRef/>
      </w:r>
      <w:r w:rsidRPr="007837E9">
        <w:rPr>
          <w:rFonts w:ascii="Times New Roman" w:hAnsi="Times New Roman"/>
        </w:rPr>
        <w:t xml:space="preserve"> Данни на НСИ</w:t>
      </w:r>
      <w:r>
        <w:rPr>
          <w:rFonts w:ascii="Times New Roman" w:hAnsi="Times New Roman"/>
        </w:rPr>
        <w:t xml:space="preserve"> за учебната 2020/2021</w:t>
      </w:r>
      <w:r w:rsidRPr="007837E9">
        <w:rPr>
          <w:rFonts w:ascii="Times New Roman" w:hAnsi="Times New Roman"/>
        </w:rPr>
        <w:t xml:space="preserve">, учащи в професионални гимназии, включително учащи в професионални паралелки, съгласно разпоредбите на чл. 47 от ЗПУО. </w:t>
      </w:r>
      <w:hyperlink r:id="rId3" w:history="1">
        <w:r w:rsidRPr="007837E9">
          <w:rPr>
            <w:rStyle w:val="Hyperlink"/>
            <w:rFonts w:ascii="Times New Roman" w:hAnsi="Times New Roman"/>
          </w:rPr>
          <w:t>https://www.nsi.bg/bg/content/3444/%D1%83%D1%87%D0%B0%D1%89%D0%B8-%D0%B2-%D0%BF%D1%80%D0%BE%D1%84%D0%B5%D1%81%D0%B8%D0%BE%D0%BD%D0%B0%D0%BB%D0%BD%D0%B8%D1%82%D0%B5-%D1%83%D1%87%D0%B8%D0%BB%D0%B8%D1%89%D0%B0</w:t>
        </w:r>
      </w:hyperlink>
      <w:r w:rsidRPr="007837E9">
        <w:rPr>
          <w:rFonts w:ascii="Times New Roman" w:hAnsi="Times New Roman"/>
        </w:rPr>
        <w:t xml:space="preserve"> </w:t>
      </w:r>
    </w:p>
  </w:footnote>
  <w:footnote w:id="8">
    <w:p w14:paraId="067E69D4" w14:textId="77777777" w:rsidR="00D857FE" w:rsidRPr="007E6AFC" w:rsidRDefault="00D857FE" w:rsidP="00D857FE">
      <w:pPr>
        <w:pStyle w:val="FootnoteText"/>
        <w:rPr>
          <w:rFonts w:ascii="Times New Roman" w:hAnsi="Times New Roman"/>
        </w:rPr>
      </w:pPr>
      <w:r w:rsidRPr="007E6AFC">
        <w:rPr>
          <w:rStyle w:val="FootnoteReference"/>
          <w:rFonts w:ascii="Times New Roman" w:hAnsi="Times New Roman"/>
        </w:rPr>
        <w:footnoteRef/>
      </w:r>
      <w:r w:rsidRPr="007E6AFC">
        <w:rPr>
          <w:rFonts w:ascii="Times New Roman" w:hAnsi="Times New Roman"/>
        </w:rPr>
        <w:t xml:space="preserve"> Доклад на Световна банка „Професионално образование и обучение и учене през целия живот в България: Ситуационен анализ и препоръки за основни насоки на бъдещи политики“, изготвен съгласно Споразумение за предоставяне на консултантски услуги за преглед на публичните разходи в областта на науката, технологиите и иновациите и подкрепа за изграждането на подход, основан на доказателства за Националната стратегическа рамка за развитие на образованието до 2030 г.</w:t>
      </w:r>
      <w:r>
        <w:rPr>
          <w:rFonts w:ascii="Times New Roman" w:hAnsi="Times New Roman"/>
        </w:rPr>
        <w:t>, фигура 11, стр. 45</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652DF"/>
    <w:multiLevelType w:val="hybridMultilevel"/>
    <w:tmpl w:val="4060FA3E"/>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1" w15:restartNumberingAfterBreak="0">
    <w:nsid w:val="006F58C0"/>
    <w:multiLevelType w:val="hybridMultilevel"/>
    <w:tmpl w:val="10201B7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09D2DA6"/>
    <w:multiLevelType w:val="hybridMultilevel"/>
    <w:tmpl w:val="0F823F80"/>
    <w:lvl w:ilvl="0" w:tplc="0809000D">
      <w:start w:val="1"/>
      <w:numFmt w:val="bullet"/>
      <w:lvlText w:val=""/>
      <w:lvlJc w:val="left"/>
      <w:pPr>
        <w:ind w:left="1170" w:hanging="360"/>
      </w:pPr>
      <w:rPr>
        <w:rFonts w:ascii="Wingdings" w:hAnsi="Wingdings" w:hint="default"/>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3" w15:restartNumberingAfterBreak="0">
    <w:nsid w:val="03312693"/>
    <w:multiLevelType w:val="hybridMultilevel"/>
    <w:tmpl w:val="FFD4EE8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7F2200"/>
    <w:multiLevelType w:val="hybridMultilevel"/>
    <w:tmpl w:val="3ECEB036"/>
    <w:lvl w:ilvl="0" w:tplc="6A64EF6C">
      <w:start w:val="1"/>
      <w:numFmt w:val="bullet"/>
      <w:lvlText w:val="­"/>
      <w:lvlJc w:val="left"/>
      <w:pPr>
        <w:ind w:left="1068" w:hanging="360"/>
      </w:pPr>
      <w:rPr>
        <w:rFonts w:ascii="Courier New" w:hAnsi="Courier New" w:hint="default"/>
      </w:rPr>
    </w:lvl>
    <w:lvl w:ilvl="1" w:tplc="08090003" w:tentative="1">
      <w:start w:val="1"/>
      <w:numFmt w:val="bullet"/>
      <w:lvlText w:val="o"/>
      <w:lvlJc w:val="left"/>
      <w:pPr>
        <w:ind w:left="1878" w:hanging="360"/>
      </w:pPr>
      <w:rPr>
        <w:rFonts w:ascii="Courier New" w:hAnsi="Courier New" w:cs="Courier New" w:hint="default"/>
      </w:rPr>
    </w:lvl>
    <w:lvl w:ilvl="2" w:tplc="08090005" w:tentative="1">
      <w:start w:val="1"/>
      <w:numFmt w:val="bullet"/>
      <w:lvlText w:val=""/>
      <w:lvlJc w:val="left"/>
      <w:pPr>
        <w:ind w:left="2598" w:hanging="360"/>
      </w:pPr>
      <w:rPr>
        <w:rFonts w:ascii="Wingdings" w:hAnsi="Wingdings" w:hint="default"/>
      </w:rPr>
    </w:lvl>
    <w:lvl w:ilvl="3" w:tplc="08090001" w:tentative="1">
      <w:start w:val="1"/>
      <w:numFmt w:val="bullet"/>
      <w:lvlText w:val=""/>
      <w:lvlJc w:val="left"/>
      <w:pPr>
        <w:ind w:left="3318" w:hanging="360"/>
      </w:pPr>
      <w:rPr>
        <w:rFonts w:ascii="Symbol" w:hAnsi="Symbol" w:hint="default"/>
      </w:rPr>
    </w:lvl>
    <w:lvl w:ilvl="4" w:tplc="08090003" w:tentative="1">
      <w:start w:val="1"/>
      <w:numFmt w:val="bullet"/>
      <w:lvlText w:val="o"/>
      <w:lvlJc w:val="left"/>
      <w:pPr>
        <w:ind w:left="4038" w:hanging="360"/>
      </w:pPr>
      <w:rPr>
        <w:rFonts w:ascii="Courier New" w:hAnsi="Courier New" w:cs="Courier New" w:hint="default"/>
      </w:rPr>
    </w:lvl>
    <w:lvl w:ilvl="5" w:tplc="08090005" w:tentative="1">
      <w:start w:val="1"/>
      <w:numFmt w:val="bullet"/>
      <w:lvlText w:val=""/>
      <w:lvlJc w:val="left"/>
      <w:pPr>
        <w:ind w:left="4758" w:hanging="360"/>
      </w:pPr>
      <w:rPr>
        <w:rFonts w:ascii="Wingdings" w:hAnsi="Wingdings" w:hint="default"/>
      </w:rPr>
    </w:lvl>
    <w:lvl w:ilvl="6" w:tplc="08090001" w:tentative="1">
      <w:start w:val="1"/>
      <w:numFmt w:val="bullet"/>
      <w:lvlText w:val=""/>
      <w:lvlJc w:val="left"/>
      <w:pPr>
        <w:ind w:left="5478" w:hanging="360"/>
      </w:pPr>
      <w:rPr>
        <w:rFonts w:ascii="Symbol" w:hAnsi="Symbol" w:hint="default"/>
      </w:rPr>
    </w:lvl>
    <w:lvl w:ilvl="7" w:tplc="08090003" w:tentative="1">
      <w:start w:val="1"/>
      <w:numFmt w:val="bullet"/>
      <w:lvlText w:val="o"/>
      <w:lvlJc w:val="left"/>
      <w:pPr>
        <w:ind w:left="6198" w:hanging="360"/>
      </w:pPr>
      <w:rPr>
        <w:rFonts w:ascii="Courier New" w:hAnsi="Courier New" w:cs="Courier New" w:hint="default"/>
      </w:rPr>
    </w:lvl>
    <w:lvl w:ilvl="8" w:tplc="08090005" w:tentative="1">
      <w:start w:val="1"/>
      <w:numFmt w:val="bullet"/>
      <w:lvlText w:val=""/>
      <w:lvlJc w:val="left"/>
      <w:pPr>
        <w:ind w:left="6918" w:hanging="360"/>
      </w:pPr>
      <w:rPr>
        <w:rFonts w:ascii="Wingdings" w:hAnsi="Wingdings" w:hint="default"/>
      </w:rPr>
    </w:lvl>
  </w:abstractNum>
  <w:abstractNum w:abstractNumId="5" w15:restartNumberingAfterBreak="0">
    <w:nsid w:val="07EA49E9"/>
    <w:multiLevelType w:val="hybridMultilevel"/>
    <w:tmpl w:val="769CB006"/>
    <w:lvl w:ilvl="0" w:tplc="A9583A12">
      <w:numFmt w:val="bullet"/>
      <w:lvlText w:val="-"/>
      <w:lvlJc w:val="left"/>
      <w:pPr>
        <w:ind w:left="1080" w:hanging="3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6" w15:restartNumberingAfterBreak="0">
    <w:nsid w:val="0A911FAB"/>
    <w:multiLevelType w:val="hybridMultilevel"/>
    <w:tmpl w:val="A1326FB8"/>
    <w:lvl w:ilvl="0" w:tplc="08090009">
      <w:start w:val="1"/>
      <w:numFmt w:val="bullet"/>
      <w:lvlText w:val=""/>
      <w:lvlJc w:val="left"/>
      <w:pPr>
        <w:ind w:left="1260" w:hanging="360"/>
      </w:pPr>
      <w:rPr>
        <w:rFonts w:ascii="Wingdings" w:hAnsi="Wingdings" w:hint="default"/>
      </w:rPr>
    </w:lvl>
    <w:lvl w:ilvl="1" w:tplc="08090003" w:tentative="1">
      <w:start w:val="1"/>
      <w:numFmt w:val="bullet"/>
      <w:lvlText w:val="o"/>
      <w:lvlJc w:val="left"/>
      <w:pPr>
        <w:ind w:left="1980" w:hanging="360"/>
      </w:pPr>
      <w:rPr>
        <w:rFonts w:ascii="Courier New" w:hAnsi="Courier New" w:cs="Courier New" w:hint="default"/>
      </w:rPr>
    </w:lvl>
    <w:lvl w:ilvl="2" w:tplc="08090005" w:tentative="1">
      <w:start w:val="1"/>
      <w:numFmt w:val="bullet"/>
      <w:lvlText w:val=""/>
      <w:lvlJc w:val="left"/>
      <w:pPr>
        <w:ind w:left="2700" w:hanging="360"/>
      </w:pPr>
      <w:rPr>
        <w:rFonts w:ascii="Wingdings" w:hAnsi="Wingdings" w:hint="default"/>
      </w:rPr>
    </w:lvl>
    <w:lvl w:ilvl="3" w:tplc="08090001" w:tentative="1">
      <w:start w:val="1"/>
      <w:numFmt w:val="bullet"/>
      <w:lvlText w:val=""/>
      <w:lvlJc w:val="left"/>
      <w:pPr>
        <w:ind w:left="3420" w:hanging="360"/>
      </w:pPr>
      <w:rPr>
        <w:rFonts w:ascii="Symbol" w:hAnsi="Symbol" w:hint="default"/>
      </w:rPr>
    </w:lvl>
    <w:lvl w:ilvl="4" w:tplc="08090003" w:tentative="1">
      <w:start w:val="1"/>
      <w:numFmt w:val="bullet"/>
      <w:lvlText w:val="o"/>
      <w:lvlJc w:val="left"/>
      <w:pPr>
        <w:ind w:left="4140" w:hanging="360"/>
      </w:pPr>
      <w:rPr>
        <w:rFonts w:ascii="Courier New" w:hAnsi="Courier New" w:cs="Courier New" w:hint="default"/>
      </w:rPr>
    </w:lvl>
    <w:lvl w:ilvl="5" w:tplc="08090005" w:tentative="1">
      <w:start w:val="1"/>
      <w:numFmt w:val="bullet"/>
      <w:lvlText w:val=""/>
      <w:lvlJc w:val="left"/>
      <w:pPr>
        <w:ind w:left="4860" w:hanging="360"/>
      </w:pPr>
      <w:rPr>
        <w:rFonts w:ascii="Wingdings" w:hAnsi="Wingdings" w:hint="default"/>
      </w:rPr>
    </w:lvl>
    <w:lvl w:ilvl="6" w:tplc="08090001" w:tentative="1">
      <w:start w:val="1"/>
      <w:numFmt w:val="bullet"/>
      <w:lvlText w:val=""/>
      <w:lvlJc w:val="left"/>
      <w:pPr>
        <w:ind w:left="5580" w:hanging="360"/>
      </w:pPr>
      <w:rPr>
        <w:rFonts w:ascii="Symbol" w:hAnsi="Symbol" w:hint="default"/>
      </w:rPr>
    </w:lvl>
    <w:lvl w:ilvl="7" w:tplc="08090003" w:tentative="1">
      <w:start w:val="1"/>
      <w:numFmt w:val="bullet"/>
      <w:lvlText w:val="o"/>
      <w:lvlJc w:val="left"/>
      <w:pPr>
        <w:ind w:left="6300" w:hanging="360"/>
      </w:pPr>
      <w:rPr>
        <w:rFonts w:ascii="Courier New" w:hAnsi="Courier New" w:cs="Courier New" w:hint="default"/>
      </w:rPr>
    </w:lvl>
    <w:lvl w:ilvl="8" w:tplc="08090005" w:tentative="1">
      <w:start w:val="1"/>
      <w:numFmt w:val="bullet"/>
      <w:lvlText w:val=""/>
      <w:lvlJc w:val="left"/>
      <w:pPr>
        <w:ind w:left="7020" w:hanging="360"/>
      </w:pPr>
      <w:rPr>
        <w:rFonts w:ascii="Wingdings" w:hAnsi="Wingdings" w:hint="default"/>
      </w:rPr>
    </w:lvl>
  </w:abstractNum>
  <w:abstractNum w:abstractNumId="7" w15:restartNumberingAfterBreak="0">
    <w:nsid w:val="1290498C"/>
    <w:multiLevelType w:val="hybridMultilevel"/>
    <w:tmpl w:val="A798F0DC"/>
    <w:lvl w:ilvl="0" w:tplc="ED241FB8">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891F94"/>
    <w:multiLevelType w:val="hybridMultilevel"/>
    <w:tmpl w:val="5824C292"/>
    <w:lvl w:ilvl="0" w:tplc="0402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59113DC"/>
    <w:multiLevelType w:val="hybridMultilevel"/>
    <w:tmpl w:val="0AF22E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C2B48EA"/>
    <w:multiLevelType w:val="hybridMultilevel"/>
    <w:tmpl w:val="30D6F0A6"/>
    <w:lvl w:ilvl="0" w:tplc="0809000D">
      <w:start w:val="1"/>
      <w:numFmt w:val="bullet"/>
      <w:lvlText w:val=""/>
      <w:lvlJc w:val="left"/>
      <w:pPr>
        <w:ind w:left="1515" w:hanging="360"/>
      </w:pPr>
      <w:rPr>
        <w:rFonts w:ascii="Wingdings" w:hAnsi="Wingdings" w:hint="default"/>
      </w:rPr>
    </w:lvl>
    <w:lvl w:ilvl="1" w:tplc="08090003" w:tentative="1">
      <w:start w:val="1"/>
      <w:numFmt w:val="bullet"/>
      <w:lvlText w:val="o"/>
      <w:lvlJc w:val="left"/>
      <w:pPr>
        <w:ind w:left="2235" w:hanging="360"/>
      </w:pPr>
      <w:rPr>
        <w:rFonts w:ascii="Courier New" w:hAnsi="Courier New" w:cs="Courier New" w:hint="default"/>
      </w:rPr>
    </w:lvl>
    <w:lvl w:ilvl="2" w:tplc="08090005" w:tentative="1">
      <w:start w:val="1"/>
      <w:numFmt w:val="bullet"/>
      <w:lvlText w:val=""/>
      <w:lvlJc w:val="left"/>
      <w:pPr>
        <w:ind w:left="2955" w:hanging="360"/>
      </w:pPr>
      <w:rPr>
        <w:rFonts w:ascii="Wingdings" w:hAnsi="Wingdings" w:hint="default"/>
      </w:rPr>
    </w:lvl>
    <w:lvl w:ilvl="3" w:tplc="08090001" w:tentative="1">
      <w:start w:val="1"/>
      <w:numFmt w:val="bullet"/>
      <w:lvlText w:val=""/>
      <w:lvlJc w:val="left"/>
      <w:pPr>
        <w:ind w:left="3675" w:hanging="360"/>
      </w:pPr>
      <w:rPr>
        <w:rFonts w:ascii="Symbol" w:hAnsi="Symbol" w:hint="default"/>
      </w:rPr>
    </w:lvl>
    <w:lvl w:ilvl="4" w:tplc="08090003" w:tentative="1">
      <w:start w:val="1"/>
      <w:numFmt w:val="bullet"/>
      <w:lvlText w:val="o"/>
      <w:lvlJc w:val="left"/>
      <w:pPr>
        <w:ind w:left="4395" w:hanging="360"/>
      </w:pPr>
      <w:rPr>
        <w:rFonts w:ascii="Courier New" w:hAnsi="Courier New" w:cs="Courier New" w:hint="default"/>
      </w:rPr>
    </w:lvl>
    <w:lvl w:ilvl="5" w:tplc="08090005" w:tentative="1">
      <w:start w:val="1"/>
      <w:numFmt w:val="bullet"/>
      <w:lvlText w:val=""/>
      <w:lvlJc w:val="left"/>
      <w:pPr>
        <w:ind w:left="5115" w:hanging="360"/>
      </w:pPr>
      <w:rPr>
        <w:rFonts w:ascii="Wingdings" w:hAnsi="Wingdings" w:hint="default"/>
      </w:rPr>
    </w:lvl>
    <w:lvl w:ilvl="6" w:tplc="08090001" w:tentative="1">
      <w:start w:val="1"/>
      <w:numFmt w:val="bullet"/>
      <w:lvlText w:val=""/>
      <w:lvlJc w:val="left"/>
      <w:pPr>
        <w:ind w:left="5835" w:hanging="360"/>
      </w:pPr>
      <w:rPr>
        <w:rFonts w:ascii="Symbol" w:hAnsi="Symbol" w:hint="default"/>
      </w:rPr>
    </w:lvl>
    <w:lvl w:ilvl="7" w:tplc="08090003" w:tentative="1">
      <w:start w:val="1"/>
      <w:numFmt w:val="bullet"/>
      <w:lvlText w:val="o"/>
      <w:lvlJc w:val="left"/>
      <w:pPr>
        <w:ind w:left="6555" w:hanging="360"/>
      </w:pPr>
      <w:rPr>
        <w:rFonts w:ascii="Courier New" w:hAnsi="Courier New" w:cs="Courier New" w:hint="default"/>
      </w:rPr>
    </w:lvl>
    <w:lvl w:ilvl="8" w:tplc="08090005" w:tentative="1">
      <w:start w:val="1"/>
      <w:numFmt w:val="bullet"/>
      <w:lvlText w:val=""/>
      <w:lvlJc w:val="left"/>
      <w:pPr>
        <w:ind w:left="7275" w:hanging="360"/>
      </w:pPr>
      <w:rPr>
        <w:rFonts w:ascii="Wingdings" w:hAnsi="Wingdings" w:hint="default"/>
      </w:rPr>
    </w:lvl>
  </w:abstractNum>
  <w:abstractNum w:abstractNumId="11" w15:restartNumberingAfterBreak="0">
    <w:nsid w:val="1D895368"/>
    <w:multiLevelType w:val="hybridMultilevel"/>
    <w:tmpl w:val="EFECB7D4"/>
    <w:lvl w:ilvl="0" w:tplc="0402000D">
      <w:start w:val="1"/>
      <w:numFmt w:val="bullet"/>
      <w:lvlText w:val=""/>
      <w:lvlJc w:val="left"/>
      <w:pPr>
        <w:ind w:left="1170" w:hanging="360"/>
      </w:pPr>
      <w:rPr>
        <w:rFonts w:ascii="Wingdings" w:hAnsi="Wingdings" w:hint="default"/>
      </w:rPr>
    </w:lvl>
    <w:lvl w:ilvl="1" w:tplc="04020003" w:tentative="1">
      <w:start w:val="1"/>
      <w:numFmt w:val="bullet"/>
      <w:lvlText w:val="o"/>
      <w:lvlJc w:val="left"/>
      <w:pPr>
        <w:ind w:left="1890" w:hanging="360"/>
      </w:pPr>
      <w:rPr>
        <w:rFonts w:ascii="Courier New" w:hAnsi="Courier New" w:cs="Courier New" w:hint="default"/>
      </w:rPr>
    </w:lvl>
    <w:lvl w:ilvl="2" w:tplc="04020005" w:tentative="1">
      <w:start w:val="1"/>
      <w:numFmt w:val="bullet"/>
      <w:lvlText w:val=""/>
      <w:lvlJc w:val="left"/>
      <w:pPr>
        <w:ind w:left="2610" w:hanging="360"/>
      </w:pPr>
      <w:rPr>
        <w:rFonts w:ascii="Wingdings" w:hAnsi="Wingdings" w:hint="default"/>
      </w:rPr>
    </w:lvl>
    <w:lvl w:ilvl="3" w:tplc="04020001" w:tentative="1">
      <w:start w:val="1"/>
      <w:numFmt w:val="bullet"/>
      <w:lvlText w:val=""/>
      <w:lvlJc w:val="left"/>
      <w:pPr>
        <w:ind w:left="3330" w:hanging="360"/>
      </w:pPr>
      <w:rPr>
        <w:rFonts w:ascii="Symbol" w:hAnsi="Symbol" w:hint="default"/>
      </w:rPr>
    </w:lvl>
    <w:lvl w:ilvl="4" w:tplc="04020003" w:tentative="1">
      <w:start w:val="1"/>
      <w:numFmt w:val="bullet"/>
      <w:lvlText w:val="o"/>
      <w:lvlJc w:val="left"/>
      <w:pPr>
        <w:ind w:left="4050" w:hanging="360"/>
      </w:pPr>
      <w:rPr>
        <w:rFonts w:ascii="Courier New" w:hAnsi="Courier New" w:cs="Courier New" w:hint="default"/>
      </w:rPr>
    </w:lvl>
    <w:lvl w:ilvl="5" w:tplc="04020005" w:tentative="1">
      <w:start w:val="1"/>
      <w:numFmt w:val="bullet"/>
      <w:lvlText w:val=""/>
      <w:lvlJc w:val="left"/>
      <w:pPr>
        <w:ind w:left="4770" w:hanging="360"/>
      </w:pPr>
      <w:rPr>
        <w:rFonts w:ascii="Wingdings" w:hAnsi="Wingdings" w:hint="default"/>
      </w:rPr>
    </w:lvl>
    <w:lvl w:ilvl="6" w:tplc="04020001" w:tentative="1">
      <w:start w:val="1"/>
      <w:numFmt w:val="bullet"/>
      <w:lvlText w:val=""/>
      <w:lvlJc w:val="left"/>
      <w:pPr>
        <w:ind w:left="5490" w:hanging="360"/>
      </w:pPr>
      <w:rPr>
        <w:rFonts w:ascii="Symbol" w:hAnsi="Symbol" w:hint="default"/>
      </w:rPr>
    </w:lvl>
    <w:lvl w:ilvl="7" w:tplc="04020003" w:tentative="1">
      <w:start w:val="1"/>
      <w:numFmt w:val="bullet"/>
      <w:lvlText w:val="o"/>
      <w:lvlJc w:val="left"/>
      <w:pPr>
        <w:ind w:left="6210" w:hanging="360"/>
      </w:pPr>
      <w:rPr>
        <w:rFonts w:ascii="Courier New" w:hAnsi="Courier New" w:cs="Courier New" w:hint="default"/>
      </w:rPr>
    </w:lvl>
    <w:lvl w:ilvl="8" w:tplc="04020005" w:tentative="1">
      <w:start w:val="1"/>
      <w:numFmt w:val="bullet"/>
      <w:lvlText w:val=""/>
      <w:lvlJc w:val="left"/>
      <w:pPr>
        <w:ind w:left="6930" w:hanging="360"/>
      </w:pPr>
      <w:rPr>
        <w:rFonts w:ascii="Wingdings" w:hAnsi="Wingdings" w:hint="default"/>
      </w:rPr>
    </w:lvl>
  </w:abstractNum>
  <w:abstractNum w:abstractNumId="12" w15:restartNumberingAfterBreak="0">
    <w:nsid w:val="1E2C32CD"/>
    <w:multiLevelType w:val="hybridMultilevel"/>
    <w:tmpl w:val="32262B78"/>
    <w:lvl w:ilvl="0" w:tplc="6A64EF6C">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1CD74D6"/>
    <w:multiLevelType w:val="hybridMultilevel"/>
    <w:tmpl w:val="B8229EBE"/>
    <w:lvl w:ilvl="0" w:tplc="0402000F">
      <w:start w:val="1"/>
      <w:numFmt w:val="decimal"/>
      <w:lvlText w:val="%1."/>
      <w:lvlJc w:val="left"/>
      <w:pPr>
        <w:ind w:left="45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4" w15:restartNumberingAfterBreak="0">
    <w:nsid w:val="280F0F98"/>
    <w:multiLevelType w:val="hybridMultilevel"/>
    <w:tmpl w:val="FF4A41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B9B056C"/>
    <w:multiLevelType w:val="hybridMultilevel"/>
    <w:tmpl w:val="8AD8F2B6"/>
    <w:lvl w:ilvl="0" w:tplc="08090001">
      <w:start w:val="1"/>
      <w:numFmt w:val="bullet"/>
      <w:lvlText w:val=""/>
      <w:lvlJc w:val="left"/>
      <w:pPr>
        <w:ind w:left="900" w:hanging="360"/>
      </w:pPr>
      <w:rPr>
        <w:rFonts w:ascii="Symbol" w:hAnsi="Symbol" w:hint="default"/>
      </w:rPr>
    </w:lvl>
    <w:lvl w:ilvl="1" w:tplc="08090003" w:tentative="1">
      <w:start w:val="1"/>
      <w:numFmt w:val="bullet"/>
      <w:lvlText w:val="o"/>
      <w:lvlJc w:val="left"/>
      <w:pPr>
        <w:ind w:left="1620" w:hanging="360"/>
      </w:pPr>
      <w:rPr>
        <w:rFonts w:ascii="Courier New" w:hAnsi="Courier New" w:cs="Courier New" w:hint="default"/>
      </w:rPr>
    </w:lvl>
    <w:lvl w:ilvl="2" w:tplc="08090005" w:tentative="1">
      <w:start w:val="1"/>
      <w:numFmt w:val="bullet"/>
      <w:lvlText w:val=""/>
      <w:lvlJc w:val="left"/>
      <w:pPr>
        <w:ind w:left="2340" w:hanging="360"/>
      </w:pPr>
      <w:rPr>
        <w:rFonts w:ascii="Wingdings" w:hAnsi="Wingdings" w:hint="default"/>
      </w:rPr>
    </w:lvl>
    <w:lvl w:ilvl="3" w:tplc="08090001" w:tentative="1">
      <w:start w:val="1"/>
      <w:numFmt w:val="bullet"/>
      <w:lvlText w:val=""/>
      <w:lvlJc w:val="left"/>
      <w:pPr>
        <w:ind w:left="3060" w:hanging="360"/>
      </w:pPr>
      <w:rPr>
        <w:rFonts w:ascii="Symbol" w:hAnsi="Symbol" w:hint="default"/>
      </w:rPr>
    </w:lvl>
    <w:lvl w:ilvl="4" w:tplc="08090003" w:tentative="1">
      <w:start w:val="1"/>
      <w:numFmt w:val="bullet"/>
      <w:lvlText w:val="o"/>
      <w:lvlJc w:val="left"/>
      <w:pPr>
        <w:ind w:left="3780" w:hanging="360"/>
      </w:pPr>
      <w:rPr>
        <w:rFonts w:ascii="Courier New" w:hAnsi="Courier New" w:cs="Courier New" w:hint="default"/>
      </w:rPr>
    </w:lvl>
    <w:lvl w:ilvl="5" w:tplc="08090005" w:tentative="1">
      <w:start w:val="1"/>
      <w:numFmt w:val="bullet"/>
      <w:lvlText w:val=""/>
      <w:lvlJc w:val="left"/>
      <w:pPr>
        <w:ind w:left="4500" w:hanging="360"/>
      </w:pPr>
      <w:rPr>
        <w:rFonts w:ascii="Wingdings" w:hAnsi="Wingdings" w:hint="default"/>
      </w:rPr>
    </w:lvl>
    <w:lvl w:ilvl="6" w:tplc="08090001" w:tentative="1">
      <w:start w:val="1"/>
      <w:numFmt w:val="bullet"/>
      <w:lvlText w:val=""/>
      <w:lvlJc w:val="left"/>
      <w:pPr>
        <w:ind w:left="5220" w:hanging="360"/>
      </w:pPr>
      <w:rPr>
        <w:rFonts w:ascii="Symbol" w:hAnsi="Symbol" w:hint="default"/>
      </w:rPr>
    </w:lvl>
    <w:lvl w:ilvl="7" w:tplc="08090003" w:tentative="1">
      <w:start w:val="1"/>
      <w:numFmt w:val="bullet"/>
      <w:lvlText w:val="o"/>
      <w:lvlJc w:val="left"/>
      <w:pPr>
        <w:ind w:left="5940" w:hanging="360"/>
      </w:pPr>
      <w:rPr>
        <w:rFonts w:ascii="Courier New" w:hAnsi="Courier New" w:cs="Courier New" w:hint="default"/>
      </w:rPr>
    </w:lvl>
    <w:lvl w:ilvl="8" w:tplc="08090005" w:tentative="1">
      <w:start w:val="1"/>
      <w:numFmt w:val="bullet"/>
      <w:lvlText w:val=""/>
      <w:lvlJc w:val="left"/>
      <w:pPr>
        <w:ind w:left="6660" w:hanging="360"/>
      </w:pPr>
      <w:rPr>
        <w:rFonts w:ascii="Wingdings" w:hAnsi="Wingdings" w:hint="default"/>
      </w:rPr>
    </w:lvl>
  </w:abstractNum>
  <w:abstractNum w:abstractNumId="16" w15:restartNumberingAfterBreak="0">
    <w:nsid w:val="2CB00E7E"/>
    <w:multiLevelType w:val="hybridMultilevel"/>
    <w:tmpl w:val="76063C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2E121E52"/>
    <w:multiLevelType w:val="hybridMultilevel"/>
    <w:tmpl w:val="D11A6B84"/>
    <w:lvl w:ilvl="0" w:tplc="08090003">
      <w:start w:val="1"/>
      <w:numFmt w:val="bullet"/>
      <w:lvlText w:val="o"/>
      <w:lvlJc w:val="left"/>
      <w:pPr>
        <w:ind w:left="1485" w:hanging="360"/>
      </w:pPr>
      <w:rPr>
        <w:rFonts w:ascii="Courier New" w:hAnsi="Courier New" w:cs="Courier New" w:hint="default"/>
      </w:rPr>
    </w:lvl>
    <w:lvl w:ilvl="1" w:tplc="08090003" w:tentative="1">
      <w:start w:val="1"/>
      <w:numFmt w:val="bullet"/>
      <w:lvlText w:val="o"/>
      <w:lvlJc w:val="left"/>
      <w:pPr>
        <w:ind w:left="2205" w:hanging="360"/>
      </w:pPr>
      <w:rPr>
        <w:rFonts w:ascii="Courier New" w:hAnsi="Courier New" w:cs="Courier New" w:hint="default"/>
      </w:rPr>
    </w:lvl>
    <w:lvl w:ilvl="2" w:tplc="08090005" w:tentative="1">
      <w:start w:val="1"/>
      <w:numFmt w:val="bullet"/>
      <w:lvlText w:val=""/>
      <w:lvlJc w:val="left"/>
      <w:pPr>
        <w:ind w:left="2925" w:hanging="360"/>
      </w:pPr>
      <w:rPr>
        <w:rFonts w:ascii="Wingdings" w:hAnsi="Wingdings" w:hint="default"/>
      </w:rPr>
    </w:lvl>
    <w:lvl w:ilvl="3" w:tplc="08090001" w:tentative="1">
      <w:start w:val="1"/>
      <w:numFmt w:val="bullet"/>
      <w:lvlText w:val=""/>
      <w:lvlJc w:val="left"/>
      <w:pPr>
        <w:ind w:left="3645" w:hanging="360"/>
      </w:pPr>
      <w:rPr>
        <w:rFonts w:ascii="Symbol" w:hAnsi="Symbol" w:hint="default"/>
      </w:rPr>
    </w:lvl>
    <w:lvl w:ilvl="4" w:tplc="08090003" w:tentative="1">
      <w:start w:val="1"/>
      <w:numFmt w:val="bullet"/>
      <w:lvlText w:val="o"/>
      <w:lvlJc w:val="left"/>
      <w:pPr>
        <w:ind w:left="4365" w:hanging="360"/>
      </w:pPr>
      <w:rPr>
        <w:rFonts w:ascii="Courier New" w:hAnsi="Courier New" w:cs="Courier New" w:hint="default"/>
      </w:rPr>
    </w:lvl>
    <w:lvl w:ilvl="5" w:tplc="08090005" w:tentative="1">
      <w:start w:val="1"/>
      <w:numFmt w:val="bullet"/>
      <w:lvlText w:val=""/>
      <w:lvlJc w:val="left"/>
      <w:pPr>
        <w:ind w:left="5085" w:hanging="360"/>
      </w:pPr>
      <w:rPr>
        <w:rFonts w:ascii="Wingdings" w:hAnsi="Wingdings" w:hint="default"/>
      </w:rPr>
    </w:lvl>
    <w:lvl w:ilvl="6" w:tplc="08090001" w:tentative="1">
      <w:start w:val="1"/>
      <w:numFmt w:val="bullet"/>
      <w:lvlText w:val=""/>
      <w:lvlJc w:val="left"/>
      <w:pPr>
        <w:ind w:left="5805" w:hanging="360"/>
      </w:pPr>
      <w:rPr>
        <w:rFonts w:ascii="Symbol" w:hAnsi="Symbol" w:hint="default"/>
      </w:rPr>
    </w:lvl>
    <w:lvl w:ilvl="7" w:tplc="08090003" w:tentative="1">
      <w:start w:val="1"/>
      <w:numFmt w:val="bullet"/>
      <w:lvlText w:val="o"/>
      <w:lvlJc w:val="left"/>
      <w:pPr>
        <w:ind w:left="6525" w:hanging="360"/>
      </w:pPr>
      <w:rPr>
        <w:rFonts w:ascii="Courier New" w:hAnsi="Courier New" w:cs="Courier New" w:hint="default"/>
      </w:rPr>
    </w:lvl>
    <w:lvl w:ilvl="8" w:tplc="08090005" w:tentative="1">
      <w:start w:val="1"/>
      <w:numFmt w:val="bullet"/>
      <w:lvlText w:val=""/>
      <w:lvlJc w:val="left"/>
      <w:pPr>
        <w:ind w:left="7245" w:hanging="360"/>
      </w:pPr>
      <w:rPr>
        <w:rFonts w:ascii="Wingdings" w:hAnsi="Wingdings" w:hint="default"/>
      </w:rPr>
    </w:lvl>
  </w:abstractNum>
  <w:abstractNum w:abstractNumId="18" w15:restartNumberingAfterBreak="0">
    <w:nsid w:val="30CC3B02"/>
    <w:multiLevelType w:val="hybridMultilevel"/>
    <w:tmpl w:val="BEF0857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15:restartNumberingAfterBreak="0">
    <w:nsid w:val="335B6803"/>
    <w:multiLevelType w:val="hybridMultilevel"/>
    <w:tmpl w:val="36A6CFCA"/>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1710" w:hanging="360"/>
      </w:pPr>
      <w:rPr>
        <w:rFonts w:ascii="Courier New" w:hAnsi="Courier New" w:cs="Courier New" w:hint="default"/>
      </w:rPr>
    </w:lvl>
    <w:lvl w:ilvl="2" w:tplc="08090005" w:tentative="1">
      <w:start w:val="1"/>
      <w:numFmt w:val="bullet"/>
      <w:lvlText w:val=""/>
      <w:lvlJc w:val="left"/>
      <w:pPr>
        <w:ind w:left="2430" w:hanging="360"/>
      </w:pPr>
      <w:rPr>
        <w:rFonts w:ascii="Wingdings" w:hAnsi="Wingdings" w:hint="default"/>
      </w:rPr>
    </w:lvl>
    <w:lvl w:ilvl="3" w:tplc="08090001" w:tentative="1">
      <w:start w:val="1"/>
      <w:numFmt w:val="bullet"/>
      <w:lvlText w:val=""/>
      <w:lvlJc w:val="left"/>
      <w:pPr>
        <w:ind w:left="3150" w:hanging="360"/>
      </w:pPr>
      <w:rPr>
        <w:rFonts w:ascii="Symbol" w:hAnsi="Symbol" w:hint="default"/>
      </w:rPr>
    </w:lvl>
    <w:lvl w:ilvl="4" w:tplc="08090003" w:tentative="1">
      <w:start w:val="1"/>
      <w:numFmt w:val="bullet"/>
      <w:lvlText w:val="o"/>
      <w:lvlJc w:val="left"/>
      <w:pPr>
        <w:ind w:left="3870" w:hanging="360"/>
      </w:pPr>
      <w:rPr>
        <w:rFonts w:ascii="Courier New" w:hAnsi="Courier New" w:cs="Courier New" w:hint="default"/>
      </w:rPr>
    </w:lvl>
    <w:lvl w:ilvl="5" w:tplc="08090005" w:tentative="1">
      <w:start w:val="1"/>
      <w:numFmt w:val="bullet"/>
      <w:lvlText w:val=""/>
      <w:lvlJc w:val="left"/>
      <w:pPr>
        <w:ind w:left="4590" w:hanging="360"/>
      </w:pPr>
      <w:rPr>
        <w:rFonts w:ascii="Wingdings" w:hAnsi="Wingdings" w:hint="default"/>
      </w:rPr>
    </w:lvl>
    <w:lvl w:ilvl="6" w:tplc="08090001" w:tentative="1">
      <w:start w:val="1"/>
      <w:numFmt w:val="bullet"/>
      <w:lvlText w:val=""/>
      <w:lvlJc w:val="left"/>
      <w:pPr>
        <w:ind w:left="5310" w:hanging="360"/>
      </w:pPr>
      <w:rPr>
        <w:rFonts w:ascii="Symbol" w:hAnsi="Symbol" w:hint="default"/>
      </w:rPr>
    </w:lvl>
    <w:lvl w:ilvl="7" w:tplc="08090003" w:tentative="1">
      <w:start w:val="1"/>
      <w:numFmt w:val="bullet"/>
      <w:lvlText w:val="o"/>
      <w:lvlJc w:val="left"/>
      <w:pPr>
        <w:ind w:left="6030" w:hanging="360"/>
      </w:pPr>
      <w:rPr>
        <w:rFonts w:ascii="Courier New" w:hAnsi="Courier New" w:cs="Courier New" w:hint="default"/>
      </w:rPr>
    </w:lvl>
    <w:lvl w:ilvl="8" w:tplc="08090005" w:tentative="1">
      <w:start w:val="1"/>
      <w:numFmt w:val="bullet"/>
      <w:lvlText w:val=""/>
      <w:lvlJc w:val="left"/>
      <w:pPr>
        <w:ind w:left="6750" w:hanging="360"/>
      </w:pPr>
      <w:rPr>
        <w:rFonts w:ascii="Wingdings" w:hAnsi="Wingdings" w:hint="default"/>
      </w:rPr>
    </w:lvl>
  </w:abstractNum>
  <w:abstractNum w:abstractNumId="20" w15:restartNumberingAfterBreak="0">
    <w:nsid w:val="337414FB"/>
    <w:multiLevelType w:val="hybridMultilevel"/>
    <w:tmpl w:val="1D0828A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15:restartNumberingAfterBreak="0">
    <w:nsid w:val="38682979"/>
    <w:multiLevelType w:val="hybridMultilevel"/>
    <w:tmpl w:val="76228B02"/>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2" w15:restartNumberingAfterBreak="0">
    <w:nsid w:val="3CE023AD"/>
    <w:multiLevelType w:val="hybridMultilevel"/>
    <w:tmpl w:val="98E2B83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15:restartNumberingAfterBreak="0">
    <w:nsid w:val="3E8128B2"/>
    <w:multiLevelType w:val="hybridMultilevel"/>
    <w:tmpl w:val="00204E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3850773"/>
    <w:multiLevelType w:val="hybridMultilevel"/>
    <w:tmpl w:val="E83015CA"/>
    <w:lvl w:ilvl="0" w:tplc="08090001">
      <w:start w:val="1"/>
      <w:numFmt w:val="bullet"/>
      <w:lvlText w:val=""/>
      <w:lvlJc w:val="left"/>
      <w:pPr>
        <w:ind w:left="450" w:hanging="360"/>
      </w:pPr>
      <w:rPr>
        <w:rFonts w:ascii="Symbol" w:hAnsi="Symbol"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25" w15:restartNumberingAfterBreak="0">
    <w:nsid w:val="46C0027A"/>
    <w:multiLevelType w:val="hybridMultilevel"/>
    <w:tmpl w:val="7DB4F6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8791B51"/>
    <w:multiLevelType w:val="hybridMultilevel"/>
    <w:tmpl w:val="B8ECCDF8"/>
    <w:lvl w:ilvl="0" w:tplc="3F5279F8">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7" w15:restartNumberingAfterBreak="0">
    <w:nsid w:val="4A432656"/>
    <w:multiLevelType w:val="multilevel"/>
    <w:tmpl w:val="C3E6F920"/>
    <w:lvl w:ilvl="0">
      <w:start w:val="1"/>
      <w:numFmt w:val="decimal"/>
      <w:lvlText w:val="%1."/>
      <w:lvlJc w:val="left"/>
      <w:pPr>
        <w:tabs>
          <w:tab w:val="num" w:pos="480"/>
        </w:tabs>
        <w:ind w:left="480" w:hanging="480"/>
      </w:pPr>
    </w:lvl>
    <w:lvl w:ilvl="1">
      <w:start w:val="1"/>
      <w:numFmt w:val="decimal"/>
      <w:lvlText w:val="%1.%2."/>
      <w:lvlJc w:val="left"/>
      <w:pPr>
        <w:tabs>
          <w:tab w:val="num" w:pos="1080"/>
        </w:tabs>
        <w:ind w:left="1080" w:hanging="600"/>
      </w:pPr>
    </w:lvl>
    <w:lvl w:ilvl="2">
      <w:start w:val="1"/>
      <w:numFmt w:val="decimal"/>
      <w:lvlText w:val="%1.%2.%3."/>
      <w:lvlJc w:val="left"/>
      <w:pPr>
        <w:tabs>
          <w:tab w:val="num" w:pos="1920"/>
        </w:tabs>
        <w:ind w:left="1920" w:hanging="840"/>
      </w:pPr>
      <w:rPr>
        <w:b/>
      </w:rPr>
    </w:lvl>
    <w:lvl w:ilvl="3">
      <w:start w:val="1"/>
      <w:numFmt w:val="decimal"/>
      <w:lvlText w:val="%1.%2.%3.%4."/>
      <w:lvlJc w:val="left"/>
      <w:pPr>
        <w:tabs>
          <w:tab w:val="num" w:pos="2880"/>
        </w:tabs>
        <w:ind w:left="2880" w:hanging="9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4E0B47A5"/>
    <w:multiLevelType w:val="hybridMultilevel"/>
    <w:tmpl w:val="718EE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13F2443"/>
    <w:multiLevelType w:val="hybridMultilevel"/>
    <w:tmpl w:val="D4DEE9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92E764E"/>
    <w:multiLevelType w:val="hybridMultilevel"/>
    <w:tmpl w:val="9E64D5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94733F2"/>
    <w:multiLevelType w:val="hybridMultilevel"/>
    <w:tmpl w:val="22AEB142"/>
    <w:lvl w:ilvl="0" w:tplc="08090009">
      <w:start w:val="1"/>
      <w:numFmt w:val="bullet"/>
      <w:lvlText w:val=""/>
      <w:lvlJc w:val="left"/>
      <w:pPr>
        <w:ind w:left="63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C207EFB"/>
    <w:multiLevelType w:val="hybridMultilevel"/>
    <w:tmpl w:val="63927238"/>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C253875"/>
    <w:multiLevelType w:val="hybridMultilevel"/>
    <w:tmpl w:val="35DEFF10"/>
    <w:lvl w:ilvl="0" w:tplc="0809000B">
      <w:start w:val="1"/>
      <w:numFmt w:val="bullet"/>
      <w:lvlText w:val=""/>
      <w:lvlJc w:val="left"/>
      <w:pPr>
        <w:ind w:left="81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AEA5E47"/>
    <w:multiLevelType w:val="hybridMultilevel"/>
    <w:tmpl w:val="1BC474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FE8665F"/>
    <w:multiLevelType w:val="hybridMultilevel"/>
    <w:tmpl w:val="53D0B5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20A3ABB"/>
    <w:multiLevelType w:val="hybridMultilevel"/>
    <w:tmpl w:val="A30CA2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73DD31A8"/>
    <w:multiLevelType w:val="hybridMultilevel"/>
    <w:tmpl w:val="8358375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53E15AF"/>
    <w:multiLevelType w:val="hybridMultilevel"/>
    <w:tmpl w:val="434E9DA4"/>
    <w:lvl w:ilvl="0" w:tplc="0809000B">
      <w:start w:val="1"/>
      <w:numFmt w:val="bullet"/>
      <w:lvlText w:val=""/>
      <w:lvlJc w:val="left"/>
      <w:pPr>
        <w:ind w:left="81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5F7A6D"/>
    <w:multiLevelType w:val="hybridMultilevel"/>
    <w:tmpl w:val="CF382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28106F"/>
    <w:multiLevelType w:val="hybridMultilevel"/>
    <w:tmpl w:val="6EC2837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1" w15:restartNumberingAfterBreak="0">
    <w:nsid w:val="78D96ABF"/>
    <w:multiLevelType w:val="hybridMultilevel"/>
    <w:tmpl w:val="D7B00E8C"/>
    <w:lvl w:ilvl="0" w:tplc="566005B8">
      <w:start w:val="5"/>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4B0AAE"/>
    <w:multiLevelType w:val="hybridMultilevel"/>
    <w:tmpl w:val="D5047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FA81BAD"/>
    <w:multiLevelType w:val="hybridMultilevel"/>
    <w:tmpl w:val="D8E430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FD90469"/>
    <w:multiLevelType w:val="hybridMultilevel"/>
    <w:tmpl w:val="B55E746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3"/>
  </w:num>
  <w:num w:numId="2">
    <w:abstractNumId w:val="41"/>
  </w:num>
  <w:num w:numId="3">
    <w:abstractNumId w:val="10"/>
  </w:num>
  <w:num w:numId="4">
    <w:abstractNumId w:val="15"/>
  </w:num>
  <w:num w:numId="5">
    <w:abstractNumId w:val="6"/>
  </w:num>
  <w:num w:numId="6">
    <w:abstractNumId w:val="33"/>
  </w:num>
  <w:num w:numId="7">
    <w:abstractNumId w:val="8"/>
  </w:num>
  <w:num w:numId="8">
    <w:abstractNumId w:val="37"/>
  </w:num>
  <w:num w:numId="9">
    <w:abstractNumId w:val="31"/>
  </w:num>
  <w:num w:numId="10">
    <w:abstractNumId w:val="19"/>
  </w:num>
  <w:num w:numId="11">
    <w:abstractNumId w:val="38"/>
  </w:num>
  <w:num w:numId="12">
    <w:abstractNumId w:val="44"/>
  </w:num>
  <w:num w:numId="13">
    <w:abstractNumId w:val="26"/>
  </w:num>
  <w:num w:numId="14">
    <w:abstractNumId w:val="17"/>
  </w:num>
  <w:num w:numId="15">
    <w:abstractNumId w:val="3"/>
  </w:num>
  <w:num w:numId="16">
    <w:abstractNumId w:val="2"/>
  </w:num>
  <w:num w:numId="17">
    <w:abstractNumId w:val="4"/>
  </w:num>
  <w:num w:numId="18">
    <w:abstractNumId w:val="12"/>
  </w:num>
  <w:num w:numId="19">
    <w:abstractNumId w:val="32"/>
  </w:num>
  <w:num w:numId="20">
    <w:abstractNumId w:val="11"/>
  </w:num>
  <w:num w:numId="21">
    <w:abstractNumId w:val="27"/>
  </w:num>
  <w:num w:numId="22">
    <w:abstractNumId w:val="34"/>
  </w:num>
  <w:num w:numId="23">
    <w:abstractNumId w:val="22"/>
  </w:num>
  <w:num w:numId="24">
    <w:abstractNumId w:val="30"/>
  </w:num>
  <w:num w:numId="25">
    <w:abstractNumId w:val="0"/>
  </w:num>
  <w:num w:numId="26">
    <w:abstractNumId w:val="25"/>
  </w:num>
  <w:num w:numId="27">
    <w:abstractNumId w:val="16"/>
  </w:num>
  <w:num w:numId="28">
    <w:abstractNumId w:val="29"/>
  </w:num>
  <w:num w:numId="29">
    <w:abstractNumId w:val="35"/>
  </w:num>
  <w:num w:numId="30">
    <w:abstractNumId w:val="24"/>
  </w:num>
  <w:num w:numId="31">
    <w:abstractNumId w:val="43"/>
  </w:num>
  <w:num w:numId="32">
    <w:abstractNumId w:val="23"/>
  </w:num>
  <w:num w:numId="33">
    <w:abstractNumId w:val="7"/>
  </w:num>
  <w:num w:numId="34">
    <w:abstractNumId w:val="28"/>
  </w:num>
  <w:num w:numId="35">
    <w:abstractNumId w:val="9"/>
  </w:num>
  <w:num w:numId="36">
    <w:abstractNumId w:val="36"/>
  </w:num>
  <w:num w:numId="37">
    <w:abstractNumId w:val="40"/>
  </w:num>
  <w:num w:numId="38">
    <w:abstractNumId w:val="20"/>
  </w:num>
  <w:num w:numId="39">
    <w:abstractNumId w:val="39"/>
  </w:num>
  <w:num w:numId="40">
    <w:abstractNumId w:val="14"/>
  </w:num>
  <w:num w:numId="41">
    <w:abstractNumId w:val="18"/>
  </w:num>
  <w:num w:numId="42">
    <w:abstractNumId w:val="1"/>
  </w:num>
  <w:num w:numId="43">
    <w:abstractNumId w:val="21"/>
  </w:num>
  <w:num w:numId="44">
    <w:abstractNumId w:val="5"/>
  </w:num>
  <w:num w:numId="45">
    <w:abstractNumId w:val="31"/>
  </w:num>
  <w:num w:numId="46">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2E48"/>
    <w:rsid w:val="000003F8"/>
    <w:rsid w:val="000069F0"/>
    <w:rsid w:val="00007465"/>
    <w:rsid w:val="000076FA"/>
    <w:rsid w:val="00007B24"/>
    <w:rsid w:val="00010007"/>
    <w:rsid w:val="00010D63"/>
    <w:rsid w:val="0001258A"/>
    <w:rsid w:val="000146D9"/>
    <w:rsid w:val="00017A7E"/>
    <w:rsid w:val="00017C75"/>
    <w:rsid w:val="000223C7"/>
    <w:rsid w:val="00025276"/>
    <w:rsid w:val="0002596F"/>
    <w:rsid w:val="0003099A"/>
    <w:rsid w:val="00030F08"/>
    <w:rsid w:val="0003299F"/>
    <w:rsid w:val="000332E3"/>
    <w:rsid w:val="000334DF"/>
    <w:rsid w:val="000348F5"/>
    <w:rsid w:val="00035A45"/>
    <w:rsid w:val="0004073A"/>
    <w:rsid w:val="000419E3"/>
    <w:rsid w:val="000462A6"/>
    <w:rsid w:val="00046951"/>
    <w:rsid w:val="00047B78"/>
    <w:rsid w:val="00050ABB"/>
    <w:rsid w:val="00053BE9"/>
    <w:rsid w:val="000553B6"/>
    <w:rsid w:val="000632B9"/>
    <w:rsid w:val="0006339B"/>
    <w:rsid w:val="00063767"/>
    <w:rsid w:val="0006476C"/>
    <w:rsid w:val="00064790"/>
    <w:rsid w:val="0006522A"/>
    <w:rsid w:val="000742C2"/>
    <w:rsid w:val="00077E8D"/>
    <w:rsid w:val="00082012"/>
    <w:rsid w:val="000906EB"/>
    <w:rsid w:val="00090F57"/>
    <w:rsid w:val="000918F8"/>
    <w:rsid w:val="00096A42"/>
    <w:rsid w:val="000A0885"/>
    <w:rsid w:val="000A1313"/>
    <w:rsid w:val="000A4E11"/>
    <w:rsid w:val="000B0EB6"/>
    <w:rsid w:val="000B33BA"/>
    <w:rsid w:val="000B3937"/>
    <w:rsid w:val="000B760F"/>
    <w:rsid w:val="000C2C03"/>
    <w:rsid w:val="000C483F"/>
    <w:rsid w:val="000D3CA2"/>
    <w:rsid w:val="000D50EE"/>
    <w:rsid w:val="000D5A67"/>
    <w:rsid w:val="000E0D64"/>
    <w:rsid w:val="000E1527"/>
    <w:rsid w:val="000E3427"/>
    <w:rsid w:val="000E39D7"/>
    <w:rsid w:val="000E5094"/>
    <w:rsid w:val="000E5835"/>
    <w:rsid w:val="000E730B"/>
    <w:rsid w:val="000F2703"/>
    <w:rsid w:val="000F53EC"/>
    <w:rsid w:val="000F5BEF"/>
    <w:rsid w:val="0010156D"/>
    <w:rsid w:val="00102633"/>
    <w:rsid w:val="0010558E"/>
    <w:rsid w:val="001145D5"/>
    <w:rsid w:val="0012140D"/>
    <w:rsid w:val="00121D7B"/>
    <w:rsid w:val="00123803"/>
    <w:rsid w:val="00132B05"/>
    <w:rsid w:val="00136745"/>
    <w:rsid w:val="00136AB3"/>
    <w:rsid w:val="0014617C"/>
    <w:rsid w:val="0014766F"/>
    <w:rsid w:val="001476A7"/>
    <w:rsid w:val="00150A40"/>
    <w:rsid w:val="00151925"/>
    <w:rsid w:val="001552B4"/>
    <w:rsid w:val="00155955"/>
    <w:rsid w:val="00155A9E"/>
    <w:rsid w:val="001573EA"/>
    <w:rsid w:val="00160D23"/>
    <w:rsid w:val="00164096"/>
    <w:rsid w:val="001668CB"/>
    <w:rsid w:val="0017026E"/>
    <w:rsid w:val="00172F12"/>
    <w:rsid w:val="0017607D"/>
    <w:rsid w:val="001815F9"/>
    <w:rsid w:val="00182106"/>
    <w:rsid w:val="00183C61"/>
    <w:rsid w:val="00186A6A"/>
    <w:rsid w:val="001878B9"/>
    <w:rsid w:val="00192E0A"/>
    <w:rsid w:val="00196096"/>
    <w:rsid w:val="00196A7B"/>
    <w:rsid w:val="001A3039"/>
    <w:rsid w:val="001A3252"/>
    <w:rsid w:val="001A4958"/>
    <w:rsid w:val="001B345C"/>
    <w:rsid w:val="001B3C68"/>
    <w:rsid w:val="001B529E"/>
    <w:rsid w:val="001C127C"/>
    <w:rsid w:val="001C1C8B"/>
    <w:rsid w:val="001C46F5"/>
    <w:rsid w:val="001C4D2D"/>
    <w:rsid w:val="001C50C7"/>
    <w:rsid w:val="001D4403"/>
    <w:rsid w:val="001D463A"/>
    <w:rsid w:val="001D5988"/>
    <w:rsid w:val="001D69B0"/>
    <w:rsid w:val="001E0147"/>
    <w:rsid w:val="001E0552"/>
    <w:rsid w:val="001E1E01"/>
    <w:rsid w:val="001E230B"/>
    <w:rsid w:val="001E5364"/>
    <w:rsid w:val="001E5439"/>
    <w:rsid w:val="001E6307"/>
    <w:rsid w:val="001E65E0"/>
    <w:rsid w:val="001E7334"/>
    <w:rsid w:val="001F6917"/>
    <w:rsid w:val="001F77B5"/>
    <w:rsid w:val="002029EA"/>
    <w:rsid w:val="00202E39"/>
    <w:rsid w:val="00210787"/>
    <w:rsid w:val="0021137F"/>
    <w:rsid w:val="00212F8E"/>
    <w:rsid w:val="00214203"/>
    <w:rsid w:val="00214557"/>
    <w:rsid w:val="0021459A"/>
    <w:rsid w:val="00221EAC"/>
    <w:rsid w:val="00223936"/>
    <w:rsid w:val="00223AD1"/>
    <w:rsid w:val="0022464A"/>
    <w:rsid w:val="0022589D"/>
    <w:rsid w:val="00227900"/>
    <w:rsid w:val="00230726"/>
    <w:rsid w:val="0023333C"/>
    <w:rsid w:val="0024147C"/>
    <w:rsid w:val="002422AA"/>
    <w:rsid w:val="00244926"/>
    <w:rsid w:val="00246DAE"/>
    <w:rsid w:val="0024791C"/>
    <w:rsid w:val="00251F5C"/>
    <w:rsid w:val="002527EC"/>
    <w:rsid w:val="00252EA6"/>
    <w:rsid w:val="00254DF6"/>
    <w:rsid w:val="002564EA"/>
    <w:rsid w:val="00261715"/>
    <w:rsid w:val="00270278"/>
    <w:rsid w:val="00270D22"/>
    <w:rsid w:val="00276218"/>
    <w:rsid w:val="002817B5"/>
    <w:rsid w:val="002863B1"/>
    <w:rsid w:val="00287DA6"/>
    <w:rsid w:val="00290D2E"/>
    <w:rsid w:val="00296869"/>
    <w:rsid w:val="002A00FF"/>
    <w:rsid w:val="002A3EEA"/>
    <w:rsid w:val="002B0BE3"/>
    <w:rsid w:val="002B20EF"/>
    <w:rsid w:val="002B37C3"/>
    <w:rsid w:val="002B495C"/>
    <w:rsid w:val="002B682C"/>
    <w:rsid w:val="002C2A16"/>
    <w:rsid w:val="002D020E"/>
    <w:rsid w:val="002D1230"/>
    <w:rsid w:val="002D2ED6"/>
    <w:rsid w:val="002D34F6"/>
    <w:rsid w:val="002D4E4D"/>
    <w:rsid w:val="002D576E"/>
    <w:rsid w:val="002D68B8"/>
    <w:rsid w:val="002D7E8E"/>
    <w:rsid w:val="002E0561"/>
    <w:rsid w:val="002E3D71"/>
    <w:rsid w:val="002E7454"/>
    <w:rsid w:val="002F2A06"/>
    <w:rsid w:val="00302E0F"/>
    <w:rsid w:val="00304623"/>
    <w:rsid w:val="00306825"/>
    <w:rsid w:val="003129A6"/>
    <w:rsid w:val="00314B23"/>
    <w:rsid w:val="00316EDA"/>
    <w:rsid w:val="003214F9"/>
    <w:rsid w:val="00326E78"/>
    <w:rsid w:val="0033253A"/>
    <w:rsid w:val="00332939"/>
    <w:rsid w:val="00333516"/>
    <w:rsid w:val="003335CA"/>
    <w:rsid w:val="00335802"/>
    <w:rsid w:val="0033769A"/>
    <w:rsid w:val="00341419"/>
    <w:rsid w:val="0034220E"/>
    <w:rsid w:val="003425EB"/>
    <w:rsid w:val="0034404D"/>
    <w:rsid w:val="00344388"/>
    <w:rsid w:val="003457B4"/>
    <w:rsid w:val="00346967"/>
    <w:rsid w:val="00346B66"/>
    <w:rsid w:val="003508FD"/>
    <w:rsid w:val="00352C57"/>
    <w:rsid w:val="00353DEE"/>
    <w:rsid w:val="0035426E"/>
    <w:rsid w:val="00354DC0"/>
    <w:rsid w:val="00354E8D"/>
    <w:rsid w:val="00356257"/>
    <w:rsid w:val="003563D5"/>
    <w:rsid w:val="00360672"/>
    <w:rsid w:val="00361EC4"/>
    <w:rsid w:val="00362AEB"/>
    <w:rsid w:val="00365FAB"/>
    <w:rsid w:val="00366574"/>
    <w:rsid w:val="003669C7"/>
    <w:rsid w:val="00366A4D"/>
    <w:rsid w:val="003673CC"/>
    <w:rsid w:val="00372861"/>
    <w:rsid w:val="00374271"/>
    <w:rsid w:val="00375921"/>
    <w:rsid w:val="00375D94"/>
    <w:rsid w:val="00381D1C"/>
    <w:rsid w:val="00384FF5"/>
    <w:rsid w:val="00386EF6"/>
    <w:rsid w:val="00387ADC"/>
    <w:rsid w:val="00387B6F"/>
    <w:rsid w:val="003907A9"/>
    <w:rsid w:val="00390BED"/>
    <w:rsid w:val="003914DC"/>
    <w:rsid w:val="00397CA0"/>
    <w:rsid w:val="003A158A"/>
    <w:rsid w:val="003A29E8"/>
    <w:rsid w:val="003A38C3"/>
    <w:rsid w:val="003A42DF"/>
    <w:rsid w:val="003A5616"/>
    <w:rsid w:val="003A5E1B"/>
    <w:rsid w:val="003A677D"/>
    <w:rsid w:val="003B21E0"/>
    <w:rsid w:val="003B330E"/>
    <w:rsid w:val="003B49DA"/>
    <w:rsid w:val="003B4BF9"/>
    <w:rsid w:val="003C2BE6"/>
    <w:rsid w:val="003C3AA4"/>
    <w:rsid w:val="003C4778"/>
    <w:rsid w:val="003C7472"/>
    <w:rsid w:val="003D4662"/>
    <w:rsid w:val="003D591D"/>
    <w:rsid w:val="003E0A92"/>
    <w:rsid w:val="003E0CF4"/>
    <w:rsid w:val="003E214E"/>
    <w:rsid w:val="003E4E02"/>
    <w:rsid w:val="003E5449"/>
    <w:rsid w:val="003E5B7F"/>
    <w:rsid w:val="003E5CF6"/>
    <w:rsid w:val="003E6611"/>
    <w:rsid w:val="003E71AB"/>
    <w:rsid w:val="003E74DD"/>
    <w:rsid w:val="003F27CF"/>
    <w:rsid w:val="003F32C9"/>
    <w:rsid w:val="00402A2A"/>
    <w:rsid w:val="00402C4D"/>
    <w:rsid w:val="00404BFE"/>
    <w:rsid w:val="00405155"/>
    <w:rsid w:val="00406F48"/>
    <w:rsid w:val="0041069D"/>
    <w:rsid w:val="00412FF2"/>
    <w:rsid w:val="004173B0"/>
    <w:rsid w:val="00421805"/>
    <w:rsid w:val="0042438C"/>
    <w:rsid w:val="00425E58"/>
    <w:rsid w:val="00426833"/>
    <w:rsid w:val="00434AB0"/>
    <w:rsid w:val="004366BC"/>
    <w:rsid w:val="00437741"/>
    <w:rsid w:val="004417F7"/>
    <w:rsid w:val="00441D9A"/>
    <w:rsid w:val="00445D1E"/>
    <w:rsid w:val="00446ED3"/>
    <w:rsid w:val="00447271"/>
    <w:rsid w:val="00451F07"/>
    <w:rsid w:val="00453FEA"/>
    <w:rsid w:val="004560E4"/>
    <w:rsid w:val="00463E52"/>
    <w:rsid w:val="00464562"/>
    <w:rsid w:val="004740D7"/>
    <w:rsid w:val="00475334"/>
    <w:rsid w:val="0047574A"/>
    <w:rsid w:val="00475A8F"/>
    <w:rsid w:val="00476E9E"/>
    <w:rsid w:val="00477B38"/>
    <w:rsid w:val="0048081B"/>
    <w:rsid w:val="00480CA0"/>
    <w:rsid w:val="004826FF"/>
    <w:rsid w:val="0048330E"/>
    <w:rsid w:val="00483B59"/>
    <w:rsid w:val="00485932"/>
    <w:rsid w:val="00485AB1"/>
    <w:rsid w:val="00485FCE"/>
    <w:rsid w:val="00487427"/>
    <w:rsid w:val="00491658"/>
    <w:rsid w:val="00492CEA"/>
    <w:rsid w:val="00496863"/>
    <w:rsid w:val="004A0679"/>
    <w:rsid w:val="004A1B61"/>
    <w:rsid w:val="004A5836"/>
    <w:rsid w:val="004A60D5"/>
    <w:rsid w:val="004A78A6"/>
    <w:rsid w:val="004A7AFE"/>
    <w:rsid w:val="004C0FEF"/>
    <w:rsid w:val="004C108E"/>
    <w:rsid w:val="004C43E4"/>
    <w:rsid w:val="004D044A"/>
    <w:rsid w:val="004D0AA2"/>
    <w:rsid w:val="004D1578"/>
    <w:rsid w:val="004D2296"/>
    <w:rsid w:val="004D3027"/>
    <w:rsid w:val="004D3181"/>
    <w:rsid w:val="004D336E"/>
    <w:rsid w:val="004D34F9"/>
    <w:rsid w:val="004D50EB"/>
    <w:rsid w:val="004D6C66"/>
    <w:rsid w:val="004E0557"/>
    <w:rsid w:val="004E43A3"/>
    <w:rsid w:val="004E5D5C"/>
    <w:rsid w:val="004E6C22"/>
    <w:rsid w:val="004F37AD"/>
    <w:rsid w:val="004F425D"/>
    <w:rsid w:val="004F46E8"/>
    <w:rsid w:val="004F517B"/>
    <w:rsid w:val="004F5E56"/>
    <w:rsid w:val="004F7042"/>
    <w:rsid w:val="004F7B30"/>
    <w:rsid w:val="00501DC3"/>
    <w:rsid w:val="00506A8D"/>
    <w:rsid w:val="0051190D"/>
    <w:rsid w:val="00513EB3"/>
    <w:rsid w:val="00515C26"/>
    <w:rsid w:val="00522203"/>
    <w:rsid w:val="00522E94"/>
    <w:rsid w:val="0052360F"/>
    <w:rsid w:val="00525626"/>
    <w:rsid w:val="00525D9E"/>
    <w:rsid w:val="00534C42"/>
    <w:rsid w:val="00535C8E"/>
    <w:rsid w:val="00536C07"/>
    <w:rsid w:val="0053727B"/>
    <w:rsid w:val="005416FE"/>
    <w:rsid w:val="005427EA"/>
    <w:rsid w:val="0054491B"/>
    <w:rsid w:val="00546D51"/>
    <w:rsid w:val="00550833"/>
    <w:rsid w:val="005619EC"/>
    <w:rsid w:val="00565109"/>
    <w:rsid w:val="0056534C"/>
    <w:rsid w:val="005764AF"/>
    <w:rsid w:val="00581C53"/>
    <w:rsid w:val="00581E57"/>
    <w:rsid w:val="00586882"/>
    <w:rsid w:val="005951D9"/>
    <w:rsid w:val="0059541F"/>
    <w:rsid w:val="00597FC3"/>
    <w:rsid w:val="005A09D7"/>
    <w:rsid w:val="005A19D8"/>
    <w:rsid w:val="005A1B6F"/>
    <w:rsid w:val="005A3381"/>
    <w:rsid w:val="005A6EAB"/>
    <w:rsid w:val="005A7A5E"/>
    <w:rsid w:val="005B3D27"/>
    <w:rsid w:val="005B3D37"/>
    <w:rsid w:val="005C317E"/>
    <w:rsid w:val="005C358D"/>
    <w:rsid w:val="005C43BE"/>
    <w:rsid w:val="005C4F27"/>
    <w:rsid w:val="005C5DA8"/>
    <w:rsid w:val="005C6B87"/>
    <w:rsid w:val="005D1D0C"/>
    <w:rsid w:val="005D25C1"/>
    <w:rsid w:val="005D288A"/>
    <w:rsid w:val="005D3FF1"/>
    <w:rsid w:val="005D54BB"/>
    <w:rsid w:val="005D7C1C"/>
    <w:rsid w:val="005E2981"/>
    <w:rsid w:val="005E74F3"/>
    <w:rsid w:val="005F1F48"/>
    <w:rsid w:val="005F75E4"/>
    <w:rsid w:val="005F7EBB"/>
    <w:rsid w:val="006018E0"/>
    <w:rsid w:val="00602DA2"/>
    <w:rsid w:val="006049C0"/>
    <w:rsid w:val="00604C9F"/>
    <w:rsid w:val="00607554"/>
    <w:rsid w:val="0061109B"/>
    <w:rsid w:val="00612F97"/>
    <w:rsid w:val="00613F47"/>
    <w:rsid w:val="00616535"/>
    <w:rsid w:val="00616702"/>
    <w:rsid w:val="0061699F"/>
    <w:rsid w:val="00617F69"/>
    <w:rsid w:val="006216FC"/>
    <w:rsid w:val="006276C1"/>
    <w:rsid w:val="00631591"/>
    <w:rsid w:val="00634317"/>
    <w:rsid w:val="00637CE7"/>
    <w:rsid w:val="006401AF"/>
    <w:rsid w:val="00642070"/>
    <w:rsid w:val="00644763"/>
    <w:rsid w:val="00644DE4"/>
    <w:rsid w:val="00647332"/>
    <w:rsid w:val="006533B6"/>
    <w:rsid w:val="006539A9"/>
    <w:rsid w:val="00654C95"/>
    <w:rsid w:val="00662492"/>
    <w:rsid w:val="006653C1"/>
    <w:rsid w:val="0066786E"/>
    <w:rsid w:val="00677171"/>
    <w:rsid w:val="0068132B"/>
    <w:rsid w:val="0068160A"/>
    <w:rsid w:val="00684B13"/>
    <w:rsid w:val="0069319A"/>
    <w:rsid w:val="0069380E"/>
    <w:rsid w:val="00694C49"/>
    <w:rsid w:val="006A3527"/>
    <w:rsid w:val="006A7A8F"/>
    <w:rsid w:val="006B1404"/>
    <w:rsid w:val="006B16EF"/>
    <w:rsid w:val="006B49ED"/>
    <w:rsid w:val="006B570F"/>
    <w:rsid w:val="006B77D1"/>
    <w:rsid w:val="006B7C01"/>
    <w:rsid w:val="006C5163"/>
    <w:rsid w:val="006C66B5"/>
    <w:rsid w:val="006C7A1D"/>
    <w:rsid w:val="006C7BBC"/>
    <w:rsid w:val="006D2152"/>
    <w:rsid w:val="006D2E9B"/>
    <w:rsid w:val="006D32B9"/>
    <w:rsid w:val="006D7EC2"/>
    <w:rsid w:val="006E0BDE"/>
    <w:rsid w:val="006E2CE6"/>
    <w:rsid w:val="006E3304"/>
    <w:rsid w:val="006E39EE"/>
    <w:rsid w:val="006E57AA"/>
    <w:rsid w:val="006F1205"/>
    <w:rsid w:val="006F2CC0"/>
    <w:rsid w:val="006F3026"/>
    <w:rsid w:val="006F3934"/>
    <w:rsid w:val="006F3C72"/>
    <w:rsid w:val="006F3CD0"/>
    <w:rsid w:val="006F3E6A"/>
    <w:rsid w:val="006F49C8"/>
    <w:rsid w:val="006F6E72"/>
    <w:rsid w:val="006F73C2"/>
    <w:rsid w:val="007013E5"/>
    <w:rsid w:val="00701798"/>
    <w:rsid w:val="00702FB6"/>
    <w:rsid w:val="007066F2"/>
    <w:rsid w:val="00706845"/>
    <w:rsid w:val="00710C0B"/>
    <w:rsid w:val="0071265B"/>
    <w:rsid w:val="0071353F"/>
    <w:rsid w:val="00715B3D"/>
    <w:rsid w:val="007161D7"/>
    <w:rsid w:val="007209D8"/>
    <w:rsid w:val="0072370D"/>
    <w:rsid w:val="0072496E"/>
    <w:rsid w:val="00727A73"/>
    <w:rsid w:val="00733303"/>
    <w:rsid w:val="00736B14"/>
    <w:rsid w:val="00736BCE"/>
    <w:rsid w:val="00737B15"/>
    <w:rsid w:val="0075677E"/>
    <w:rsid w:val="00757CCD"/>
    <w:rsid w:val="00760429"/>
    <w:rsid w:val="0076280D"/>
    <w:rsid w:val="007633AE"/>
    <w:rsid w:val="00770B9E"/>
    <w:rsid w:val="00771B87"/>
    <w:rsid w:val="00773325"/>
    <w:rsid w:val="00777EA5"/>
    <w:rsid w:val="00783517"/>
    <w:rsid w:val="007866CE"/>
    <w:rsid w:val="007923DF"/>
    <w:rsid w:val="00792401"/>
    <w:rsid w:val="00796AA4"/>
    <w:rsid w:val="0079736A"/>
    <w:rsid w:val="007973A2"/>
    <w:rsid w:val="007A09A4"/>
    <w:rsid w:val="007A0E40"/>
    <w:rsid w:val="007A2AB2"/>
    <w:rsid w:val="007A366A"/>
    <w:rsid w:val="007A46FD"/>
    <w:rsid w:val="007A526A"/>
    <w:rsid w:val="007B04FE"/>
    <w:rsid w:val="007B2325"/>
    <w:rsid w:val="007B4544"/>
    <w:rsid w:val="007B48CD"/>
    <w:rsid w:val="007B5E55"/>
    <w:rsid w:val="007C234D"/>
    <w:rsid w:val="007C3998"/>
    <w:rsid w:val="007C64A2"/>
    <w:rsid w:val="007C700C"/>
    <w:rsid w:val="007C7D75"/>
    <w:rsid w:val="007D256C"/>
    <w:rsid w:val="007D4891"/>
    <w:rsid w:val="007D4A39"/>
    <w:rsid w:val="007D56DC"/>
    <w:rsid w:val="007D7007"/>
    <w:rsid w:val="007E0DC6"/>
    <w:rsid w:val="007E5892"/>
    <w:rsid w:val="007E6B91"/>
    <w:rsid w:val="007F0D2A"/>
    <w:rsid w:val="007F472A"/>
    <w:rsid w:val="007F5FAD"/>
    <w:rsid w:val="00801159"/>
    <w:rsid w:val="008020D8"/>
    <w:rsid w:val="008028A6"/>
    <w:rsid w:val="00802B24"/>
    <w:rsid w:val="008105A0"/>
    <w:rsid w:val="00811013"/>
    <w:rsid w:val="0081144A"/>
    <w:rsid w:val="0081506A"/>
    <w:rsid w:val="00816C92"/>
    <w:rsid w:val="008221D3"/>
    <w:rsid w:val="00823BF4"/>
    <w:rsid w:val="008241DB"/>
    <w:rsid w:val="00824AAF"/>
    <w:rsid w:val="0082500E"/>
    <w:rsid w:val="0082706D"/>
    <w:rsid w:val="00837296"/>
    <w:rsid w:val="00840ABC"/>
    <w:rsid w:val="00843055"/>
    <w:rsid w:val="00854320"/>
    <w:rsid w:val="00855242"/>
    <w:rsid w:val="00860020"/>
    <w:rsid w:val="00870F8C"/>
    <w:rsid w:val="00872F52"/>
    <w:rsid w:val="00872FBD"/>
    <w:rsid w:val="0087400F"/>
    <w:rsid w:val="0088161B"/>
    <w:rsid w:val="00882B79"/>
    <w:rsid w:val="00883481"/>
    <w:rsid w:val="008844D7"/>
    <w:rsid w:val="00884C3B"/>
    <w:rsid w:val="00886381"/>
    <w:rsid w:val="00890863"/>
    <w:rsid w:val="008917A8"/>
    <w:rsid w:val="00893997"/>
    <w:rsid w:val="00895AC9"/>
    <w:rsid w:val="00895BB2"/>
    <w:rsid w:val="00895D58"/>
    <w:rsid w:val="008A1000"/>
    <w:rsid w:val="008A3A5D"/>
    <w:rsid w:val="008A4C4B"/>
    <w:rsid w:val="008A72F0"/>
    <w:rsid w:val="008B37DA"/>
    <w:rsid w:val="008B4478"/>
    <w:rsid w:val="008C3F72"/>
    <w:rsid w:val="008C54D6"/>
    <w:rsid w:val="008D1CDD"/>
    <w:rsid w:val="008D6673"/>
    <w:rsid w:val="008D7881"/>
    <w:rsid w:val="008E00AE"/>
    <w:rsid w:val="008E114A"/>
    <w:rsid w:val="008E1E19"/>
    <w:rsid w:val="008E239F"/>
    <w:rsid w:val="008E38F5"/>
    <w:rsid w:val="008E3EBD"/>
    <w:rsid w:val="008E7AC7"/>
    <w:rsid w:val="008F054C"/>
    <w:rsid w:val="008F5A88"/>
    <w:rsid w:val="008F6157"/>
    <w:rsid w:val="008F7AF2"/>
    <w:rsid w:val="00902357"/>
    <w:rsid w:val="00903D33"/>
    <w:rsid w:val="00905E9D"/>
    <w:rsid w:val="0090611E"/>
    <w:rsid w:val="0090754E"/>
    <w:rsid w:val="00907C28"/>
    <w:rsid w:val="00907CB3"/>
    <w:rsid w:val="00912C92"/>
    <w:rsid w:val="00917220"/>
    <w:rsid w:val="00920E5A"/>
    <w:rsid w:val="009217E9"/>
    <w:rsid w:val="0092792D"/>
    <w:rsid w:val="00927D2E"/>
    <w:rsid w:val="00931152"/>
    <w:rsid w:val="00931586"/>
    <w:rsid w:val="009318C7"/>
    <w:rsid w:val="00935332"/>
    <w:rsid w:val="0093636D"/>
    <w:rsid w:val="0093798A"/>
    <w:rsid w:val="0094171A"/>
    <w:rsid w:val="009420FE"/>
    <w:rsid w:val="00942153"/>
    <w:rsid w:val="0094299D"/>
    <w:rsid w:val="00943A70"/>
    <w:rsid w:val="00944B9B"/>
    <w:rsid w:val="009455F0"/>
    <w:rsid w:val="00952D44"/>
    <w:rsid w:val="00952E41"/>
    <w:rsid w:val="00953226"/>
    <w:rsid w:val="0095349F"/>
    <w:rsid w:val="00961F7C"/>
    <w:rsid w:val="00963172"/>
    <w:rsid w:val="0096766F"/>
    <w:rsid w:val="009701D0"/>
    <w:rsid w:val="00972082"/>
    <w:rsid w:val="0097487B"/>
    <w:rsid w:val="00976FD2"/>
    <w:rsid w:val="0098046F"/>
    <w:rsid w:val="009828EE"/>
    <w:rsid w:val="009866CC"/>
    <w:rsid w:val="00990878"/>
    <w:rsid w:val="009917B6"/>
    <w:rsid w:val="009917EB"/>
    <w:rsid w:val="00992E0A"/>
    <w:rsid w:val="00994927"/>
    <w:rsid w:val="00995DB7"/>
    <w:rsid w:val="009968AC"/>
    <w:rsid w:val="009A09B2"/>
    <w:rsid w:val="009A2278"/>
    <w:rsid w:val="009A2EEF"/>
    <w:rsid w:val="009A47B9"/>
    <w:rsid w:val="009B018B"/>
    <w:rsid w:val="009B688F"/>
    <w:rsid w:val="009C30AE"/>
    <w:rsid w:val="009C3D9D"/>
    <w:rsid w:val="009C3FCB"/>
    <w:rsid w:val="009C4431"/>
    <w:rsid w:val="009C5344"/>
    <w:rsid w:val="009C609D"/>
    <w:rsid w:val="009C635B"/>
    <w:rsid w:val="009D0842"/>
    <w:rsid w:val="009D17EB"/>
    <w:rsid w:val="009D6282"/>
    <w:rsid w:val="009E110E"/>
    <w:rsid w:val="009E7BD4"/>
    <w:rsid w:val="009F0ED4"/>
    <w:rsid w:val="009F2474"/>
    <w:rsid w:val="009F2D5D"/>
    <w:rsid w:val="009F382B"/>
    <w:rsid w:val="009F48B0"/>
    <w:rsid w:val="009F7597"/>
    <w:rsid w:val="00A012EC"/>
    <w:rsid w:val="00A01460"/>
    <w:rsid w:val="00A0203F"/>
    <w:rsid w:val="00A0219E"/>
    <w:rsid w:val="00A0322F"/>
    <w:rsid w:val="00A05C3C"/>
    <w:rsid w:val="00A06C18"/>
    <w:rsid w:val="00A06EC3"/>
    <w:rsid w:val="00A0718C"/>
    <w:rsid w:val="00A10097"/>
    <w:rsid w:val="00A1025C"/>
    <w:rsid w:val="00A106D8"/>
    <w:rsid w:val="00A10DD9"/>
    <w:rsid w:val="00A1111A"/>
    <w:rsid w:val="00A1240A"/>
    <w:rsid w:val="00A15178"/>
    <w:rsid w:val="00A1572C"/>
    <w:rsid w:val="00A16C45"/>
    <w:rsid w:val="00A16C6E"/>
    <w:rsid w:val="00A20D22"/>
    <w:rsid w:val="00A21263"/>
    <w:rsid w:val="00A32942"/>
    <w:rsid w:val="00A33D7D"/>
    <w:rsid w:val="00A3656F"/>
    <w:rsid w:val="00A37D42"/>
    <w:rsid w:val="00A40F3C"/>
    <w:rsid w:val="00A41878"/>
    <w:rsid w:val="00A46287"/>
    <w:rsid w:val="00A52312"/>
    <w:rsid w:val="00A55D37"/>
    <w:rsid w:val="00A56A85"/>
    <w:rsid w:val="00A60B3B"/>
    <w:rsid w:val="00A65008"/>
    <w:rsid w:val="00A672AB"/>
    <w:rsid w:val="00A73E26"/>
    <w:rsid w:val="00A73F41"/>
    <w:rsid w:val="00A77CE5"/>
    <w:rsid w:val="00A80AD2"/>
    <w:rsid w:val="00A80FA5"/>
    <w:rsid w:val="00A82795"/>
    <w:rsid w:val="00A8513D"/>
    <w:rsid w:val="00A852D0"/>
    <w:rsid w:val="00A879CF"/>
    <w:rsid w:val="00A928E0"/>
    <w:rsid w:val="00A9409E"/>
    <w:rsid w:val="00A96793"/>
    <w:rsid w:val="00AA0D44"/>
    <w:rsid w:val="00AA3602"/>
    <w:rsid w:val="00AA657F"/>
    <w:rsid w:val="00AA7907"/>
    <w:rsid w:val="00AA7F85"/>
    <w:rsid w:val="00AB0118"/>
    <w:rsid w:val="00AB12A2"/>
    <w:rsid w:val="00AB1A75"/>
    <w:rsid w:val="00AB7BA9"/>
    <w:rsid w:val="00AC027B"/>
    <w:rsid w:val="00AC0C61"/>
    <w:rsid w:val="00AC1E9E"/>
    <w:rsid w:val="00AC21AD"/>
    <w:rsid w:val="00AC40D9"/>
    <w:rsid w:val="00AD0A69"/>
    <w:rsid w:val="00AD0CD8"/>
    <w:rsid w:val="00AD226E"/>
    <w:rsid w:val="00AD7D70"/>
    <w:rsid w:val="00AE1A40"/>
    <w:rsid w:val="00AE21F8"/>
    <w:rsid w:val="00AE4088"/>
    <w:rsid w:val="00AE45B9"/>
    <w:rsid w:val="00AE4EC9"/>
    <w:rsid w:val="00AF0632"/>
    <w:rsid w:val="00AF44D7"/>
    <w:rsid w:val="00AF71A6"/>
    <w:rsid w:val="00B01C02"/>
    <w:rsid w:val="00B03C95"/>
    <w:rsid w:val="00B04275"/>
    <w:rsid w:val="00B0545B"/>
    <w:rsid w:val="00B0739F"/>
    <w:rsid w:val="00B16B02"/>
    <w:rsid w:val="00B2033F"/>
    <w:rsid w:val="00B20756"/>
    <w:rsid w:val="00B26553"/>
    <w:rsid w:val="00B266E0"/>
    <w:rsid w:val="00B272DC"/>
    <w:rsid w:val="00B276EF"/>
    <w:rsid w:val="00B3118C"/>
    <w:rsid w:val="00B322EF"/>
    <w:rsid w:val="00B36D88"/>
    <w:rsid w:val="00B37666"/>
    <w:rsid w:val="00B436BF"/>
    <w:rsid w:val="00B43F90"/>
    <w:rsid w:val="00B44328"/>
    <w:rsid w:val="00B474A7"/>
    <w:rsid w:val="00B54FC1"/>
    <w:rsid w:val="00B5508E"/>
    <w:rsid w:val="00B568F1"/>
    <w:rsid w:val="00B56DDF"/>
    <w:rsid w:val="00B57E7C"/>
    <w:rsid w:val="00B61F0C"/>
    <w:rsid w:val="00B63ADF"/>
    <w:rsid w:val="00B66075"/>
    <w:rsid w:val="00B72C7F"/>
    <w:rsid w:val="00B73202"/>
    <w:rsid w:val="00B7470C"/>
    <w:rsid w:val="00B82F5C"/>
    <w:rsid w:val="00B83346"/>
    <w:rsid w:val="00B849DA"/>
    <w:rsid w:val="00B85644"/>
    <w:rsid w:val="00B85C23"/>
    <w:rsid w:val="00B950EE"/>
    <w:rsid w:val="00B956DC"/>
    <w:rsid w:val="00B958D5"/>
    <w:rsid w:val="00BA177D"/>
    <w:rsid w:val="00BA272B"/>
    <w:rsid w:val="00BA5598"/>
    <w:rsid w:val="00BA62EC"/>
    <w:rsid w:val="00BB3021"/>
    <w:rsid w:val="00BB37EF"/>
    <w:rsid w:val="00BB5919"/>
    <w:rsid w:val="00BC2065"/>
    <w:rsid w:val="00BC29C9"/>
    <w:rsid w:val="00BC4354"/>
    <w:rsid w:val="00BC5AF5"/>
    <w:rsid w:val="00BC722F"/>
    <w:rsid w:val="00BD5EA6"/>
    <w:rsid w:val="00BE19BA"/>
    <w:rsid w:val="00BE20C5"/>
    <w:rsid w:val="00BE4642"/>
    <w:rsid w:val="00BF11B7"/>
    <w:rsid w:val="00BF4F21"/>
    <w:rsid w:val="00BF55A8"/>
    <w:rsid w:val="00C00109"/>
    <w:rsid w:val="00C01026"/>
    <w:rsid w:val="00C05ADA"/>
    <w:rsid w:val="00C11797"/>
    <w:rsid w:val="00C16333"/>
    <w:rsid w:val="00C174F9"/>
    <w:rsid w:val="00C21D18"/>
    <w:rsid w:val="00C2233F"/>
    <w:rsid w:val="00C22A20"/>
    <w:rsid w:val="00C25870"/>
    <w:rsid w:val="00C2755C"/>
    <w:rsid w:val="00C27583"/>
    <w:rsid w:val="00C27FAD"/>
    <w:rsid w:val="00C30A52"/>
    <w:rsid w:val="00C40368"/>
    <w:rsid w:val="00C41C22"/>
    <w:rsid w:val="00C470BA"/>
    <w:rsid w:val="00C50690"/>
    <w:rsid w:val="00C51879"/>
    <w:rsid w:val="00C521E2"/>
    <w:rsid w:val="00C53D6D"/>
    <w:rsid w:val="00C5432E"/>
    <w:rsid w:val="00C57588"/>
    <w:rsid w:val="00C6267D"/>
    <w:rsid w:val="00C63818"/>
    <w:rsid w:val="00C64E83"/>
    <w:rsid w:val="00C64FE4"/>
    <w:rsid w:val="00C6583D"/>
    <w:rsid w:val="00C66982"/>
    <w:rsid w:val="00C70E1D"/>
    <w:rsid w:val="00C70E61"/>
    <w:rsid w:val="00C71B31"/>
    <w:rsid w:val="00C72568"/>
    <w:rsid w:val="00C76492"/>
    <w:rsid w:val="00C76AF6"/>
    <w:rsid w:val="00C835EF"/>
    <w:rsid w:val="00C911EA"/>
    <w:rsid w:val="00C95A9A"/>
    <w:rsid w:val="00C97460"/>
    <w:rsid w:val="00C9768F"/>
    <w:rsid w:val="00CA2FAE"/>
    <w:rsid w:val="00CA49E5"/>
    <w:rsid w:val="00CA4E36"/>
    <w:rsid w:val="00CA5981"/>
    <w:rsid w:val="00CB0B01"/>
    <w:rsid w:val="00CC0163"/>
    <w:rsid w:val="00CC1F8E"/>
    <w:rsid w:val="00CC5D2C"/>
    <w:rsid w:val="00CD08D7"/>
    <w:rsid w:val="00CD2A02"/>
    <w:rsid w:val="00CD2EB1"/>
    <w:rsid w:val="00CD3FCA"/>
    <w:rsid w:val="00CD52B9"/>
    <w:rsid w:val="00CD5605"/>
    <w:rsid w:val="00CD70BD"/>
    <w:rsid w:val="00CE0156"/>
    <w:rsid w:val="00CE01E5"/>
    <w:rsid w:val="00CE2EEE"/>
    <w:rsid w:val="00CE35C2"/>
    <w:rsid w:val="00CE4494"/>
    <w:rsid w:val="00CE65F0"/>
    <w:rsid w:val="00CE797C"/>
    <w:rsid w:val="00CF21FD"/>
    <w:rsid w:val="00CF284C"/>
    <w:rsid w:val="00CF36F4"/>
    <w:rsid w:val="00CF3DDC"/>
    <w:rsid w:val="00CF5C41"/>
    <w:rsid w:val="00CF7D0D"/>
    <w:rsid w:val="00D01B81"/>
    <w:rsid w:val="00D021EA"/>
    <w:rsid w:val="00D02528"/>
    <w:rsid w:val="00D02E3B"/>
    <w:rsid w:val="00D02E48"/>
    <w:rsid w:val="00D0366F"/>
    <w:rsid w:val="00D06F7B"/>
    <w:rsid w:val="00D1078D"/>
    <w:rsid w:val="00D111BE"/>
    <w:rsid w:val="00D1182E"/>
    <w:rsid w:val="00D1311B"/>
    <w:rsid w:val="00D1409A"/>
    <w:rsid w:val="00D14C12"/>
    <w:rsid w:val="00D16F67"/>
    <w:rsid w:val="00D20608"/>
    <w:rsid w:val="00D20BF2"/>
    <w:rsid w:val="00D228FC"/>
    <w:rsid w:val="00D23025"/>
    <w:rsid w:val="00D23DC5"/>
    <w:rsid w:val="00D2532E"/>
    <w:rsid w:val="00D270D0"/>
    <w:rsid w:val="00D27C6E"/>
    <w:rsid w:val="00D3288C"/>
    <w:rsid w:val="00D337FC"/>
    <w:rsid w:val="00D33BD1"/>
    <w:rsid w:val="00D36F3E"/>
    <w:rsid w:val="00D372CB"/>
    <w:rsid w:val="00D449BA"/>
    <w:rsid w:val="00D47606"/>
    <w:rsid w:val="00D47A8D"/>
    <w:rsid w:val="00D50340"/>
    <w:rsid w:val="00D5213F"/>
    <w:rsid w:val="00D53891"/>
    <w:rsid w:val="00D561E3"/>
    <w:rsid w:val="00D624C0"/>
    <w:rsid w:val="00D65E23"/>
    <w:rsid w:val="00D66C93"/>
    <w:rsid w:val="00D720C7"/>
    <w:rsid w:val="00D8207A"/>
    <w:rsid w:val="00D83669"/>
    <w:rsid w:val="00D857FE"/>
    <w:rsid w:val="00D877EB"/>
    <w:rsid w:val="00D9469C"/>
    <w:rsid w:val="00D95BD3"/>
    <w:rsid w:val="00DA22C4"/>
    <w:rsid w:val="00DA45B7"/>
    <w:rsid w:val="00DA5352"/>
    <w:rsid w:val="00DB21B3"/>
    <w:rsid w:val="00DB469C"/>
    <w:rsid w:val="00DB5656"/>
    <w:rsid w:val="00DC2868"/>
    <w:rsid w:val="00DC41FD"/>
    <w:rsid w:val="00DC4605"/>
    <w:rsid w:val="00DC5D6C"/>
    <w:rsid w:val="00DD0AC2"/>
    <w:rsid w:val="00DD232F"/>
    <w:rsid w:val="00DD3D9F"/>
    <w:rsid w:val="00DD6E5B"/>
    <w:rsid w:val="00DE0FD8"/>
    <w:rsid w:val="00DE0FED"/>
    <w:rsid w:val="00DE22C7"/>
    <w:rsid w:val="00DE2FE6"/>
    <w:rsid w:val="00DE3BF0"/>
    <w:rsid w:val="00DE62BB"/>
    <w:rsid w:val="00DF175A"/>
    <w:rsid w:val="00DF2DB2"/>
    <w:rsid w:val="00DF399E"/>
    <w:rsid w:val="00E00200"/>
    <w:rsid w:val="00E01C1A"/>
    <w:rsid w:val="00E03033"/>
    <w:rsid w:val="00E05C2F"/>
    <w:rsid w:val="00E077BF"/>
    <w:rsid w:val="00E11147"/>
    <w:rsid w:val="00E17486"/>
    <w:rsid w:val="00E17DF7"/>
    <w:rsid w:val="00E24013"/>
    <w:rsid w:val="00E24221"/>
    <w:rsid w:val="00E25912"/>
    <w:rsid w:val="00E269C1"/>
    <w:rsid w:val="00E2757D"/>
    <w:rsid w:val="00E27E72"/>
    <w:rsid w:val="00E3254A"/>
    <w:rsid w:val="00E36774"/>
    <w:rsid w:val="00E43281"/>
    <w:rsid w:val="00E438B0"/>
    <w:rsid w:val="00E44B9C"/>
    <w:rsid w:val="00E455C5"/>
    <w:rsid w:val="00E458B9"/>
    <w:rsid w:val="00E60D5C"/>
    <w:rsid w:val="00E63744"/>
    <w:rsid w:val="00E65242"/>
    <w:rsid w:val="00E669E6"/>
    <w:rsid w:val="00E71EB0"/>
    <w:rsid w:val="00E74DC8"/>
    <w:rsid w:val="00E7770F"/>
    <w:rsid w:val="00E77EC7"/>
    <w:rsid w:val="00E80748"/>
    <w:rsid w:val="00E809E3"/>
    <w:rsid w:val="00E82A3C"/>
    <w:rsid w:val="00E831CD"/>
    <w:rsid w:val="00E84068"/>
    <w:rsid w:val="00E84D80"/>
    <w:rsid w:val="00E85916"/>
    <w:rsid w:val="00E90175"/>
    <w:rsid w:val="00E91592"/>
    <w:rsid w:val="00E95AE0"/>
    <w:rsid w:val="00E9729E"/>
    <w:rsid w:val="00EA092C"/>
    <w:rsid w:val="00EA0A2E"/>
    <w:rsid w:val="00EA1FC5"/>
    <w:rsid w:val="00EA5BF5"/>
    <w:rsid w:val="00EA61A2"/>
    <w:rsid w:val="00EB1D61"/>
    <w:rsid w:val="00EB2B70"/>
    <w:rsid w:val="00EB48B8"/>
    <w:rsid w:val="00EC1C39"/>
    <w:rsid w:val="00EC312D"/>
    <w:rsid w:val="00EC6245"/>
    <w:rsid w:val="00ED3AE6"/>
    <w:rsid w:val="00EE3069"/>
    <w:rsid w:val="00EE4A6B"/>
    <w:rsid w:val="00EE4A80"/>
    <w:rsid w:val="00EF1719"/>
    <w:rsid w:val="00EF1C6A"/>
    <w:rsid w:val="00EF3918"/>
    <w:rsid w:val="00EF4479"/>
    <w:rsid w:val="00EF4B9F"/>
    <w:rsid w:val="00EF4F37"/>
    <w:rsid w:val="00EF53FD"/>
    <w:rsid w:val="00F00442"/>
    <w:rsid w:val="00F01DEC"/>
    <w:rsid w:val="00F0382B"/>
    <w:rsid w:val="00F05BA3"/>
    <w:rsid w:val="00F06240"/>
    <w:rsid w:val="00F1113E"/>
    <w:rsid w:val="00F11B50"/>
    <w:rsid w:val="00F13CCE"/>
    <w:rsid w:val="00F1549B"/>
    <w:rsid w:val="00F213CD"/>
    <w:rsid w:val="00F22655"/>
    <w:rsid w:val="00F237EA"/>
    <w:rsid w:val="00F24FFC"/>
    <w:rsid w:val="00F25ADF"/>
    <w:rsid w:val="00F269BA"/>
    <w:rsid w:val="00F279AC"/>
    <w:rsid w:val="00F27F46"/>
    <w:rsid w:val="00F302F5"/>
    <w:rsid w:val="00F3334F"/>
    <w:rsid w:val="00F33E36"/>
    <w:rsid w:val="00F36AA1"/>
    <w:rsid w:val="00F36F38"/>
    <w:rsid w:val="00F37804"/>
    <w:rsid w:val="00F37E1A"/>
    <w:rsid w:val="00F410B8"/>
    <w:rsid w:val="00F41C2A"/>
    <w:rsid w:val="00F46286"/>
    <w:rsid w:val="00F46600"/>
    <w:rsid w:val="00F4679F"/>
    <w:rsid w:val="00F50882"/>
    <w:rsid w:val="00F50B59"/>
    <w:rsid w:val="00F5159B"/>
    <w:rsid w:val="00F52547"/>
    <w:rsid w:val="00F527F2"/>
    <w:rsid w:val="00F54BC9"/>
    <w:rsid w:val="00F55676"/>
    <w:rsid w:val="00F56CBF"/>
    <w:rsid w:val="00F6430C"/>
    <w:rsid w:val="00F668EB"/>
    <w:rsid w:val="00F67099"/>
    <w:rsid w:val="00F704FC"/>
    <w:rsid w:val="00F71898"/>
    <w:rsid w:val="00F71DE7"/>
    <w:rsid w:val="00F71E5F"/>
    <w:rsid w:val="00F7218B"/>
    <w:rsid w:val="00F72EDB"/>
    <w:rsid w:val="00F7331F"/>
    <w:rsid w:val="00F74552"/>
    <w:rsid w:val="00F76F8E"/>
    <w:rsid w:val="00F77095"/>
    <w:rsid w:val="00F94441"/>
    <w:rsid w:val="00F94EF8"/>
    <w:rsid w:val="00FA284D"/>
    <w:rsid w:val="00FA33D4"/>
    <w:rsid w:val="00FA6088"/>
    <w:rsid w:val="00FB1829"/>
    <w:rsid w:val="00FB4A1F"/>
    <w:rsid w:val="00FC3F0A"/>
    <w:rsid w:val="00FC49DE"/>
    <w:rsid w:val="00FC64DB"/>
    <w:rsid w:val="00FC6F4D"/>
    <w:rsid w:val="00FD1DD0"/>
    <w:rsid w:val="00FD427B"/>
    <w:rsid w:val="00FD5070"/>
    <w:rsid w:val="00FD552D"/>
    <w:rsid w:val="00FD7C3A"/>
    <w:rsid w:val="00FE15F4"/>
    <w:rsid w:val="00FE1755"/>
    <w:rsid w:val="00FE25D2"/>
    <w:rsid w:val="00FE54EE"/>
    <w:rsid w:val="00FE6542"/>
    <w:rsid w:val="00FE68F6"/>
    <w:rsid w:val="00FF0CE1"/>
    <w:rsid w:val="00FF2098"/>
    <w:rsid w:val="00FF3269"/>
    <w:rsid w:val="00FF3D51"/>
    <w:rsid w:val="00FF523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3F0B28AC"/>
  <w15:chartTrackingRefBased/>
  <w15:docId w15:val="{7EB036FD-2BFD-419B-BBF0-EAFECA2B6F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672AB"/>
  </w:style>
  <w:style w:type="paragraph" w:styleId="Heading1">
    <w:name w:val="heading 1"/>
    <w:basedOn w:val="Normal"/>
    <w:next w:val="Normal"/>
    <w:link w:val="Heading1Char"/>
    <w:uiPriority w:val="9"/>
    <w:qFormat/>
    <w:rsid w:val="00C40368"/>
    <w:pPr>
      <w:keepNext/>
      <w:keepLines/>
      <w:spacing w:before="240" w:after="0"/>
      <w:outlineLvl w:val="0"/>
    </w:pPr>
    <w:rPr>
      <w:rFonts w:asciiTheme="majorHAnsi" w:eastAsiaTheme="majorEastAsia" w:hAnsiTheme="majorHAnsi" w:cstheme="majorBidi"/>
      <w:color w:val="2E74B5" w:themeColor="accent1" w:themeShade="BF"/>
      <w:sz w:val="32"/>
      <w:szCs w:val="32"/>
      <w:lang w:val="en-US"/>
    </w:rPr>
  </w:style>
  <w:style w:type="paragraph" w:styleId="Heading2">
    <w:name w:val="heading 2"/>
    <w:basedOn w:val="Normal"/>
    <w:next w:val="Normal"/>
    <w:link w:val="Heading2Char"/>
    <w:uiPriority w:val="9"/>
    <w:unhideWhenUsed/>
    <w:qFormat/>
    <w:rsid w:val="00D857F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D857FE"/>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D857FE"/>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5E74F3"/>
    <w:pPr>
      <w:spacing w:before="100" w:beforeAutospacing="1" w:after="100" w:afterAutospacing="1" w:line="240" w:lineRule="auto"/>
    </w:pPr>
    <w:rPr>
      <w:rFonts w:ascii="Times New Roman" w:eastAsiaTheme="minorEastAsia" w:hAnsi="Times New Roman" w:cs="Times New Roman"/>
      <w:sz w:val="24"/>
      <w:szCs w:val="24"/>
      <w:lang w:eastAsia="bg-BG"/>
    </w:rPr>
  </w:style>
  <w:style w:type="table" w:styleId="TableGrid">
    <w:name w:val="Table Grid"/>
    <w:basedOn w:val="TableNormal"/>
    <w:uiPriority w:val="39"/>
    <w:rsid w:val="00B16B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16B0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6B02"/>
    <w:rPr>
      <w:rFonts w:ascii="Segoe UI" w:hAnsi="Segoe UI" w:cs="Segoe UI"/>
      <w:sz w:val="18"/>
      <w:szCs w:val="18"/>
    </w:rPr>
  </w:style>
  <w:style w:type="paragraph" w:styleId="Header">
    <w:name w:val="header"/>
    <w:basedOn w:val="Normal"/>
    <w:link w:val="HeaderChar"/>
    <w:uiPriority w:val="99"/>
    <w:unhideWhenUsed/>
    <w:rsid w:val="001B529E"/>
    <w:pPr>
      <w:tabs>
        <w:tab w:val="center" w:pos="4536"/>
        <w:tab w:val="right" w:pos="9072"/>
      </w:tabs>
      <w:spacing w:after="0" w:line="240" w:lineRule="auto"/>
    </w:pPr>
  </w:style>
  <w:style w:type="character" w:customStyle="1" w:styleId="HeaderChar">
    <w:name w:val="Header Char"/>
    <w:basedOn w:val="DefaultParagraphFont"/>
    <w:link w:val="Header"/>
    <w:uiPriority w:val="99"/>
    <w:rsid w:val="001B529E"/>
  </w:style>
  <w:style w:type="paragraph" w:styleId="Footer">
    <w:name w:val="footer"/>
    <w:basedOn w:val="Normal"/>
    <w:link w:val="FooterChar"/>
    <w:uiPriority w:val="99"/>
    <w:unhideWhenUsed/>
    <w:rsid w:val="001B529E"/>
    <w:pPr>
      <w:tabs>
        <w:tab w:val="center" w:pos="4536"/>
        <w:tab w:val="right" w:pos="9072"/>
      </w:tabs>
      <w:spacing w:after="0" w:line="240" w:lineRule="auto"/>
    </w:pPr>
  </w:style>
  <w:style w:type="character" w:customStyle="1" w:styleId="FooterChar">
    <w:name w:val="Footer Char"/>
    <w:basedOn w:val="DefaultParagraphFont"/>
    <w:link w:val="Footer"/>
    <w:uiPriority w:val="99"/>
    <w:rsid w:val="001B529E"/>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Podrozdział,single spa"/>
    <w:basedOn w:val="Normal"/>
    <w:link w:val="FootnoteTextChar"/>
    <w:uiPriority w:val="99"/>
    <w:unhideWhenUsed/>
    <w:rsid w:val="005A1B6F"/>
    <w:pPr>
      <w:spacing w:after="0" w:line="240" w:lineRule="auto"/>
    </w:pPr>
    <w:rPr>
      <w:sz w:val="20"/>
      <w:szCs w:val="20"/>
    </w:rPr>
  </w:style>
  <w:style w:type="character" w:customStyle="1" w:styleId="FootnoteTextChar">
    <w:name w:val="Footnote Text Char"/>
    <w:aliases w:val="stile 1 Char,Footnote Char,Footnote1 Char,Footnote2 Char,Footnote3 Char,Footnote4 Char,Footnote5 Char,Footnote6 Char,Footnote7 Char,Footnote8 Char,Footnote9 Char,Footnote10 Char,Footnote11 Char,Footnote21 Char,Footnote31 Char"/>
    <w:basedOn w:val="DefaultParagraphFont"/>
    <w:link w:val="FootnoteText"/>
    <w:uiPriority w:val="99"/>
    <w:rsid w:val="005A1B6F"/>
    <w:rPr>
      <w:sz w:val="20"/>
      <w:szCs w:val="20"/>
    </w:rPr>
  </w:style>
  <w:style w:type="character" w:styleId="FootnoteReference">
    <w:name w:val="footnote reference"/>
    <w:basedOn w:val="DefaultParagraphFont"/>
    <w:uiPriority w:val="99"/>
    <w:unhideWhenUsed/>
    <w:qFormat/>
    <w:rsid w:val="005A1B6F"/>
    <w:rPr>
      <w:vertAlign w:val="superscript"/>
    </w:rPr>
  </w:style>
  <w:style w:type="paragraph" w:styleId="ListParagraph">
    <w:name w:val="List Paragraph"/>
    <w:aliases w:val="List Paragraph1,List1,List Paragraph compact,Normal bullet 2,Paragraphe de liste 2,Reference list,Bullet list,Numbered List,1st level - Bullet List Paragraph,Lettre d'introduction,Paragraph,Bullet EY,List Paragraph11,Normal bullet 21"/>
    <w:basedOn w:val="Normal"/>
    <w:link w:val="ListParagraphChar"/>
    <w:uiPriority w:val="34"/>
    <w:qFormat/>
    <w:rsid w:val="009455F0"/>
    <w:pPr>
      <w:ind w:left="720"/>
      <w:contextualSpacing/>
    </w:pPr>
  </w:style>
  <w:style w:type="character" w:styleId="CommentReference">
    <w:name w:val="annotation reference"/>
    <w:basedOn w:val="DefaultParagraphFont"/>
    <w:uiPriority w:val="99"/>
    <w:semiHidden/>
    <w:unhideWhenUsed/>
    <w:rsid w:val="00246DAE"/>
    <w:rPr>
      <w:sz w:val="16"/>
      <w:szCs w:val="16"/>
    </w:rPr>
  </w:style>
  <w:style w:type="paragraph" w:styleId="CommentText">
    <w:name w:val="annotation text"/>
    <w:basedOn w:val="Normal"/>
    <w:link w:val="CommentTextChar"/>
    <w:uiPriority w:val="99"/>
    <w:semiHidden/>
    <w:unhideWhenUsed/>
    <w:rsid w:val="00246DAE"/>
    <w:pPr>
      <w:spacing w:line="240" w:lineRule="auto"/>
    </w:pPr>
    <w:rPr>
      <w:sz w:val="20"/>
      <w:szCs w:val="20"/>
    </w:rPr>
  </w:style>
  <w:style w:type="character" w:customStyle="1" w:styleId="CommentTextChar">
    <w:name w:val="Comment Text Char"/>
    <w:basedOn w:val="DefaultParagraphFont"/>
    <w:link w:val="CommentText"/>
    <w:uiPriority w:val="99"/>
    <w:semiHidden/>
    <w:rsid w:val="00246DAE"/>
    <w:rPr>
      <w:sz w:val="20"/>
      <w:szCs w:val="20"/>
    </w:rPr>
  </w:style>
  <w:style w:type="paragraph" w:styleId="CommentSubject">
    <w:name w:val="annotation subject"/>
    <w:basedOn w:val="CommentText"/>
    <w:next w:val="CommentText"/>
    <w:link w:val="CommentSubjectChar"/>
    <w:uiPriority w:val="99"/>
    <w:semiHidden/>
    <w:unhideWhenUsed/>
    <w:rsid w:val="00246DAE"/>
    <w:rPr>
      <w:b/>
      <w:bCs/>
    </w:rPr>
  </w:style>
  <w:style w:type="character" w:customStyle="1" w:styleId="CommentSubjectChar">
    <w:name w:val="Comment Subject Char"/>
    <w:basedOn w:val="CommentTextChar"/>
    <w:link w:val="CommentSubject"/>
    <w:uiPriority w:val="99"/>
    <w:semiHidden/>
    <w:rsid w:val="00246DAE"/>
    <w:rPr>
      <w:b/>
      <w:bCs/>
      <w:sz w:val="20"/>
      <w:szCs w:val="20"/>
    </w:rPr>
  </w:style>
  <w:style w:type="character" w:customStyle="1" w:styleId="Heading1Char">
    <w:name w:val="Heading 1 Char"/>
    <w:basedOn w:val="DefaultParagraphFont"/>
    <w:link w:val="Heading1"/>
    <w:uiPriority w:val="9"/>
    <w:rsid w:val="00C40368"/>
    <w:rPr>
      <w:rFonts w:asciiTheme="majorHAnsi" w:eastAsiaTheme="majorEastAsia" w:hAnsiTheme="majorHAnsi" w:cstheme="majorBidi"/>
      <w:color w:val="2E74B5" w:themeColor="accent1" w:themeShade="BF"/>
      <w:sz w:val="32"/>
      <w:szCs w:val="32"/>
      <w:lang w:val="en-US"/>
    </w:rPr>
  </w:style>
  <w:style w:type="character" w:styleId="Hyperlink">
    <w:name w:val="Hyperlink"/>
    <w:basedOn w:val="DefaultParagraphFont"/>
    <w:uiPriority w:val="99"/>
    <w:unhideWhenUsed/>
    <w:rsid w:val="00C63818"/>
    <w:rPr>
      <w:color w:val="0563C1" w:themeColor="hyperlink"/>
      <w:u w:val="single"/>
    </w:rPr>
  </w:style>
  <w:style w:type="character" w:styleId="FollowedHyperlink">
    <w:name w:val="FollowedHyperlink"/>
    <w:basedOn w:val="DefaultParagraphFont"/>
    <w:uiPriority w:val="99"/>
    <w:semiHidden/>
    <w:unhideWhenUsed/>
    <w:rsid w:val="00A01460"/>
    <w:rPr>
      <w:color w:val="954F72" w:themeColor="followedHyperlink"/>
      <w:u w:val="single"/>
    </w:rPr>
  </w:style>
  <w:style w:type="paragraph" w:styleId="TOCHeading">
    <w:name w:val="TOC Heading"/>
    <w:basedOn w:val="Heading1"/>
    <w:next w:val="Normal"/>
    <w:uiPriority w:val="39"/>
    <w:unhideWhenUsed/>
    <w:qFormat/>
    <w:rsid w:val="006F73C2"/>
    <w:pPr>
      <w:outlineLvl w:val="9"/>
    </w:pPr>
  </w:style>
  <w:style w:type="paragraph" w:styleId="TOC1">
    <w:name w:val="toc 1"/>
    <w:basedOn w:val="Normal"/>
    <w:next w:val="Normal"/>
    <w:autoRedefine/>
    <w:uiPriority w:val="39"/>
    <w:unhideWhenUsed/>
    <w:rsid w:val="006F73C2"/>
    <w:pPr>
      <w:spacing w:after="100"/>
    </w:pPr>
  </w:style>
  <w:style w:type="paragraph" w:customStyle="1" w:styleId="Style1">
    <w:name w:val="Style1"/>
    <w:basedOn w:val="Heading1"/>
    <w:link w:val="Style1Char"/>
    <w:autoRedefine/>
    <w:qFormat/>
    <w:rsid w:val="00A73E26"/>
    <w:pPr>
      <w:spacing w:before="0" w:after="160" w:line="256" w:lineRule="auto"/>
      <w:jc w:val="center"/>
    </w:pPr>
    <w:rPr>
      <w:rFonts w:eastAsia="Times New Roman" w:cstheme="minorHAnsi"/>
      <w:color w:val="000000" w:themeColor="text1"/>
      <w:sz w:val="18"/>
      <w:szCs w:val="20"/>
      <w:lang w:eastAsia="en-GB"/>
    </w:rPr>
  </w:style>
  <w:style w:type="character" w:customStyle="1" w:styleId="Style1Char">
    <w:name w:val="Style1 Char"/>
    <w:basedOn w:val="Heading1Char"/>
    <w:link w:val="Style1"/>
    <w:rsid w:val="00A73E26"/>
    <w:rPr>
      <w:rFonts w:asciiTheme="majorHAnsi" w:eastAsia="Times New Roman" w:hAnsiTheme="majorHAnsi" w:cstheme="minorHAnsi"/>
      <w:color w:val="000000" w:themeColor="text1"/>
      <w:sz w:val="18"/>
      <w:szCs w:val="20"/>
      <w:lang w:val="en-US" w:eastAsia="en-GB"/>
    </w:rPr>
  </w:style>
  <w:style w:type="paragraph" w:styleId="Revision">
    <w:name w:val="Revision"/>
    <w:hidden/>
    <w:uiPriority w:val="99"/>
    <w:semiHidden/>
    <w:rsid w:val="000C2C03"/>
    <w:pPr>
      <w:spacing w:after="0" w:line="240" w:lineRule="auto"/>
    </w:pPr>
  </w:style>
  <w:style w:type="character" w:customStyle="1" w:styleId="Heading2Char">
    <w:name w:val="Heading 2 Char"/>
    <w:basedOn w:val="DefaultParagraphFont"/>
    <w:link w:val="Heading2"/>
    <w:uiPriority w:val="9"/>
    <w:rsid w:val="00D857FE"/>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D857FE"/>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D857FE"/>
    <w:rPr>
      <w:rFonts w:asciiTheme="majorHAnsi" w:eastAsiaTheme="majorEastAsia" w:hAnsiTheme="majorHAnsi" w:cstheme="majorBidi"/>
      <w:i/>
      <w:iCs/>
      <w:color w:val="2E74B5" w:themeColor="accent1" w:themeShade="BF"/>
    </w:rPr>
  </w:style>
  <w:style w:type="paragraph" w:customStyle="1" w:styleId="Default">
    <w:name w:val="Default"/>
    <w:rsid w:val="00D857FE"/>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List Paragraph1 Char,List1 Char,List Paragraph compact Char,Normal bullet 2 Char,Paragraphe de liste 2 Char,Reference list Char,Bullet list Char,Numbered List Char,1st level - Bullet List Paragraph Char,Lettre d'introduction Char"/>
    <w:link w:val="ListParagraph"/>
    <w:uiPriority w:val="34"/>
    <w:qFormat/>
    <w:locked/>
    <w:rsid w:val="00D857FE"/>
  </w:style>
  <w:style w:type="paragraph" w:styleId="TOC2">
    <w:name w:val="toc 2"/>
    <w:basedOn w:val="Normal"/>
    <w:next w:val="Normal"/>
    <w:autoRedefine/>
    <w:uiPriority w:val="39"/>
    <w:unhideWhenUsed/>
    <w:rsid w:val="00D857FE"/>
    <w:pPr>
      <w:spacing w:after="100"/>
      <w:ind w:left="220"/>
    </w:pPr>
  </w:style>
  <w:style w:type="paragraph" w:styleId="TOC3">
    <w:name w:val="toc 3"/>
    <w:basedOn w:val="Normal"/>
    <w:next w:val="Normal"/>
    <w:autoRedefine/>
    <w:uiPriority w:val="39"/>
    <w:unhideWhenUsed/>
    <w:rsid w:val="00D857FE"/>
    <w:pPr>
      <w:spacing w:after="100"/>
      <w:ind w:left="440"/>
    </w:pPr>
  </w:style>
  <w:style w:type="paragraph" w:styleId="IntenseQuote">
    <w:name w:val="Intense Quote"/>
    <w:basedOn w:val="Normal"/>
    <w:next w:val="Normal"/>
    <w:link w:val="IntenseQuoteChar"/>
    <w:uiPriority w:val="30"/>
    <w:qFormat/>
    <w:rsid w:val="00D857FE"/>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857FE"/>
    <w:rPr>
      <w:i/>
      <w:iCs/>
      <w:color w:val="5B9BD5" w:themeColor="accent1"/>
    </w:rPr>
  </w:style>
  <w:style w:type="paragraph" w:styleId="TOC4">
    <w:name w:val="toc 4"/>
    <w:basedOn w:val="Normal"/>
    <w:next w:val="Normal"/>
    <w:autoRedefine/>
    <w:uiPriority w:val="39"/>
    <w:unhideWhenUsed/>
    <w:rsid w:val="00D857FE"/>
    <w:pPr>
      <w:spacing w:after="100"/>
      <w:ind w:left="6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89887">
      <w:bodyDiv w:val="1"/>
      <w:marLeft w:val="0"/>
      <w:marRight w:val="0"/>
      <w:marTop w:val="0"/>
      <w:marBottom w:val="0"/>
      <w:divBdr>
        <w:top w:val="none" w:sz="0" w:space="0" w:color="auto"/>
        <w:left w:val="none" w:sz="0" w:space="0" w:color="auto"/>
        <w:bottom w:val="none" w:sz="0" w:space="0" w:color="auto"/>
        <w:right w:val="none" w:sz="0" w:space="0" w:color="auto"/>
      </w:divBdr>
    </w:div>
    <w:div w:id="116334879">
      <w:bodyDiv w:val="1"/>
      <w:marLeft w:val="0"/>
      <w:marRight w:val="0"/>
      <w:marTop w:val="0"/>
      <w:marBottom w:val="0"/>
      <w:divBdr>
        <w:top w:val="none" w:sz="0" w:space="0" w:color="auto"/>
        <w:left w:val="none" w:sz="0" w:space="0" w:color="auto"/>
        <w:bottom w:val="none" w:sz="0" w:space="0" w:color="auto"/>
        <w:right w:val="none" w:sz="0" w:space="0" w:color="auto"/>
      </w:divBdr>
    </w:div>
    <w:div w:id="153226214">
      <w:bodyDiv w:val="1"/>
      <w:marLeft w:val="0"/>
      <w:marRight w:val="0"/>
      <w:marTop w:val="0"/>
      <w:marBottom w:val="0"/>
      <w:divBdr>
        <w:top w:val="none" w:sz="0" w:space="0" w:color="auto"/>
        <w:left w:val="none" w:sz="0" w:space="0" w:color="auto"/>
        <w:bottom w:val="none" w:sz="0" w:space="0" w:color="auto"/>
        <w:right w:val="none" w:sz="0" w:space="0" w:color="auto"/>
      </w:divBdr>
    </w:div>
    <w:div w:id="201865937">
      <w:bodyDiv w:val="1"/>
      <w:marLeft w:val="0"/>
      <w:marRight w:val="0"/>
      <w:marTop w:val="0"/>
      <w:marBottom w:val="0"/>
      <w:divBdr>
        <w:top w:val="none" w:sz="0" w:space="0" w:color="auto"/>
        <w:left w:val="none" w:sz="0" w:space="0" w:color="auto"/>
        <w:bottom w:val="none" w:sz="0" w:space="0" w:color="auto"/>
        <w:right w:val="none" w:sz="0" w:space="0" w:color="auto"/>
      </w:divBdr>
    </w:div>
    <w:div w:id="594754206">
      <w:bodyDiv w:val="1"/>
      <w:marLeft w:val="0"/>
      <w:marRight w:val="0"/>
      <w:marTop w:val="0"/>
      <w:marBottom w:val="0"/>
      <w:divBdr>
        <w:top w:val="none" w:sz="0" w:space="0" w:color="auto"/>
        <w:left w:val="none" w:sz="0" w:space="0" w:color="auto"/>
        <w:bottom w:val="none" w:sz="0" w:space="0" w:color="auto"/>
        <w:right w:val="none" w:sz="0" w:space="0" w:color="auto"/>
      </w:divBdr>
    </w:div>
    <w:div w:id="802431080">
      <w:bodyDiv w:val="1"/>
      <w:marLeft w:val="0"/>
      <w:marRight w:val="0"/>
      <w:marTop w:val="0"/>
      <w:marBottom w:val="0"/>
      <w:divBdr>
        <w:top w:val="none" w:sz="0" w:space="0" w:color="auto"/>
        <w:left w:val="none" w:sz="0" w:space="0" w:color="auto"/>
        <w:bottom w:val="none" w:sz="0" w:space="0" w:color="auto"/>
        <w:right w:val="none" w:sz="0" w:space="0" w:color="auto"/>
      </w:divBdr>
    </w:div>
    <w:div w:id="803087182">
      <w:bodyDiv w:val="1"/>
      <w:marLeft w:val="0"/>
      <w:marRight w:val="0"/>
      <w:marTop w:val="0"/>
      <w:marBottom w:val="0"/>
      <w:divBdr>
        <w:top w:val="none" w:sz="0" w:space="0" w:color="auto"/>
        <w:left w:val="none" w:sz="0" w:space="0" w:color="auto"/>
        <w:bottom w:val="none" w:sz="0" w:space="0" w:color="auto"/>
        <w:right w:val="none" w:sz="0" w:space="0" w:color="auto"/>
      </w:divBdr>
    </w:div>
    <w:div w:id="830483176">
      <w:bodyDiv w:val="1"/>
      <w:marLeft w:val="0"/>
      <w:marRight w:val="0"/>
      <w:marTop w:val="0"/>
      <w:marBottom w:val="0"/>
      <w:divBdr>
        <w:top w:val="none" w:sz="0" w:space="0" w:color="auto"/>
        <w:left w:val="none" w:sz="0" w:space="0" w:color="auto"/>
        <w:bottom w:val="none" w:sz="0" w:space="0" w:color="auto"/>
        <w:right w:val="none" w:sz="0" w:space="0" w:color="auto"/>
      </w:divBdr>
    </w:div>
    <w:div w:id="918439786">
      <w:bodyDiv w:val="1"/>
      <w:marLeft w:val="0"/>
      <w:marRight w:val="0"/>
      <w:marTop w:val="0"/>
      <w:marBottom w:val="0"/>
      <w:divBdr>
        <w:top w:val="none" w:sz="0" w:space="0" w:color="auto"/>
        <w:left w:val="none" w:sz="0" w:space="0" w:color="auto"/>
        <w:bottom w:val="none" w:sz="0" w:space="0" w:color="auto"/>
        <w:right w:val="none" w:sz="0" w:space="0" w:color="auto"/>
      </w:divBdr>
    </w:div>
    <w:div w:id="961499638">
      <w:bodyDiv w:val="1"/>
      <w:marLeft w:val="0"/>
      <w:marRight w:val="0"/>
      <w:marTop w:val="0"/>
      <w:marBottom w:val="0"/>
      <w:divBdr>
        <w:top w:val="none" w:sz="0" w:space="0" w:color="auto"/>
        <w:left w:val="none" w:sz="0" w:space="0" w:color="auto"/>
        <w:bottom w:val="none" w:sz="0" w:space="0" w:color="auto"/>
        <w:right w:val="none" w:sz="0" w:space="0" w:color="auto"/>
      </w:divBdr>
    </w:div>
    <w:div w:id="1025979889">
      <w:bodyDiv w:val="1"/>
      <w:marLeft w:val="0"/>
      <w:marRight w:val="0"/>
      <w:marTop w:val="0"/>
      <w:marBottom w:val="0"/>
      <w:divBdr>
        <w:top w:val="none" w:sz="0" w:space="0" w:color="auto"/>
        <w:left w:val="none" w:sz="0" w:space="0" w:color="auto"/>
        <w:bottom w:val="none" w:sz="0" w:space="0" w:color="auto"/>
        <w:right w:val="none" w:sz="0" w:space="0" w:color="auto"/>
      </w:divBdr>
    </w:div>
    <w:div w:id="1065303357">
      <w:bodyDiv w:val="1"/>
      <w:marLeft w:val="0"/>
      <w:marRight w:val="0"/>
      <w:marTop w:val="0"/>
      <w:marBottom w:val="0"/>
      <w:divBdr>
        <w:top w:val="none" w:sz="0" w:space="0" w:color="auto"/>
        <w:left w:val="none" w:sz="0" w:space="0" w:color="auto"/>
        <w:bottom w:val="none" w:sz="0" w:space="0" w:color="auto"/>
        <w:right w:val="none" w:sz="0" w:space="0" w:color="auto"/>
      </w:divBdr>
    </w:div>
    <w:div w:id="1127822503">
      <w:bodyDiv w:val="1"/>
      <w:marLeft w:val="0"/>
      <w:marRight w:val="0"/>
      <w:marTop w:val="0"/>
      <w:marBottom w:val="0"/>
      <w:divBdr>
        <w:top w:val="none" w:sz="0" w:space="0" w:color="auto"/>
        <w:left w:val="none" w:sz="0" w:space="0" w:color="auto"/>
        <w:bottom w:val="none" w:sz="0" w:space="0" w:color="auto"/>
        <w:right w:val="none" w:sz="0" w:space="0" w:color="auto"/>
      </w:divBdr>
    </w:div>
    <w:div w:id="1226137044">
      <w:bodyDiv w:val="1"/>
      <w:marLeft w:val="0"/>
      <w:marRight w:val="0"/>
      <w:marTop w:val="0"/>
      <w:marBottom w:val="0"/>
      <w:divBdr>
        <w:top w:val="none" w:sz="0" w:space="0" w:color="auto"/>
        <w:left w:val="none" w:sz="0" w:space="0" w:color="auto"/>
        <w:bottom w:val="none" w:sz="0" w:space="0" w:color="auto"/>
        <w:right w:val="none" w:sz="0" w:space="0" w:color="auto"/>
      </w:divBdr>
    </w:div>
    <w:div w:id="1249850177">
      <w:bodyDiv w:val="1"/>
      <w:marLeft w:val="0"/>
      <w:marRight w:val="0"/>
      <w:marTop w:val="0"/>
      <w:marBottom w:val="0"/>
      <w:divBdr>
        <w:top w:val="none" w:sz="0" w:space="0" w:color="auto"/>
        <w:left w:val="none" w:sz="0" w:space="0" w:color="auto"/>
        <w:bottom w:val="none" w:sz="0" w:space="0" w:color="auto"/>
        <w:right w:val="none" w:sz="0" w:space="0" w:color="auto"/>
      </w:divBdr>
    </w:div>
    <w:div w:id="1296061713">
      <w:bodyDiv w:val="1"/>
      <w:marLeft w:val="0"/>
      <w:marRight w:val="0"/>
      <w:marTop w:val="0"/>
      <w:marBottom w:val="0"/>
      <w:divBdr>
        <w:top w:val="none" w:sz="0" w:space="0" w:color="auto"/>
        <w:left w:val="none" w:sz="0" w:space="0" w:color="auto"/>
        <w:bottom w:val="none" w:sz="0" w:space="0" w:color="auto"/>
        <w:right w:val="none" w:sz="0" w:space="0" w:color="auto"/>
      </w:divBdr>
    </w:div>
    <w:div w:id="1368141169">
      <w:bodyDiv w:val="1"/>
      <w:marLeft w:val="0"/>
      <w:marRight w:val="0"/>
      <w:marTop w:val="0"/>
      <w:marBottom w:val="0"/>
      <w:divBdr>
        <w:top w:val="none" w:sz="0" w:space="0" w:color="auto"/>
        <w:left w:val="none" w:sz="0" w:space="0" w:color="auto"/>
        <w:bottom w:val="none" w:sz="0" w:space="0" w:color="auto"/>
        <w:right w:val="none" w:sz="0" w:space="0" w:color="auto"/>
      </w:divBdr>
    </w:div>
    <w:div w:id="1373075812">
      <w:bodyDiv w:val="1"/>
      <w:marLeft w:val="0"/>
      <w:marRight w:val="0"/>
      <w:marTop w:val="0"/>
      <w:marBottom w:val="0"/>
      <w:divBdr>
        <w:top w:val="none" w:sz="0" w:space="0" w:color="auto"/>
        <w:left w:val="none" w:sz="0" w:space="0" w:color="auto"/>
        <w:bottom w:val="none" w:sz="0" w:space="0" w:color="auto"/>
        <w:right w:val="none" w:sz="0" w:space="0" w:color="auto"/>
      </w:divBdr>
    </w:div>
    <w:div w:id="1469592450">
      <w:bodyDiv w:val="1"/>
      <w:marLeft w:val="0"/>
      <w:marRight w:val="0"/>
      <w:marTop w:val="0"/>
      <w:marBottom w:val="0"/>
      <w:divBdr>
        <w:top w:val="none" w:sz="0" w:space="0" w:color="auto"/>
        <w:left w:val="none" w:sz="0" w:space="0" w:color="auto"/>
        <w:bottom w:val="none" w:sz="0" w:space="0" w:color="auto"/>
        <w:right w:val="none" w:sz="0" w:space="0" w:color="auto"/>
      </w:divBdr>
    </w:div>
    <w:div w:id="1528906319">
      <w:bodyDiv w:val="1"/>
      <w:marLeft w:val="0"/>
      <w:marRight w:val="0"/>
      <w:marTop w:val="0"/>
      <w:marBottom w:val="0"/>
      <w:divBdr>
        <w:top w:val="none" w:sz="0" w:space="0" w:color="auto"/>
        <w:left w:val="none" w:sz="0" w:space="0" w:color="auto"/>
        <w:bottom w:val="none" w:sz="0" w:space="0" w:color="auto"/>
        <w:right w:val="none" w:sz="0" w:space="0" w:color="auto"/>
      </w:divBdr>
    </w:div>
    <w:div w:id="1779061356">
      <w:bodyDiv w:val="1"/>
      <w:marLeft w:val="0"/>
      <w:marRight w:val="0"/>
      <w:marTop w:val="0"/>
      <w:marBottom w:val="0"/>
      <w:divBdr>
        <w:top w:val="none" w:sz="0" w:space="0" w:color="auto"/>
        <w:left w:val="none" w:sz="0" w:space="0" w:color="auto"/>
        <w:bottom w:val="none" w:sz="0" w:space="0" w:color="auto"/>
        <w:right w:val="none" w:sz="0" w:space="0" w:color="auto"/>
      </w:divBdr>
      <w:divsChild>
        <w:div w:id="345980213">
          <w:marLeft w:val="547"/>
          <w:marRight w:val="0"/>
          <w:marTop w:val="0"/>
          <w:marBottom w:val="0"/>
          <w:divBdr>
            <w:top w:val="none" w:sz="0" w:space="0" w:color="auto"/>
            <w:left w:val="none" w:sz="0" w:space="0" w:color="auto"/>
            <w:bottom w:val="none" w:sz="0" w:space="0" w:color="auto"/>
            <w:right w:val="none" w:sz="0" w:space="0" w:color="auto"/>
          </w:divBdr>
        </w:div>
        <w:div w:id="1761755437">
          <w:marLeft w:val="547"/>
          <w:marRight w:val="0"/>
          <w:marTop w:val="0"/>
          <w:marBottom w:val="0"/>
          <w:divBdr>
            <w:top w:val="none" w:sz="0" w:space="0" w:color="auto"/>
            <w:left w:val="none" w:sz="0" w:space="0" w:color="auto"/>
            <w:bottom w:val="none" w:sz="0" w:space="0" w:color="auto"/>
            <w:right w:val="none" w:sz="0" w:space="0" w:color="auto"/>
          </w:divBdr>
        </w:div>
        <w:div w:id="1053310216">
          <w:marLeft w:val="547"/>
          <w:marRight w:val="0"/>
          <w:marTop w:val="0"/>
          <w:marBottom w:val="0"/>
          <w:divBdr>
            <w:top w:val="none" w:sz="0" w:space="0" w:color="auto"/>
            <w:left w:val="none" w:sz="0" w:space="0" w:color="auto"/>
            <w:bottom w:val="none" w:sz="0" w:space="0" w:color="auto"/>
            <w:right w:val="none" w:sz="0" w:space="0" w:color="auto"/>
          </w:divBdr>
        </w:div>
        <w:div w:id="128060519">
          <w:marLeft w:val="547"/>
          <w:marRight w:val="0"/>
          <w:marTop w:val="0"/>
          <w:marBottom w:val="0"/>
          <w:divBdr>
            <w:top w:val="none" w:sz="0" w:space="0" w:color="auto"/>
            <w:left w:val="none" w:sz="0" w:space="0" w:color="auto"/>
            <w:bottom w:val="none" w:sz="0" w:space="0" w:color="auto"/>
            <w:right w:val="none" w:sz="0" w:space="0" w:color="auto"/>
          </w:divBdr>
        </w:div>
      </w:divsChild>
    </w:div>
    <w:div w:id="1809087180">
      <w:bodyDiv w:val="1"/>
      <w:marLeft w:val="0"/>
      <w:marRight w:val="0"/>
      <w:marTop w:val="0"/>
      <w:marBottom w:val="0"/>
      <w:divBdr>
        <w:top w:val="none" w:sz="0" w:space="0" w:color="auto"/>
        <w:left w:val="none" w:sz="0" w:space="0" w:color="auto"/>
        <w:bottom w:val="none" w:sz="0" w:space="0" w:color="auto"/>
        <w:right w:val="none" w:sz="0" w:space="0" w:color="auto"/>
      </w:divBdr>
    </w:div>
    <w:div w:id="2084833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Data" Target="diagrams/data1.xm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mon.bg/bg/144" TargetMode="External"/><Relationship Id="rId7" Type="http://schemas.openxmlformats.org/officeDocument/2006/relationships/endnotes" Target="endnotes.xml"/><Relationship Id="rId12" Type="http://schemas.openxmlformats.org/officeDocument/2006/relationships/footer" Target="footer1.xml"/><Relationship Id="rId17" Type="http://schemas.microsoft.com/office/2007/relationships/diagramDrawing" Target="diagrams/drawing1.xml"/><Relationship Id="rId25" Type="http://schemas.openxmlformats.org/officeDocument/2006/relationships/hyperlink" Target="https://mon.bg/bg/144" TargetMode="External"/><Relationship Id="rId2" Type="http://schemas.openxmlformats.org/officeDocument/2006/relationships/numbering" Target="numbering.xml"/><Relationship Id="rId16" Type="http://schemas.openxmlformats.org/officeDocument/2006/relationships/diagramColors" Target="diagrams/colors1.xm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amalipe.bg/za-romite/resursi/knigi/" TargetMode="External"/><Relationship Id="rId5" Type="http://schemas.openxmlformats.org/officeDocument/2006/relationships/webSettings" Target="webSettings.xml"/><Relationship Id="rId15" Type="http://schemas.openxmlformats.org/officeDocument/2006/relationships/diagramQuickStyle" Target="diagrams/quickStyle1.xml"/><Relationship Id="rId23" Type="http://schemas.openxmlformats.org/officeDocument/2006/relationships/hyperlink" Target="https://www.nsi.bg/census2011/pagebg2.php?p2=175&amp;sp2=200&amp;SSPP2=205" TargetMode="External"/><Relationship Id="rId10" Type="http://schemas.openxmlformats.org/officeDocument/2006/relationships/image" Target="media/image3.png"/><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Layout" Target="diagrams/layout1.xml"/><Relationship Id="rId22" Type="http://schemas.openxmlformats.org/officeDocument/2006/relationships/hyperlink" Target="https://www.nsi.bg/census2011/PDOCS2/Census2011_Edu.xls" TargetMode="External"/><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www.nsi.bg/bg/content/3444/%D1%83%D1%87%D0%B0%D1%89%D0%B8-%D0%B2-%D0%BF%D1%80%D0%BE%D1%84%D0%B5%D1%81%D0%B8%D0%BE%D0%BD%D0%B0%D0%BB%D0%BD%D0%B8%D1%82%D0%B5-%D1%83%D1%87%D0%B8%D0%BB%D0%B8%D1%89%D0%B0" TargetMode="External"/><Relationship Id="rId2" Type="http://schemas.openxmlformats.org/officeDocument/2006/relationships/hyperlink" Target="https://appsso.eurostat.ec.europa.eu/nui/show.do?query=BOOKMARK_DS-056390_QID_479FD81B_UID_-3F171EB0&amp;layout=TIME,C,X,0;GEO,L,Y,0;UNIT,L,Z,0;NACE_R2,L,Z,1;LCSTRUCT,L,Z,2;INDICATORS,C,Z,3;&amp;zSelection=DS-056390UNIT,PCH_PRE;DS-056390INDICATORS,OBS_FLAG;DS-056390NACE_R2,P;DS-056390LCSTRUCT,D1_D4_MD5;&amp;rankName1=UNIT_1_2_-1_2&amp;rankName2=INDICATORS_1_2_-1_2&amp;rankName3=NACE-R2_1_2_-1_2&amp;rankName4=LCSTRUCT_1_2_-1_2&amp;rankName5=TIME_1_0_0_0&amp;rankName6=GEO_1_2_0_1&amp;sortC=ASC_-1_FIRST&amp;rStp=&amp;cStp=&amp;rDCh=&amp;cDCh=&amp;rDM=true&amp;cDM=true&amp;footnes=false&amp;empty=false&amp;wai=false&amp;time_mode=NONE&amp;time_most_recent=false&amp;lang=EN&amp;cfo=%23%23%23%2C%23%23%23.%23%23%23" TargetMode="External"/><Relationship Id="rId1" Type="http://schemas.openxmlformats.org/officeDocument/2006/relationships/hyperlink" Target="https://ec.europa.eu/sfc/en/system/files/2021/ged/Toolbox_October_2021.pdf"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E7BFD8E-C704-4CBC-94B0-4D091870A67A}" type="doc">
      <dgm:prSet loTypeId="urn:microsoft.com/office/officeart/2008/layout/RadialCluster" loCatId="cycle" qsTypeId="urn:microsoft.com/office/officeart/2005/8/quickstyle/simple1" qsCatId="simple" csTypeId="urn:microsoft.com/office/officeart/2005/8/colors/accent1_2" csCatId="accent1" phldr="1"/>
      <dgm:spPr/>
      <dgm:t>
        <a:bodyPr/>
        <a:lstStyle/>
        <a:p>
          <a:endParaRPr lang="en-US"/>
        </a:p>
      </dgm:t>
    </dgm:pt>
    <dgm:pt modelId="{47B1516A-588B-4883-BA7F-22E72682CC31}">
      <dgm:prSet phldrT="[Text]" custT="1"/>
      <dgm:spPr>
        <a:xfrm>
          <a:off x="2030690" y="1164652"/>
          <a:ext cx="1337351" cy="949616"/>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bg-BG" sz="1800">
              <a:solidFill>
                <a:srgbClr val="44546A">
                  <a:lumMod val="75000"/>
                </a:srgbClr>
              </a:solidFill>
              <a:latin typeface="Calibri" panose="020F0502020204030204"/>
              <a:ea typeface="+mn-ea"/>
              <a:cs typeface="+mn-cs"/>
            </a:rPr>
            <a:t>ПО</a:t>
          </a:r>
        </a:p>
        <a:p>
          <a:r>
            <a:rPr lang="bg-BG" sz="1800">
              <a:solidFill>
                <a:srgbClr val="44546A">
                  <a:lumMod val="75000"/>
                </a:srgbClr>
              </a:solidFill>
              <a:latin typeface="Calibri" panose="020F0502020204030204"/>
              <a:ea typeface="+mn-ea"/>
              <a:cs typeface="+mn-cs"/>
            </a:rPr>
            <a:t>2021</a:t>
          </a:r>
          <a:r>
            <a:rPr lang="bg-BG" sz="1800">
              <a:solidFill>
                <a:sysClr val="windowText" lastClr="000000"/>
              </a:solidFill>
            </a:rPr>
            <a:t>–</a:t>
          </a:r>
          <a:r>
            <a:rPr lang="bg-BG" sz="1800"/>
            <a:t> </a:t>
          </a:r>
          <a:r>
            <a:rPr lang="bg-BG" sz="1800">
              <a:solidFill>
                <a:srgbClr val="44546A">
                  <a:lumMod val="75000"/>
                </a:srgbClr>
              </a:solidFill>
              <a:latin typeface="Calibri" panose="020F0502020204030204"/>
              <a:ea typeface="+mn-ea"/>
              <a:cs typeface="+mn-cs"/>
            </a:rPr>
            <a:t>2027</a:t>
          </a:r>
          <a:endParaRPr lang="en-US" sz="1800">
            <a:solidFill>
              <a:srgbClr val="44546A">
                <a:lumMod val="75000"/>
              </a:srgbClr>
            </a:solidFill>
            <a:latin typeface="Calibri" panose="020F0502020204030204"/>
            <a:ea typeface="+mn-ea"/>
            <a:cs typeface="+mn-cs"/>
          </a:endParaRPr>
        </a:p>
      </dgm:t>
    </dgm:pt>
    <dgm:pt modelId="{9EE1ECE5-4015-4B66-B87B-D79BD253AC67}" type="parTrans" cxnId="{4F8AF5ED-94F8-488C-AB63-ABB006F2E446}">
      <dgm:prSet/>
      <dgm:spPr/>
      <dgm:t>
        <a:bodyPr/>
        <a:lstStyle/>
        <a:p>
          <a:endParaRPr lang="en-US"/>
        </a:p>
      </dgm:t>
    </dgm:pt>
    <dgm:pt modelId="{F16F6A13-748C-440E-9434-E2E9BD68A4EB}" type="sibTrans" cxnId="{4F8AF5ED-94F8-488C-AB63-ABB006F2E446}">
      <dgm:prSet/>
      <dgm:spPr/>
      <dgm:t>
        <a:bodyPr/>
        <a:lstStyle/>
        <a:p>
          <a:endParaRPr lang="en-US"/>
        </a:p>
      </dgm:t>
    </dgm:pt>
    <dgm:pt modelId="{55F745E8-C57D-4834-936A-47BA1A73CE3F}">
      <dgm:prSet phldrT="[Text]"/>
      <dgm:spPr>
        <a:xfrm>
          <a:off x="1698329" y="184070"/>
          <a:ext cx="2021309" cy="595684"/>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bg-BG">
              <a:solidFill>
                <a:sysClr val="window" lastClr="FFFFFF"/>
              </a:solidFill>
              <a:latin typeface="Calibri" panose="020F0502020204030204"/>
              <a:ea typeface="+mn-ea"/>
              <a:cs typeface="+mn-cs"/>
            </a:rPr>
            <a:t>СТРАТЕГИЧЕСКИ ДОКУМЕНТИ</a:t>
          </a:r>
        </a:p>
        <a:p>
          <a:r>
            <a:rPr lang="bg-BG">
              <a:solidFill>
                <a:sysClr val="window" lastClr="FFFFFF"/>
              </a:solidFill>
              <a:latin typeface="Calibri" panose="020F0502020204030204"/>
              <a:ea typeface="+mn-ea"/>
              <a:cs typeface="+mn-cs"/>
            </a:rPr>
            <a:t>европейски и национални</a:t>
          </a:r>
          <a:endParaRPr lang="en-US">
            <a:solidFill>
              <a:sysClr val="window" lastClr="FFFFFF"/>
            </a:solidFill>
            <a:latin typeface="Calibri" panose="020F0502020204030204"/>
            <a:ea typeface="+mn-ea"/>
            <a:cs typeface="+mn-cs"/>
          </a:endParaRPr>
        </a:p>
      </dgm:t>
    </dgm:pt>
    <dgm:pt modelId="{01DA1CE7-C1EF-4F96-A69C-2F6488A62E66}" type="parTrans" cxnId="{481D2D70-F03A-4071-B5F3-8288153682C1}">
      <dgm:prSet/>
      <dgm:spPr>
        <a:xfrm rot="16228564">
          <a:off x="2512454" y="972203"/>
          <a:ext cx="384910" cy="0"/>
        </a:xfrm>
        <a:custGeom>
          <a:avLst/>
          <a:gdLst/>
          <a:ahLst/>
          <a:cxnLst/>
          <a:rect l="0" t="0" r="0" b="0"/>
          <a:pathLst>
            <a:path>
              <a:moveTo>
                <a:pt x="0" y="0"/>
              </a:moveTo>
              <a:lnTo>
                <a:pt x="384910" y="0"/>
              </a:lnTo>
            </a:path>
          </a:pathLst>
        </a:custGeom>
        <a:noFill/>
        <a:ln w="12700" cap="flat" cmpd="sng" algn="ctr">
          <a:solidFill>
            <a:srgbClr val="5B9BD5">
              <a:shade val="60000"/>
              <a:hueOff val="0"/>
              <a:satOff val="0"/>
              <a:lumOff val="0"/>
              <a:alphaOff val="0"/>
            </a:srgbClr>
          </a:solidFill>
          <a:prstDash val="solid"/>
          <a:miter lim="800000"/>
        </a:ln>
        <a:effectLst/>
      </dgm:spPr>
      <dgm:t>
        <a:bodyPr/>
        <a:lstStyle/>
        <a:p>
          <a:endParaRPr lang="en-US"/>
        </a:p>
      </dgm:t>
    </dgm:pt>
    <dgm:pt modelId="{B40A00FD-70E4-47F9-9D22-4532C9EA85F7}" type="sibTrans" cxnId="{481D2D70-F03A-4071-B5F3-8288153682C1}">
      <dgm:prSet/>
      <dgm:spPr/>
      <dgm:t>
        <a:bodyPr/>
        <a:lstStyle/>
        <a:p>
          <a:endParaRPr lang="en-US"/>
        </a:p>
      </dgm:t>
    </dgm:pt>
    <dgm:pt modelId="{75C67DE9-62B9-46CE-9023-9853A73418AF}">
      <dgm:prSet phldrT="[Text]" custT="1"/>
      <dgm:spPr>
        <a:xfrm>
          <a:off x="3226993" y="2373049"/>
          <a:ext cx="1519074" cy="643280"/>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bg-BG" sz="1200">
              <a:solidFill>
                <a:sysClr val="window" lastClr="FFFFFF"/>
              </a:solidFill>
              <a:latin typeface="Calibri" panose="020F0502020204030204"/>
              <a:ea typeface="+mn-ea"/>
              <a:cs typeface="+mn-cs"/>
            </a:rPr>
            <a:t>ДРУГИ</a:t>
          </a:r>
        </a:p>
        <a:p>
          <a:r>
            <a:rPr lang="bg-BG" sz="1200">
              <a:solidFill>
                <a:sysClr val="window" lastClr="FFFFFF"/>
              </a:solidFill>
              <a:latin typeface="Calibri" panose="020F0502020204030204"/>
              <a:ea typeface="+mn-ea"/>
              <a:cs typeface="+mn-cs"/>
            </a:rPr>
            <a:t>европейски  и национални</a:t>
          </a:r>
          <a:r>
            <a:rPr lang="bg-BG" sz="1000">
              <a:solidFill>
                <a:sysClr val="window" lastClr="FFFFFF"/>
              </a:solidFill>
              <a:latin typeface="Calibri" panose="020F0502020204030204"/>
              <a:ea typeface="+mn-ea"/>
              <a:cs typeface="+mn-cs"/>
            </a:rPr>
            <a:t> </a:t>
          </a:r>
          <a:endParaRPr lang="en-US" sz="1000">
            <a:solidFill>
              <a:sysClr val="window" lastClr="FFFFFF"/>
            </a:solidFill>
            <a:latin typeface="Calibri" panose="020F0502020204030204"/>
            <a:ea typeface="+mn-ea"/>
            <a:cs typeface="+mn-cs"/>
          </a:endParaRPr>
        </a:p>
      </dgm:t>
    </dgm:pt>
    <dgm:pt modelId="{66EAA0BF-3EE6-45CC-8E1A-745B8D13A936}" type="parTrans" cxnId="{185FC993-814C-4ACE-88D9-CD9E51A69BAD}">
      <dgm:prSet/>
      <dgm:spPr>
        <a:xfrm rot="2360711">
          <a:off x="3232276" y="2243658"/>
          <a:ext cx="408177" cy="0"/>
        </a:xfrm>
        <a:custGeom>
          <a:avLst/>
          <a:gdLst/>
          <a:ahLst/>
          <a:cxnLst/>
          <a:rect l="0" t="0" r="0" b="0"/>
          <a:pathLst>
            <a:path>
              <a:moveTo>
                <a:pt x="0" y="0"/>
              </a:moveTo>
              <a:lnTo>
                <a:pt x="408177" y="0"/>
              </a:lnTo>
            </a:path>
          </a:pathLst>
        </a:custGeom>
        <a:noFill/>
        <a:ln w="12700" cap="flat" cmpd="sng" algn="ctr">
          <a:solidFill>
            <a:srgbClr val="5B9BD5">
              <a:shade val="60000"/>
              <a:hueOff val="0"/>
              <a:satOff val="0"/>
              <a:lumOff val="0"/>
              <a:alphaOff val="0"/>
            </a:srgbClr>
          </a:solidFill>
          <a:prstDash val="solid"/>
          <a:miter lim="800000"/>
        </a:ln>
        <a:effectLst/>
      </dgm:spPr>
      <dgm:t>
        <a:bodyPr/>
        <a:lstStyle/>
        <a:p>
          <a:endParaRPr lang="en-US"/>
        </a:p>
      </dgm:t>
    </dgm:pt>
    <dgm:pt modelId="{33805B21-4AB0-46D7-966C-82E6649EE374}" type="sibTrans" cxnId="{185FC993-814C-4ACE-88D9-CD9E51A69BAD}">
      <dgm:prSet/>
      <dgm:spPr/>
      <dgm:t>
        <a:bodyPr/>
        <a:lstStyle/>
        <a:p>
          <a:endParaRPr lang="en-US"/>
        </a:p>
      </dgm:t>
    </dgm:pt>
    <dgm:pt modelId="{C222993D-0E98-47EB-A88D-6379742C4176}">
      <dgm:prSet phldrT="[Text]" custT="1"/>
      <dgm:spPr>
        <a:xfrm>
          <a:off x="740331" y="2387066"/>
          <a:ext cx="1382210" cy="615246"/>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bg-BG" sz="1200">
              <a:solidFill>
                <a:sysClr val="window" lastClr="FFFFFF"/>
              </a:solidFill>
              <a:latin typeface="Calibri" panose="020F0502020204030204"/>
              <a:ea typeface="+mn-ea"/>
              <a:cs typeface="+mn-cs"/>
            </a:rPr>
            <a:t>НОРМИ</a:t>
          </a:r>
        </a:p>
        <a:p>
          <a:r>
            <a:rPr lang="bg-BG" sz="1200">
              <a:solidFill>
                <a:sysClr val="window" lastClr="FFFFFF"/>
              </a:solidFill>
              <a:latin typeface="Calibri" panose="020F0502020204030204"/>
              <a:ea typeface="+mn-ea"/>
              <a:cs typeface="+mn-cs"/>
            </a:rPr>
            <a:t>европейски и национални</a:t>
          </a:r>
          <a:endParaRPr lang="en-US" sz="900">
            <a:solidFill>
              <a:srgbClr val="C00000"/>
            </a:solidFill>
            <a:latin typeface="Calibri" panose="020F0502020204030204"/>
            <a:ea typeface="+mn-ea"/>
            <a:cs typeface="+mn-cs"/>
          </a:endParaRPr>
        </a:p>
      </dgm:t>
    </dgm:pt>
    <dgm:pt modelId="{E23C5950-C5B0-43D1-A4C1-C55459CA355C}" type="parTrans" cxnId="{93BB4DD0-191A-4292-972B-459992023573}">
      <dgm:prSet/>
      <dgm:spPr>
        <a:xfrm rot="8413873">
          <a:off x="1751733" y="2250667"/>
          <a:ext cx="426452" cy="0"/>
        </a:xfrm>
        <a:custGeom>
          <a:avLst/>
          <a:gdLst/>
          <a:ahLst/>
          <a:cxnLst/>
          <a:rect l="0" t="0" r="0" b="0"/>
          <a:pathLst>
            <a:path>
              <a:moveTo>
                <a:pt x="0" y="0"/>
              </a:moveTo>
              <a:lnTo>
                <a:pt x="426452" y="0"/>
              </a:lnTo>
            </a:path>
          </a:pathLst>
        </a:custGeom>
        <a:noFill/>
        <a:ln w="12700" cap="flat" cmpd="sng" algn="ctr">
          <a:solidFill>
            <a:srgbClr val="5B9BD5">
              <a:shade val="60000"/>
              <a:hueOff val="0"/>
              <a:satOff val="0"/>
              <a:lumOff val="0"/>
              <a:alphaOff val="0"/>
            </a:srgbClr>
          </a:solidFill>
          <a:prstDash val="solid"/>
          <a:miter lim="800000"/>
        </a:ln>
        <a:effectLst/>
      </dgm:spPr>
      <dgm:t>
        <a:bodyPr/>
        <a:lstStyle/>
        <a:p>
          <a:endParaRPr lang="en-US"/>
        </a:p>
      </dgm:t>
    </dgm:pt>
    <dgm:pt modelId="{C724C4F4-46F5-4CF3-818E-A7B6D836DE54}" type="sibTrans" cxnId="{93BB4DD0-191A-4292-972B-459992023573}">
      <dgm:prSet/>
      <dgm:spPr/>
      <dgm:t>
        <a:bodyPr/>
        <a:lstStyle/>
        <a:p>
          <a:endParaRPr lang="en-US"/>
        </a:p>
      </dgm:t>
    </dgm:pt>
    <dgm:pt modelId="{64E07152-0FC8-43EF-AEA4-7617A82C674A}" type="pres">
      <dgm:prSet presAssocID="{FE7BFD8E-C704-4CBC-94B0-4D091870A67A}" presName="Name0" presStyleCnt="0">
        <dgm:presLayoutVars>
          <dgm:chMax val="1"/>
          <dgm:chPref val="1"/>
          <dgm:dir/>
          <dgm:animOne val="branch"/>
          <dgm:animLvl val="lvl"/>
        </dgm:presLayoutVars>
      </dgm:prSet>
      <dgm:spPr/>
    </dgm:pt>
    <dgm:pt modelId="{AC3A460D-1BB3-42B1-96B9-9F5DD8EED425}" type="pres">
      <dgm:prSet presAssocID="{47B1516A-588B-4883-BA7F-22E72682CC31}" presName="singleCycle" presStyleCnt="0"/>
      <dgm:spPr/>
    </dgm:pt>
    <dgm:pt modelId="{83062DFC-22E0-46FD-9801-FADDA24D710C}" type="pres">
      <dgm:prSet presAssocID="{47B1516A-588B-4883-BA7F-22E72682CC31}" presName="singleCenter" presStyleLbl="node1" presStyleIdx="0" presStyleCnt="4" custScaleX="139290" custScaleY="98906" custLinFactNeighborX="-326" custLinFactNeighborY="-10766">
        <dgm:presLayoutVars>
          <dgm:chMax val="7"/>
          <dgm:chPref val="7"/>
        </dgm:presLayoutVars>
      </dgm:prSet>
      <dgm:spPr/>
    </dgm:pt>
    <dgm:pt modelId="{707B699B-D4B6-4065-9DF4-EFC2AA2CF011}" type="pres">
      <dgm:prSet presAssocID="{01DA1CE7-C1EF-4F96-A69C-2F6488A62E66}" presName="Name56" presStyleLbl="parChTrans1D2" presStyleIdx="0" presStyleCnt="3"/>
      <dgm:spPr/>
    </dgm:pt>
    <dgm:pt modelId="{2BE23A8B-E7E2-4538-A7FB-C093611A7B66}" type="pres">
      <dgm:prSet presAssocID="{55F745E8-C57D-4834-936A-47BA1A73CE3F}" presName="text0" presStyleLbl="node1" presStyleIdx="1" presStyleCnt="4" custScaleX="314219" custScaleY="92601">
        <dgm:presLayoutVars>
          <dgm:bulletEnabled val="1"/>
        </dgm:presLayoutVars>
      </dgm:prSet>
      <dgm:spPr/>
    </dgm:pt>
    <dgm:pt modelId="{A02E61BD-06F1-46F0-9D3D-950F7E9C11CF}" type="pres">
      <dgm:prSet presAssocID="{66EAA0BF-3EE6-45CC-8E1A-745B8D13A936}" presName="Name56" presStyleLbl="parChTrans1D2" presStyleIdx="1" presStyleCnt="3"/>
      <dgm:spPr/>
    </dgm:pt>
    <dgm:pt modelId="{B7EE91BB-6865-4E31-B333-5E32E338C7CA}" type="pres">
      <dgm:prSet presAssocID="{75C67DE9-62B9-46CE-9023-9853A73418AF}" presName="text0" presStyleLbl="node1" presStyleIdx="2" presStyleCnt="4" custScaleX="236145">
        <dgm:presLayoutVars>
          <dgm:bulletEnabled val="1"/>
        </dgm:presLayoutVars>
      </dgm:prSet>
      <dgm:spPr/>
    </dgm:pt>
    <dgm:pt modelId="{F5F9E137-2577-48FB-9473-5B143B9BF75C}" type="pres">
      <dgm:prSet presAssocID="{E23C5950-C5B0-43D1-A4C1-C55459CA355C}" presName="Name56" presStyleLbl="parChTrans1D2" presStyleIdx="2" presStyleCnt="3"/>
      <dgm:spPr/>
    </dgm:pt>
    <dgm:pt modelId="{9E665FCD-9B6D-452D-900E-39A6BE85C1C2}" type="pres">
      <dgm:prSet presAssocID="{C222993D-0E98-47EB-A88D-6379742C4176}" presName="text0" presStyleLbl="node1" presStyleIdx="3" presStyleCnt="4" custScaleX="214869" custScaleY="95642">
        <dgm:presLayoutVars>
          <dgm:bulletEnabled val="1"/>
        </dgm:presLayoutVars>
      </dgm:prSet>
      <dgm:spPr/>
    </dgm:pt>
  </dgm:ptLst>
  <dgm:cxnLst>
    <dgm:cxn modelId="{A34D6B12-A85A-40FB-B801-678E75BA2E4D}" type="presOf" srcId="{E23C5950-C5B0-43D1-A4C1-C55459CA355C}" destId="{F5F9E137-2577-48FB-9473-5B143B9BF75C}" srcOrd="0" destOrd="0" presId="urn:microsoft.com/office/officeart/2008/layout/RadialCluster"/>
    <dgm:cxn modelId="{481D2D70-F03A-4071-B5F3-8288153682C1}" srcId="{47B1516A-588B-4883-BA7F-22E72682CC31}" destId="{55F745E8-C57D-4834-936A-47BA1A73CE3F}" srcOrd="0" destOrd="0" parTransId="{01DA1CE7-C1EF-4F96-A69C-2F6488A62E66}" sibTransId="{B40A00FD-70E4-47F9-9D22-4532C9EA85F7}"/>
    <dgm:cxn modelId="{80EE2777-1143-4F55-83BB-BB8C047F47ED}" type="presOf" srcId="{55F745E8-C57D-4834-936A-47BA1A73CE3F}" destId="{2BE23A8B-E7E2-4538-A7FB-C093611A7B66}" srcOrd="0" destOrd="0" presId="urn:microsoft.com/office/officeart/2008/layout/RadialCluster"/>
    <dgm:cxn modelId="{956DA058-E64A-44FC-A7D8-73050420BC9A}" type="presOf" srcId="{C222993D-0E98-47EB-A88D-6379742C4176}" destId="{9E665FCD-9B6D-452D-900E-39A6BE85C1C2}" srcOrd="0" destOrd="0" presId="urn:microsoft.com/office/officeart/2008/layout/RadialCluster"/>
    <dgm:cxn modelId="{268DA559-C686-4962-AB4B-C4AACC94FAF2}" type="presOf" srcId="{01DA1CE7-C1EF-4F96-A69C-2F6488A62E66}" destId="{707B699B-D4B6-4065-9DF4-EFC2AA2CF011}" srcOrd="0" destOrd="0" presId="urn:microsoft.com/office/officeart/2008/layout/RadialCluster"/>
    <dgm:cxn modelId="{185FC993-814C-4ACE-88D9-CD9E51A69BAD}" srcId="{47B1516A-588B-4883-BA7F-22E72682CC31}" destId="{75C67DE9-62B9-46CE-9023-9853A73418AF}" srcOrd="1" destOrd="0" parTransId="{66EAA0BF-3EE6-45CC-8E1A-745B8D13A936}" sibTransId="{33805B21-4AB0-46D7-966C-82E6649EE374}"/>
    <dgm:cxn modelId="{6A6E7395-A107-4CE8-90D9-7C0A94E17EDF}" type="presOf" srcId="{FE7BFD8E-C704-4CBC-94B0-4D091870A67A}" destId="{64E07152-0FC8-43EF-AEA4-7617A82C674A}" srcOrd="0" destOrd="0" presId="urn:microsoft.com/office/officeart/2008/layout/RadialCluster"/>
    <dgm:cxn modelId="{B4FB679B-B7E7-49B6-B312-454DF2F16F12}" type="presOf" srcId="{47B1516A-588B-4883-BA7F-22E72682CC31}" destId="{83062DFC-22E0-46FD-9801-FADDA24D710C}" srcOrd="0" destOrd="0" presId="urn:microsoft.com/office/officeart/2008/layout/RadialCluster"/>
    <dgm:cxn modelId="{93BB4DD0-191A-4292-972B-459992023573}" srcId="{47B1516A-588B-4883-BA7F-22E72682CC31}" destId="{C222993D-0E98-47EB-A88D-6379742C4176}" srcOrd="2" destOrd="0" parTransId="{E23C5950-C5B0-43D1-A4C1-C55459CA355C}" sibTransId="{C724C4F4-46F5-4CF3-818E-A7B6D836DE54}"/>
    <dgm:cxn modelId="{4F8AF5ED-94F8-488C-AB63-ABB006F2E446}" srcId="{FE7BFD8E-C704-4CBC-94B0-4D091870A67A}" destId="{47B1516A-588B-4883-BA7F-22E72682CC31}" srcOrd="0" destOrd="0" parTransId="{9EE1ECE5-4015-4B66-B87B-D79BD253AC67}" sibTransId="{F16F6A13-748C-440E-9434-E2E9BD68A4EB}"/>
    <dgm:cxn modelId="{1D3679EF-0225-4844-ACD5-6E5E1EB3D4F5}" type="presOf" srcId="{66EAA0BF-3EE6-45CC-8E1A-745B8D13A936}" destId="{A02E61BD-06F1-46F0-9D3D-950F7E9C11CF}" srcOrd="0" destOrd="0" presId="urn:microsoft.com/office/officeart/2008/layout/RadialCluster"/>
    <dgm:cxn modelId="{68F0BCF6-F5AA-4A25-946D-65B935FA141D}" type="presOf" srcId="{75C67DE9-62B9-46CE-9023-9853A73418AF}" destId="{B7EE91BB-6865-4E31-B333-5E32E338C7CA}" srcOrd="0" destOrd="0" presId="urn:microsoft.com/office/officeart/2008/layout/RadialCluster"/>
    <dgm:cxn modelId="{D0E15C2B-6D41-455E-A470-E313BB6EEF13}" type="presParOf" srcId="{64E07152-0FC8-43EF-AEA4-7617A82C674A}" destId="{AC3A460D-1BB3-42B1-96B9-9F5DD8EED425}" srcOrd="0" destOrd="0" presId="urn:microsoft.com/office/officeart/2008/layout/RadialCluster"/>
    <dgm:cxn modelId="{56F20108-04D7-4AA5-A123-3FA68D069D51}" type="presParOf" srcId="{AC3A460D-1BB3-42B1-96B9-9F5DD8EED425}" destId="{83062DFC-22E0-46FD-9801-FADDA24D710C}" srcOrd="0" destOrd="0" presId="urn:microsoft.com/office/officeart/2008/layout/RadialCluster"/>
    <dgm:cxn modelId="{32432F70-A0CD-4829-9679-B37F43ED2713}" type="presParOf" srcId="{AC3A460D-1BB3-42B1-96B9-9F5DD8EED425}" destId="{707B699B-D4B6-4065-9DF4-EFC2AA2CF011}" srcOrd="1" destOrd="0" presId="urn:microsoft.com/office/officeart/2008/layout/RadialCluster"/>
    <dgm:cxn modelId="{3823A38E-108E-4FAB-8099-F20BC7A63730}" type="presParOf" srcId="{AC3A460D-1BB3-42B1-96B9-9F5DD8EED425}" destId="{2BE23A8B-E7E2-4538-A7FB-C093611A7B66}" srcOrd="2" destOrd="0" presId="urn:microsoft.com/office/officeart/2008/layout/RadialCluster"/>
    <dgm:cxn modelId="{EC1E8B5E-95E2-47E3-A5D7-2AAF87CB07BD}" type="presParOf" srcId="{AC3A460D-1BB3-42B1-96B9-9F5DD8EED425}" destId="{A02E61BD-06F1-46F0-9D3D-950F7E9C11CF}" srcOrd="3" destOrd="0" presId="urn:microsoft.com/office/officeart/2008/layout/RadialCluster"/>
    <dgm:cxn modelId="{47B6AF88-5E44-4000-9E81-B3FD4050BDDD}" type="presParOf" srcId="{AC3A460D-1BB3-42B1-96B9-9F5DD8EED425}" destId="{B7EE91BB-6865-4E31-B333-5E32E338C7CA}" srcOrd="4" destOrd="0" presId="urn:microsoft.com/office/officeart/2008/layout/RadialCluster"/>
    <dgm:cxn modelId="{992062A9-952A-48D5-92F0-74568CDDCD9D}" type="presParOf" srcId="{AC3A460D-1BB3-42B1-96B9-9F5DD8EED425}" destId="{F5F9E137-2577-48FB-9473-5B143B9BF75C}" srcOrd="5" destOrd="0" presId="urn:microsoft.com/office/officeart/2008/layout/RadialCluster"/>
    <dgm:cxn modelId="{3890C67B-0502-418A-8417-C70166D2FDA6}" type="presParOf" srcId="{AC3A460D-1BB3-42B1-96B9-9F5DD8EED425}" destId="{9E665FCD-9B6D-452D-900E-39A6BE85C1C2}" srcOrd="6" destOrd="0" presId="urn:microsoft.com/office/officeart/2008/layout/RadialCluster"/>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3062DFC-22E0-46FD-9801-FADDA24D710C}">
      <dsp:nvSpPr>
        <dsp:cNvPr id="0" name=""/>
        <dsp:cNvSpPr/>
      </dsp:nvSpPr>
      <dsp:spPr>
        <a:xfrm>
          <a:off x="2030690" y="1164652"/>
          <a:ext cx="1337351" cy="949616"/>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800100">
            <a:lnSpc>
              <a:spcPct val="90000"/>
            </a:lnSpc>
            <a:spcBef>
              <a:spcPct val="0"/>
            </a:spcBef>
            <a:spcAft>
              <a:spcPct val="35000"/>
            </a:spcAft>
            <a:buNone/>
          </a:pPr>
          <a:r>
            <a:rPr lang="bg-BG" sz="1800" kern="1200">
              <a:solidFill>
                <a:srgbClr val="44546A">
                  <a:lumMod val="75000"/>
                </a:srgbClr>
              </a:solidFill>
              <a:latin typeface="Calibri" panose="020F0502020204030204"/>
              <a:ea typeface="+mn-ea"/>
              <a:cs typeface="+mn-cs"/>
            </a:rPr>
            <a:t>ПО</a:t>
          </a:r>
        </a:p>
        <a:p>
          <a:pPr marL="0" lvl="0" indent="0" algn="ctr" defTabSz="800100">
            <a:lnSpc>
              <a:spcPct val="90000"/>
            </a:lnSpc>
            <a:spcBef>
              <a:spcPct val="0"/>
            </a:spcBef>
            <a:spcAft>
              <a:spcPct val="35000"/>
            </a:spcAft>
            <a:buNone/>
          </a:pPr>
          <a:r>
            <a:rPr lang="bg-BG" sz="1800" kern="1200">
              <a:solidFill>
                <a:srgbClr val="44546A">
                  <a:lumMod val="75000"/>
                </a:srgbClr>
              </a:solidFill>
              <a:latin typeface="Calibri" panose="020F0502020204030204"/>
              <a:ea typeface="+mn-ea"/>
              <a:cs typeface="+mn-cs"/>
            </a:rPr>
            <a:t>2021</a:t>
          </a:r>
          <a:r>
            <a:rPr lang="bg-BG" sz="1800" kern="1200">
              <a:solidFill>
                <a:sysClr val="windowText" lastClr="000000"/>
              </a:solidFill>
            </a:rPr>
            <a:t>–</a:t>
          </a:r>
          <a:r>
            <a:rPr lang="bg-BG" sz="1800" kern="1200"/>
            <a:t> </a:t>
          </a:r>
          <a:r>
            <a:rPr lang="bg-BG" sz="1800" kern="1200">
              <a:solidFill>
                <a:srgbClr val="44546A">
                  <a:lumMod val="75000"/>
                </a:srgbClr>
              </a:solidFill>
              <a:latin typeface="Calibri" panose="020F0502020204030204"/>
              <a:ea typeface="+mn-ea"/>
              <a:cs typeface="+mn-cs"/>
            </a:rPr>
            <a:t>2027</a:t>
          </a:r>
          <a:endParaRPr lang="en-US" sz="1800" kern="1200">
            <a:solidFill>
              <a:srgbClr val="44546A">
                <a:lumMod val="75000"/>
              </a:srgbClr>
            </a:solidFill>
            <a:latin typeface="Calibri" panose="020F0502020204030204"/>
            <a:ea typeface="+mn-ea"/>
            <a:cs typeface="+mn-cs"/>
          </a:endParaRPr>
        </a:p>
      </dsp:txBody>
      <dsp:txXfrm>
        <a:off x="2077046" y="1211008"/>
        <a:ext cx="1244639" cy="856904"/>
      </dsp:txXfrm>
    </dsp:sp>
    <dsp:sp modelId="{707B699B-D4B6-4065-9DF4-EFC2AA2CF011}">
      <dsp:nvSpPr>
        <dsp:cNvPr id="0" name=""/>
        <dsp:cNvSpPr/>
      </dsp:nvSpPr>
      <dsp:spPr>
        <a:xfrm rot="16228564">
          <a:off x="2512454" y="972203"/>
          <a:ext cx="384910" cy="0"/>
        </a:xfrm>
        <a:custGeom>
          <a:avLst/>
          <a:gdLst/>
          <a:ahLst/>
          <a:cxnLst/>
          <a:rect l="0" t="0" r="0" b="0"/>
          <a:pathLst>
            <a:path>
              <a:moveTo>
                <a:pt x="0" y="0"/>
              </a:moveTo>
              <a:lnTo>
                <a:pt x="384910" y="0"/>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2BE23A8B-E7E2-4538-A7FB-C093611A7B66}">
      <dsp:nvSpPr>
        <dsp:cNvPr id="0" name=""/>
        <dsp:cNvSpPr/>
      </dsp:nvSpPr>
      <dsp:spPr>
        <a:xfrm>
          <a:off x="1698329" y="184070"/>
          <a:ext cx="2021309" cy="595684"/>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7940" rIns="27940" bIns="27940" numCol="1" spcCol="1270" anchor="ctr" anchorCtr="0">
          <a:noAutofit/>
        </a:bodyPr>
        <a:lstStyle/>
        <a:p>
          <a:pPr marL="0" lvl="0" indent="0" algn="ctr" defTabSz="488950">
            <a:lnSpc>
              <a:spcPct val="90000"/>
            </a:lnSpc>
            <a:spcBef>
              <a:spcPct val="0"/>
            </a:spcBef>
            <a:spcAft>
              <a:spcPct val="35000"/>
            </a:spcAft>
            <a:buNone/>
          </a:pPr>
          <a:r>
            <a:rPr lang="bg-BG" sz="1100" kern="1200">
              <a:solidFill>
                <a:sysClr val="window" lastClr="FFFFFF"/>
              </a:solidFill>
              <a:latin typeface="Calibri" panose="020F0502020204030204"/>
              <a:ea typeface="+mn-ea"/>
              <a:cs typeface="+mn-cs"/>
            </a:rPr>
            <a:t>СТРАТЕГИЧЕСКИ ДОКУМЕНТИ</a:t>
          </a:r>
        </a:p>
        <a:p>
          <a:pPr marL="0" lvl="0" indent="0" algn="ctr" defTabSz="488950">
            <a:lnSpc>
              <a:spcPct val="90000"/>
            </a:lnSpc>
            <a:spcBef>
              <a:spcPct val="0"/>
            </a:spcBef>
            <a:spcAft>
              <a:spcPct val="35000"/>
            </a:spcAft>
            <a:buNone/>
          </a:pPr>
          <a:r>
            <a:rPr lang="bg-BG" sz="1100" kern="1200">
              <a:solidFill>
                <a:sysClr val="window" lastClr="FFFFFF"/>
              </a:solidFill>
              <a:latin typeface="Calibri" panose="020F0502020204030204"/>
              <a:ea typeface="+mn-ea"/>
              <a:cs typeface="+mn-cs"/>
            </a:rPr>
            <a:t>европейски и национални</a:t>
          </a:r>
          <a:endParaRPr lang="en-US" sz="1100" kern="1200">
            <a:solidFill>
              <a:sysClr val="window" lastClr="FFFFFF"/>
            </a:solidFill>
            <a:latin typeface="Calibri" panose="020F0502020204030204"/>
            <a:ea typeface="+mn-ea"/>
            <a:cs typeface="+mn-cs"/>
          </a:endParaRPr>
        </a:p>
      </dsp:txBody>
      <dsp:txXfrm>
        <a:off x="1727408" y="213149"/>
        <a:ext cx="1963151" cy="537526"/>
      </dsp:txXfrm>
    </dsp:sp>
    <dsp:sp modelId="{A02E61BD-06F1-46F0-9D3D-950F7E9C11CF}">
      <dsp:nvSpPr>
        <dsp:cNvPr id="0" name=""/>
        <dsp:cNvSpPr/>
      </dsp:nvSpPr>
      <dsp:spPr>
        <a:xfrm rot="2360711">
          <a:off x="3232276" y="2243658"/>
          <a:ext cx="408177" cy="0"/>
        </a:xfrm>
        <a:custGeom>
          <a:avLst/>
          <a:gdLst/>
          <a:ahLst/>
          <a:cxnLst/>
          <a:rect l="0" t="0" r="0" b="0"/>
          <a:pathLst>
            <a:path>
              <a:moveTo>
                <a:pt x="0" y="0"/>
              </a:moveTo>
              <a:lnTo>
                <a:pt x="408177" y="0"/>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B7EE91BB-6865-4E31-B333-5E32E338C7CA}">
      <dsp:nvSpPr>
        <dsp:cNvPr id="0" name=""/>
        <dsp:cNvSpPr/>
      </dsp:nvSpPr>
      <dsp:spPr>
        <a:xfrm>
          <a:off x="3226993" y="2373049"/>
          <a:ext cx="1519074" cy="643280"/>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533400">
            <a:lnSpc>
              <a:spcPct val="90000"/>
            </a:lnSpc>
            <a:spcBef>
              <a:spcPct val="0"/>
            </a:spcBef>
            <a:spcAft>
              <a:spcPct val="35000"/>
            </a:spcAft>
            <a:buNone/>
          </a:pPr>
          <a:r>
            <a:rPr lang="bg-BG" sz="1200" kern="1200">
              <a:solidFill>
                <a:sysClr val="window" lastClr="FFFFFF"/>
              </a:solidFill>
              <a:latin typeface="Calibri" panose="020F0502020204030204"/>
              <a:ea typeface="+mn-ea"/>
              <a:cs typeface="+mn-cs"/>
            </a:rPr>
            <a:t>ДРУГИ</a:t>
          </a:r>
        </a:p>
        <a:p>
          <a:pPr marL="0" lvl="0" indent="0" algn="ctr" defTabSz="533400">
            <a:lnSpc>
              <a:spcPct val="90000"/>
            </a:lnSpc>
            <a:spcBef>
              <a:spcPct val="0"/>
            </a:spcBef>
            <a:spcAft>
              <a:spcPct val="35000"/>
            </a:spcAft>
            <a:buNone/>
          </a:pPr>
          <a:r>
            <a:rPr lang="bg-BG" sz="1200" kern="1200">
              <a:solidFill>
                <a:sysClr val="window" lastClr="FFFFFF"/>
              </a:solidFill>
              <a:latin typeface="Calibri" panose="020F0502020204030204"/>
              <a:ea typeface="+mn-ea"/>
              <a:cs typeface="+mn-cs"/>
            </a:rPr>
            <a:t>европейски  и национални</a:t>
          </a:r>
          <a:r>
            <a:rPr lang="bg-BG" sz="1000" kern="1200">
              <a:solidFill>
                <a:sysClr val="window" lastClr="FFFFFF"/>
              </a:solidFill>
              <a:latin typeface="Calibri" panose="020F0502020204030204"/>
              <a:ea typeface="+mn-ea"/>
              <a:cs typeface="+mn-cs"/>
            </a:rPr>
            <a:t> </a:t>
          </a:r>
          <a:endParaRPr lang="en-US" sz="1000" kern="1200">
            <a:solidFill>
              <a:sysClr val="window" lastClr="FFFFFF"/>
            </a:solidFill>
            <a:latin typeface="Calibri" panose="020F0502020204030204"/>
            <a:ea typeface="+mn-ea"/>
            <a:cs typeface="+mn-cs"/>
          </a:endParaRPr>
        </a:p>
      </dsp:txBody>
      <dsp:txXfrm>
        <a:off x="3258395" y="2404451"/>
        <a:ext cx="1456270" cy="580476"/>
      </dsp:txXfrm>
    </dsp:sp>
    <dsp:sp modelId="{F5F9E137-2577-48FB-9473-5B143B9BF75C}">
      <dsp:nvSpPr>
        <dsp:cNvPr id="0" name=""/>
        <dsp:cNvSpPr/>
      </dsp:nvSpPr>
      <dsp:spPr>
        <a:xfrm rot="8413873">
          <a:off x="1751733" y="2250667"/>
          <a:ext cx="426452" cy="0"/>
        </a:xfrm>
        <a:custGeom>
          <a:avLst/>
          <a:gdLst/>
          <a:ahLst/>
          <a:cxnLst/>
          <a:rect l="0" t="0" r="0" b="0"/>
          <a:pathLst>
            <a:path>
              <a:moveTo>
                <a:pt x="0" y="0"/>
              </a:moveTo>
              <a:lnTo>
                <a:pt x="426452" y="0"/>
              </a:lnTo>
            </a:path>
          </a:pathLst>
        </a:custGeom>
        <a:noFill/>
        <a:ln w="12700" cap="flat" cmpd="sng" algn="ctr">
          <a:solidFill>
            <a:srgbClr val="5B9BD5">
              <a:shade val="60000"/>
              <a:hueOff val="0"/>
              <a:satOff val="0"/>
              <a:lumOff val="0"/>
              <a:alphaOff val="0"/>
            </a:srgbClr>
          </a:solidFill>
          <a:prstDash val="solid"/>
          <a:miter lim="800000"/>
        </a:ln>
        <a:effectLst/>
      </dsp:spPr>
      <dsp:style>
        <a:lnRef idx="2">
          <a:scrgbClr r="0" g="0" b="0"/>
        </a:lnRef>
        <a:fillRef idx="0">
          <a:scrgbClr r="0" g="0" b="0"/>
        </a:fillRef>
        <a:effectRef idx="0">
          <a:scrgbClr r="0" g="0" b="0"/>
        </a:effectRef>
        <a:fontRef idx="minor"/>
      </dsp:style>
    </dsp:sp>
    <dsp:sp modelId="{9E665FCD-9B6D-452D-900E-39A6BE85C1C2}">
      <dsp:nvSpPr>
        <dsp:cNvPr id="0" name=""/>
        <dsp:cNvSpPr/>
      </dsp:nvSpPr>
      <dsp:spPr>
        <a:xfrm>
          <a:off x="740331" y="2387066"/>
          <a:ext cx="1382210" cy="615246"/>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533400">
            <a:lnSpc>
              <a:spcPct val="90000"/>
            </a:lnSpc>
            <a:spcBef>
              <a:spcPct val="0"/>
            </a:spcBef>
            <a:spcAft>
              <a:spcPct val="35000"/>
            </a:spcAft>
            <a:buNone/>
          </a:pPr>
          <a:r>
            <a:rPr lang="bg-BG" sz="1200" kern="1200">
              <a:solidFill>
                <a:sysClr val="window" lastClr="FFFFFF"/>
              </a:solidFill>
              <a:latin typeface="Calibri" panose="020F0502020204030204"/>
              <a:ea typeface="+mn-ea"/>
              <a:cs typeface="+mn-cs"/>
            </a:rPr>
            <a:t>НОРМИ</a:t>
          </a:r>
        </a:p>
        <a:p>
          <a:pPr marL="0" lvl="0" indent="0" algn="ctr" defTabSz="533400">
            <a:lnSpc>
              <a:spcPct val="90000"/>
            </a:lnSpc>
            <a:spcBef>
              <a:spcPct val="0"/>
            </a:spcBef>
            <a:spcAft>
              <a:spcPct val="35000"/>
            </a:spcAft>
            <a:buNone/>
          </a:pPr>
          <a:r>
            <a:rPr lang="bg-BG" sz="1200" kern="1200">
              <a:solidFill>
                <a:sysClr val="window" lastClr="FFFFFF"/>
              </a:solidFill>
              <a:latin typeface="Calibri" panose="020F0502020204030204"/>
              <a:ea typeface="+mn-ea"/>
              <a:cs typeface="+mn-cs"/>
            </a:rPr>
            <a:t>европейски и национални</a:t>
          </a:r>
          <a:endParaRPr lang="en-US" sz="900" kern="1200">
            <a:solidFill>
              <a:srgbClr val="C00000"/>
            </a:solidFill>
            <a:latin typeface="Calibri" panose="020F0502020204030204"/>
            <a:ea typeface="+mn-ea"/>
            <a:cs typeface="+mn-cs"/>
          </a:endParaRPr>
        </a:p>
      </dsp:txBody>
      <dsp:txXfrm>
        <a:off x="770365" y="2417100"/>
        <a:ext cx="1322142" cy="555178"/>
      </dsp:txXfrm>
    </dsp:sp>
  </dsp:spTree>
</dsp:drawing>
</file>

<file path=word/diagrams/layout1.xml><?xml version="1.0" encoding="utf-8"?>
<dgm:layoutDef xmlns:dgm="http://schemas.openxmlformats.org/drawingml/2006/diagram" xmlns:a="http://schemas.openxmlformats.org/drawingml/2006/main" uniqueId="urn:microsoft.com/office/officeart/2008/layout/RadialCluster">
  <dgm:title val=""/>
  <dgm:desc val=""/>
  <dgm:catLst>
    <dgm:cat type="relationship" pri="19500"/>
    <dgm:cat type="cycle" pri="15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useDef="1">
    <dgm:dataModel>
      <dgm:ptLst/>
      <dgm:bg/>
      <dgm:whole/>
    </dgm:dataModel>
  </dgm:styleData>
  <dgm:clrData useDef="1">
    <dgm:dataModel>
      <dgm:ptLst/>
      <dgm:bg/>
      <dgm:whole/>
    </dgm:dataModel>
  </dgm:clrData>
  <dgm:layoutNode name="Name0">
    <dgm:varLst>
      <dgm:chMax val="1"/>
      <dgm:chPref val="1"/>
      <dgm:dir/>
      <dgm:animOne val="branch"/>
      <dgm:animLvl val="lvl"/>
    </dgm:varLst>
    <dgm:alg type="composite">
      <dgm:param type="ar" val="1.00"/>
    </dgm:alg>
    <dgm:shape xmlns:r="http://schemas.openxmlformats.org/officeDocument/2006/relationships" r:blip="">
      <dgm:adjLst/>
    </dgm:shape>
    <dgm:choose name="Name1">
      <dgm:if name="Name2" func="var" arg="dir" op="equ" val="norm">
        <dgm:choose name="Name3">
          <dgm:if name="Name4" axis="ch ch" ptType="node node" cnt="1 0" func="cnt" op="equ" val="1">
            <dgm:constrLst>
              <dgm:constr type="l" for="ch" forName="textCenter"/>
              <dgm:constr type="ctrY" for="ch" forName="textCenter" refType="h" fact="0.5"/>
              <dgm:constr type="w" for="ch" forName="textCenter" refType="w" fact="0.32"/>
              <dgm:constr type="h" for="ch" forName="textCenter" refType="w" refFor="ch" refForName="textCenter"/>
              <dgm:constr type="r" for="ch" forName="cycle_1" refType="w"/>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5" axis="ch ch" ptType="node node" cnt="1 0"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6" axis="ch ch" ptType="node node" cnt="1 0" func="cnt" op="equ" val="3">
            <dgm:choose name="Name7">
              <dgm:if name="Name8" axis="ch ch ch" ptType="node node node" st="1 2 0" cnt="1 1 0" func="cnt" op="equ" val="1">
                <dgm:choose name="Name9">
                  <dgm:if name="Name10"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fact="0.85"/>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12">
                <dgm:choose name="Name13">
                  <dgm:if name="Name14"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15">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r" for="ch" forName="cycle_2" refType="w"/>
                      <dgm:constr type="b" for="ch" forName="cycle_2" refType="h"/>
                      <dgm:constr type="w" for="ch" forName="cycle_2" refType="w" fact="0.46"/>
                      <dgm:constr type="h" for="ch" forName="cycle_2" refType="h" fact="0.54"/>
                      <dgm:constr type="diam" for="ch" forName="cycle_2" refType="w" fact="0.5"/>
                      <dgm:constr type="l" for="ch" forName="cycle_3"/>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16" axis="ch ch" ptType="node node" cnt="1 0"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r" for="ch" forName="cycle_2" refType="w"/>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l" for="ch" forName="cycle_4"/>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17" axis="ch ch" ptType="node node" cnt="1 0"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24"/>
              <dgm:constr type="w" for="ch" forName="cycle_2" refType="w" fact="0.33"/>
              <dgm:constr type="h" for="ch" forName="cycle_2" refType="w" refFor="ch" refForName="cycle_2"/>
              <dgm:constr type="r" for="ch" forName="cycle_3" refType="w" fact="0.89"/>
              <dgm:constr type="b" for="ch" forName="cycle_3" refType="h"/>
              <dgm:constr type="w" for="ch" forName="cycle_3" refType="w" fact="0.33"/>
              <dgm:constr type="h" for="ch" forName="cycle_3" refType="w" refFor="ch" refForName="cycle_3"/>
              <dgm:constr type="l" for="ch" forName="cycle_4" refType="w" fact="0.11"/>
              <dgm:constr type="b" for="ch" forName="cycle_4" refType="h"/>
              <dgm:constr type="w" for="ch" forName="cycle_4" refType="w" fact="0.33"/>
              <dgm:constr type="h" for="ch" forName="cycle_4" refType="w" refFor="ch" refForName="cycle_4"/>
              <dgm:constr type="l" for="ch" forName="cycle_5"/>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18" axis="ch ch" ptType="node node" cnt="1 0"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r" for="ch" forName="cycle_2" refType="w"/>
              <dgm:constr type="t" for="ch" forName="cycle_2" refType="h" fact="0.17"/>
              <dgm:constr type="w" for="ch" forName="cycle_2" refType="w" fact="0.33"/>
              <dgm:constr type="h" for="ch" forName="cycle_2" refType="w" refFor="ch" refForName="cycle_2"/>
              <dgm:constr type="r" for="ch" forName="cycle_3" refType="w"/>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l" for="ch" forName="cycle_5"/>
              <dgm:constr type="b" for="ch" forName="cycle_5" refType="h" fact="0.83"/>
              <dgm:constr type="w" for="ch" forName="cycle_5" refType="w" fact="0.33"/>
              <dgm:constr type="h" for="ch" forName="cycle_5" refType="w" refFor="ch" refForName="cycle_5"/>
              <dgm:constr type="l" for="ch" forName="cycle_6"/>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19">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r" for="ch" forName="cycle_2" refType="w" fact="0.938"/>
              <dgm:constr type="t" for="ch" forName="cycle_2" refType="h" fact="0.141"/>
              <dgm:constr type="w" for="ch" forName="cycle_2" refType="w" fact="0.263"/>
              <dgm:constr type="h" for="ch" forName="cycle_2" refType="w" refFor="ch" refForName="cycle_2"/>
              <dgm:constr type="r" for="ch" forName="cycle_3" refType="w"/>
              <dgm:constr type="b" for="ch" forName="cycle_3" refType="h" fact="0.74"/>
              <dgm:constr type="w" for="ch" forName="cycle_3" refType="w" fact="0.263"/>
              <dgm:constr type="h" for="ch" forName="cycle_3" refType="w" refFor="ch" refForName="cycle_3"/>
              <dgm:constr type="r" for="ch" forName="cycle_4" refType="w" fact="0.8"/>
              <dgm:constr type="b" for="ch" forName="cycle_4" refType="h"/>
              <dgm:constr type="w" for="ch" forName="cycle_4" refType="w" fact="0.263"/>
              <dgm:constr type="h" for="ch" forName="cycle_4" refType="w" refFor="ch" refForName="cycle_4"/>
              <dgm:constr type="l" for="ch" forName="cycle_5" refType="w" fact="0.2"/>
              <dgm:constr type="b" for="ch" forName="cycle_5" refType="h"/>
              <dgm:constr type="w" for="ch" forName="cycle_5" refType="w" fact="0.263"/>
              <dgm:constr type="h" for="ch" forName="cycle_5" refType="w" refFor="ch" refForName="cycle_5"/>
              <dgm:constr type="l" for="ch" forName="cycle_6"/>
              <dgm:constr type="b" for="ch" forName="cycle_6" refType="h" fact="0.74"/>
              <dgm:constr type="w" for="ch" forName="cycle_6" refType="w" fact="0.263"/>
              <dgm:constr type="h" for="ch" forName="cycle_6" refType="w" refFor="ch" refForName="cycle_6"/>
              <dgm:constr type="l" for="ch" forName="cycle_7" refType="w" fact="0.062"/>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if>
      <dgm:else name="Name20">
        <dgm:choose name="Name21">
          <dgm:if name="Name22" axis="ch ch" ptType="node node" func="cnt" op="equ" val="1">
            <dgm:constrLst>
              <dgm:constr type="r" for="ch" forName="textCenter" refType="w"/>
              <dgm:constr type="ctrY" for="ch" forName="textCenter" refType="h" fact="0.5"/>
              <dgm:constr type="w" for="ch" forName="textCenter" refType="w" fact="0.32"/>
              <dgm:constr type="h" for="ch" forName="textCenter" refType="w" refFor="ch" refForName="textCenter"/>
              <dgm:constr type="l" for="ch" forName="cycle_1"/>
              <dgm:constr type="ctrY" for="ch" forName="cycle_1" refType="h" fact="0.5"/>
              <dgm:constr type="w" for="ch" forName="cycle_1" refType="w" fact="0.56"/>
              <dgm:constr type="h" for="ch" forName="cycle_1" refType="h"/>
              <dgm:constr type="primFontSz" for="ch" forName="textCenter" val="65"/>
              <dgm:constr type="primFontSz" for="des" forName="childCenter1" val="65"/>
              <dgm:constr type="primFontSz" for="des" forName="text1" op="equ" val="65"/>
              <dgm:constr type="userS" for="des" ptType="node" refType="w" refFor="ch" refForName="textCenter" fact="0.67"/>
            </dgm:constrLst>
          </dgm:if>
          <dgm:if name="Name23" axis="ch ch" ptType="node node" func="cnt" op="equ" val="2">
            <dgm:constrLst>
              <dgm:constr type="ctrX" for="ch" forName="textCenter" refType="w" fact="0.5"/>
              <dgm:constr type="ctrY" for="ch" forName="textCenter" refType="h" fact="0.5"/>
              <dgm:constr type="w" for="ch" forName="textCenter" refType="w" fact="0.25"/>
              <dgm:constr type="h" for="ch" forName="textCenter" refType="w" refFor="ch" refForName="textCenter"/>
              <dgm:constr type="ctrX" for="ch" forName="cycle_1" refType="w" fact="0.5"/>
              <dgm:constr type="t" for="ch" forName="cycle_1"/>
              <dgm:constr type="w" for="ch" forName="cycle_1" refType="w"/>
              <dgm:constr type="h" for="ch" forName="cycle_1" refType="h" fact="0.34"/>
              <dgm:constr type="ctrX" for="ch" forName="cycle_2" refType="w" fact="0.5"/>
              <dgm:constr type="b" for="ch" forName="cycle_2" refType="h"/>
              <dgm:constr type="w" for="ch" forName="cycle_2" refType="w"/>
              <dgm:constr type="h" for="ch" forName="cycle_2" refType="h" fact="0.34"/>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userS" for="des" ptType="node" refType="w" refFor="ch" refForName="textCenter" fact="0.67"/>
            </dgm:constrLst>
          </dgm:if>
          <dgm:if name="Name24" axis="ch ch" ptType="node node" func="cnt" op="equ" val="3">
            <dgm:choose name="Name25">
              <dgm:if name="Name26" axis="ch ch ch" ptType="node node node" st="1 2 0" cnt="1 1 0" func="cnt" op="equ" val="1">
                <dgm:choose name="Name27">
                  <dgm:if name="Name28"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29">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fact="0.85"/>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if>
              <dgm:else name="Name30">
                <dgm:choose name="Name31">
                  <dgm:if name="Name32" axis="ch ch ch" ptType="node node node" st="1 3 0" cnt="1 1 0" func="cnt" op="equ" val="1">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fact="0.85"/>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if>
                  <dgm:else name="Name33">
                    <dgm:constrLst>
                      <dgm:constr type="ctrX" for="ch" forName="textCenter" refType="w" fact="0.5"/>
                      <dgm:constr type="t" for="ch" forName="textCenter" refType="h" fact="0.436"/>
                      <dgm:constr type="w" for="ch" forName="textCenter" refType="w" fact="0.21"/>
                      <dgm:constr type="h" for="ch" forName="textCenter" refType="w" refFor="ch" refForName="textCenter"/>
                      <dgm:constr type="ctrX" for="ch" forName="cycle_1" refType="w" fact="0.5"/>
                      <dgm:constr type="t" for="ch" forName="cycle_1"/>
                      <dgm:constr type="w" for="ch" forName="cycle_1" refType="w" fact="0.61"/>
                      <dgm:constr type="h" for="ch" forName="cycle_1" refType="h" fact="0.36"/>
                      <dgm:constr type="diam" for="ch" forName="cycle_1" refType="w" fact="0.5"/>
                      <dgm:constr type="l" for="ch" forName="cycle_2"/>
                      <dgm:constr type="b" for="ch" forName="cycle_2" refType="h"/>
                      <dgm:constr type="w" for="ch" forName="cycle_2" refType="w" fact="0.46"/>
                      <dgm:constr type="h" for="ch" forName="cycle_2" refType="h" fact="0.54"/>
                      <dgm:constr type="diam" for="ch" forName="cycle_2" refType="w" fact="0.5"/>
                      <dgm:constr type="r" for="ch" forName="cycle_3" refType="w"/>
                      <dgm:constr type="b" for="ch" forName="cycle_3" refType="h"/>
                      <dgm:constr type="w" for="ch" forName="cycle_3" refType="w" fact="0.46"/>
                      <dgm:constr type="h" for="ch" forName="cycle_3" refType="h" fact="0.54"/>
                      <dgm:constr type="diam" for="ch" forName="cycle_3" refType="w"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userS" for="des" ptType="node" refType="w" refFor="ch" refForName="textCenter" fact="0.67"/>
                    </dgm:constrLst>
                  </dgm:else>
                </dgm:choose>
              </dgm:else>
            </dgm:choose>
          </dgm:if>
          <dgm:if name="Name34" axis="ch ch" ptType="node node" func="cnt" op="equ" val="4">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5"/>
              <dgm:constr type="h" for="ch" forName="cycle_1" refType="h" fact="0.33"/>
              <dgm:constr type="l" for="ch" forName="cycle_2"/>
              <dgm:constr type="ctrY" for="ch" forName="cycle_2" refType="h" fact="0.5"/>
              <dgm:constr type="w" for="ch" forName="cycle_2" refType="w" fact="0.33"/>
              <dgm:constr type="h" for="ch" forName="cycle_2" refType="h" fact="0.5"/>
              <dgm:constr type="ctrX" for="ch" forName="cycle_3" refType="w" fact="0.5"/>
              <dgm:constr type="b" for="ch" forName="cycle_3" refType="h"/>
              <dgm:constr type="w" for="ch" forName="cycle_3" refType="w" fact="0.5"/>
              <dgm:constr type="h" for="ch" forName="cycle_3" refType="h" fact="0.33"/>
              <dgm:constr type="r" for="ch" forName="cycle_4" refType="w"/>
              <dgm:constr type="ctrY" for="ch" forName="cycle_4" refType="h" fact="0.5"/>
              <dgm:constr type="w" for="ch" forName="cycle_4" refType="w" fact="0.33"/>
              <dgm:constr type="h" for="ch" forName="cycle_4" refType="h" fact="0.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userS" for="des" ptType="node" refType="w" refFor="ch" refForName="textCenter" fact="0.67"/>
            </dgm:constrLst>
          </dgm:if>
          <dgm:if name="Name35" axis="ch ch" ptType="node node" func="cnt" op="equ" val="5">
            <dgm:constrLst>
              <dgm:constr type="ctrX" for="ch" forName="textCenter" refType="w" fact="0.5"/>
              <dgm:constr type="t" for="ch" forName="textCenter" refType="h" fact="0.42"/>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24"/>
              <dgm:constr type="w" for="ch" forName="cycle_2" refType="w" fact="0.33"/>
              <dgm:constr type="h" for="ch" forName="cycle_2" refType="w" refFor="ch" refForName="cycle_2"/>
              <dgm:constr type="l" for="ch" forName="cycle_3" refType="w" fact="0.11"/>
              <dgm:constr type="b" for="ch" forName="cycle_3" refType="h"/>
              <dgm:constr type="w" for="ch" forName="cycle_3" refType="w" fact="0.33"/>
              <dgm:constr type="h" for="ch" forName="cycle_3" refType="w" refFor="ch" refForName="cycle_3"/>
              <dgm:constr type="r" for="ch" forName="cycle_4" refType="w" fact="0.89"/>
              <dgm:constr type="b" for="ch" forName="cycle_4" refType="h"/>
              <dgm:constr type="w" for="ch" forName="cycle_4" refType="w" fact="0.33"/>
              <dgm:constr type="h" for="ch" forName="cycle_4" refType="w" refFor="ch" refForName="cycle_4"/>
              <dgm:constr type="r" for="ch" forName="cycle_5" refType="w"/>
              <dgm:constr type="t" for="ch" forName="cycle_5" refType="h" fact="0.24"/>
              <dgm:constr type="w" for="ch" forName="cycle_5" refType="w" fact="0.33"/>
              <dgm:constr type="h" for="ch" forName="cycle_5" refType="w" refFor="ch" refForName="cycle_5"/>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userS" for="des" ptType="node" refType="w" refFor="ch" refForName="textCenter" fact="0.67"/>
            </dgm:constrLst>
          </dgm:if>
          <dgm:if name="Name36" axis="ch ch" ptType="node node" func="cnt" op="equ" val="6">
            <dgm:constrLst>
              <dgm:constr type="ctrX" for="ch" forName="textCenter" refType="w" fact="0.5"/>
              <dgm:constr type="ctrY" for="ch" forName="textCenter" refType="h" fact="0.5"/>
              <dgm:constr type="w" for="ch" forName="textCenter" refType="w" fact="0.2"/>
              <dgm:constr type="h" for="ch" forName="textCenter" refType="w" refFor="ch" refForName="textCenter"/>
              <dgm:constr type="ctrX" for="ch" forName="cycle_1" refType="w" fact="0.5"/>
              <dgm:constr type="t" for="ch" forName="cycle_1"/>
              <dgm:constr type="w" for="ch" forName="cycle_1" refType="w" fact="0.33"/>
              <dgm:constr type="h" for="ch" forName="cycle_1" refType="w" refFor="ch" refForName="cycle_1"/>
              <dgm:constr type="l" for="ch" forName="cycle_2"/>
              <dgm:constr type="t" for="ch" forName="cycle_2" refType="h" fact="0.17"/>
              <dgm:constr type="w" for="ch" forName="cycle_2" refType="w" fact="0.33"/>
              <dgm:constr type="h" for="ch" forName="cycle_2" refType="w" refFor="ch" refForName="cycle_2"/>
              <dgm:constr type="l" for="ch" forName="cycle_3"/>
              <dgm:constr type="b" for="ch" forName="cycle_3" refType="h" fact="0.83"/>
              <dgm:constr type="w" for="ch" forName="cycle_3" refType="w" fact="0.33"/>
              <dgm:constr type="h" for="ch" forName="cycle_3" refType="w" refFor="ch" refForName="cycle_3"/>
              <dgm:constr type="ctrX" for="ch" forName="cycle_4" refType="w" fact="0.5"/>
              <dgm:constr type="b" for="ch" forName="cycle_4" refType="h"/>
              <dgm:constr type="w" for="ch" forName="cycle_4" refType="w" fact="0.33"/>
              <dgm:constr type="h" for="ch" forName="cycle_4" refType="w" refFor="ch" refForName="cycle_4"/>
              <dgm:constr type="r" for="ch" forName="cycle_5" refType="w"/>
              <dgm:constr type="b" for="ch" forName="cycle_5" refType="h" fact="0.83"/>
              <dgm:constr type="w" for="ch" forName="cycle_5" refType="w" fact="0.33"/>
              <dgm:constr type="h" for="ch" forName="cycle_5" refType="w" refFor="ch" refForName="cycle_5"/>
              <dgm:constr type="r" for="ch" forName="cycle_6" refType="w"/>
              <dgm:constr type="t" for="ch" forName="cycle_6" refType="h" fact="0.17"/>
              <dgm:constr type="w" for="ch" forName="cycle_6" refType="w" fact="0.33"/>
              <dgm:constr type="h" for="ch" forName="cycle_6" refType="w" refFor="ch" refForName="cycle_6"/>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userS" for="des" ptType="node" refType="w" refFor="ch" refForName="textCenter" fact="0.67"/>
            </dgm:constrLst>
          </dgm:if>
          <dgm:else name="Name37">
            <dgm:constrLst>
              <dgm:constr type="ctrX" for="ch" forName="textCenter" refType="w" fact="0.5"/>
              <dgm:constr type="t" for="ch" forName="textCenter" refType="h" fact="0.444"/>
              <dgm:constr type="w" for="ch" forName="textCenter" refType="w" fact="0.167"/>
              <dgm:constr type="h" for="ch" forName="textCenter" refType="w" refFor="ch" refForName="textCenter"/>
              <dgm:constr type="ctrX" for="ch" forName="cycle_1" refType="w" fact="0.5"/>
              <dgm:constr type="t" for="ch" forName="cycle_1"/>
              <dgm:constr type="w" for="ch" forName="cycle_1" refType="w" fact="0.263"/>
              <dgm:constr type="h" for="ch" forName="cycle_1" refType="w" refFor="ch" refForName="cycle_1"/>
              <dgm:constr type="l" for="ch" forName="cycle_2" refType="w" fact="0.062"/>
              <dgm:constr type="t" for="ch" forName="cycle_2" refType="h" fact="0.141"/>
              <dgm:constr type="w" for="ch" forName="cycle_2" refType="w" fact="0.263"/>
              <dgm:constr type="h" for="ch" forName="cycle_2" refType="w" refFor="ch" refForName="cycle_2"/>
              <dgm:constr type="l" for="ch" forName="cycle_3"/>
              <dgm:constr type="b" for="ch" forName="cycle_3" refType="h" fact="0.74"/>
              <dgm:constr type="w" for="ch" forName="cycle_3" refType="w" fact="0.263"/>
              <dgm:constr type="h" for="ch" forName="cycle_3" refType="w" refFor="ch" refForName="cycle_3"/>
              <dgm:constr type="l" for="ch" forName="cycle_4" refType="w" fact="0.2"/>
              <dgm:constr type="b" for="ch" forName="cycle_4" refType="h"/>
              <dgm:constr type="w" for="ch" forName="cycle_4" refType="w" fact="0.263"/>
              <dgm:constr type="h" for="ch" forName="cycle_4" refType="w" refFor="ch" refForName="cycle_4"/>
              <dgm:constr type="r" for="ch" forName="cycle_5" refType="w" fact="0.8"/>
              <dgm:constr type="b" for="ch" forName="cycle_5" refType="h"/>
              <dgm:constr type="w" for="ch" forName="cycle_5" refType="w" fact="0.263"/>
              <dgm:constr type="h" for="ch" forName="cycle_5" refType="w" refFor="ch" refForName="cycle_5"/>
              <dgm:constr type="r" for="ch" forName="cycle_6" refType="w"/>
              <dgm:constr type="b" for="ch" forName="cycle_6" refType="h" fact="0.74"/>
              <dgm:constr type="w" for="ch" forName="cycle_6" refType="w" fact="0.263"/>
              <dgm:constr type="h" for="ch" forName="cycle_6" refType="w" refFor="ch" refForName="cycle_6"/>
              <dgm:constr type="r" for="ch" forName="cycle_7" refType="w" fact="0.938"/>
              <dgm:constr type="t" for="ch" forName="cycle_7" refType="h" fact="0.141"/>
              <dgm:constr type="w" for="ch" forName="cycle_7" refType="w" fact="0.263"/>
              <dgm:constr type="h" for="ch" forName="cycle_7" refType="w" refFor="ch" refForName="cycle_7"/>
              <dgm:constr type="primFontSz" for="ch" forName="textCenter" val="65"/>
              <dgm:constr type="primFontSz" for="des" forName="childCenter1" val="65"/>
              <dgm:constr type="primFontSz" for="des" forName="text1" op="equ" val="65"/>
              <dgm:constr type="primFontSz" for="des" forName="childCenter2" refType="primFontSz" refFor="des" refForName="childCenter1" op="equ"/>
              <dgm:constr type="primFontSz" for="des" forName="text2" refType="primFontSz" refFor="des" refForName="text1" op="equ"/>
              <dgm:constr type="primFontSz" for="des" forName="childCenter3" refType="primFontSz" refFor="des" refForName="childCenter1" op="equ"/>
              <dgm:constr type="primFontSz" for="des" forName="text3" refType="primFontSz" refFor="des" refForName="text1" op="equ"/>
              <dgm:constr type="primFontSz" for="des" forName="childCenter4" refType="primFontSz" refFor="des" refForName="childCenter1" op="equ"/>
              <dgm:constr type="primFontSz" for="des" forName="text4" refType="primFontSz" refFor="des" refForName="text1" op="equ"/>
              <dgm:constr type="primFontSz" for="des" forName="childCenter5" refType="primFontSz" refFor="des" refForName="childCenter1" op="equ"/>
              <dgm:constr type="primFontSz" for="des" forName="text5" refType="primFontSz" refFor="des" refForName="text1" op="equ"/>
              <dgm:constr type="primFontSz" for="des" forName="childCenter6" refType="primFontSz" refFor="des" refForName="childCenter1" op="equ"/>
              <dgm:constr type="primFontSz" for="des" forName="text6" refType="primFontSz" refFor="des" refForName="text1" op="equ"/>
              <dgm:constr type="primFontSz" for="des" forName="childCenter7" refType="primFontSz" refFor="des" refForName="childCenter1" op="equ"/>
              <dgm:constr type="primFontSz" for="des" forName="text7" refType="primFontSz" refFor="des" refForName="text1" op="equ"/>
              <dgm:constr type="userS" for="des" ptType="node" refType="w" refFor="ch" refForName="textCenter" fact="0.67"/>
            </dgm:constrLst>
          </dgm:else>
        </dgm:choose>
      </dgm:else>
    </dgm:choose>
    <dgm:forEach name="Name38" axis="ch" ptType="node" cnt="1">
      <dgm:choose name="Name39">
        <dgm:if name="Name40" axis="des" func="maxDepth" op="lte" val="1">
          <dgm:layoutNode name="singleCycle">
            <dgm:choose name="Name41">
              <dgm:if name="Name42" axis="ch" ptType="node" func="cnt" op="equ" val="1">
                <dgm:choose name="Name43">
                  <dgm:if name="Name44" func="var" arg="dir" op="equ" val="norm">
                    <dgm:alg type="cycle">
                      <dgm:param type="stAng" val="90"/>
                      <dgm:param type="ctrShpMap" val="fNode"/>
                    </dgm:alg>
                  </dgm:if>
                  <dgm:else name="Name45">
                    <dgm:alg type="cycle">
                      <dgm:param type="stAng" val="-90"/>
                      <dgm:param type="spanAng" val="-360"/>
                      <dgm:param type="ctrShpMap" val="fNode"/>
                    </dgm:alg>
                  </dgm:else>
                </dgm:choose>
              </dgm:if>
              <dgm:else name="Name46">
                <dgm:choose name="Name47">
                  <dgm:if name="Name48" func="var" arg="dir" op="equ" val="norm">
                    <dgm:alg type="cycle">
                      <dgm:param type="ctrShpMap" val="fNode"/>
                    </dgm:alg>
                  </dgm:if>
                  <dgm:else name="Name49">
                    <dgm:alg type="cycle">
                      <dgm:param type="spanAng" val="-360"/>
                      <dgm:param type="ctrShpMap" val="fNode"/>
                    </dgm:alg>
                  </dgm:else>
                </dgm:choose>
              </dgm:else>
            </dgm:choose>
            <dgm:shape xmlns:r="http://schemas.openxmlformats.org/officeDocument/2006/relationships" r:blip="">
              <dgm:adjLst/>
            </dgm:shape>
            <dgm:presOf/>
            <dgm:choose name="Name50">
              <dgm:if name="Name51" axis="ch" ptType="node" func="cnt" op="equ" val="0">
                <dgm:constrLst>
                  <dgm:constr type="w" for="ch" forName="singleCenter" refType="w"/>
                  <dgm:constr type="h" for="ch" forName="singleCenter" refType="w" refFor="ch" refForName="singleCenter"/>
                </dgm:constrLst>
              </dgm:if>
              <dgm:if name="Name52" axis="ch" ptType="node" func="cnt" op="equ" val="1">
                <dgm:constrLst>
                  <dgm:constr type="w" for="ch" forName="singleCenter" refType="w" fact="0.5"/>
                  <dgm:constr type="h" for="ch" forName="singleCenter" refType="w" refFor="ch" refForName="singleCenter"/>
                  <dgm:constr type="userS" for="ch" ptType="node" refType="w" refFor="ch" refForName="singleCenter" fact="0.67"/>
                </dgm:constrLst>
              </dgm:if>
              <dgm:else name="Name53">
                <dgm:constrLst>
                  <dgm:constr type="w" for="ch" forName="singleCenter" refType="w" fact="0.3"/>
                  <dgm:constr type="h" for="ch" forName="singleCenter" refType="w" refFor="ch" refForName="singleCenter"/>
                  <dgm:constr type="userS" for="ch" ptType="node" refType="w" refFor="ch" refForName="singleCenter" fact="0.67"/>
                </dgm:constrLst>
              </dgm:else>
            </dgm:choose>
            <dgm:layoutNode name="singleCenter" styleLbl="node1">
              <dgm:varLst>
                <dgm:chMax val="7"/>
                <dgm:chPref val="7"/>
              </dgm:varLst>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54" axis="ch" cnt="21">
              <dgm:forEach name="Name55" axis="self" ptType="parTrans">
                <dgm:layoutNode name="Name5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57" axis="self" ptType="node">
                <dgm:layoutNode name="text0"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layoutNode>
        </dgm:if>
        <dgm:else name="Name58">
          <dgm:layoutNode name="textCenter" styleLbl="node1">
            <dgm:alg type="tx"/>
            <dgm:shape xmlns:r="http://schemas.openxmlformats.org/officeDocument/2006/relationships" type="roundRect" r:blip="">
              <dgm:adjLst/>
            </dgm:shape>
            <dgm:presOf axis="self" ptType="node"/>
            <dgm:constrLst>
              <dgm:constr type="tMarg" refType="primFontSz" fact="0.2"/>
              <dgm:constr type="bMarg" refType="primFontSz" fact="0.2"/>
              <dgm:constr type="lMarg" refType="primFontSz" fact="0.2"/>
              <dgm:constr type="rMarg" refType="primFontSz" fact="0.2"/>
            </dgm:constrLst>
            <dgm:ruleLst>
              <dgm:rule type="primFontSz" val="5" fact="NaN" max="NaN"/>
            </dgm:ruleLst>
          </dgm:layoutNode>
          <dgm:choose name="Name59">
            <dgm:if name="Name60" axis="ch" ptType="node" func="cnt" op="gte" val="1">
              <dgm:layoutNode name="cycle_1">
                <dgm:choose name="Name61">
                  <dgm:if name="Name62" func="var" arg="dir" op="equ" val="norm">
                    <dgm:choose name="Name63">
                      <dgm:if name="Name64" axis="ch" ptType="node" func="cnt" op="equ" val="1">
                        <dgm:choose name="Name65">
                          <dgm:if name="Name66" axis="ch ch" ptType="node node" st="1 1" cnt="1 0" func="cnt" op="equ" val="1">
                            <dgm:alg type="cycle">
                              <dgm:param type="ctrShpMap" val="fNode"/>
                              <dgm:param type="stAng" val="90"/>
                            </dgm:alg>
                          </dgm:if>
                          <dgm:if name="Name67" axis="ch ch" ptType="node node" st="1 1" cnt="1 0" func="cnt" op="equ" val="2">
                            <dgm:alg type="cycle">
                              <dgm:param type="ctrShpMap" val="fNode"/>
                              <dgm:param type="stAng" val="45"/>
                              <dgm:param type="spanAng" val="90"/>
                            </dgm:alg>
                          </dgm:if>
                          <dgm:else name="Name68">
                            <dgm:alg type="cycle">
                              <dgm:param type="ctrShpMap" val="fNode"/>
                              <dgm:param type="stAng" val="0"/>
                              <dgm:param type="spanAng" val="180"/>
                            </dgm:alg>
                          </dgm:else>
                        </dgm:choose>
                      </dgm:if>
                      <dgm:if name="Name69" axis="ch" ptType="node" func="cnt" op="equ" val="2">
                        <dgm:choose name="Name70">
                          <dgm:if name="Name71" axis="ch ch" ptType="node node" st="1 1" cnt="1 0" func="cnt" op="equ" val="1">
                            <dgm:alg type="cycle">
                              <dgm:param type="ctrShpMap" val="fNode"/>
                              <dgm:param type="stAng" val="0"/>
                            </dgm:alg>
                          </dgm:if>
                          <dgm:if name="Name72" axis="ch ch" ptType="node node" st="1 1" cnt="1 0" func="cnt" op="equ" val="2">
                            <dgm:alg type="cycle">
                              <dgm:param type="ctrShpMap" val="fNode"/>
                              <dgm:param type="stAng" val="315"/>
                              <dgm:param type="spanAng" val="90"/>
                            </dgm:alg>
                          </dgm:if>
                          <dgm:else name="Name73">
                            <dgm:alg type="cycle">
                              <dgm:param type="ctrShpMap" val="fNode"/>
                              <dgm:param type="stAng" val="270"/>
                              <dgm:param type="spanAng" val="180"/>
                            </dgm:alg>
                          </dgm:else>
                        </dgm:choose>
                      </dgm:if>
                      <dgm:if name="Name74" axis="ch" ptType="node" func="cnt" op="equ" val="3">
                        <dgm:choose name="Name75">
                          <dgm:if name="Name76" axis="ch ch" ptType="node node" st="1 1" cnt="1 0" func="cnt" op="equ" val="1">
                            <dgm:alg type="cycle">
                              <dgm:param type="ctrShpMap" val="fNode"/>
                              <dgm:param type="stAng" val="0"/>
                            </dgm:alg>
                          </dgm:if>
                          <dgm:if name="Name77" axis="ch ch" ptType="node node" st="1 1" cnt="1 0" func="cnt" op="equ" val="2">
                            <dgm:alg type="cycle">
                              <dgm:param type="ctrShpMap" val="fNode"/>
                              <dgm:param type="stAng" val="315"/>
                              <dgm:param type="spanAng" val="90"/>
                            </dgm:alg>
                          </dgm:if>
                          <dgm:else name="Name78">
                            <dgm:alg type="cycle">
                              <dgm:param type="ctrShpMap" val="fNode"/>
                              <dgm:param type="stAng" val="270"/>
                              <dgm:param type="spanAng" val="180"/>
                            </dgm:alg>
                          </dgm:else>
                        </dgm:choose>
                      </dgm:if>
                      <dgm:if name="Name79" axis="ch" ptType="node" func="cnt" op="equ" val="4">
                        <dgm:choose name="Name80">
                          <dgm:if name="Name81" axis="ch ch" ptType="node node" st="1 1" cnt="1 0" func="cnt" op="equ" val="1">
                            <dgm:alg type="cycle">
                              <dgm:param type="ctrShpMap" val="fNode"/>
                              <dgm:param type="stAng" val="0"/>
                            </dgm:alg>
                          </dgm:if>
                          <dgm:if name="Name82" axis="ch ch" ptType="node node" st="1 1" cnt="1 0" func="cnt" op="equ" val="2">
                            <dgm:alg type="cycle">
                              <dgm:param type="ctrShpMap" val="fNode"/>
                              <dgm:param type="stAng" val="315"/>
                              <dgm:param type="spanAng" val="90"/>
                            </dgm:alg>
                          </dgm:if>
                          <dgm:else name="Name83">
                            <dgm:alg type="cycle">
                              <dgm:param type="ctrShpMap" val="fNode"/>
                              <dgm:param type="stAng" val="292.5"/>
                              <dgm:param type="spanAng" val="135"/>
                            </dgm:alg>
                          </dgm:else>
                        </dgm:choose>
                      </dgm:if>
                      <dgm:if name="Name84" axis="ch" ptType="node" func="cnt" op="equ" val="5">
                        <dgm:choose name="Name85">
                          <dgm:if name="Name86" axis="ch ch" ptType="node node" st="1 1" cnt="1 0" func="cnt" op="equ" val="1">
                            <dgm:alg type="cycle">
                              <dgm:param type="ctrShpMap" val="fNode"/>
                              <dgm:param type="stAng" val="0"/>
                            </dgm:alg>
                          </dgm:if>
                          <dgm:if name="Name87" axis="ch ch" ptType="node node" st="1 1" cnt="1 0" func="cnt" op="equ" val="2">
                            <dgm:alg type="cycle">
                              <dgm:param type="ctrShpMap" val="fNode"/>
                              <dgm:param type="stAng" val="315"/>
                              <dgm:param type="spanAng" val="90"/>
                            </dgm:alg>
                          </dgm:if>
                          <dgm:else name="Name88">
                            <dgm:alg type="cycle">
                              <dgm:param type="ctrShpMap" val="fNode"/>
                              <dgm:param type="stAng" val="0"/>
                              <dgm:param type="spanAng" val="360"/>
                            </dgm:alg>
                          </dgm:else>
                        </dgm:choose>
                      </dgm:if>
                      <dgm:if name="Name89" axis="ch" ptType="node" func="cnt" op="equ" val="6">
                        <dgm:choose name="Name90">
                          <dgm:if name="Name91" axis="ch ch" ptType="node node" st="1 1" cnt="1 0" func="cnt" op="equ" val="1">
                            <dgm:alg type="cycle">
                              <dgm:param type="ctrShpMap" val="fNode"/>
                              <dgm:param type="stAng" val="0"/>
                            </dgm:alg>
                          </dgm:if>
                          <dgm:if name="Name92" axis="ch ch" ptType="node node" st="1 1" cnt="1 0" func="cnt" op="equ" val="2">
                            <dgm:alg type="cycle">
                              <dgm:param type="ctrShpMap" val="fNode"/>
                              <dgm:param type="stAng" val="315"/>
                              <dgm:param type="spanAng" val="90"/>
                            </dgm:alg>
                          </dgm:if>
                          <dgm:else name="Name93">
                            <dgm:alg type="cycle">
                              <dgm:param type="ctrShpMap" val="fNode"/>
                              <dgm:param type="stAng" val="0"/>
                              <dgm:param type="spanAng" val="360"/>
                            </dgm:alg>
                          </dgm:else>
                        </dgm:choose>
                      </dgm:if>
                      <dgm:if name="Name94" axis="ch" ptType="node" func="cnt" op="gte" val="7">
                        <dgm:choose name="Name95">
                          <dgm:if name="Name96" axis="ch ch" ptType="node node" st="1 1" cnt="1 0" func="cnt" op="equ" val="1">
                            <dgm:alg type="cycle">
                              <dgm:param type="ctrShpMap" val="fNode"/>
                              <dgm:param type="stAng" val="0"/>
                            </dgm:alg>
                          </dgm:if>
                          <dgm:if name="Name97" axis="ch ch" ptType="node node" st="1 1" cnt="1 0" func="cnt" op="equ" val="2">
                            <dgm:alg type="cycle">
                              <dgm:param type="ctrShpMap" val="fNode"/>
                              <dgm:param type="stAng" val="315"/>
                              <dgm:param type="spanAng" val="90"/>
                            </dgm:alg>
                          </dgm:if>
                          <dgm:else name="Name98">
                            <dgm:alg type="cycle">
                              <dgm:param type="ctrShpMap" val="fNode"/>
                              <dgm:param type="stAng" val="0"/>
                              <dgm:param type="spanAng" val="360"/>
                            </dgm:alg>
                          </dgm:else>
                        </dgm:choose>
                      </dgm:if>
                      <dgm:else name="Name99"/>
                    </dgm:choose>
                  </dgm:if>
                  <dgm:else name="Name100">
                    <dgm:choose name="Name101">
                      <dgm:if name="Name102" axis="ch" ptType="node" func="cnt" op="equ" val="1">
                        <dgm:choose name="Name103">
                          <dgm:if name="Name104" axis="ch ch" ptType="node node" st="1 1" cnt="1 0" func="cnt" op="equ" val="1">
                            <dgm:alg type="cycle">
                              <dgm:param type="ctrShpMap" val="fNode"/>
                              <dgm:param type="stAng" val="270"/>
                            </dgm:alg>
                          </dgm:if>
                          <dgm:if name="Name105" axis="ch ch" ptType="node node" st="1 1" cnt="1 0" func="cnt" op="equ" val="2">
                            <dgm:alg type="cycle">
                              <dgm:param type="ctrShpMap" val="fNode"/>
                              <dgm:param type="stAng" val="315"/>
                              <dgm:param type="spanAng" val="-90"/>
                            </dgm:alg>
                          </dgm:if>
                          <dgm:else name="Name106">
                            <dgm:alg type="cycle">
                              <dgm:param type="ctrShpMap" val="fNode"/>
                              <dgm:param type="stAng" val="0"/>
                              <dgm:param type="spanAng" val="-180"/>
                            </dgm:alg>
                          </dgm:else>
                        </dgm:choose>
                      </dgm:if>
                      <dgm:if name="Name107" axis="ch" ptType="node" func="cnt" op="equ" val="2">
                        <dgm:choose name="Name108">
                          <dgm:if name="Name109" axis="ch ch" ptType="node node" st="1 1" cnt="1 0" func="cnt" op="equ" val="1">
                            <dgm:alg type="cycle">
                              <dgm:param type="ctrShpMap" val="fNode"/>
                              <dgm:param type="stAng" val="0"/>
                            </dgm:alg>
                          </dgm:if>
                          <dgm:if name="Name110" axis="ch ch" ptType="node node" st="1 1" cnt="1 0" func="cnt" op="equ" val="2">
                            <dgm:alg type="cycle">
                              <dgm:param type="ctrShpMap" val="fNode"/>
                              <dgm:param type="stAng" val="45"/>
                              <dgm:param type="spanAng" val="-90"/>
                            </dgm:alg>
                          </dgm:if>
                          <dgm:else name="Name111">
                            <dgm:alg type="cycle">
                              <dgm:param type="ctrShpMap" val="fNode"/>
                              <dgm:param type="stAng" val="90"/>
                              <dgm:param type="spanAng" val="-180"/>
                            </dgm:alg>
                          </dgm:else>
                        </dgm:choose>
                      </dgm:if>
                      <dgm:if name="Name112" axis="ch" ptType="node" func="cnt" op="equ" val="3">
                        <dgm:choose name="Name113">
                          <dgm:if name="Name114" axis="ch ch" ptType="node node" st="1 1" cnt="1 0" func="cnt" op="equ" val="1">
                            <dgm:alg type="cycle">
                              <dgm:param type="ctrShpMap" val="fNode"/>
                              <dgm:param type="stAng" val="0"/>
                            </dgm:alg>
                          </dgm:if>
                          <dgm:if name="Name115" axis="ch ch" ptType="node node" st="1 1" cnt="1 0" func="cnt" op="equ" val="2">
                            <dgm:alg type="cycle">
                              <dgm:param type="ctrShpMap" val="fNode"/>
                              <dgm:param type="stAng" val="45"/>
                              <dgm:param type="spanAng" val="-90"/>
                            </dgm:alg>
                          </dgm:if>
                          <dgm:else name="Name116">
                            <dgm:alg type="cycle">
                              <dgm:param type="ctrShpMap" val="fNode"/>
                              <dgm:param type="stAng" val="90"/>
                              <dgm:param type="spanAng" val="-180"/>
                            </dgm:alg>
                          </dgm:else>
                        </dgm:choose>
                      </dgm:if>
                      <dgm:if name="Name117" axis="ch" ptType="node" func="cnt" op="equ" val="4">
                        <dgm:choose name="Name118">
                          <dgm:if name="Name119" axis="ch ch" ptType="node node" st="1 1" cnt="1 0" func="cnt" op="equ" val="1">
                            <dgm:alg type="cycle">
                              <dgm:param type="ctrShpMap" val="fNode"/>
                              <dgm:param type="stAng" val="0"/>
                            </dgm:alg>
                          </dgm:if>
                          <dgm:if name="Name120" axis="ch ch" ptType="node node" st="1 1" cnt="1 0" func="cnt" op="equ" val="2">
                            <dgm:alg type="cycle">
                              <dgm:param type="ctrShpMap" val="fNode"/>
                              <dgm:param type="stAng" val="45"/>
                              <dgm:param type="spanAng" val="-90"/>
                            </dgm:alg>
                          </dgm:if>
                          <dgm:else name="Name121">
                            <dgm:alg type="cycle">
                              <dgm:param type="ctrShpMap" val="fNode"/>
                              <dgm:param type="stAng" val="67.5"/>
                              <dgm:param type="spanAng" val="-135"/>
                            </dgm:alg>
                          </dgm:else>
                        </dgm:choose>
                      </dgm:if>
                      <dgm:if name="Name122" axis="ch" ptType="node" func="cnt" op="equ" val="5">
                        <dgm:choose name="Name123">
                          <dgm:if name="Name124" axis="ch ch" ptType="node node" st="1 1" cnt="1 0" func="cnt" op="equ" val="1">
                            <dgm:alg type="cycle">
                              <dgm:param type="ctrShpMap" val="fNode"/>
                              <dgm:param type="stAng" val="0"/>
                            </dgm:alg>
                          </dgm:if>
                          <dgm:if name="Name125" axis="ch ch" ptType="node node" st="1 1" cnt="1 0" func="cnt" op="equ" val="2">
                            <dgm:alg type="cycle">
                              <dgm:param type="ctrShpMap" val="fNode"/>
                              <dgm:param type="stAng" val="45"/>
                              <dgm:param type="spanAng" val="-90"/>
                            </dgm:alg>
                          </dgm:if>
                          <dgm:else name="Name126">
                            <dgm:alg type="cycle">
                              <dgm:param type="ctrShpMap" val="fNode"/>
                              <dgm:param type="stAng" val="0"/>
                              <dgm:param type="spanAng" val="-360"/>
                            </dgm:alg>
                          </dgm:else>
                        </dgm:choose>
                      </dgm:if>
                      <dgm:if name="Name127" axis="ch" ptType="node" func="cnt" op="equ" val="6">
                        <dgm:choose name="Name128">
                          <dgm:if name="Name129" axis="ch ch" ptType="node node" st="1 1" cnt="1 0" func="cnt" op="equ" val="1">
                            <dgm:alg type="cycle">
                              <dgm:param type="ctrShpMap" val="fNode"/>
                              <dgm:param type="stAng" val="0"/>
                            </dgm:alg>
                          </dgm:if>
                          <dgm:if name="Name130" axis="ch ch" ptType="node node" st="1 1" cnt="1 0" func="cnt" op="equ" val="2">
                            <dgm:alg type="cycle">
                              <dgm:param type="ctrShpMap" val="fNode"/>
                              <dgm:param type="stAng" val="45"/>
                              <dgm:param type="spanAng" val="-90"/>
                            </dgm:alg>
                          </dgm:if>
                          <dgm:else name="Name131">
                            <dgm:alg type="cycle">
                              <dgm:param type="ctrShpMap" val="fNode"/>
                              <dgm:param type="stAng" val="0"/>
                              <dgm:param type="spanAng" val="-360"/>
                            </dgm:alg>
                          </dgm:else>
                        </dgm:choose>
                      </dgm:if>
                      <dgm:if name="Name132" axis="ch" ptType="node" func="cnt" op="gte" val="7">
                        <dgm:choose name="Name133">
                          <dgm:if name="Name134" axis="ch ch" ptType="node node" st="1 1" cnt="1 0" func="cnt" op="equ" val="1">
                            <dgm:alg type="cycle">
                              <dgm:param type="ctrShpMap" val="fNode"/>
                              <dgm:param type="stAng" val="0"/>
                            </dgm:alg>
                          </dgm:if>
                          <dgm:if name="Name135" axis="ch ch" ptType="node node" st="1 1" cnt="1 0" func="cnt" op="equ" val="2">
                            <dgm:alg type="cycle">
                              <dgm:param type="ctrShpMap" val="fNode"/>
                              <dgm:param type="stAng" val="45"/>
                              <dgm:param type="spanAng" val="-90"/>
                            </dgm:alg>
                          </dgm:if>
                          <dgm:else name="Name136">
                            <dgm:alg type="cycle">
                              <dgm:param type="ctrShpMap" val="fNode"/>
                              <dgm:param type="stAng" val="0"/>
                              <dgm:param type="spanAng" val="-360"/>
                            </dgm:alg>
                          </dgm:else>
                        </dgm:choose>
                      </dgm:if>
                      <dgm:else name="Name137"/>
                    </dgm:choose>
                  </dgm:else>
                </dgm:choose>
                <dgm:shape xmlns:r="http://schemas.openxmlformats.org/officeDocument/2006/relationships" r:blip="">
                  <dgm:adjLst/>
                </dgm:shape>
                <dgm:presOf/>
                <dgm:constrLst>
                  <dgm:constr type="sp" refType="w" fact="0.1"/>
                  <dgm:constr type="sibSp" refType="w" fact="0.1"/>
                </dgm:constrLst>
                <dgm:forEach name="Name138" axis="ch" ptType="node" cnt="1">
                  <dgm:layoutNode name="childCenter1"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139" axis="ch">
                    <dgm:forEach name="Name140" axis="self" ptType="parTrans">
                      <dgm:layoutNode name="Name141">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142" axis="self" ptType="node">
                      <dgm:layoutNode name="text1"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143" axis="ch" ptType="parTrans" cnt="1">
                <dgm:layoutNode name="Name144">
                  <dgm:alg type="conn">
                    <dgm:param type="dim" val="1D"/>
                    <dgm:param type="begPts" val="auto"/>
                    <dgm:param type="endPts" val="auto"/>
                    <dgm:param type="endSty" val="noArr"/>
                    <dgm:param type="srcNode" val="textCenter"/>
                    <dgm:param type="dstNode" val="childCenter1"/>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145"/>
          </dgm:choose>
          <dgm:choose name="Name146">
            <dgm:if name="Name147" axis="ch" ptType="node" func="cnt" op="gte" val="2">
              <dgm:layoutNode name="cycle_2">
                <dgm:choose name="Name148">
                  <dgm:if name="Name149" func="var" arg="dir" op="equ" val="norm">
                    <dgm:choose name="Name150">
                      <dgm:if name="Name151" axis="ch" ptType="node" func="cnt" op="equ" val="2">
                        <dgm:choose name="Name152">
                          <dgm:if name="Name153" axis="ch ch" ptType="node node" st="2 1" cnt="1 0" func="cnt" op="equ" val="1">
                            <dgm:alg type="cycle">
                              <dgm:param type="ctrShpMap" val="fNode"/>
                              <dgm:param type="stAng" val="180"/>
                            </dgm:alg>
                          </dgm:if>
                          <dgm:if name="Name154" axis="ch ch" ptType="node node" st="2 1" cnt="1 0" func="cnt" op="equ" val="2">
                            <dgm:alg type="cycle">
                              <dgm:param type="ctrShpMap" val="fNode"/>
                              <dgm:param type="stAng" val="135"/>
                              <dgm:param type="spanAng" val="90"/>
                            </dgm:alg>
                          </dgm:if>
                          <dgm:else name="Name155">
                            <dgm:alg type="cycle">
                              <dgm:param type="ctrShpMap" val="fNode"/>
                              <dgm:param type="stAng" val="90"/>
                              <dgm:param type="spanAng" val="180"/>
                            </dgm:alg>
                          </dgm:else>
                        </dgm:choose>
                      </dgm:if>
                      <dgm:if name="Name156" axis="ch" ptType="node" func="cnt" op="equ" val="3">
                        <dgm:choose name="Name157">
                          <dgm:if name="Name158" axis="ch ch" ptType="node node" st="2 1" cnt="1 0" func="cnt" op="equ" val="1">
                            <dgm:alg type="cycle">
                              <dgm:param type="ctrShpMap" val="fNode"/>
                              <dgm:param type="stAng" val="120"/>
                              <dgm:param type="horzAlign" val="r"/>
                              <dgm:param type="vertAlign" val="b"/>
                            </dgm:alg>
                          </dgm:if>
                          <dgm:if name="Name159" axis="ch ch" ptType="node node" st="2 1" cnt="1 0" func="cnt" op="equ" val="2">
                            <dgm:alg type="cycle">
                              <dgm:param type="ctrShpMap" val="fNode"/>
                              <dgm:param type="stAng" val="75"/>
                              <dgm:param type="spanAng" val="90"/>
                              <dgm:param type="horzAlign" val="r"/>
                              <dgm:param type="vertAlign" val="b"/>
                            </dgm:alg>
                          </dgm:if>
                          <dgm:else name="Name160">
                            <dgm:alg type="cycle">
                              <dgm:param type="ctrShpMap" val="fNode"/>
                              <dgm:param type="stAng" val="30"/>
                              <dgm:param type="spanAng" val="180"/>
                            </dgm:alg>
                          </dgm:else>
                        </dgm:choose>
                      </dgm:if>
                      <dgm:if name="Name161" axis="ch" ptType="node" func="cnt" op="equ" val="4">
                        <dgm:choose name="Name162">
                          <dgm:if name="Name163" axis="ch ch" ptType="node node" st="2 1" cnt="1 0" func="cnt" op="equ" val="1">
                            <dgm:alg type="cycle">
                              <dgm:param type="ctrShpMap" val="fNode"/>
                              <dgm:param type="stAng" val="90"/>
                            </dgm:alg>
                          </dgm:if>
                          <dgm:if name="Name164" axis="ch ch" ptType="node node" st="2 1" cnt="1 0" func="cnt" op="equ" val="2">
                            <dgm:alg type="cycle">
                              <dgm:param type="ctrShpMap" val="fNode"/>
                              <dgm:param type="stAng" val="45"/>
                              <dgm:param type="spanAng" val="90"/>
                            </dgm:alg>
                          </dgm:if>
                          <dgm:else name="Name165">
                            <dgm:alg type="cycle">
                              <dgm:param type="ctrShpMap" val="fNode"/>
                              <dgm:param type="stAng" val="22.5"/>
                              <dgm:param type="spanAng" val="135"/>
                            </dgm:alg>
                          </dgm:else>
                        </dgm:choose>
                      </dgm:if>
                      <dgm:if name="Name166" axis="ch" ptType="node" func="cnt" op="equ" val="5">
                        <dgm:choose name="Name167">
                          <dgm:if name="Name168" axis="ch ch" ptType="node node" st="2 1" cnt="1 0" func="cnt" op="equ" val="1">
                            <dgm:alg type="cycle">
                              <dgm:param type="ctrShpMap" val="fNode"/>
                              <dgm:param type="stAng" val="72"/>
                            </dgm:alg>
                          </dgm:if>
                          <dgm:if name="Name169" axis="ch ch" ptType="node node" st="2 1" cnt="1 0" func="cnt" op="equ" val="2">
                            <dgm:alg type="cycle">
                              <dgm:param type="ctrShpMap" val="fNode"/>
                              <dgm:param type="stAng" val="27"/>
                              <dgm:param type="spanAng" val="90"/>
                            </dgm:alg>
                          </dgm:if>
                          <dgm:else name="Name170">
                            <dgm:alg type="cycle">
                              <dgm:param type="ctrShpMap" val="fNode"/>
                              <dgm:param type="stAng" val="0"/>
                              <dgm:param type="spanAng" val="360"/>
                            </dgm:alg>
                          </dgm:else>
                        </dgm:choose>
                      </dgm:if>
                      <dgm:if name="Name171" axis="ch" ptType="node" func="cnt" op="equ" val="6">
                        <dgm:choose name="Name172">
                          <dgm:if name="Name173" axis="ch ch" ptType="node node" st="2 1" cnt="1 0" func="cnt" op="equ" val="1">
                            <dgm:alg type="cycle">
                              <dgm:param type="ctrShpMap" val="fNode"/>
                              <dgm:param type="stAng" val="60"/>
                            </dgm:alg>
                          </dgm:if>
                          <dgm:if name="Name174" axis="ch ch" ptType="node node" st="2 1" cnt="1 0" func="cnt" op="equ" val="2">
                            <dgm:alg type="cycle">
                              <dgm:param type="ctrShpMap" val="fNode"/>
                              <dgm:param type="stAng" val="15"/>
                              <dgm:param type="spanAng" val="90"/>
                            </dgm:alg>
                          </dgm:if>
                          <dgm:else name="Name175">
                            <dgm:alg type="cycle">
                              <dgm:param type="ctrShpMap" val="fNode"/>
                              <dgm:param type="stAng" val="0"/>
                              <dgm:param type="spanAng" val="360"/>
                            </dgm:alg>
                          </dgm:else>
                        </dgm:choose>
                      </dgm:if>
                      <dgm:if name="Name176" axis="ch" ptType="node" func="cnt" op="gte" val="7">
                        <dgm:choose name="Name177">
                          <dgm:if name="Name178" axis="ch ch" ptType="node node" st="2 1" cnt="1 0" func="cnt" op="equ" val="1">
                            <dgm:alg type="cycle">
                              <dgm:param type="ctrShpMap" val="fNode"/>
                              <dgm:param type="stAng" val="51"/>
                            </dgm:alg>
                          </dgm:if>
                          <dgm:if name="Name179" axis="ch ch" ptType="node node" st="2 1" cnt="1 0" func="cnt" op="equ" val="2">
                            <dgm:alg type="cycle">
                              <dgm:param type="ctrShpMap" val="fNode"/>
                              <dgm:param type="stAng" val="6"/>
                              <dgm:param type="spanAng" val="90"/>
                            </dgm:alg>
                          </dgm:if>
                          <dgm:else name="Name180">
                            <dgm:alg type="cycle">
                              <dgm:param type="ctrShpMap" val="fNode"/>
                              <dgm:param type="stAng" val="0"/>
                              <dgm:param type="spanAng" val="360"/>
                            </dgm:alg>
                          </dgm:else>
                        </dgm:choose>
                      </dgm:if>
                      <dgm:else name="Name181"/>
                    </dgm:choose>
                  </dgm:if>
                  <dgm:else name="Name182">
                    <dgm:choose name="Name183">
                      <dgm:if name="Name184" axis="ch" ptType="node" func="cnt" op="equ" val="2">
                        <dgm:choose name="Name185">
                          <dgm:if name="Name186" axis="ch ch" ptType="node node" st="2 1" cnt="1 0" func="cnt" op="equ" val="1">
                            <dgm:alg type="cycle">
                              <dgm:param type="ctrShpMap" val="fNode"/>
                              <dgm:param type="stAng" val="180"/>
                            </dgm:alg>
                          </dgm:if>
                          <dgm:if name="Name187" axis="ch ch" ptType="node node" st="2 1" cnt="1 0" func="cnt" op="equ" val="2">
                            <dgm:alg type="cycle">
                              <dgm:param type="ctrShpMap" val="fNode"/>
                              <dgm:param type="stAng" val="225"/>
                              <dgm:param type="spanAng" val="-90"/>
                            </dgm:alg>
                          </dgm:if>
                          <dgm:else name="Name188">
                            <dgm:alg type="cycle">
                              <dgm:param type="ctrShpMap" val="fNode"/>
                              <dgm:param type="stAng" val="270"/>
                              <dgm:param type="spanAng" val="-180"/>
                            </dgm:alg>
                          </dgm:else>
                        </dgm:choose>
                      </dgm:if>
                      <dgm:if name="Name189" axis="ch" ptType="node" func="cnt" op="equ" val="3">
                        <dgm:choose name="Name190">
                          <dgm:if name="Name191" axis="ch ch" ptType="node node" st="2 1" cnt="1 0" func="cnt" op="equ" val="1">
                            <dgm:alg type="cycle">
                              <dgm:param type="ctrShpMap" val="fNode"/>
                              <dgm:param type="stAng" val="240"/>
                              <dgm:param type="horzAlign" val="l"/>
                              <dgm:param type="vertAlign" val="b"/>
                            </dgm:alg>
                          </dgm:if>
                          <dgm:if name="Name192" axis="ch ch" ptType="node node" st="2 1" cnt="1 0" func="cnt" op="equ" val="2">
                            <dgm:alg type="cycle">
                              <dgm:param type="ctrShpMap" val="fNode"/>
                              <dgm:param type="stAng" val="285"/>
                              <dgm:param type="spanAng" val="-90"/>
                              <dgm:param type="horzAlign" val="l"/>
                              <dgm:param type="vertAlign" val="b"/>
                            </dgm:alg>
                          </dgm:if>
                          <dgm:else name="Name193">
                            <dgm:alg type="cycle">
                              <dgm:param type="ctrShpMap" val="fNode"/>
                              <dgm:param type="stAng" val="330"/>
                              <dgm:param type="spanAng" val="-180"/>
                            </dgm:alg>
                          </dgm:else>
                        </dgm:choose>
                      </dgm:if>
                      <dgm:if name="Name194" axis="ch" ptType="node" func="cnt" op="equ" val="4">
                        <dgm:choose name="Name195">
                          <dgm:if name="Name196" axis="ch ch" ptType="node node" st="2 1" cnt="1 0" func="cnt" op="equ" val="1">
                            <dgm:alg type="cycle">
                              <dgm:param type="ctrShpMap" val="fNode"/>
                              <dgm:param type="stAng" val="270"/>
                            </dgm:alg>
                          </dgm:if>
                          <dgm:if name="Name197" axis="ch ch" ptType="node node" st="2 1" cnt="1 0" func="cnt" op="equ" val="2">
                            <dgm:alg type="cycle">
                              <dgm:param type="ctrShpMap" val="fNode"/>
                              <dgm:param type="stAng" val="315"/>
                              <dgm:param type="spanAng" val="-90"/>
                            </dgm:alg>
                          </dgm:if>
                          <dgm:else name="Name198">
                            <dgm:alg type="cycle">
                              <dgm:param type="ctrShpMap" val="fNode"/>
                              <dgm:param type="stAng" val="337.5"/>
                              <dgm:param type="spanAng" val="-135"/>
                            </dgm:alg>
                          </dgm:else>
                        </dgm:choose>
                      </dgm:if>
                      <dgm:if name="Name199" axis="ch" ptType="node" func="cnt" op="equ" val="5">
                        <dgm:choose name="Name200">
                          <dgm:if name="Name201" axis="ch ch" ptType="node node" st="2 1" cnt="1 0" func="cnt" op="equ" val="1">
                            <dgm:alg type="cycle">
                              <dgm:param type="ctrShpMap" val="fNode"/>
                              <dgm:param type="stAng" val="288"/>
                            </dgm:alg>
                          </dgm:if>
                          <dgm:if name="Name202" axis="ch ch" ptType="node node" st="2 1" cnt="1 0" func="cnt" op="equ" val="2">
                            <dgm:alg type="cycle">
                              <dgm:param type="ctrShpMap" val="fNode"/>
                              <dgm:param type="stAng" val="333"/>
                              <dgm:param type="spanAng" val="-90"/>
                            </dgm:alg>
                          </dgm:if>
                          <dgm:else name="Name203">
                            <dgm:alg type="cycle">
                              <dgm:param type="ctrShpMap" val="fNode"/>
                              <dgm:param type="stAng" val="0"/>
                              <dgm:param type="spanAng" val="-360"/>
                            </dgm:alg>
                          </dgm:else>
                        </dgm:choose>
                      </dgm:if>
                      <dgm:if name="Name204" axis="ch" ptType="node" func="cnt" op="equ" val="6">
                        <dgm:choose name="Name205">
                          <dgm:if name="Name206" axis="ch ch" ptType="node node" st="2 1" cnt="1 0" func="cnt" op="equ" val="1">
                            <dgm:alg type="cycle">
                              <dgm:param type="ctrShpMap" val="fNode"/>
                              <dgm:param type="stAng" val="300"/>
                            </dgm:alg>
                          </dgm:if>
                          <dgm:if name="Name207" axis="ch ch" ptType="node node" st="2 1" cnt="1 0" func="cnt" op="equ" val="2">
                            <dgm:alg type="cycle">
                              <dgm:param type="ctrShpMap" val="fNode"/>
                              <dgm:param type="stAng" val="345"/>
                              <dgm:param type="spanAng" val="-90"/>
                            </dgm:alg>
                          </dgm:if>
                          <dgm:else name="Name208">
                            <dgm:alg type="cycle">
                              <dgm:param type="ctrShpMap" val="fNode"/>
                              <dgm:param type="stAng" val="0"/>
                              <dgm:param type="spanAng" val="-360"/>
                            </dgm:alg>
                          </dgm:else>
                        </dgm:choose>
                      </dgm:if>
                      <dgm:if name="Name209" axis="ch" ptType="node" func="cnt" op="gte" val="7">
                        <dgm:choose name="Name210">
                          <dgm:if name="Name211" axis="ch ch" ptType="node node" st="2 1" cnt="1 0" func="cnt" op="equ" val="1">
                            <dgm:alg type="cycle">
                              <dgm:param type="ctrShpMap" val="fNode"/>
                              <dgm:param type="stAng" val="308"/>
                            </dgm:alg>
                          </dgm:if>
                          <dgm:if name="Name212" axis="ch ch" ptType="node node" st="2 1" cnt="1 0" func="cnt" op="equ" val="2">
                            <dgm:alg type="cycle">
                              <dgm:param type="ctrShpMap" val="fNode"/>
                              <dgm:param type="stAng" val="353"/>
                              <dgm:param type="spanAng" val="-90"/>
                            </dgm:alg>
                          </dgm:if>
                          <dgm:else name="Name213">
                            <dgm:alg type="cycle">
                              <dgm:param type="ctrShpMap" val="fNode"/>
                              <dgm:param type="stAng" val="0"/>
                              <dgm:param type="spanAng" val="-360"/>
                            </dgm:alg>
                          </dgm:else>
                        </dgm:choose>
                      </dgm:if>
                      <dgm:else name="Name214"/>
                    </dgm:choose>
                  </dgm:else>
                </dgm:choose>
                <dgm:shape xmlns:r="http://schemas.openxmlformats.org/officeDocument/2006/relationships" r:blip="">
                  <dgm:adjLst/>
                </dgm:shape>
                <dgm:presOf/>
                <dgm:constrLst>
                  <dgm:constr type="sp" refType="w" fact="0.1"/>
                  <dgm:constr type="sibSp" refType="w" fact="0.1"/>
                </dgm:constrLst>
                <dgm:forEach name="Name215" axis="ch" ptType="node" st="2" cnt="1">
                  <dgm:layoutNode name="childCenter2"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16" axis="ch">
                    <dgm:forEach name="Name217" axis="self" ptType="parTrans">
                      <dgm:layoutNode name="Name218">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19" axis="self" ptType="node">
                      <dgm:layoutNode name="text2"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20" axis="ch" ptType="parTrans" st="2" cnt="1">
                <dgm:layoutNode name="Name221">
                  <dgm:alg type="conn">
                    <dgm:param type="dim" val="1D"/>
                    <dgm:param type="begPts" val="auto"/>
                    <dgm:param type="endPts" val="auto"/>
                    <dgm:param type="endSty" val="noArr"/>
                    <dgm:param type="srcNode" val="textCenter"/>
                    <dgm:param type="dstNode" val="childCenter2"/>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22"/>
          </dgm:choose>
          <dgm:choose name="Name223">
            <dgm:if name="Name224" axis="ch" ptType="node" func="cnt" op="gte" val="3">
              <dgm:layoutNode name="cycle_3">
                <dgm:choose name="Name225">
                  <dgm:if name="Name226" func="var" arg="dir" op="equ" val="norm">
                    <dgm:choose name="Name227">
                      <dgm:if name="Name228" axis="ch" ptType="node" func="cnt" op="equ" val="3">
                        <dgm:choose name="Name229">
                          <dgm:if name="Name230" axis="ch ch" ptType="node node" st="3 1" cnt="1 0" func="cnt" op="equ" val="1">
                            <dgm:alg type="cycle">
                              <dgm:param type="ctrShpMap" val="fNode"/>
                              <dgm:param type="stAng" val="240"/>
                              <dgm:param type="horzAlign" val="l"/>
                              <dgm:param type="vertAlign" val="b"/>
                            </dgm:alg>
                          </dgm:if>
                          <dgm:if name="Name231" axis="ch ch" ptType="node node" st="3 1" cnt="1 0" func="cnt" op="equ" val="2">
                            <dgm:alg type="cycle">
                              <dgm:param type="ctrShpMap" val="fNode"/>
                              <dgm:param type="stAng" val="195"/>
                              <dgm:param type="spanAng" val="90"/>
                              <dgm:param type="horzAlign" val="l"/>
                              <dgm:param type="vertAlign" val="b"/>
                            </dgm:alg>
                          </dgm:if>
                          <dgm:else name="Name232">
                            <dgm:alg type="cycle">
                              <dgm:param type="ctrShpMap" val="fNode"/>
                              <dgm:param type="stAng" val="150"/>
                              <dgm:param type="spanAng" val="180"/>
                            </dgm:alg>
                          </dgm:else>
                        </dgm:choose>
                      </dgm:if>
                      <dgm:if name="Name233" axis="ch" ptType="node" func="cnt" op="equ" val="4">
                        <dgm:choose name="Name234">
                          <dgm:if name="Name235" axis="ch ch" ptType="node node" st="3 1" cnt="1 0" func="cnt" op="equ" val="1">
                            <dgm:alg type="cycle">
                              <dgm:param type="ctrShpMap" val="fNode"/>
                              <dgm:param type="stAng" val="180"/>
                            </dgm:alg>
                          </dgm:if>
                          <dgm:if name="Name236" axis="ch ch" ptType="node node" st="3 1" cnt="1 0" func="cnt" op="equ" val="2">
                            <dgm:alg type="cycle">
                              <dgm:param type="ctrShpMap" val="fNode"/>
                              <dgm:param type="stAng" val="135"/>
                              <dgm:param type="spanAng" val="90"/>
                            </dgm:alg>
                          </dgm:if>
                          <dgm:else name="Name237">
                            <dgm:alg type="cycle">
                              <dgm:param type="ctrShpMap" val="fNode"/>
                              <dgm:param type="stAng" val="112.5"/>
                              <dgm:param type="spanAng" val="135"/>
                            </dgm:alg>
                          </dgm:else>
                        </dgm:choose>
                      </dgm:if>
                      <dgm:if name="Name238" axis="ch" ptType="node" func="cnt" op="equ" val="5">
                        <dgm:choose name="Name239">
                          <dgm:if name="Name240" axis="ch ch" ptType="node node" st="3 1" cnt="1 0" func="cnt" op="equ" val="1">
                            <dgm:alg type="cycle">
                              <dgm:param type="ctrShpMap" val="fNode"/>
                              <dgm:param type="stAng" val="144"/>
                            </dgm:alg>
                          </dgm:if>
                          <dgm:if name="Name241" axis="ch ch" ptType="node node" st="3 1" cnt="1 0" func="cnt" op="equ" val="2">
                            <dgm:alg type="cycle">
                              <dgm:param type="ctrShpMap" val="fNode"/>
                              <dgm:param type="stAng" val="99"/>
                              <dgm:param type="spanAng" val="90"/>
                            </dgm:alg>
                          </dgm:if>
                          <dgm:else name="Name242">
                            <dgm:alg type="cycle">
                              <dgm:param type="ctrShpMap" val="fNode"/>
                              <dgm:param type="stAng" val="0"/>
                              <dgm:param type="spanAng" val="360"/>
                            </dgm:alg>
                          </dgm:else>
                        </dgm:choose>
                      </dgm:if>
                      <dgm:if name="Name243" axis="ch" ptType="node" func="cnt" op="equ" val="6">
                        <dgm:choose name="Name244">
                          <dgm:if name="Name245" axis="ch ch" ptType="node node" st="3 1" cnt="1 0" func="cnt" op="equ" val="1">
                            <dgm:alg type="cycle">
                              <dgm:param type="ctrShpMap" val="fNode"/>
                              <dgm:param type="stAng" val="120"/>
                            </dgm:alg>
                          </dgm:if>
                          <dgm:if name="Name246" axis="ch ch" ptType="node node" st="3 1" cnt="1 0" func="cnt" op="equ" val="2">
                            <dgm:alg type="cycle">
                              <dgm:param type="ctrShpMap" val="fNode"/>
                              <dgm:param type="stAng" val="75"/>
                              <dgm:param type="spanAng" val="90"/>
                            </dgm:alg>
                          </dgm:if>
                          <dgm:else name="Name247">
                            <dgm:alg type="cycle">
                              <dgm:param type="ctrShpMap" val="fNode"/>
                              <dgm:param type="stAng" val="0"/>
                              <dgm:param type="spanAng" val="360"/>
                            </dgm:alg>
                          </dgm:else>
                        </dgm:choose>
                      </dgm:if>
                      <dgm:if name="Name248" axis="ch" ptType="node" func="cnt" op="gte" val="7">
                        <dgm:choose name="Name249">
                          <dgm:if name="Name250" axis="ch ch" ptType="node node" st="3 1" cnt="1 0" func="cnt" op="equ" val="1">
                            <dgm:alg type="cycle">
                              <dgm:param type="ctrShpMap" val="fNode"/>
                              <dgm:param type="stAng" val="102"/>
                            </dgm:alg>
                          </dgm:if>
                          <dgm:if name="Name251" axis="ch ch" ptType="node node" st="3 1" cnt="1 0" func="cnt" op="equ" val="2">
                            <dgm:alg type="cycle">
                              <dgm:param type="ctrShpMap" val="fNode"/>
                              <dgm:param type="stAng" val="57"/>
                              <dgm:param type="spanAng" val="90"/>
                            </dgm:alg>
                          </dgm:if>
                          <dgm:else name="Name252">
                            <dgm:alg type="cycle">
                              <dgm:param type="ctrShpMap" val="fNode"/>
                              <dgm:param type="stAng" val="0"/>
                              <dgm:param type="spanAng" val="360"/>
                            </dgm:alg>
                          </dgm:else>
                        </dgm:choose>
                      </dgm:if>
                      <dgm:else name="Name253"/>
                    </dgm:choose>
                  </dgm:if>
                  <dgm:else name="Name254">
                    <dgm:choose name="Name255">
                      <dgm:if name="Name256" axis="ch" ptType="node" func="cnt" op="equ" val="3">
                        <dgm:choose name="Name257">
                          <dgm:if name="Name258" axis="ch ch" ptType="node node" st="3 1" cnt="1 0" func="cnt" op="equ" val="1">
                            <dgm:alg type="cycle">
                              <dgm:param type="ctrShpMap" val="fNode"/>
                              <dgm:param type="stAng" val="120"/>
                              <dgm:param type="horzAlign" val="r"/>
                              <dgm:param type="vertAlign" val="b"/>
                            </dgm:alg>
                          </dgm:if>
                          <dgm:if name="Name259" axis="ch ch" ptType="node node" st="3 1" cnt="1 0" func="cnt" op="equ" val="2">
                            <dgm:alg type="cycle">
                              <dgm:param type="ctrShpMap" val="fNode"/>
                              <dgm:param type="stAng" val="165"/>
                              <dgm:param type="spanAng" val="-90"/>
                              <dgm:param type="horzAlign" val="r"/>
                              <dgm:param type="vertAlign" val="b"/>
                            </dgm:alg>
                          </dgm:if>
                          <dgm:else name="Name260">
                            <dgm:alg type="cycle">
                              <dgm:param type="ctrShpMap" val="fNode"/>
                              <dgm:param type="stAng" val="210"/>
                              <dgm:param type="spanAng" val="-180"/>
                            </dgm:alg>
                          </dgm:else>
                        </dgm:choose>
                      </dgm:if>
                      <dgm:if name="Name261" axis="ch" ptType="node" func="cnt" op="equ" val="4">
                        <dgm:choose name="Name262">
                          <dgm:if name="Name263" axis="ch ch" ptType="node node" st="3 1" cnt="1 0" func="cnt" op="equ" val="1">
                            <dgm:alg type="cycle">
                              <dgm:param type="ctrShpMap" val="fNode"/>
                              <dgm:param type="stAng" val="180"/>
                            </dgm:alg>
                          </dgm:if>
                          <dgm:if name="Name264" axis="ch ch" ptType="node node" st="3 1" cnt="1 0" func="cnt" op="equ" val="2">
                            <dgm:alg type="cycle">
                              <dgm:param type="ctrShpMap" val="fNode"/>
                              <dgm:param type="stAng" val="225"/>
                              <dgm:param type="spanAng" val="-90"/>
                            </dgm:alg>
                          </dgm:if>
                          <dgm:else name="Name265">
                            <dgm:alg type="cycle">
                              <dgm:param type="ctrShpMap" val="fNode"/>
                              <dgm:param type="stAng" val="247.5"/>
                              <dgm:param type="spanAng" val="-135"/>
                            </dgm:alg>
                          </dgm:else>
                        </dgm:choose>
                      </dgm:if>
                      <dgm:if name="Name266" axis="ch" ptType="node" func="cnt" op="equ" val="5">
                        <dgm:choose name="Name267">
                          <dgm:if name="Name268" axis="ch ch" ptType="node node" st="3 1" cnt="1 0" func="cnt" op="equ" val="1">
                            <dgm:alg type="cycle">
                              <dgm:param type="ctrShpMap" val="fNode"/>
                              <dgm:param type="stAng" val="216"/>
                            </dgm:alg>
                          </dgm:if>
                          <dgm:if name="Name269" axis="ch ch" ptType="node node" st="3 1" cnt="1 0" func="cnt" op="equ" val="2">
                            <dgm:alg type="cycle">
                              <dgm:param type="ctrShpMap" val="fNode"/>
                              <dgm:param type="stAng" val="261"/>
                              <dgm:param type="spanAng" val="-90"/>
                            </dgm:alg>
                          </dgm:if>
                          <dgm:else name="Name270">
                            <dgm:alg type="cycle">
                              <dgm:param type="ctrShpMap" val="fNode"/>
                              <dgm:param type="stAng" val="0"/>
                              <dgm:param type="spanAng" val="-360"/>
                            </dgm:alg>
                          </dgm:else>
                        </dgm:choose>
                      </dgm:if>
                      <dgm:if name="Name271" axis="ch" ptType="node" func="cnt" op="equ" val="6">
                        <dgm:choose name="Name272">
                          <dgm:if name="Name273" axis="ch ch" ptType="node node" st="3 1" cnt="1 0" func="cnt" op="equ" val="1">
                            <dgm:alg type="cycle">
                              <dgm:param type="ctrShpMap" val="fNode"/>
                              <dgm:param type="stAng" val="240"/>
                            </dgm:alg>
                          </dgm:if>
                          <dgm:if name="Name274" axis="ch ch" ptType="node node" st="3 1" cnt="1 0" func="cnt" op="equ" val="2">
                            <dgm:alg type="cycle">
                              <dgm:param type="ctrShpMap" val="fNode"/>
                              <dgm:param type="stAng" val="285"/>
                              <dgm:param type="spanAng" val="-90"/>
                            </dgm:alg>
                          </dgm:if>
                          <dgm:else name="Name275">
                            <dgm:alg type="cycle">
                              <dgm:param type="ctrShpMap" val="fNode"/>
                              <dgm:param type="stAng" val="0"/>
                              <dgm:param type="spanAng" val="-360"/>
                            </dgm:alg>
                          </dgm:else>
                        </dgm:choose>
                      </dgm:if>
                      <dgm:if name="Name276" axis="ch" ptType="node" func="cnt" op="gte" val="7">
                        <dgm:choose name="Name277">
                          <dgm:if name="Name278" axis="ch ch" ptType="node node" st="3 1" cnt="1 0" func="cnt" op="equ" val="1">
                            <dgm:alg type="cycle">
                              <dgm:param type="ctrShpMap" val="fNode"/>
                              <dgm:param type="stAng" val="257"/>
                            </dgm:alg>
                          </dgm:if>
                          <dgm:if name="Name279" axis="ch ch" ptType="node node" st="3 1" cnt="1 0" func="cnt" op="equ" val="2">
                            <dgm:alg type="cycle">
                              <dgm:param type="ctrShpMap" val="fNode"/>
                              <dgm:param type="stAng" val="302"/>
                              <dgm:param type="spanAng" val="-90"/>
                            </dgm:alg>
                          </dgm:if>
                          <dgm:else name="Name280">
                            <dgm:alg type="cycle">
                              <dgm:param type="ctrShpMap" val="fNode"/>
                              <dgm:param type="stAng" val="0"/>
                              <dgm:param type="spanAng" val="-360"/>
                            </dgm:alg>
                          </dgm:else>
                        </dgm:choose>
                      </dgm:if>
                      <dgm:else name="Name281"/>
                    </dgm:choose>
                  </dgm:else>
                </dgm:choose>
                <dgm:shape xmlns:r="http://schemas.openxmlformats.org/officeDocument/2006/relationships" r:blip="">
                  <dgm:adjLst/>
                </dgm:shape>
                <dgm:presOf/>
                <dgm:constrLst>
                  <dgm:constr type="sp" refType="w" fact="0.1"/>
                  <dgm:constr type="sibSp" refType="w" fact="0.1"/>
                </dgm:constrLst>
                <dgm:forEach name="Name282" axis="ch" ptType="node" st="3" cnt="1">
                  <dgm:layoutNode name="childCenter3"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283" axis="ch">
                    <dgm:forEach name="Name284" axis="self" ptType="parTrans">
                      <dgm:layoutNode name="Name285">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286" axis="self" ptType="node">
                      <dgm:layoutNode name="text3"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287" axis="ch" ptType="parTrans" st="3" cnt="1">
                <dgm:layoutNode name="Name288">
                  <dgm:alg type="conn">
                    <dgm:param type="dim" val="1D"/>
                    <dgm:param type="begPts" val="auto"/>
                    <dgm:param type="endPts" val="auto"/>
                    <dgm:param type="endSty" val="noArr"/>
                    <dgm:param type="srcNode" val="textCenter"/>
                    <dgm:param type="dstNode" val="childCenter3"/>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289"/>
          </dgm:choose>
          <dgm:choose name="Name290">
            <dgm:if name="Name291" axis="ch" ptType="node" func="cnt" op="gte" val="4">
              <dgm:layoutNode name="cycle_4">
                <dgm:choose name="Name292">
                  <dgm:if name="Name293" func="var" arg="dir" op="equ" val="norm">
                    <dgm:choose name="Name294">
                      <dgm:if name="Name295" axis="ch" ptType="node" func="cnt" op="equ" val="4">
                        <dgm:choose name="Name296">
                          <dgm:if name="Name297" axis="ch ch" ptType="node node" st="4 1" cnt="1 0" func="cnt" op="equ" val="1">
                            <dgm:alg type="cycle">
                              <dgm:param type="ctrShpMap" val="fNode"/>
                              <dgm:param type="stAng" val="270"/>
                            </dgm:alg>
                          </dgm:if>
                          <dgm:if name="Name298" axis="ch ch" ptType="node node" st="4 1" cnt="1 0" func="cnt" op="equ" val="2">
                            <dgm:alg type="cycle">
                              <dgm:param type="ctrShpMap" val="fNode"/>
                              <dgm:param type="stAng" val="225"/>
                              <dgm:param type="spanAng" val="90"/>
                            </dgm:alg>
                          </dgm:if>
                          <dgm:else name="Name299">
                            <dgm:alg type="cycle">
                              <dgm:param type="ctrShpMap" val="fNode"/>
                              <dgm:param type="stAng" val="202.5"/>
                              <dgm:param type="spanAng" val="135"/>
                            </dgm:alg>
                          </dgm:else>
                        </dgm:choose>
                      </dgm:if>
                      <dgm:if name="Name300" axis="ch" ptType="node" func="cnt" op="equ" val="5">
                        <dgm:choose name="Name301">
                          <dgm:if name="Name302" axis="ch ch" ptType="node node" st="4 1" cnt="1 0" func="cnt" op="equ" val="1">
                            <dgm:alg type="cycle">
                              <dgm:param type="ctrShpMap" val="fNode"/>
                              <dgm:param type="stAng" val="216"/>
                            </dgm:alg>
                          </dgm:if>
                          <dgm:if name="Name303" axis="ch ch" ptType="node node" st="4 1" cnt="1 0" func="cnt" op="equ" val="2">
                            <dgm:alg type="cycle">
                              <dgm:param type="ctrShpMap" val="fNode"/>
                              <dgm:param type="stAng" val="171"/>
                              <dgm:param type="spanAng" val="90"/>
                            </dgm:alg>
                          </dgm:if>
                          <dgm:else name="Name304">
                            <dgm:alg type="cycle">
                              <dgm:param type="ctrShpMap" val="fNode"/>
                              <dgm:param type="stAng" val="0"/>
                              <dgm:param type="spanAng" val="360"/>
                            </dgm:alg>
                          </dgm:else>
                        </dgm:choose>
                      </dgm:if>
                      <dgm:if name="Name305" axis="ch" ptType="node" func="cnt" op="equ" val="6">
                        <dgm:choose name="Name306">
                          <dgm:if name="Name307" axis="ch ch" ptType="node node" st="4 1" cnt="1 0" func="cnt" op="equ" val="1">
                            <dgm:alg type="cycle">
                              <dgm:param type="ctrShpMap" val="fNode"/>
                              <dgm:param type="stAng" val="180"/>
                            </dgm:alg>
                          </dgm:if>
                          <dgm:if name="Name308" axis="ch ch" ptType="node node" st="4 1" cnt="1 0" func="cnt" op="equ" val="2">
                            <dgm:alg type="cycle">
                              <dgm:param type="ctrShpMap" val="fNode"/>
                              <dgm:param type="stAng" val="135"/>
                              <dgm:param type="spanAng" val="90"/>
                            </dgm:alg>
                          </dgm:if>
                          <dgm:else name="Name309">
                            <dgm:alg type="cycle">
                              <dgm:param type="ctrShpMap" val="fNode"/>
                              <dgm:param type="stAng" val="0"/>
                              <dgm:param type="spanAng" val="360"/>
                            </dgm:alg>
                          </dgm:else>
                        </dgm:choose>
                      </dgm:if>
                      <dgm:if name="Name310" axis="ch" ptType="node" func="cnt" op="gte" val="7">
                        <dgm:choose name="Name311">
                          <dgm:if name="Name312" axis="ch ch" ptType="node node" st="4 1" cnt="1 0" func="cnt" op="equ" val="1">
                            <dgm:alg type="cycle">
                              <dgm:param type="ctrShpMap" val="fNode"/>
                              <dgm:param type="stAng" val="154"/>
                            </dgm:alg>
                          </dgm:if>
                          <dgm:if name="Name313" axis="ch ch" ptType="node node" st="4 1" cnt="1 0" func="cnt" op="equ" val="2">
                            <dgm:alg type="cycle">
                              <dgm:param type="ctrShpMap" val="fNode"/>
                              <dgm:param type="stAng" val="109"/>
                              <dgm:param type="spanAng" val="90"/>
                            </dgm:alg>
                          </dgm:if>
                          <dgm:else name="Name314">
                            <dgm:alg type="cycle">
                              <dgm:param type="ctrShpMap" val="fNode"/>
                              <dgm:param type="stAng" val="0"/>
                              <dgm:param type="spanAng" val="360"/>
                            </dgm:alg>
                          </dgm:else>
                        </dgm:choose>
                      </dgm:if>
                      <dgm:else name="Name315"/>
                    </dgm:choose>
                  </dgm:if>
                  <dgm:else name="Name316">
                    <dgm:choose name="Name317">
                      <dgm:if name="Name318" axis="ch" ptType="node" func="cnt" op="equ" val="4">
                        <dgm:choose name="Name319">
                          <dgm:if name="Name320" axis="ch ch" ptType="node node" st="4 1" cnt="1 0" func="cnt" op="equ" val="1">
                            <dgm:alg type="cycle">
                              <dgm:param type="ctrShpMap" val="fNode"/>
                              <dgm:param type="stAng" val="90"/>
                            </dgm:alg>
                          </dgm:if>
                          <dgm:if name="Name321" axis="ch ch" ptType="node node" st="4 1" cnt="1 0" func="cnt" op="equ" val="2">
                            <dgm:alg type="cycle">
                              <dgm:param type="ctrShpMap" val="fNode"/>
                              <dgm:param type="stAng" val="135"/>
                              <dgm:param type="spanAng" val="-90"/>
                            </dgm:alg>
                          </dgm:if>
                          <dgm:else name="Name322">
                            <dgm:alg type="cycle">
                              <dgm:param type="ctrShpMap" val="fNode"/>
                              <dgm:param type="stAng" val="157.5"/>
                              <dgm:param type="spanAng" val="-135"/>
                            </dgm:alg>
                          </dgm:else>
                        </dgm:choose>
                      </dgm:if>
                      <dgm:if name="Name323" axis="ch" ptType="node" func="cnt" op="equ" val="5">
                        <dgm:choose name="Name324">
                          <dgm:if name="Name325" axis="ch ch" ptType="node node" st="4 1" cnt="1 0" func="cnt" op="equ" val="1">
                            <dgm:alg type="cycle">
                              <dgm:param type="ctrShpMap" val="fNode"/>
                              <dgm:param type="stAng" val="144"/>
                            </dgm:alg>
                          </dgm:if>
                          <dgm:if name="Name326" axis="ch ch" ptType="node node" st="4 1" cnt="1 0" func="cnt" op="equ" val="2">
                            <dgm:alg type="cycle">
                              <dgm:param type="ctrShpMap" val="fNode"/>
                              <dgm:param type="stAng" val="189"/>
                              <dgm:param type="spanAng" val="-90"/>
                            </dgm:alg>
                          </dgm:if>
                          <dgm:else name="Name327">
                            <dgm:alg type="cycle">
                              <dgm:param type="ctrShpMap" val="fNode"/>
                              <dgm:param type="stAng" val="0"/>
                              <dgm:param type="spanAng" val="-360"/>
                            </dgm:alg>
                          </dgm:else>
                        </dgm:choose>
                      </dgm:if>
                      <dgm:if name="Name328" axis="ch" ptType="node" func="cnt" op="equ" val="6">
                        <dgm:choose name="Name329">
                          <dgm:if name="Name330" axis="ch ch" ptType="node node" st="4 1" cnt="1 0" func="cnt" op="equ" val="1">
                            <dgm:alg type="cycle">
                              <dgm:param type="ctrShpMap" val="fNode"/>
                              <dgm:param type="stAng" val="180"/>
                            </dgm:alg>
                          </dgm:if>
                          <dgm:if name="Name331" axis="ch ch" ptType="node node" st="4 1" cnt="1 0" func="cnt" op="equ" val="2">
                            <dgm:alg type="cycle">
                              <dgm:param type="ctrShpMap" val="fNode"/>
                              <dgm:param type="stAng" val="225"/>
                              <dgm:param type="spanAng" val="-90"/>
                            </dgm:alg>
                          </dgm:if>
                          <dgm:else name="Name332">
                            <dgm:alg type="cycle">
                              <dgm:param type="ctrShpMap" val="fNode"/>
                              <dgm:param type="stAng" val="0"/>
                              <dgm:param type="spanAng" val="-360"/>
                            </dgm:alg>
                          </dgm:else>
                        </dgm:choose>
                      </dgm:if>
                      <dgm:if name="Name333" axis="ch" ptType="node" func="cnt" op="gte" val="7">
                        <dgm:choose name="Name334">
                          <dgm:if name="Name335" axis="ch ch" ptType="node node" st="4 1" cnt="1 0" func="cnt" op="equ" val="1">
                            <dgm:alg type="cycle">
                              <dgm:param type="ctrShpMap" val="fNode"/>
                              <dgm:param type="stAng" val="205"/>
                            </dgm:alg>
                          </dgm:if>
                          <dgm:if name="Name336" axis="ch ch" ptType="node node" st="4 1" cnt="1 0" func="cnt" op="equ" val="2">
                            <dgm:alg type="cycle">
                              <dgm:param type="ctrShpMap" val="fNode"/>
                              <dgm:param type="stAng" val="250"/>
                              <dgm:param type="spanAng" val="-90"/>
                            </dgm:alg>
                          </dgm:if>
                          <dgm:else name="Name337">
                            <dgm:alg type="cycle">
                              <dgm:param type="ctrShpMap" val="fNode"/>
                              <dgm:param type="stAng" val="0"/>
                              <dgm:param type="spanAng" val="-360"/>
                            </dgm:alg>
                          </dgm:else>
                        </dgm:choose>
                      </dgm:if>
                      <dgm:else name="Name338"/>
                    </dgm:choose>
                  </dgm:else>
                </dgm:choose>
                <dgm:shape xmlns:r="http://schemas.openxmlformats.org/officeDocument/2006/relationships" r:blip="">
                  <dgm:adjLst/>
                </dgm:shape>
                <dgm:presOf/>
                <dgm:constrLst>
                  <dgm:constr type="sp" refType="w" fact="0.1"/>
                  <dgm:constr type="sibSp" refType="w" fact="0.1"/>
                </dgm:constrLst>
                <dgm:forEach name="Name339" axis="ch" ptType="node" st="4" cnt="1">
                  <dgm:layoutNode name="childCenter4"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40" axis="ch">
                    <dgm:forEach name="Name341" axis="self" ptType="parTrans">
                      <dgm:layoutNode name="Name342">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43" axis="self" ptType="node">
                      <dgm:layoutNode name="text4"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44" axis="ch" ptType="parTrans" st="4" cnt="1">
                <dgm:layoutNode name="Name345">
                  <dgm:alg type="conn">
                    <dgm:param type="dim" val="1D"/>
                    <dgm:param type="begPts" val="auto"/>
                    <dgm:param type="endPts" val="auto"/>
                    <dgm:param type="endSty" val="noArr"/>
                    <dgm:param type="srcNode" val="textCenter"/>
                    <dgm:param type="dstNode" val="childCenter4"/>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46"/>
          </dgm:choose>
          <dgm:choose name="Name347">
            <dgm:if name="Name348" axis="ch" ptType="node" func="cnt" op="gte" val="5">
              <dgm:layoutNode name="cycle_5">
                <dgm:choose name="Name349">
                  <dgm:if name="Name350" func="var" arg="dir" op="equ" val="norm">
                    <dgm:choose name="Name351">
                      <dgm:if name="Name352" axis="ch" ptType="node" func="cnt" op="equ" val="5">
                        <dgm:choose name="Name353">
                          <dgm:if name="Name354" axis="ch ch" ptType="node node" st="5 1" cnt="1 0" func="cnt" op="equ" val="1">
                            <dgm:alg type="cycle">
                              <dgm:param type="ctrShpMap" val="fNode"/>
                              <dgm:param type="stAng" val="288"/>
                            </dgm:alg>
                          </dgm:if>
                          <dgm:if name="Name355" axis="ch ch" ptType="node node" st="5 1" cnt="1 0" func="cnt" op="equ" val="2">
                            <dgm:alg type="cycle">
                              <dgm:param type="ctrShpMap" val="fNode"/>
                              <dgm:param type="stAng" val="243"/>
                              <dgm:param type="spanAng" val="90"/>
                            </dgm:alg>
                          </dgm:if>
                          <dgm:else name="Name356">
                            <dgm:alg type="cycle">
                              <dgm:param type="ctrShpMap" val="fNode"/>
                              <dgm:param type="stAng" val="0"/>
                              <dgm:param type="spanAng" val="360"/>
                            </dgm:alg>
                          </dgm:else>
                        </dgm:choose>
                      </dgm:if>
                      <dgm:if name="Name357" axis="ch" ptType="node" func="cnt" op="equ" val="6">
                        <dgm:choose name="Name358">
                          <dgm:if name="Name359" axis="ch ch" ptType="node node" st="5 1" cnt="1 0" func="cnt" op="equ" val="1">
                            <dgm:alg type="cycle">
                              <dgm:param type="ctrShpMap" val="fNode"/>
                              <dgm:param type="stAng" val="240"/>
                            </dgm:alg>
                          </dgm:if>
                          <dgm:if name="Name360" axis="ch ch" ptType="node node" st="5 1" cnt="1 0" func="cnt" op="equ" val="2">
                            <dgm:alg type="cycle">
                              <dgm:param type="ctrShpMap" val="fNode"/>
                              <dgm:param type="stAng" val="195"/>
                              <dgm:param type="spanAng" val="90"/>
                            </dgm:alg>
                          </dgm:if>
                          <dgm:else name="Name361">
                            <dgm:alg type="cycle">
                              <dgm:param type="ctrShpMap" val="fNode"/>
                              <dgm:param type="stAng" val="0"/>
                              <dgm:param type="spanAng" val="360"/>
                            </dgm:alg>
                          </dgm:else>
                        </dgm:choose>
                      </dgm:if>
                      <dgm:if name="Name362" axis="ch" ptType="node" func="cnt" op="gte" val="7">
                        <dgm:choose name="Name363">
                          <dgm:if name="Name364" axis="ch ch" ptType="node node" st="5 1" cnt="1 0" func="cnt" op="equ" val="1">
                            <dgm:alg type="cycle">
                              <dgm:param type="ctrShpMap" val="fNode"/>
                              <dgm:param type="stAng" val="205"/>
                            </dgm:alg>
                          </dgm:if>
                          <dgm:if name="Name365" axis="ch ch" ptType="node node" st="5 1" cnt="1 0" func="cnt" op="equ" val="2">
                            <dgm:alg type="cycle">
                              <dgm:param type="ctrShpMap" val="fNode"/>
                              <dgm:param type="stAng" val="160"/>
                              <dgm:param type="spanAng" val="90"/>
                            </dgm:alg>
                          </dgm:if>
                          <dgm:else name="Name366">
                            <dgm:alg type="cycle">
                              <dgm:param type="ctrShpMap" val="fNode"/>
                              <dgm:param type="stAng" val="0"/>
                              <dgm:param type="spanAng" val="360"/>
                            </dgm:alg>
                          </dgm:else>
                        </dgm:choose>
                      </dgm:if>
                      <dgm:else name="Name367"/>
                    </dgm:choose>
                  </dgm:if>
                  <dgm:else name="Name368">
                    <dgm:choose name="Name369">
                      <dgm:if name="Name370" axis="ch" ptType="node" func="cnt" op="equ" val="5">
                        <dgm:choose name="Name371">
                          <dgm:if name="Name372" axis="ch ch" ptType="node node" st="5 1" cnt="1 0" func="cnt" op="equ" val="1">
                            <dgm:alg type="cycle">
                              <dgm:param type="ctrShpMap" val="fNode"/>
                              <dgm:param type="stAng" val="72"/>
                            </dgm:alg>
                          </dgm:if>
                          <dgm:if name="Name373" axis="ch ch" ptType="node node" st="5 1" cnt="1 0" func="cnt" op="equ" val="2">
                            <dgm:alg type="cycle">
                              <dgm:param type="ctrShpMap" val="fNode"/>
                              <dgm:param type="stAng" val="117"/>
                              <dgm:param type="spanAng" val="-90"/>
                            </dgm:alg>
                          </dgm:if>
                          <dgm:else name="Name374">
                            <dgm:alg type="cycle">
                              <dgm:param type="ctrShpMap" val="fNode"/>
                              <dgm:param type="stAng" val="0"/>
                              <dgm:param type="spanAng" val="-360"/>
                            </dgm:alg>
                          </dgm:else>
                        </dgm:choose>
                      </dgm:if>
                      <dgm:if name="Name375" axis="ch" ptType="node" func="cnt" op="equ" val="6">
                        <dgm:choose name="Name376">
                          <dgm:if name="Name377" axis="ch ch" ptType="node node" st="5 1" cnt="1 0" func="cnt" op="equ" val="1">
                            <dgm:alg type="cycle">
                              <dgm:param type="ctrShpMap" val="fNode"/>
                              <dgm:param type="stAng" val="120"/>
                            </dgm:alg>
                          </dgm:if>
                          <dgm:if name="Name378" axis="ch ch" ptType="node node" st="5 1" cnt="1 0" func="cnt" op="equ" val="2">
                            <dgm:alg type="cycle">
                              <dgm:param type="ctrShpMap" val="fNode"/>
                              <dgm:param type="stAng" val="165"/>
                              <dgm:param type="spanAng" val="-90"/>
                            </dgm:alg>
                          </dgm:if>
                          <dgm:else name="Name379">
                            <dgm:alg type="cycle">
                              <dgm:param type="ctrShpMap" val="fNode"/>
                              <dgm:param type="stAng" val="0"/>
                              <dgm:param type="spanAng" val="-360"/>
                            </dgm:alg>
                          </dgm:else>
                        </dgm:choose>
                      </dgm:if>
                      <dgm:if name="Name380" axis="ch" ptType="node" func="cnt" op="gte" val="7">
                        <dgm:choose name="Name381">
                          <dgm:if name="Name382" axis="ch ch" ptType="node node" st="5 1" cnt="1 0" func="cnt" op="equ" val="1">
                            <dgm:alg type="cycle">
                              <dgm:param type="ctrShpMap" val="fNode"/>
                              <dgm:param type="stAng" val="154"/>
                            </dgm:alg>
                          </dgm:if>
                          <dgm:if name="Name383" axis="ch ch" ptType="node node" st="5 1" cnt="1 0" func="cnt" op="equ" val="2">
                            <dgm:alg type="cycle">
                              <dgm:param type="ctrShpMap" val="fNode"/>
                              <dgm:param type="stAng" val="199"/>
                              <dgm:param type="spanAng" val="-90"/>
                            </dgm:alg>
                          </dgm:if>
                          <dgm:else name="Name384">
                            <dgm:alg type="cycle">
                              <dgm:param type="ctrShpMap" val="fNode"/>
                              <dgm:param type="stAng" val="0"/>
                              <dgm:param type="spanAng" val="-360"/>
                            </dgm:alg>
                          </dgm:else>
                        </dgm:choose>
                      </dgm:if>
                      <dgm:else name="Name385"/>
                    </dgm:choose>
                  </dgm:else>
                </dgm:choose>
                <dgm:shape xmlns:r="http://schemas.openxmlformats.org/officeDocument/2006/relationships" r:blip="">
                  <dgm:adjLst/>
                </dgm:shape>
                <dgm:presOf/>
                <dgm:constrLst>
                  <dgm:constr type="sp" refType="w" fact="0.1"/>
                  <dgm:constr type="sibSp" refType="w" fact="0.1"/>
                </dgm:constrLst>
                <dgm:forEach name="Name386" axis="ch" ptType="node" st="5" cnt="1">
                  <dgm:layoutNode name="childCenter5"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387" axis="ch">
                    <dgm:forEach name="Name388" axis="self" ptType="parTrans">
                      <dgm:layoutNode name="Name38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390" axis="self" ptType="node">
                      <dgm:layoutNode name="text5"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391" axis="ch" ptType="parTrans" st="5" cnt="1">
                <dgm:layoutNode name="Name392">
                  <dgm:alg type="conn">
                    <dgm:param type="dim" val="1D"/>
                    <dgm:param type="begPts" val="auto"/>
                    <dgm:param type="endPts" val="auto"/>
                    <dgm:param type="endSty" val="noArr"/>
                    <dgm:param type="srcNode" val="textCenter"/>
                    <dgm:param type="dstNode" val="childCenter5"/>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393"/>
          </dgm:choose>
          <dgm:choose name="Name394">
            <dgm:if name="Name395" axis="ch" ptType="node" func="cnt" op="gte" val="6">
              <dgm:layoutNode name="cycle_6">
                <dgm:choose name="Name396">
                  <dgm:if name="Name397" func="var" arg="dir" op="equ" val="norm">
                    <dgm:choose name="Name398">
                      <dgm:if name="Name399" axis="ch" ptType="node" func="cnt" op="equ" val="6">
                        <dgm:choose name="Name400">
                          <dgm:if name="Name401" axis="ch ch" ptType="node node" st="6 1" cnt="1 0" func="cnt" op="equ" val="1">
                            <dgm:alg type="cycle">
                              <dgm:param type="ctrShpMap" val="fNode"/>
                              <dgm:param type="stAng" val="300"/>
                            </dgm:alg>
                          </dgm:if>
                          <dgm:if name="Name402" axis="ch ch" ptType="node node" st="6 1" cnt="1 0" func="cnt" op="equ" val="2">
                            <dgm:alg type="cycle">
                              <dgm:param type="ctrShpMap" val="fNode"/>
                              <dgm:param type="stAng" val="255"/>
                              <dgm:param type="spanAng" val="90"/>
                            </dgm:alg>
                          </dgm:if>
                          <dgm:else name="Name403">
                            <dgm:alg type="cycle">
                              <dgm:param type="ctrShpMap" val="fNode"/>
                              <dgm:param type="stAng" val="0"/>
                              <dgm:param type="spanAng" val="360"/>
                            </dgm:alg>
                          </dgm:else>
                        </dgm:choose>
                      </dgm:if>
                      <dgm:if name="Name404" axis="ch" ptType="node" func="cnt" op="gte" val="7">
                        <dgm:choose name="Name405">
                          <dgm:if name="Name406" axis="ch ch" ptType="node node" st="6 1" cnt="1 0" func="cnt" op="equ" val="1">
                            <dgm:alg type="cycle">
                              <dgm:param type="ctrShpMap" val="fNode"/>
                              <dgm:param type="stAng" val="257"/>
                            </dgm:alg>
                          </dgm:if>
                          <dgm:if name="Name407" axis="ch ch" ptType="node node" st="6 1" cnt="1 0" func="cnt" op="equ" val="2">
                            <dgm:alg type="cycle">
                              <dgm:param type="ctrShpMap" val="fNode"/>
                              <dgm:param type="stAng" val="212"/>
                              <dgm:param type="spanAng" val="90"/>
                            </dgm:alg>
                          </dgm:if>
                          <dgm:else name="Name408">
                            <dgm:alg type="cycle">
                              <dgm:param type="ctrShpMap" val="fNode"/>
                              <dgm:param type="stAng" val="0"/>
                              <dgm:param type="spanAng" val="360"/>
                            </dgm:alg>
                          </dgm:else>
                        </dgm:choose>
                      </dgm:if>
                      <dgm:else name="Name409"/>
                    </dgm:choose>
                  </dgm:if>
                  <dgm:else name="Name410">
                    <dgm:choose name="Name411">
                      <dgm:if name="Name412" axis="ch" ptType="node" func="cnt" op="equ" val="6">
                        <dgm:choose name="Name413">
                          <dgm:if name="Name414" axis="ch ch" ptType="node node" st="6 1" cnt="1 0" func="cnt" op="equ" val="1">
                            <dgm:alg type="cycle">
                              <dgm:param type="ctrShpMap" val="fNode"/>
                              <dgm:param type="stAng" val="60"/>
                            </dgm:alg>
                          </dgm:if>
                          <dgm:if name="Name415" axis="ch ch" ptType="node node" st="6 1" cnt="1 0" func="cnt" op="equ" val="2">
                            <dgm:alg type="cycle">
                              <dgm:param type="ctrShpMap" val="fNode"/>
                              <dgm:param type="stAng" val="105"/>
                              <dgm:param type="spanAng" val="-90"/>
                            </dgm:alg>
                          </dgm:if>
                          <dgm:else name="Name416">
                            <dgm:alg type="cycle">
                              <dgm:param type="ctrShpMap" val="fNode"/>
                              <dgm:param type="stAng" val="0"/>
                              <dgm:param type="spanAng" val="-360"/>
                            </dgm:alg>
                          </dgm:else>
                        </dgm:choose>
                      </dgm:if>
                      <dgm:if name="Name417" axis="ch" ptType="node" func="cnt" op="gte" val="7">
                        <dgm:choose name="Name418">
                          <dgm:if name="Name419" axis="ch ch" ptType="node node" st="6 1" cnt="1 0" func="cnt" op="equ" val="1">
                            <dgm:alg type="cycle">
                              <dgm:param type="ctrShpMap" val="fNode"/>
                              <dgm:param type="stAng" val="102"/>
                            </dgm:alg>
                          </dgm:if>
                          <dgm:if name="Name420" axis="ch ch" ptType="node node" st="6 1" cnt="1 0" func="cnt" op="equ" val="2">
                            <dgm:alg type="cycle">
                              <dgm:param type="ctrShpMap" val="fNode"/>
                              <dgm:param type="stAng" val="147"/>
                              <dgm:param type="spanAng" val="-90"/>
                            </dgm:alg>
                          </dgm:if>
                          <dgm:else name="Name421">
                            <dgm:alg type="cycle">
                              <dgm:param type="ctrShpMap" val="fNode"/>
                              <dgm:param type="stAng" val="0"/>
                              <dgm:param type="spanAng" val="-360"/>
                            </dgm:alg>
                          </dgm:else>
                        </dgm:choose>
                      </dgm:if>
                      <dgm:else name="Name422"/>
                    </dgm:choose>
                  </dgm:else>
                </dgm:choose>
                <dgm:shape xmlns:r="http://schemas.openxmlformats.org/officeDocument/2006/relationships" r:blip="">
                  <dgm:adjLst/>
                </dgm:shape>
                <dgm:presOf/>
                <dgm:constrLst>
                  <dgm:constr type="sp" refType="w" fact="0.1"/>
                  <dgm:constr type="sibSp" refType="w" fact="0.1"/>
                </dgm:constrLst>
                <dgm:forEach name="Name423" axis="ch" ptType="node" st="6" cnt="1">
                  <dgm:layoutNode name="childCenter6"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24" axis="ch">
                    <dgm:forEach name="Name425" axis="self" ptType="parTrans">
                      <dgm:layoutNode name="Name426">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27" axis="self" ptType="node">
                      <dgm:layoutNode name="text6"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28" axis="ch" ptType="parTrans" st="6" cnt="1">
                <dgm:layoutNode name="Name429">
                  <dgm:alg type="conn">
                    <dgm:param type="dim" val="1D"/>
                    <dgm:param type="begPts" val="auto"/>
                    <dgm:param type="endPts" val="auto"/>
                    <dgm:param type="endSty" val="noArr"/>
                    <dgm:param type="srcNode" val="textCenter"/>
                    <dgm:param type="dstNode" val="childCenter6"/>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30"/>
          </dgm:choose>
          <dgm:choose name="Name431">
            <dgm:if name="Name432" axis="ch" ptType="node" func="cnt" op="gte" val="7">
              <dgm:layoutNode name="cycle_7">
                <dgm:choose name="Name433">
                  <dgm:if name="Name434" func="var" arg="dir" op="equ" val="norm">
                    <dgm:choose name="Name435">
                      <dgm:if name="Name436" axis="ch" ptType="node" func="cnt" op="gte" val="7">
                        <dgm:choose name="Name437">
                          <dgm:if name="Name438" axis="ch ch" ptType="node node" st="7 1" cnt="1 0" func="cnt" op="equ" val="1">
                            <dgm:alg type="cycle">
                              <dgm:param type="ctrShpMap" val="fNode"/>
                              <dgm:param type="stAng" val="308"/>
                            </dgm:alg>
                          </dgm:if>
                          <dgm:if name="Name439" axis="ch ch" ptType="node node" st="7 1" cnt="1 0" func="cnt" op="equ" val="2">
                            <dgm:alg type="cycle">
                              <dgm:param type="ctrShpMap" val="fNode"/>
                              <dgm:param type="stAng" val="263"/>
                              <dgm:param type="spanAng" val="90"/>
                            </dgm:alg>
                          </dgm:if>
                          <dgm:else name="Name440">
                            <dgm:alg type="cycle">
                              <dgm:param type="ctrShpMap" val="fNode"/>
                              <dgm:param type="stAng" val="0"/>
                              <dgm:param type="spanAng" val="360"/>
                            </dgm:alg>
                          </dgm:else>
                        </dgm:choose>
                      </dgm:if>
                      <dgm:else name="Name441"/>
                    </dgm:choose>
                  </dgm:if>
                  <dgm:else name="Name442">
                    <dgm:choose name="Name443">
                      <dgm:if name="Name444" axis="ch" ptType="node" func="cnt" op="gte" val="7">
                        <dgm:choose name="Name445">
                          <dgm:if name="Name446" axis="ch ch" ptType="node node" st="7 1" cnt="1 0" func="cnt" op="equ" val="1">
                            <dgm:alg type="cycle">
                              <dgm:param type="ctrShpMap" val="fNode"/>
                              <dgm:param type="stAng" val="51"/>
                            </dgm:alg>
                          </dgm:if>
                          <dgm:if name="Name447" axis="ch ch" ptType="node node" st="7 1" cnt="1 0" func="cnt" op="equ" val="2">
                            <dgm:alg type="cycle">
                              <dgm:param type="ctrShpMap" val="fNode"/>
                              <dgm:param type="stAng" val="96"/>
                              <dgm:param type="spanAng" val="-90"/>
                            </dgm:alg>
                          </dgm:if>
                          <dgm:else name="Name448">
                            <dgm:alg type="cycle">
                              <dgm:param type="ctrShpMap" val="fNode"/>
                              <dgm:param type="stAng" val="0"/>
                              <dgm:param type="spanAng" val="-360"/>
                            </dgm:alg>
                          </dgm:else>
                        </dgm:choose>
                      </dgm:if>
                      <dgm:else name="Name449"/>
                    </dgm:choose>
                  </dgm:else>
                </dgm:choose>
                <dgm:shape xmlns:r="http://schemas.openxmlformats.org/officeDocument/2006/relationships" r:blip="">
                  <dgm:adjLst/>
                </dgm:shape>
                <dgm:presOf/>
                <dgm:constrLst>
                  <dgm:constr type="sp" refType="w" fact="0.1"/>
                  <dgm:constr type="sibSp" refType="w" fact="0.1"/>
                </dgm:constrLst>
                <dgm:forEach name="Name450" axis="ch" ptType="node" st="7" cnt="1">
                  <dgm:layoutNode name="childCenter7" styleLbl="node1">
                    <dgm:alg type="tx"/>
                    <dgm:shape xmlns:r="http://schemas.openxmlformats.org/officeDocument/2006/relationships" type="roundRect" r:blip="">
                      <dgm:adjLst/>
                    </dgm:shape>
                    <dgm:presOf axis="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name="Name451" axis="ch">
                    <dgm:forEach name="Name452" axis="self" ptType="parTrans">
                      <dgm:layoutNode name="Name453">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begPad"/>
                          <dgm:constr type="endPad"/>
                        </dgm:constrLst>
                      </dgm:layoutNode>
                    </dgm:forEach>
                    <dgm:forEach name="Name454" axis="self" ptType="node">
                      <dgm:layoutNode name="text7" styleLbl="node1">
                        <dgm:varLst>
                          <dgm:bulletEnabled val="1"/>
                        </dgm:varLst>
                        <dgm:alg type="tx"/>
                        <dgm:shape xmlns:r="http://schemas.openxmlformats.org/officeDocument/2006/relationships" type="roundRect" r:blip="">
                          <dgm:adjLst/>
                        </dgm:shape>
                        <dgm:presOf axis="desOrSelf" ptType="node"/>
                        <dgm:constrLst>
                          <dgm:constr type="userS"/>
                          <dgm:constr type="w" refType="userS"/>
                          <dgm:constr type="h" refType="w"/>
                          <dgm:constr type="tMarg" refType="primFontSz" fact="0.2"/>
                          <dgm:constr type="bMarg" refType="primFontSz" fact="0.2"/>
                          <dgm:constr type="lMarg" refType="primFontSz" fact="0.2"/>
                          <dgm:constr type="rMarg" refType="primFontSz" fact="0.2"/>
                        </dgm:constrLst>
                        <dgm:ruleLst>
                          <dgm:rule type="primFontSz" val="5" fact="NaN" max="NaN"/>
                        </dgm:ruleLst>
                      </dgm:layoutNode>
                    </dgm:forEach>
                  </dgm:forEach>
                </dgm:forEach>
              </dgm:layoutNode>
              <dgm:forEach name="Name455" axis="ch" ptType="parTrans" st="7" cnt="1">
                <dgm:layoutNode name="Name456">
                  <dgm:alg type="conn">
                    <dgm:param type="dim" val="1D"/>
                    <dgm:param type="begPts" val="auto"/>
                    <dgm:param type="endPts" val="auto"/>
                    <dgm:param type="endSty" val="noArr"/>
                    <dgm:param type="srcNode" val="textCenter"/>
                    <dgm:param type="dstNode" val="childCenter7"/>
                  </dgm:alg>
                  <dgm:shape xmlns:r="http://schemas.openxmlformats.org/officeDocument/2006/relationships" type="conn" r:blip="" zOrderOff="-999">
                    <dgm:adjLst/>
                  </dgm:shape>
                  <dgm:presOf axis="self"/>
                  <dgm:constrLst>
                    <dgm:constr type="h"/>
                    <dgm:constr type="begPad"/>
                    <dgm:constr type="endPad"/>
                  </dgm:constrLst>
                </dgm:layoutNode>
              </dgm:forEach>
            </dgm:if>
            <dgm:else name="Name45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0F805A-6481-4D69-B154-1BC984164F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223</Pages>
  <Words>70011</Words>
  <Characters>399063</Characters>
  <Application>Microsoft Office Word</Application>
  <DocSecurity>0</DocSecurity>
  <Lines>3325</Lines>
  <Paragraphs>936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468138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Author</dc:creator>
  <cp:keywords/>
  <dc:description/>
  <cp:lastModifiedBy>user</cp:lastModifiedBy>
  <cp:revision>24</cp:revision>
  <cp:lastPrinted>2022-04-05T06:55:00Z</cp:lastPrinted>
  <dcterms:created xsi:type="dcterms:W3CDTF">2022-05-16T06:45:00Z</dcterms:created>
  <dcterms:modified xsi:type="dcterms:W3CDTF">2022-06-20T08:27:00Z</dcterms:modified>
</cp:coreProperties>
</file>