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footer4.xml" ContentType="application/vnd.openxmlformats-officedocument.wordprocessingml.footer+xml"/>
  <Override PartName="/word/charts/chart3.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4971" w:rsidRPr="005B6074" w:rsidRDefault="00A35E98" w:rsidP="00F24971">
      <w:pPr>
        <w:rPr>
          <w:rFonts w:ascii="Times New Roman" w:hAnsi="Times New Roman"/>
          <w:b/>
          <w:bCs/>
          <w:sz w:val="30"/>
          <w:szCs w:val="34"/>
        </w:rPr>
      </w:pPr>
      <w:bookmarkStart w:id="0" w:name="_Toc319498651"/>
      <w:r w:rsidRPr="005B6074">
        <w:rPr>
          <w:rFonts w:ascii="Times New Roman" w:hAnsi="Times New Roman"/>
          <w:b/>
          <w:sz w:val="30"/>
        </w:rPr>
        <w:t>Identification</w:t>
      </w:r>
    </w:p>
    <w:p w:rsidR="00F24971" w:rsidRPr="005B6074" w:rsidRDefault="00F24971" w:rsidP="00F24971">
      <w:pPr>
        <w:rPr>
          <w:rFonts w:ascii="Times New Roman" w:hAnsi="Times New Roman"/>
          <w:b/>
          <w:bCs/>
          <w:sz w:val="30"/>
          <w:szCs w:val="34"/>
        </w:rPr>
      </w:pPr>
    </w:p>
    <w:tbl>
      <w:tblPr>
        <w:tblW w:w="9311" w:type="dxa"/>
        <w:tblInd w:w="68" w:type="dxa"/>
        <w:tblCellMar>
          <w:left w:w="68" w:type="dxa"/>
          <w:right w:w="68" w:type="dxa"/>
        </w:tblCellMar>
        <w:tblLook w:val="01E0" w:firstRow="1" w:lastRow="1" w:firstColumn="1" w:lastColumn="1" w:noHBand="0" w:noVBand="0"/>
      </w:tblPr>
      <w:tblGrid>
        <w:gridCol w:w="2610"/>
        <w:gridCol w:w="6701"/>
      </w:tblGrid>
      <w:tr w:rsidR="00F24971" w:rsidRPr="005B6074" w:rsidTr="00F24971">
        <w:tc>
          <w:tcPr>
            <w:tcW w:w="2610" w:type="dxa"/>
          </w:tcPr>
          <w:p w:rsidR="00F24971" w:rsidRPr="005B6074" w:rsidRDefault="00A35E98" w:rsidP="00F24971">
            <w:pPr>
              <w:spacing w:before="120" w:after="120"/>
              <w:rPr>
                <w:rFonts w:ascii="Times New Roman" w:hAnsi="Times New Roman"/>
              </w:rPr>
            </w:pPr>
            <w:r w:rsidRPr="005B6074">
              <w:rPr>
                <w:rFonts w:ascii="Times New Roman" w:hAnsi="Times New Roman"/>
                <w:color w:val="003366"/>
              </w:rPr>
              <w:t>Project name:</w:t>
            </w:r>
          </w:p>
        </w:tc>
        <w:tc>
          <w:tcPr>
            <w:tcW w:w="6701" w:type="dxa"/>
          </w:tcPr>
          <w:p w:rsidR="00F24971" w:rsidRPr="005B6074" w:rsidRDefault="00A35E98" w:rsidP="00F71FE2">
            <w:pPr>
              <w:spacing w:before="120" w:after="120"/>
              <w:rPr>
                <w:rFonts w:ascii="Times New Roman" w:hAnsi="Times New Roman"/>
              </w:rPr>
            </w:pPr>
            <w:r w:rsidRPr="005B6074">
              <w:rPr>
                <w:rFonts w:ascii="Times New Roman" w:hAnsi="Times New Roman"/>
              </w:rPr>
              <w:t xml:space="preserve">Ex-ante </w:t>
            </w:r>
            <w:r w:rsidR="00F71FE2" w:rsidRPr="005B6074">
              <w:rPr>
                <w:rFonts w:ascii="Times New Roman" w:hAnsi="Times New Roman"/>
              </w:rPr>
              <w:t>Evaluation</w:t>
            </w:r>
            <w:r w:rsidRPr="005B6074">
              <w:rPr>
                <w:rFonts w:ascii="Times New Roman" w:hAnsi="Times New Roman"/>
              </w:rPr>
              <w:t xml:space="preserve"> of Operational Programme Science and Education for Smart Growth </w:t>
            </w:r>
            <w:r w:rsidR="00F71FE2" w:rsidRPr="005B6074">
              <w:rPr>
                <w:rFonts w:ascii="Times New Roman" w:hAnsi="Times New Roman"/>
              </w:rPr>
              <w:t xml:space="preserve"> </w:t>
            </w:r>
            <w:r w:rsidRPr="005B6074">
              <w:rPr>
                <w:rFonts w:ascii="Times New Roman" w:hAnsi="Times New Roman"/>
              </w:rPr>
              <w:t xml:space="preserve">2014–2020 </w:t>
            </w:r>
          </w:p>
        </w:tc>
      </w:tr>
      <w:tr w:rsidR="00F24971" w:rsidRPr="005B6074" w:rsidTr="00F24971">
        <w:tc>
          <w:tcPr>
            <w:tcW w:w="2610" w:type="dxa"/>
          </w:tcPr>
          <w:p w:rsidR="00F24971" w:rsidRPr="005B6074" w:rsidRDefault="00A35E98" w:rsidP="00F24971">
            <w:pPr>
              <w:spacing w:before="120" w:after="120"/>
              <w:rPr>
                <w:rFonts w:ascii="Times New Roman" w:hAnsi="Times New Roman"/>
                <w:color w:val="003366"/>
              </w:rPr>
            </w:pPr>
            <w:r w:rsidRPr="005B6074">
              <w:rPr>
                <w:rFonts w:ascii="Times New Roman" w:hAnsi="Times New Roman"/>
                <w:color w:val="003366"/>
              </w:rPr>
              <w:t>Contract No</w:t>
            </w:r>
          </w:p>
        </w:tc>
        <w:tc>
          <w:tcPr>
            <w:tcW w:w="6701" w:type="dxa"/>
          </w:tcPr>
          <w:p w:rsidR="00F24971" w:rsidRPr="005B6074" w:rsidRDefault="00A35E98" w:rsidP="00F24971">
            <w:pPr>
              <w:spacing w:before="120" w:after="120"/>
              <w:rPr>
                <w:rFonts w:ascii="Times New Roman" w:hAnsi="Times New Roman"/>
              </w:rPr>
            </w:pPr>
            <w:r w:rsidRPr="005B6074">
              <w:rPr>
                <w:rFonts w:ascii="Times New Roman" w:hAnsi="Times New Roman"/>
              </w:rPr>
              <w:t>ДО3-76/26.02.2014</w:t>
            </w:r>
          </w:p>
        </w:tc>
      </w:tr>
      <w:tr w:rsidR="00F24971" w:rsidRPr="005B6074" w:rsidTr="00F24971">
        <w:tc>
          <w:tcPr>
            <w:tcW w:w="2610" w:type="dxa"/>
          </w:tcPr>
          <w:p w:rsidR="00F24971" w:rsidRPr="005B6074" w:rsidRDefault="00A35E98" w:rsidP="00F24971">
            <w:pPr>
              <w:spacing w:before="120" w:after="120"/>
              <w:rPr>
                <w:rFonts w:ascii="Times New Roman" w:hAnsi="Times New Roman"/>
              </w:rPr>
            </w:pPr>
            <w:r w:rsidRPr="005B6074">
              <w:rPr>
                <w:rFonts w:ascii="Times New Roman" w:hAnsi="Times New Roman"/>
                <w:color w:val="003366"/>
              </w:rPr>
              <w:t>Contracting Authority:</w:t>
            </w:r>
          </w:p>
        </w:tc>
        <w:tc>
          <w:tcPr>
            <w:tcW w:w="6701" w:type="dxa"/>
          </w:tcPr>
          <w:p w:rsidR="00F24971" w:rsidRPr="005B6074" w:rsidRDefault="00A35E98" w:rsidP="00F24971">
            <w:pPr>
              <w:spacing w:before="120" w:after="120"/>
              <w:rPr>
                <w:rFonts w:ascii="Times New Roman" w:hAnsi="Times New Roman"/>
              </w:rPr>
            </w:pPr>
            <w:r w:rsidRPr="005B6074">
              <w:rPr>
                <w:rFonts w:ascii="Times New Roman" w:hAnsi="Times New Roman"/>
              </w:rPr>
              <w:t>Ministry of Education and Science</w:t>
            </w:r>
          </w:p>
        </w:tc>
      </w:tr>
      <w:tr w:rsidR="00F24971" w:rsidRPr="005B6074" w:rsidTr="00F24971">
        <w:tc>
          <w:tcPr>
            <w:tcW w:w="2610" w:type="dxa"/>
          </w:tcPr>
          <w:p w:rsidR="00F24971" w:rsidRPr="005B6074" w:rsidRDefault="00A35E98" w:rsidP="00F24971">
            <w:pPr>
              <w:spacing w:before="120" w:after="120"/>
              <w:rPr>
                <w:rFonts w:ascii="Times New Roman" w:hAnsi="Times New Roman"/>
              </w:rPr>
            </w:pPr>
            <w:r w:rsidRPr="005B6074">
              <w:rPr>
                <w:rFonts w:ascii="Times New Roman" w:hAnsi="Times New Roman"/>
                <w:color w:val="003366"/>
              </w:rPr>
              <w:t>Contractor/Consultant:</w:t>
            </w:r>
          </w:p>
        </w:tc>
        <w:tc>
          <w:tcPr>
            <w:tcW w:w="6701" w:type="dxa"/>
          </w:tcPr>
          <w:p w:rsidR="00F24971" w:rsidRPr="005B6074" w:rsidRDefault="00A35E98" w:rsidP="00F24971">
            <w:pPr>
              <w:spacing w:before="120" w:after="120"/>
              <w:rPr>
                <w:rFonts w:ascii="Times New Roman" w:hAnsi="Times New Roman"/>
                <w:b/>
              </w:rPr>
            </w:pPr>
            <w:r w:rsidRPr="005B6074">
              <w:rPr>
                <w:rFonts w:ascii="Times New Roman" w:hAnsi="Times New Roman"/>
                <w:b/>
              </w:rPr>
              <w:t>Ecorys South East Europe Ltd.</w:t>
            </w:r>
          </w:p>
          <w:p w:rsidR="00F24971" w:rsidRPr="005B6074" w:rsidRDefault="00A35E98" w:rsidP="00F24971">
            <w:pPr>
              <w:spacing w:before="120" w:after="120"/>
              <w:contextualSpacing/>
              <w:rPr>
                <w:rFonts w:ascii="Times New Roman" w:hAnsi="Times New Roman"/>
              </w:rPr>
            </w:pPr>
            <w:r w:rsidRPr="005B6074">
              <w:rPr>
                <w:rFonts w:ascii="Times New Roman" w:hAnsi="Times New Roman"/>
              </w:rPr>
              <w:t xml:space="preserve">Address: 1, </w:t>
            </w:r>
            <w:proofErr w:type="spellStart"/>
            <w:r w:rsidRPr="005B6074">
              <w:rPr>
                <w:rFonts w:ascii="Times New Roman" w:hAnsi="Times New Roman"/>
              </w:rPr>
              <w:t>Cherni</w:t>
            </w:r>
            <w:proofErr w:type="spellEnd"/>
            <w:r w:rsidRPr="005B6074">
              <w:rPr>
                <w:rFonts w:ascii="Times New Roman" w:hAnsi="Times New Roman"/>
              </w:rPr>
              <w:t xml:space="preserve"> </w:t>
            </w:r>
            <w:proofErr w:type="spellStart"/>
            <w:r w:rsidRPr="005B6074">
              <w:rPr>
                <w:rFonts w:ascii="Times New Roman" w:hAnsi="Times New Roman"/>
              </w:rPr>
              <w:t>Vrah</w:t>
            </w:r>
            <w:proofErr w:type="spellEnd"/>
            <w:r w:rsidRPr="005B6074">
              <w:rPr>
                <w:rFonts w:ascii="Times New Roman" w:hAnsi="Times New Roman"/>
              </w:rPr>
              <w:t xml:space="preserve"> Blvd., Sofia</w:t>
            </w:r>
          </w:p>
          <w:p w:rsidR="00F24971" w:rsidRPr="005B6074" w:rsidRDefault="00A35E98" w:rsidP="00F24971">
            <w:pPr>
              <w:spacing w:before="120" w:after="120"/>
              <w:contextualSpacing/>
              <w:rPr>
                <w:rFonts w:ascii="Times New Roman" w:hAnsi="Times New Roman"/>
              </w:rPr>
            </w:pPr>
            <w:r w:rsidRPr="005B6074">
              <w:rPr>
                <w:rFonts w:ascii="Times New Roman" w:hAnsi="Times New Roman"/>
              </w:rPr>
              <w:t>Phone: (+359 2) 8155 684</w:t>
            </w:r>
          </w:p>
          <w:p w:rsidR="00F24971" w:rsidRPr="005B6074" w:rsidRDefault="00A35E98" w:rsidP="00F24971">
            <w:pPr>
              <w:spacing w:before="120" w:after="120"/>
              <w:contextualSpacing/>
              <w:rPr>
                <w:rFonts w:ascii="Times New Roman" w:hAnsi="Times New Roman"/>
              </w:rPr>
            </w:pPr>
            <w:r w:rsidRPr="005B6074">
              <w:rPr>
                <w:rFonts w:ascii="Times New Roman" w:hAnsi="Times New Roman"/>
              </w:rPr>
              <w:t>Fax: (+359 2) 981 60 32</w:t>
            </w:r>
          </w:p>
          <w:p w:rsidR="00F24971" w:rsidRPr="005B6074" w:rsidRDefault="00A35E98" w:rsidP="00F24971">
            <w:pPr>
              <w:spacing w:before="120" w:after="120"/>
              <w:contextualSpacing/>
              <w:rPr>
                <w:rFonts w:ascii="Times New Roman" w:hAnsi="Times New Roman"/>
              </w:rPr>
            </w:pPr>
            <w:r w:rsidRPr="005B6074">
              <w:rPr>
                <w:rFonts w:ascii="Times New Roman" w:hAnsi="Times New Roman"/>
              </w:rPr>
              <w:t xml:space="preserve">E-mail: </w:t>
            </w:r>
            <w:hyperlink r:id="rId8" w:history="1">
              <w:r w:rsidRPr="005B6074">
                <w:rPr>
                  <w:rStyle w:val="Hyperlink"/>
                </w:rPr>
                <w:t>EcorysSEE@ecorys.com</w:t>
              </w:r>
            </w:hyperlink>
          </w:p>
        </w:tc>
      </w:tr>
      <w:tr w:rsidR="00F24971" w:rsidRPr="005B6074" w:rsidTr="00F24971">
        <w:tc>
          <w:tcPr>
            <w:tcW w:w="2610" w:type="dxa"/>
          </w:tcPr>
          <w:p w:rsidR="00F24971" w:rsidRPr="005B6074" w:rsidRDefault="00A35E98" w:rsidP="00F24971">
            <w:pPr>
              <w:spacing w:before="120" w:after="120"/>
              <w:rPr>
                <w:rFonts w:ascii="Times New Roman" w:hAnsi="Times New Roman"/>
                <w:color w:val="003366"/>
              </w:rPr>
            </w:pPr>
            <w:r w:rsidRPr="005B6074">
              <w:rPr>
                <w:rFonts w:ascii="Times New Roman" w:hAnsi="Times New Roman"/>
                <w:color w:val="003366"/>
              </w:rPr>
              <w:t>Project director:</w:t>
            </w:r>
          </w:p>
        </w:tc>
        <w:tc>
          <w:tcPr>
            <w:tcW w:w="6701" w:type="dxa"/>
          </w:tcPr>
          <w:p w:rsidR="00F24971" w:rsidRPr="005B6074" w:rsidRDefault="00A35E98" w:rsidP="00F24971">
            <w:pPr>
              <w:spacing w:before="120" w:after="120"/>
              <w:contextualSpacing/>
              <w:rPr>
                <w:rFonts w:ascii="Times New Roman" w:hAnsi="Times New Roman"/>
                <w:b/>
              </w:rPr>
            </w:pPr>
            <w:r w:rsidRPr="005B6074">
              <w:rPr>
                <w:rFonts w:ascii="Times New Roman" w:hAnsi="Times New Roman"/>
                <w:b/>
              </w:rPr>
              <w:t>Mariana Stefanova</w:t>
            </w:r>
          </w:p>
          <w:p w:rsidR="00F24971" w:rsidRPr="005B6074" w:rsidRDefault="00A35E98" w:rsidP="00F24971">
            <w:pPr>
              <w:spacing w:before="120" w:after="120"/>
              <w:contextualSpacing/>
              <w:rPr>
                <w:rFonts w:ascii="Times New Roman" w:hAnsi="Times New Roman"/>
              </w:rPr>
            </w:pPr>
            <w:r w:rsidRPr="005B6074">
              <w:rPr>
                <w:rFonts w:ascii="Times New Roman" w:hAnsi="Times New Roman"/>
              </w:rPr>
              <w:t>Phone: (+359 2) 8155 684</w:t>
            </w:r>
          </w:p>
          <w:p w:rsidR="00F24971" w:rsidRPr="005B6074" w:rsidRDefault="00A35E98" w:rsidP="00F24971">
            <w:pPr>
              <w:spacing w:before="120" w:after="120"/>
              <w:contextualSpacing/>
              <w:rPr>
                <w:rFonts w:ascii="Times New Roman" w:hAnsi="Times New Roman"/>
              </w:rPr>
            </w:pPr>
            <w:r w:rsidRPr="005B6074">
              <w:rPr>
                <w:rFonts w:ascii="Times New Roman" w:hAnsi="Times New Roman"/>
              </w:rPr>
              <w:t xml:space="preserve">E-mail: </w:t>
            </w:r>
            <w:hyperlink r:id="rId9" w:history="1">
              <w:r w:rsidRPr="005B6074">
                <w:rPr>
                  <w:rStyle w:val="Hyperlink"/>
                </w:rPr>
                <w:t>Mariana. Stefanova@ecorys.bg</w:t>
              </w:r>
            </w:hyperlink>
          </w:p>
        </w:tc>
      </w:tr>
      <w:tr w:rsidR="00F24971" w:rsidRPr="005B6074" w:rsidTr="00F24971">
        <w:trPr>
          <w:trHeight w:val="1028"/>
        </w:trPr>
        <w:tc>
          <w:tcPr>
            <w:tcW w:w="2610" w:type="dxa"/>
          </w:tcPr>
          <w:p w:rsidR="00F24971" w:rsidRPr="005B6074" w:rsidRDefault="00A35E98" w:rsidP="00F24971">
            <w:pPr>
              <w:spacing w:before="120" w:after="120"/>
              <w:rPr>
                <w:rFonts w:ascii="Times New Roman" w:hAnsi="Times New Roman"/>
                <w:color w:val="003366"/>
              </w:rPr>
            </w:pPr>
            <w:r w:rsidRPr="005B6074">
              <w:rPr>
                <w:rFonts w:ascii="Times New Roman" w:hAnsi="Times New Roman"/>
                <w:color w:val="003366"/>
              </w:rPr>
              <w:t>Team leader:</w:t>
            </w:r>
          </w:p>
        </w:tc>
        <w:tc>
          <w:tcPr>
            <w:tcW w:w="6701" w:type="dxa"/>
          </w:tcPr>
          <w:p w:rsidR="00F24971" w:rsidRPr="005B6074" w:rsidRDefault="00A35E98" w:rsidP="00F24971">
            <w:pPr>
              <w:spacing w:before="120" w:after="120"/>
              <w:contextualSpacing/>
              <w:rPr>
                <w:rFonts w:ascii="Times New Roman" w:hAnsi="Times New Roman"/>
                <w:b/>
              </w:rPr>
            </w:pPr>
            <w:r w:rsidRPr="005B6074">
              <w:rPr>
                <w:rFonts w:ascii="Times New Roman" w:hAnsi="Times New Roman"/>
                <w:b/>
              </w:rPr>
              <w:t>Mathias Hague</w:t>
            </w:r>
          </w:p>
          <w:p w:rsidR="00F24971" w:rsidRPr="005B6074" w:rsidRDefault="00A35E98" w:rsidP="00F24971">
            <w:pPr>
              <w:spacing w:before="120" w:after="120"/>
              <w:contextualSpacing/>
              <w:rPr>
                <w:rFonts w:ascii="Times New Roman" w:hAnsi="Times New Roman"/>
              </w:rPr>
            </w:pPr>
            <w:r w:rsidRPr="005B6074">
              <w:rPr>
                <w:rFonts w:ascii="Times New Roman" w:hAnsi="Times New Roman"/>
              </w:rPr>
              <w:t>Phone: (+359 2) 8155 684</w:t>
            </w:r>
          </w:p>
          <w:p w:rsidR="00F24971" w:rsidRPr="005B6074" w:rsidRDefault="00A35E98" w:rsidP="00F24971">
            <w:pPr>
              <w:spacing w:before="120" w:after="120"/>
              <w:contextualSpacing/>
              <w:rPr>
                <w:rFonts w:ascii="Times New Roman" w:hAnsi="Times New Roman"/>
              </w:rPr>
            </w:pPr>
            <w:r w:rsidRPr="005B6074">
              <w:rPr>
                <w:rFonts w:ascii="Times New Roman" w:hAnsi="Times New Roman"/>
              </w:rPr>
              <w:t xml:space="preserve">E-mail: </w:t>
            </w:r>
            <w:hyperlink r:id="rId10" w:history="1">
              <w:r w:rsidRPr="005B6074">
                <w:rPr>
                  <w:rStyle w:val="Hyperlink"/>
                </w:rPr>
                <w:t>EcorysSEE@ecorys.</w:t>
              </w:r>
            </w:hyperlink>
            <w:r w:rsidRPr="005B6074">
              <w:rPr>
                <w:rStyle w:val="Hyperlink"/>
                <w:rFonts w:ascii="Times New Roman" w:hAnsi="Times New Roman"/>
              </w:rPr>
              <w:t>com</w:t>
            </w:r>
          </w:p>
        </w:tc>
      </w:tr>
      <w:tr w:rsidR="00F24971" w:rsidRPr="005B6074" w:rsidTr="00F24971">
        <w:tc>
          <w:tcPr>
            <w:tcW w:w="2610" w:type="dxa"/>
          </w:tcPr>
          <w:p w:rsidR="00F24971" w:rsidRPr="005B6074" w:rsidRDefault="00A35E98" w:rsidP="00F71FE2">
            <w:pPr>
              <w:spacing w:before="120" w:after="120"/>
              <w:rPr>
                <w:rFonts w:ascii="Times New Roman" w:hAnsi="Times New Roman"/>
                <w:color w:val="003366"/>
              </w:rPr>
            </w:pPr>
            <w:r w:rsidRPr="005B6074">
              <w:rPr>
                <w:rFonts w:ascii="Times New Roman" w:hAnsi="Times New Roman"/>
                <w:color w:val="003366"/>
              </w:rPr>
              <w:t>Date of contract sign</w:t>
            </w:r>
            <w:r w:rsidR="00F71FE2" w:rsidRPr="005B6074">
              <w:rPr>
                <w:rFonts w:ascii="Times New Roman" w:hAnsi="Times New Roman"/>
                <w:color w:val="003366"/>
              </w:rPr>
              <w:t>ature</w:t>
            </w:r>
            <w:r w:rsidRPr="005B6074">
              <w:rPr>
                <w:rFonts w:ascii="Times New Roman" w:hAnsi="Times New Roman"/>
                <w:color w:val="003366"/>
              </w:rPr>
              <w:t>:</w:t>
            </w:r>
          </w:p>
        </w:tc>
        <w:tc>
          <w:tcPr>
            <w:tcW w:w="6701" w:type="dxa"/>
          </w:tcPr>
          <w:p w:rsidR="00F24971" w:rsidRPr="005B6074" w:rsidRDefault="00A35E98" w:rsidP="00F24971">
            <w:pPr>
              <w:spacing w:before="120" w:after="120"/>
              <w:rPr>
                <w:rFonts w:ascii="Times New Roman" w:hAnsi="Times New Roman"/>
              </w:rPr>
            </w:pPr>
            <w:r w:rsidRPr="005B6074">
              <w:rPr>
                <w:rFonts w:ascii="Times New Roman" w:hAnsi="Times New Roman"/>
              </w:rPr>
              <w:t>26/02/2014</w:t>
            </w:r>
          </w:p>
        </w:tc>
      </w:tr>
      <w:tr w:rsidR="00F24971" w:rsidRPr="005B6074" w:rsidTr="00F24971">
        <w:tc>
          <w:tcPr>
            <w:tcW w:w="2610" w:type="dxa"/>
          </w:tcPr>
          <w:p w:rsidR="00F24971" w:rsidRPr="005B6074" w:rsidRDefault="00A35E98" w:rsidP="00F24971">
            <w:pPr>
              <w:spacing w:before="120" w:after="120"/>
              <w:rPr>
                <w:rFonts w:ascii="Times New Roman" w:hAnsi="Times New Roman"/>
                <w:color w:val="003366"/>
              </w:rPr>
            </w:pPr>
            <w:r w:rsidRPr="005B6074">
              <w:rPr>
                <w:rFonts w:ascii="Times New Roman" w:hAnsi="Times New Roman"/>
                <w:color w:val="003366"/>
              </w:rPr>
              <w:t>Date of starting execution:</w:t>
            </w:r>
          </w:p>
        </w:tc>
        <w:tc>
          <w:tcPr>
            <w:tcW w:w="6701" w:type="dxa"/>
          </w:tcPr>
          <w:p w:rsidR="00F24971" w:rsidRPr="005B6074" w:rsidRDefault="00A35E98" w:rsidP="00F24971">
            <w:pPr>
              <w:spacing w:before="120" w:after="120"/>
              <w:rPr>
                <w:rFonts w:ascii="Times New Roman" w:hAnsi="Times New Roman"/>
              </w:rPr>
            </w:pPr>
            <w:r w:rsidRPr="005B6074">
              <w:rPr>
                <w:rFonts w:ascii="Times New Roman" w:hAnsi="Times New Roman"/>
              </w:rPr>
              <w:t>26/02/2014</w:t>
            </w:r>
          </w:p>
        </w:tc>
      </w:tr>
      <w:tr w:rsidR="00F24971" w:rsidRPr="005B6074" w:rsidTr="00F24971">
        <w:tc>
          <w:tcPr>
            <w:tcW w:w="2610" w:type="dxa"/>
          </w:tcPr>
          <w:p w:rsidR="00F24971" w:rsidRPr="005B6074" w:rsidRDefault="00A35E98" w:rsidP="00F71FE2">
            <w:pPr>
              <w:spacing w:before="120" w:after="120"/>
              <w:rPr>
                <w:rFonts w:ascii="Times New Roman" w:hAnsi="Times New Roman"/>
                <w:color w:val="003366"/>
              </w:rPr>
            </w:pPr>
            <w:r w:rsidRPr="005B6074">
              <w:rPr>
                <w:rFonts w:ascii="Times New Roman" w:hAnsi="Times New Roman"/>
                <w:color w:val="003366"/>
              </w:rPr>
              <w:t xml:space="preserve">Contract </w:t>
            </w:r>
            <w:r w:rsidR="00F71FE2" w:rsidRPr="005B6074">
              <w:rPr>
                <w:rFonts w:ascii="Times New Roman" w:hAnsi="Times New Roman"/>
                <w:color w:val="003366"/>
              </w:rPr>
              <w:t>end date</w:t>
            </w:r>
            <w:r w:rsidRPr="005B6074">
              <w:rPr>
                <w:rFonts w:ascii="Times New Roman" w:hAnsi="Times New Roman"/>
                <w:color w:val="003366"/>
              </w:rPr>
              <w:t>:</w:t>
            </w:r>
          </w:p>
        </w:tc>
        <w:tc>
          <w:tcPr>
            <w:tcW w:w="6701" w:type="dxa"/>
          </w:tcPr>
          <w:p w:rsidR="00F24971" w:rsidRPr="005B6074" w:rsidRDefault="00A35E98" w:rsidP="00F24971">
            <w:pPr>
              <w:spacing w:before="120" w:after="120"/>
              <w:rPr>
                <w:rFonts w:ascii="Times New Roman" w:hAnsi="Times New Roman"/>
              </w:rPr>
            </w:pPr>
            <w:r w:rsidRPr="005B6074">
              <w:rPr>
                <w:rFonts w:ascii="Times New Roman" w:hAnsi="Times New Roman"/>
              </w:rPr>
              <w:t>26/08/2014</w:t>
            </w:r>
          </w:p>
        </w:tc>
      </w:tr>
      <w:tr w:rsidR="00F24971" w:rsidRPr="005B6074" w:rsidTr="00F24971">
        <w:tc>
          <w:tcPr>
            <w:tcW w:w="2610" w:type="dxa"/>
          </w:tcPr>
          <w:p w:rsidR="00F24971" w:rsidRPr="005B6074" w:rsidRDefault="00A35E98" w:rsidP="00F71FE2">
            <w:pPr>
              <w:spacing w:before="120" w:after="120"/>
              <w:rPr>
                <w:rFonts w:ascii="Times New Roman" w:hAnsi="Times New Roman"/>
                <w:color w:val="003366"/>
              </w:rPr>
            </w:pPr>
            <w:r w:rsidRPr="005B6074">
              <w:rPr>
                <w:rFonts w:ascii="Times New Roman" w:hAnsi="Times New Roman"/>
                <w:color w:val="003366"/>
              </w:rPr>
              <w:t xml:space="preserve">Type of </w:t>
            </w:r>
            <w:r w:rsidR="00F71FE2" w:rsidRPr="005B6074">
              <w:rPr>
                <w:rFonts w:ascii="Times New Roman" w:hAnsi="Times New Roman"/>
                <w:color w:val="003366"/>
              </w:rPr>
              <w:t>report</w:t>
            </w:r>
            <w:r w:rsidRPr="005B6074">
              <w:rPr>
                <w:rFonts w:ascii="Times New Roman" w:hAnsi="Times New Roman"/>
                <w:color w:val="003366"/>
              </w:rPr>
              <w:t>:</w:t>
            </w:r>
          </w:p>
        </w:tc>
        <w:tc>
          <w:tcPr>
            <w:tcW w:w="6701" w:type="dxa"/>
          </w:tcPr>
          <w:p w:rsidR="00F24971" w:rsidRPr="005B6074" w:rsidRDefault="00A35E98" w:rsidP="00F24971">
            <w:pPr>
              <w:spacing w:before="120" w:after="120"/>
              <w:rPr>
                <w:rFonts w:ascii="Times New Roman" w:hAnsi="Times New Roman"/>
              </w:rPr>
            </w:pPr>
            <w:r w:rsidRPr="005B6074">
              <w:rPr>
                <w:rFonts w:ascii="Times New Roman" w:hAnsi="Times New Roman"/>
              </w:rPr>
              <w:t>Final report</w:t>
            </w:r>
          </w:p>
        </w:tc>
      </w:tr>
      <w:tr w:rsidR="00F24971" w:rsidRPr="005B6074" w:rsidTr="00F24971">
        <w:tc>
          <w:tcPr>
            <w:tcW w:w="2610" w:type="dxa"/>
          </w:tcPr>
          <w:p w:rsidR="00F24971" w:rsidRPr="005B6074" w:rsidRDefault="00A35E98" w:rsidP="00F71FE2">
            <w:pPr>
              <w:spacing w:before="120" w:after="120"/>
              <w:rPr>
                <w:rFonts w:ascii="Times New Roman" w:hAnsi="Times New Roman"/>
                <w:color w:val="003366"/>
              </w:rPr>
            </w:pPr>
            <w:r w:rsidRPr="005B6074">
              <w:rPr>
                <w:rFonts w:ascii="Times New Roman" w:hAnsi="Times New Roman"/>
                <w:color w:val="003366"/>
              </w:rPr>
              <w:t xml:space="preserve">Date of </w:t>
            </w:r>
            <w:r w:rsidR="00F71FE2" w:rsidRPr="005B6074">
              <w:rPr>
                <w:rFonts w:ascii="Times New Roman" w:hAnsi="Times New Roman"/>
                <w:color w:val="003366"/>
              </w:rPr>
              <w:t>report</w:t>
            </w:r>
            <w:r w:rsidRPr="005B6074">
              <w:rPr>
                <w:rFonts w:ascii="Times New Roman" w:hAnsi="Times New Roman"/>
                <w:color w:val="003366"/>
              </w:rPr>
              <w:t>:</w:t>
            </w:r>
          </w:p>
        </w:tc>
        <w:tc>
          <w:tcPr>
            <w:tcW w:w="6701" w:type="dxa"/>
          </w:tcPr>
          <w:p w:rsidR="00F24971" w:rsidRPr="005B6074" w:rsidRDefault="00A35E98" w:rsidP="00F24971">
            <w:pPr>
              <w:spacing w:before="120" w:after="120"/>
              <w:rPr>
                <w:rFonts w:ascii="Times New Roman" w:hAnsi="Times New Roman"/>
              </w:rPr>
            </w:pPr>
            <w:r w:rsidRPr="005B6074">
              <w:rPr>
                <w:rFonts w:ascii="Times New Roman" w:hAnsi="Times New Roman"/>
              </w:rPr>
              <w:t>12/08/2014</w:t>
            </w:r>
          </w:p>
        </w:tc>
      </w:tr>
    </w:tbl>
    <w:p w:rsidR="00F24971" w:rsidRPr="005B6074" w:rsidRDefault="00F24971" w:rsidP="00F24971">
      <w:pPr>
        <w:rPr>
          <w:rFonts w:ascii="Times New Roman" w:hAnsi="Times New Roman"/>
          <w:b/>
          <w:i/>
          <w:color w:val="548DD4"/>
          <w:sz w:val="24"/>
          <w:szCs w:val="24"/>
        </w:rPr>
      </w:pPr>
    </w:p>
    <w:p w:rsidR="00F24971" w:rsidRPr="005B6074" w:rsidRDefault="00A35E98" w:rsidP="00F24971">
      <w:pPr>
        <w:jc w:val="both"/>
        <w:rPr>
          <w:rFonts w:ascii="Times New Roman" w:hAnsi="Times New Roman"/>
          <w:i/>
          <w:color w:val="000000"/>
          <w:sz w:val="20"/>
          <w:szCs w:val="20"/>
        </w:rPr>
      </w:pPr>
      <w:r w:rsidRPr="005B6074">
        <w:rPr>
          <w:rFonts w:ascii="Times New Roman" w:hAnsi="Times New Roman"/>
          <w:i/>
          <w:sz w:val="20"/>
        </w:rPr>
        <w:t xml:space="preserve">This report has been drafted under project BG051PO001-8.1-01-0001 "Support for General Directorate "Structural Funds and International Educational Programmes" of the Ministry of Education and Science to manage successfully priority axes 3 and 4 of Operational Programme Human Resources Development" which </w:t>
      </w:r>
      <w:r w:rsidRPr="005B6074">
        <w:rPr>
          <w:rFonts w:ascii="Times New Roman" w:hAnsi="Times New Roman"/>
          <w:i/>
          <w:color w:val="000000"/>
          <w:sz w:val="20"/>
        </w:rPr>
        <w:t>has been implemented with the financial assistance of the Operational Programme Human Resources Development, co-financed by the European Social Fund of the European Union.</w:t>
      </w:r>
    </w:p>
    <w:p w:rsidR="00F24971" w:rsidRPr="005B6074" w:rsidRDefault="00A35E98" w:rsidP="00F24971">
      <w:pPr>
        <w:rPr>
          <w:rFonts w:ascii="Times New Roman" w:hAnsi="Times New Roman"/>
          <w:b/>
          <w:i/>
          <w:color w:val="548DD4"/>
          <w:sz w:val="24"/>
          <w:szCs w:val="24"/>
        </w:rPr>
      </w:pPr>
      <w:r w:rsidRPr="005B6074">
        <w:rPr>
          <w:rFonts w:ascii="Times New Roman" w:hAnsi="Times New Roman"/>
          <w:b/>
          <w:i/>
          <w:color w:val="548DD4"/>
          <w:sz w:val="24"/>
        </w:rPr>
        <w:t xml:space="preserve">The opinions expressed in this </w:t>
      </w:r>
      <w:r w:rsidR="00F71FE2" w:rsidRPr="005B6074">
        <w:rPr>
          <w:rFonts w:ascii="Times New Roman" w:hAnsi="Times New Roman"/>
          <w:b/>
          <w:i/>
          <w:color w:val="548DD4"/>
          <w:sz w:val="24"/>
        </w:rPr>
        <w:t>evaluation</w:t>
      </w:r>
      <w:r w:rsidRPr="005B6074">
        <w:rPr>
          <w:rFonts w:ascii="Times New Roman" w:hAnsi="Times New Roman"/>
          <w:b/>
          <w:i/>
          <w:color w:val="548DD4"/>
          <w:sz w:val="24"/>
        </w:rPr>
        <w:t xml:space="preserve"> are of its authors and may not necessarily reflect the position of the Ministry of Education and Science</w:t>
      </w:r>
    </w:p>
    <w:p w:rsidR="003D506F" w:rsidRPr="005B6074" w:rsidRDefault="003D506F" w:rsidP="00F24971">
      <w:pPr>
        <w:sectPr w:rsidR="003D506F" w:rsidRPr="005B6074" w:rsidSect="00F24971">
          <w:headerReference w:type="default" r:id="rId11"/>
          <w:footerReference w:type="default" r:id="rId12"/>
          <w:pgSz w:w="11907" w:h="16839" w:code="9"/>
          <w:pgMar w:top="2077" w:right="1440" w:bottom="1440" w:left="1440" w:header="708" w:footer="18" w:gutter="0"/>
          <w:pgNumType w:start="1"/>
          <w:cols w:space="708"/>
          <w:docGrid w:linePitch="360"/>
        </w:sectPr>
      </w:pPr>
    </w:p>
    <w:p w:rsidR="00F24971" w:rsidRPr="005B6074" w:rsidRDefault="00A35E98" w:rsidP="00F24971">
      <w:pPr>
        <w:pStyle w:val="no-heading-blue-1"/>
        <w:spacing w:before="240" w:after="600"/>
        <w:outlineLvl w:val="0"/>
        <w:rPr>
          <w:rFonts w:ascii="Verdana" w:hAnsi="Verdana"/>
        </w:rPr>
      </w:pPr>
      <w:bookmarkStart w:id="1" w:name="_Toc376528752"/>
      <w:bookmarkStart w:id="2" w:name="_Toc376775291"/>
      <w:bookmarkStart w:id="3" w:name="_Toc379369378"/>
      <w:bookmarkStart w:id="4" w:name="_Toc379372136"/>
      <w:bookmarkStart w:id="5" w:name="_Toc388365210"/>
      <w:bookmarkStart w:id="6" w:name="_Toc390256990"/>
      <w:bookmarkStart w:id="7" w:name="_Toc390262427"/>
      <w:bookmarkStart w:id="8" w:name="_Toc396225542"/>
      <w:r w:rsidRPr="005B6074">
        <w:rPr>
          <w:rFonts w:ascii="Verdana" w:hAnsi="Verdana"/>
        </w:rPr>
        <w:lastRenderedPageBreak/>
        <w:t>About the Consultant</w:t>
      </w:r>
      <w:bookmarkEnd w:id="1"/>
      <w:bookmarkEnd w:id="2"/>
      <w:bookmarkEnd w:id="3"/>
      <w:bookmarkEnd w:id="4"/>
      <w:bookmarkEnd w:id="5"/>
      <w:bookmarkEnd w:id="6"/>
      <w:bookmarkEnd w:id="7"/>
      <w:bookmarkEnd w:id="8"/>
    </w:p>
    <w:p w:rsidR="00F24971" w:rsidRPr="005B6074" w:rsidRDefault="00F24971" w:rsidP="00F24971">
      <w:pPr>
        <w:spacing w:after="120"/>
        <w:jc w:val="both"/>
        <w:rPr>
          <w:rFonts w:ascii="Times New Roman" w:hAnsi="Times New Roman"/>
          <w:sz w:val="24"/>
          <w:szCs w:val="24"/>
        </w:rPr>
      </w:pPr>
    </w:p>
    <w:p w:rsidR="00F24971" w:rsidRPr="005B6074" w:rsidRDefault="00A35E98" w:rsidP="00F24971">
      <w:pPr>
        <w:tabs>
          <w:tab w:val="left" w:pos="4331"/>
        </w:tabs>
        <w:spacing w:after="120"/>
        <w:jc w:val="both"/>
        <w:rPr>
          <w:rFonts w:ascii="Times New Roman" w:hAnsi="Times New Roman"/>
          <w:b/>
          <w:bCs/>
          <w:i/>
          <w:color w:val="006DB6"/>
          <w:sz w:val="20"/>
          <w:szCs w:val="20"/>
        </w:rPr>
      </w:pPr>
      <w:r w:rsidRPr="005B6074">
        <w:rPr>
          <w:rFonts w:ascii="Verdana" w:hAnsi="Verdana"/>
          <w:b/>
          <w:i/>
          <w:color w:val="006DB6"/>
          <w:sz w:val="20"/>
        </w:rPr>
        <w:t>ECORYS South East Europe Ltd. (Ecorys SEE)</w:t>
      </w:r>
      <w:r w:rsidRPr="005B6074">
        <w:rPr>
          <w:rFonts w:ascii="Verdana" w:hAnsi="Verdana"/>
          <w:sz w:val="20"/>
        </w:rPr>
        <w:t xml:space="preserve"> is a legal entity registered in Bulgaria in August 2006. The company is part of the European group of consulting and research organisations, ECORYS Group, with offices in 10 countries in Europe, as well as with representative offices in Ukraine, Macedonia, Serbia and Romania. The mission of Ecorys SEE is to deliver the full range of services offered by Ecorys Group in this region. Ecorys has a remarkable 80-year history and has established itself as one of the strongest European companies with its innovative, flexible and integrated multi-aspect decisions and approaches which are always and fully compliant with clients' needs and with market specifics.</w:t>
      </w:r>
      <w:r w:rsidRPr="005B6074">
        <w:rPr>
          <w:rFonts w:ascii="Verdana" w:hAnsi="Verdana"/>
          <w:b/>
          <w:i/>
          <w:color w:val="006DB6"/>
          <w:sz w:val="20"/>
        </w:rPr>
        <w:tab/>
      </w:r>
    </w:p>
    <w:p w:rsidR="00F24971" w:rsidRPr="005B6074" w:rsidRDefault="00A35E98" w:rsidP="00F24971">
      <w:pPr>
        <w:spacing w:after="120"/>
        <w:jc w:val="both"/>
        <w:rPr>
          <w:rFonts w:ascii="Verdana" w:hAnsi="Verdana"/>
          <w:sz w:val="20"/>
          <w:szCs w:val="20"/>
        </w:rPr>
      </w:pPr>
      <w:r w:rsidRPr="005B6074">
        <w:rPr>
          <w:rFonts w:ascii="Verdana" w:hAnsi="Verdana"/>
          <w:sz w:val="20"/>
        </w:rPr>
        <w:t>With our work we aim to be useful to the society by ensuring unique prospects and high value added decisions for our clients from the public, private and non-governmental sector world-wide. We appreciate our and our partners' independence and integrity. Our employees are experts who are devoted to their work and come from the academia and consultancy circles. They share the best practices in our companies.</w:t>
      </w:r>
    </w:p>
    <w:p w:rsidR="00F24971" w:rsidRPr="005B6074" w:rsidRDefault="00F24971" w:rsidP="00F24971">
      <w:pPr>
        <w:pStyle w:val="broodtekstbold"/>
        <w:rPr>
          <w:rFonts w:ascii="Times New Roman" w:hAnsi="Times New Roman"/>
          <w:b w:val="0"/>
          <w:sz w:val="20"/>
          <w:szCs w:val="20"/>
        </w:rPr>
      </w:pPr>
    </w:p>
    <w:p w:rsidR="00F24971" w:rsidRPr="005B6074" w:rsidRDefault="00F24971" w:rsidP="00F24971"/>
    <w:p w:rsidR="00F24971" w:rsidRPr="005B6074" w:rsidRDefault="00F24971" w:rsidP="00F24971"/>
    <w:p w:rsidR="00F24971" w:rsidRPr="005B6074" w:rsidRDefault="00F24971" w:rsidP="00F24971"/>
    <w:p w:rsidR="00F24971" w:rsidRPr="005B6074" w:rsidRDefault="00F24971" w:rsidP="00F24971"/>
    <w:p w:rsidR="00F24971" w:rsidRPr="005B6074" w:rsidRDefault="00F24971" w:rsidP="00F24971"/>
    <w:p w:rsidR="00F24971" w:rsidRPr="005B6074" w:rsidRDefault="00F24971" w:rsidP="00F24971"/>
    <w:p w:rsidR="00F24971" w:rsidRPr="005B6074" w:rsidRDefault="00F24971" w:rsidP="00F24971">
      <w:pPr>
        <w:pStyle w:val="broodtekstbold"/>
        <w:rPr>
          <w:rFonts w:ascii="Times New Roman" w:hAnsi="Times New Roman"/>
          <w:b w:val="0"/>
          <w:sz w:val="20"/>
          <w:szCs w:val="20"/>
        </w:rPr>
      </w:pPr>
    </w:p>
    <w:p w:rsidR="00F24971" w:rsidRPr="005B6074" w:rsidRDefault="00A35E98" w:rsidP="00F24971">
      <w:pPr>
        <w:pStyle w:val="broodtekstbold"/>
        <w:rPr>
          <w:rFonts w:ascii="Verdana" w:hAnsi="Verdana"/>
          <w:b w:val="0"/>
          <w:sz w:val="20"/>
          <w:szCs w:val="20"/>
        </w:rPr>
      </w:pPr>
      <w:r w:rsidRPr="005B6074">
        <w:rPr>
          <w:rFonts w:ascii="Verdana" w:hAnsi="Verdana"/>
          <w:b w:val="0"/>
          <w:sz w:val="20"/>
        </w:rPr>
        <w:t xml:space="preserve">1, </w:t>
      </w:r>
      <w:proofErr w:type="spellStart"/>
      <w:r w:rsidRPr="005B6074">
        <w:rPr>
          <w:rFonts w:ascii="Verdana" w:hAnsi="Verdana"/>
          <w:b w:val="0"/>
          <w:sz w:val="20"/>
        </w:rPr>
        <w:t>Cherni</w:t>
      </w:r>
      <w:proofErr w:type="spellEnd"/>
      <w:r w:rsidRPr="005B6074">
        <w:rPr>
          <w:rFonts w:ascii="Verdana" w:hAnsi="Verdana"/>
          <w:b w:val="0"/>
          <w:sz w:val="20"/>
        </w:rPr>
        <w:t xml:space="preserve"> </w:t>
      </w:r>
      <w:proofErr w:type="spellStart"/>
      <w:r w:rsidRPr="005B6074">
        <w:rPr>
          <w:rFonts w:ascii="Verdana" w:hAnsi="Verdana"/>
          <w:b w:val="0"/>
          <w:sz w:val="20"/>
        </w:rPr>
        <w:t>Vrah</w:t>
      </w:r>
      <w:proofErr w:type="spellEnd"/>
      <w:r w:rsidRPr="005B6074">
        <w:rPr>
          <w:rFonts w:ascii="Verdana" w:hAnsi="Verdana"/>
          <w:b w:val="0"/>
          <w:sz w:val="20"/>
        </w:rPr>
        <w:t xml:space="preserve"> Blvd, </w:t>
      </w:r>
    </w:p>
    <w:p w:rsidR="00F24971" w:rsidRPr="005B6074" w:rsidRDefault="00A35E98" w:rsidP="00F24971">
      <w:pPr>
        <w:pStyle w:val="broodtekstbold"/>
        <w:rPr>
          <w:rFonts w:ascii="Verdana" w:hAnsi="Verdana"/>
          <w:b w:val="0"/>
          <w:sz w:val="20"/>
          <w:szCs w:val="20"/>
        </w:rPr>
      </w:pPr>
      <w:r w:rsidRPr="005B6074">
        <w:rPr>
          <w:rFonts w:ascii="Verdana" w:hAnsi="Verdana"/>
          <w:b w:val="0"/>
          <w:sz w:val="20"/>
        </w:rPr>
        <w:t xml:space="preserve">1421 Sofia  </w:t>
      </w:r>
    </w:p>
    <w:p w:rsidR="00F24971" w:rsidRPr="005B6074" w:rsidRDefault="00A35E98" w:rsidP="00F24971">
      <w:pPr>
        <w:pStyle w:val="broodtekstbold"/>
        <w:rPr>
          <w:rFonts w:ascii="Verdana" w:hAnsi="Verdana"/>
          <w:b w:val="0"/>
          <w:sz w:val="20"/>
          <w:szCs w:val="20"/>
        </w:rPr>
      </w:pPr>
      <w:r w:rsidRPr="005B6074">
        <w:rPr>
          <w:rFonts w:ascii="Verdana" w:hAnsi="Verdana"/>
          <w:b w:val="0"/>
          <w:sz w:val="20"/>
        </w:rPr>
        <w:t xml:space="preserve">Bulgaria  </w:t>
      </w:r>
    </w:p>
    <w:p w:rsidR="00F24971" w:rsidRPr="005B6074" w:rsidRDefault="00F24971" w:rsidP="00F24971">
      <w:pPr>
        <w:pStyle w:val="broodtekstbold"/>
        <w:rPr>
          <w:rFonts w:ascii="Verdana" w:hAnsi="Verdana"/>
          <w:b w:val="0"/>
          <w:sz w:val="20"/>
          <w:szCs w:val="20"/>
        </w:rPr>
      </w:pPr>
    </w:p>
    <w:p w:rsidR="00F24971" w:rsidRPr="005B6074" w:rsidRDefault="00A35E98" w:rsidP="00F24971">
      <w:pPr>
        <w:pStyle w:val="broodtekstbold"/>
        <w:rPr>
          <w:rFonts w:ascii="Verdana" w:hAnsi="Verdana"/>
          <w:b w:val="0"/>
          <w:sz w:val="20"/>
          <w:szCs w:val="20"/>
        </w:rPr>
      </w:pPr>
      <w:r w:rsidRPr="005B6074">
        <w:rPr>
          <w:rFonts w:ascii="Verdana" w:hAnsi="Verdana"/>
          <w:b w:val="0"/>
          <w:sz w:val="20"/>
        </w:rPr>
        <w:t xml:space="preserve">Phone: 02 815 56 80 </w:t>
      </w:r>
    </w:p>
    <w:p w:rsidR="00F24971" w:rsidRPr="005B6074" w:rsidRDefault="00A35E98" w:rsidP="00F24971">
      <w:pPr>
        <w:pStyle w:val="broodtekstbold"/>
        <w:rPr>
          <w:rFonts w:ascii="Verdana" w:hAnsi="Verdana"/>
          <w:b w:val="0"/>
          <w:sz w:val="20"/>
          <w:szCs w:val="20"/>
        </w:rPr>
      </w:pPr>
      <w:r w:rsidRPr="005B6074">
        <w:rPr>
          <w:rFonts w:ascii="Verdana" w:hAnsi="Verdana"/>
          <w:b w:val="0"/>
          <w:sz w:val="20"/>
        </w:rPr>
        <w:t xml:space="preserve">Fax: 02 981 60 32 </w:t>
      </w:r>
    </w:p>
    <w:p w:rsidR="00F24971" w:rsidRPr="005B6074" w:rsidRDefault="00A35E98" w:rsidP="00F24971">
      <w:pPr>
        <w:pStyle w:val="broodtekstbold"/>
        <w:rPr>
          <w:rFonts w:ascii="Verdana" w:hAnsi="Verdana"/>
          <w:b w:val="0"/>
          <w:sz w:val="20"/>
          <w:szCs w:val="20"/>
        </w:rPr>
      </w:pPr>
      <w:r w:rsidRPr="005B6074">
        <w:rPr>
          <w:rFonts w:ascii="Verdana" w:hAnsi="Verdana"/>
          <w:b w:val="0"/>
          <w:sz w:val="20"/>
        </w:rPr>
        <w:t xml:space="preserve">E-mail: ecoryssee@ecorys.com </w:t>
      </w:r>
    </w:p>
    <w:p w:rsidR="003D506F" w:rsidRPr="005B6074" w:rsidRDefault="003D506F" w:rsidP="00F24971">
      <w:pPr>
        <w:sectPr w:rsidR="003D506F" w:rsidRPr="005B6074" w:rsidSect="00F24971">
          <w:pgSz w:w="11907" w:h="16839" w:code="9"/>
          <w:pgMar w:top="2077" w:right="1440" w:bottom="1440" w:left="1440" w:header="720" w:footer="244" w:gutter="0"/>
          <w:cols w:space="720"/>
          <w:docGrid w:linePitch="360"/>
        </w:sectPr>
      </w:pPr>
    </w:p>
    <w:p w:rsidR="005A221F" w:rsidRPr="005A221F" w:rsidRDefault="00A35E98" w:rsidP="005A221F">
      <w:pPr>
        <w:pStyle w:val="Heading1"/>
        <w:shd w:val="clear" w:color="auto" w:fill="0063B8"/>
        <w:spacing w:before="40" w:after="40" w:line="240" w:lineRule="auto"/>
        <w:jc w:val="both"/>
        <w:rPr>
          <w:b w:val="0"/>
          <w:noProof/>
        </w:rPr>
      </w:pPr>
      <w:bookmarkStart w:id="9" w:name="_Toc381795642"/>
      <w:bookmarkStart w:id="10" w:name="_Toc381796407"/>
      <w:bookmarkStart w:id="11" w:name="_Toc381868168"/>
      <w:bookmarkStart w:id="12" w:name="_Toc381871073"/>
      <w:bookmarkStart w:id="13" w:name="_Toc381871322"/>
      <w:bookmarkStart w:id="14" w:name="_Toc383087743"/>
      <w:bookmarkStart w:id="15" w:name="_Toc384999049"/>
      <w:bookmarkStart w:id="16" w:name="_Toc385350210"/>
      <w:bookmarkStart w:id="17" w:name="_Toc387936218"/>
      <w:bookmarkStart w:id="18" w:name="_Toc388365211"/>
      <w:bookmarkStart w:id="19" w:name="_Toc390256992"/>
      <w:bookmarkStart w:id="20" w:name="_Toc390262428"/>
      <w:bookmarkStart w:id="21" w:name="_Toc396225543"/>
      <w:r w:rsidRPr="005B6074">
        <w:rPr>
          <w:rFonts w:ascii="Verdana" w:hAnsi="Verdana"/>
          <w:b w:val="0"/>
          <w:caps/>
          <w:color w:val="FFFFFF"/>
        </w:rPr>
        <w:lastRenderedPageBreak/>
        <w:t>TABLE OF CONTENTS</w:t>
      </w:r>
      <w:bookmarkEnd w:id="0"/>
      <w:bookmarkEnd w:id="9"/>
      <w:bookmarkEnd w:id="10"/>
      <w:bookmarkEnd w:id="11"/>
      <w:bookmarkEnd w:id="12"/>
      <w:bookmarkEnd w:id="13"/>
      <w:bookmarkEnd w:id="14"/>
      <w:bookmarkEnd w:id="15"/>
      <w:bookmarkEnd w:id="16"/>
      <w:bookmarkEnd w:id="17"/>
      <w:bookmarkEnd w:id="18"/>
      <w:bookmarkEnd w:id="19"/>
      <w:bookmarkEnd w:id="20"/>
      <w:bookmarkEnd w:id="21"/>
      <w:r w:rsidRPr="00181A22">
        <w:rPr>
          <w:rFonts w:ascii="Verdana" w:hAnsi="Verdana"/>
          <w:b w:val="0"/>
          <w:caps/>
          <w:color w:val="FFFFFF"/>
        </w:rPr>
        <w:fldChar w:fldCharType="begin"/>
      </w:r>
      <w:r w:rsidRPr="00181A22">
        <w:rPr>
          <w:rFonts w:ascii="Verdana" w:hAnsi="Verdana"/>
          <w:b w:val="0"/>
          <w:caps/>
          <w:color w:val="FFFFFF"/>
        </w:rPr>
        <w:instrText xml:space="preserve"> TOC \o "1-3" \h \z \u </w:instrText>
      </w:r>
      <w:r w:rsidRPr="00181A22">
        <w:rPr>
          <w:rFonts w:ascii="Verdana" w:hAnsi="Verdana"/>
          <w:b w:val="0"/>
          <w:caps/>
          <w:color w:val="FFFFFF"/>
        </w:rPr>
        <w:fldChar w:fldCharType="separate"/>
      </w:r>
    </w:p>
    <w:p w:rsidR="005A221F" w:rsidRDefault="005A221F" w:rsidP="005A221F">
      <w:pPr>
        <w:pStyle w:val="TOC1"/>
        <w:spacing w:before="40" w:after="40"/>
        <w:rPr>
          <w:rStyle w:val="Hyperlink"/>
          <w:b w:val="0"/>
          <w:noProof/>
        </w:rPr>
      </w:pPr>
    </w:p>
    <w:p w:rsidR="005A221F" w:rsidRPr="005A221F" w:rsidRDefault="005A221F" w:rsidP="005A221F">
      <w:pPr>
        <w:pStyle w:val="TOC1"/>
        <w:spacing w:before="40" w:after="40"/>
        <w:rPr>
          <w:rFonts w:asciiTheme="minorHAnsi" w:eastAsiaTheme="minorEastAsia" w:hAnsiTheme="minorHAnsi" w:cstheme="minorBidi"/>
          <w:b w:val="0"/>
          <w:bCs w:val="0"/>
          <w:caps w:val="0"/>
          <w:noProof/>
          <w:color w:val="auto"/>
          <w:sz w:val="22"/>
          <w:szCs w:val="22"/>
          <w:lang w:val="bg-BG" w:eastAsia="bg-BG"/>
        </w:rPr>
      </w:pPr>
      <w:hyperlink w:anchor="_Toc396225542" w:history="1">
        <w:r w:rsidRPr="005A221F">
          <w:rPr>
            <w:rStyle w:val="Hyperlink"/>
            <w:rFonts w:ascii="Verdana" w:hAnsi="Verdana"/>
            <w:b w:val="0"/>
            <w:noProof/>
          </w:rPr>
          <w:t>About the Consultant</w:t>
        </w:r>
        <w:r w:rsidRPr="005A221F">
          <w:rPr>
            <w:b w:val="0"/>
            <w:noProof/>
            <w:webHidden/>
          </w:rPr>
          <w:tab/>
        </w:r>
        <w:r w:rsidRPr="005A221F">
          <w:rPr>
            <w:b w:val="0"/>
            <w:noProof/>
            <w:webHidden/>
          </w:rPr>
          <w:fldChar w:fldCharType="begin"/>
        </w:r>
        <w:r w:rsidRPr="005A221F">
          <w:rPr>
            <w:b w:val="0"/>
            <w:noProof/>
            <w:webHidden/>
          </w:rPr>
          <w:instrText xml:space="preserve"> PAGEREF _Toc396225542 \h </w:instrText>
        </w:r>
        <w:r w:rsidRPr="005A221F">
          <w:rPr>
            <w:b w:val="0"/>
            <w:noProof/>
            <w:webHidden/>
          </w:rPr>
        </w:r>
        <w:r w:rsidRPr="005A221F">
          <w:rPr>
            <w:b w:val="0"/>
            <w:noProof/>
            <w:webHidden/>
          </w:rPr>
          <w:fldChar w:fldCharType="separate"/>
        </w:r>
        <w:r w:rsidR="009330F5">
          <w:rPr>
            <w:b w:val="0"/>
            <w:noProof/>
            <w:webHidden/>
          </w:rPr>
          <w:t>2</w:t>
        </w:r>
        <w:r w:rsidRPr="005A221F">
          <w:rPr>
            <w:b w:val="0"/>
            <w:noProof/>
            <w:webHidden/>
          </w:rPr>
          <w:fldChar w:fldCharType="end"/>
        </w:r>
      </w:hyperlink>
    </w:p>
    <w:p w:rsidR="005A221F" w:rsidRPr="005A221F" w:rsidRDefault="005A221F" w:rsidP="005A221F">
      <w:pPr>
        <w:pStyle w:val="TOC1"/>
        <w:spacing w:before="40" w:after="40"/>
        <w:rPr>
          <w:rFonts w:asciiTheme="minorHAnsi" w:eastAsiaTheme="minorEastAsia" w:hAnsiTheme="minorHAnsi" w:cstheme="minorBidi"/>
          <w:b w:val="0"/>
          <w:bCs w:val="0"/>
          <w:caps w:val="0"/>
          <w:noProof/>
          <w:color w:val="auto"/>
          <w:sz w:val="22"/>
          <w:szCs w:val="22"/>
          <w:lang w:val="bg-BG" w:eastAsia="bg-BG"/>
        </w:rPr>
      </w:pPr>
      <w:hyperlink w:anchor="_Toc396225543" w:history="1">
        <w:r w:rsidRPr="005A221F">
          <w:rPr>
            <w:rStyle w:val="Hyperlink"/>
            <w:rFonts w:ascii="Verdana" w:hAnsi="Verdana"/>
            <w:b w:val="0"/>
            <w:noProof/>
          </w:rPr>
          <w:t>TABLE OF CONTENTS</w:t>
        </w:r>
        <w:r w:rsidRPr="005A221F">
          <w:rPr>
            <w:b w:val="0"/>
            <w:noProof/>
            <w:webHidden/>
          </w:rPr>
          <w:tab/>
        </w:r>
        <w:r w:rsidRPr="005A221F">
          <w:rPr>
            <w:b w:val="0"/>
            <w:noProof/>
            <w:webHidden/>
          </w:rPr>
          <w:fldChar w:fldCharType="begin"/>
        </w:r>
        <w:r w:rsidRPr="005A221F">
          <w:rPr>
            <w:b w:val="0"/>
            <w:noProof/>
            <w:webHidden/>
          </w:rPr>
          <w:instrText xml:space="preserve"> PAGEREF _Toc396225543 \h </w:instrText>
        </w:r>
        <w:r w:rsidRPr="005A221F">
          <w:rPr>
            <w:b w:val="0"/>
            <w:noProof/>
            <w:webHidden/>
          </w:rPr>
        </w:r>
        <w:r w:rsidRPr="005A221F">
          <w:rPr>
            <w:b w:val="0"/>
            <w:noProof/>
            <w:webHidden/>
          </w:rPr>
          <w:fldChar w:fldCharType="separate"/>
        </w:r>
        <w:r w:rsidR="009330F5">
          <w:rPr>
            <w:b w:val="0"/>
            <w:noProof/>
            <w:webHidden/>
          </w:rPr>
          <w:t>3</w:t>
        </w:r>
        <w:r w:rsidRPr="005A221F">
          <w:rPr>
            <w:b w:val="0"/>
            <w:noProof/>
            <w:webHidden/>
          </w:rPr>
          <w:fldChar w:fldCharType="end"/>
        </w:r>
      </w:hyperlink>
    </w:p>
    <w:p w:rsidR="005A221F" w:rsidRPr="005A221F" w:rsidRDefault="005A221F" w:rsidP="005A221F">
      <w:pPr>
        <w:pStyle w:val="TOC1"/>
        <w:spacing w:before="40" w:after="40"/>
        <w:rPr>
          <w:rFonts w:asciiTheme="minorHAnsi" w:eastAsiaTheme="minorEastAsia" w:hAnsiTheme="minorHAnsi" w:cstheme="minorBidi"/>
          <w:b w:val="0"/>
          <w:bCs w:val="0"/>
          <w:caps w:val="0"/>
          <w:noProof/>
          <w:color w:val="auto"/>
          <w:sz w:val="22"/>
          <w:szCs w:val="22"/>
          <w:lang w:val="bg-BG" w:eastAsia="bg-BG"/>
        </w:rPr>
      </w:pPr>
      <w:hyperlink w:anchor="_Toc396225544" w:history="1">
        <w:r w:rsidRPr="005A221F">
          <w:rPr>
            <w:rStyle w:val="Hyperlink"/>
            <w:rFonts w:ascii="Verdana" w:hAnsi="Verdana"/>
            <w:b w:val="0"/>
            <w:noProof/>
          </w:rPr>
          <w:t>List of Abbreviations</w:t>
        </w:r>
        <w:r w:rsidRPr="005A221F">
          <w:rPr>
            <w:b w:val="0"/>
            <w:noProof/>
            <w:webHidden/>
          </w:rPr>
          <w:tab/>
        </w:r>
        <w:r w:rsidRPr="005A221F">
          <w:rPr>
            <w:b w:val="0"/>
            <w:noProof/>
            <w:webHidden/>
          </w:rPr>
          <w:fldChar w:fldCharType="begin"/>
        </w:r>
        <w:r w:rsidRPr="005A221F">
          <w:rPr>
            <w:b w:val="0"/>
            <w:noProof/>
            <w:webHidden/>
          </w:rPr>
          <w:instrText xml:space="preserve"> PAGEREF _Toc396225544 \h </w:instrText>
        </w:r>
        <w:r w:rsidRPr="005A221F">
          <w:rPr>
            <w:b w:val="0"/>
            <w:noProof/>
            <w:webHidden/>
          </w:rPr>
        </w:r>
        <w:r w:rsidRPr="005A221F">
          <w:rPr>
            <w:b w:val="0"/>
            <w:noProof/>
            <w:webHidden/>
          </w:rPr>
          <w:fldChar w:fldCharType="separate"/>
        </w:r>
        <w:r w:rsidR="009330F5">
          <w:rPr>
            <w:b w:val="0"/>
            <w:noProof/>
            <w:webHidden/>
          </w:rPr>
          <w:t>4</w:t>
        </w:r>
        <w:r w:rsidRPr="005A221F">
          <w:rPr>
            <w:b w:val="0"/>
            <w:noProof/>
            <w:webHidden/>
          </w:rPr>
          <w:fldChar w:fldCharType="end"/>
        </w:r>
      </w:hyperlink>
    </w:p>
    <w:p w:rsidR="005A221F" w:rsidRPr="005A221F" w:rsidRDefault="005A221F" w:rsidP="005A221F">
      <w:pPr>
        <w:pStyle w:val="TOC1"/>
        <w:spacing w:before="40" w:after="40"/>
        <w:rPr>
          <w:rFonts w:asciiTheme="minorHAnsi" w:eastAsiaTheme="minorEastAsia" w:hAnsiTheme="minorHAnsi" w:cstheme="minorBidi"/>
          <w:b w:val="0"/>
          <w:bCs w:val="0"/>
          <w:caps w:val="0"/>
          <w:noProof/>
          <w:color w:val="auto"/>
          <w:sz w:val="22"/>
          <w:szCs w:val="22"/>
          <w:lang w:val="bg-BG" w:eastAsia="bg-BG"/>
        </w:rPr>
      </w:pPr>
      <w:hyperlink w:anchor="_Toc396225545" w:history="1">
        <w:r w:rsidRPr="005A221F">
          <w:rPr>
            <w:rStyle w:val="Hyperlink"/>
            <w:rFonts w:ascii="Verdana" w:hAnsi="Verdana"/>
            <w:b w:val="0"/>
            <w:noProof/>
          </w:rPr>
          <w:t>List of Tables</w:t>
        </w:r>
        <w:r w:rsidRPr="005A221F">
          <w:rPr>
            <w:b w:val="0"/>
            <w:noProof/>
            <w:webHidden/>
          </w:rPr>
          <w:tab/>
        </w:r>
        <w:r w:rsidRPr="005A221F">
          <w:rPr>
            <w:b w:val="0"/>
            <w:noProof/>
            <w:webHidden/>
          </w:rPr>
          <w:fldChar w:fldCharType="begin"/>
        </w:r>
        <w:r w:rsidRPr="005A221F">
          <w:rPr>
            <w:b w:val="0"/>
            <w:noProof/>
            <w:webHidden/>
          </w:rPr>
          <w:instrText xml:space="preserve"> PAGEREF _Toc396225545 \h </w:instrText>
        </w:r>
        <w:r w:rsidRPr="005A221F">
          <w:rPr>
            <w:b w:val="0"/>
            <w:noProof/>
            <w:webHidden/>
          </w:rPr>
        </w:r>
        <w:r w:rsidRPr="005A221F">
          <w:rPr>
            <w:b w:val="0"/>
            <w:noProof/>
            <w:webHidden/>
          </w:rPr>
          <w:fldChar w:fldCharType="separate"/>
        </w:r>
        <w:r w:rsidR="009330F5">
          <w:rPr>
            <w:b w:val="0"/>
            <w:noProof/>
            <w:webHidden/>
          </w:rPr>
          <w:t>6</w:t>
        </w:r>
        <w:r w:rsidRPr="005A221F">
          <w:rPr>
            <w:b w:val="0"/>
            <w:noProof/>
            <w:webHidden/>
          </w:rPr>
          <w:fldChar w:fldCharType="end"/>
        </w:r>
      </w:hyperlink>
    </w:p>
    <w:p w:rsidR="005A221F" w:rsidRPr="005A221F" w:rsidRDefault="005A221F" w:rsidP="005A221F">
      <w:pPr>
        <w:pStyle w:val="TOC1"/>
        <w:spacing w:before="40" w:after="40"/>
        <w:rPr>
          <w:rFonts w:asciiTheme="minorHAnsi" w:eastAsiaTheme="minorEastAsia" w:hAnsiTheme="minorHAnsi" w:cstheme="minorBidi"/>
          <w:b w:val="0"/>
          <w:bCs w:val="0"/>
          <w:caps w:val="0"/>
          <w:noProof/>
          <w:color w:val="auto"/>
          <w:sz w:val="22"/>
          <w:szCs w:val="22"/>
          <w:lang w:val="bg-BG" w:eastAsia="bg-BG"/>
        </w:rPr>
      </w:pPr>
      <w:hyperlink w:anchor="_Toc396225546" w:history="1">
        <w:r w:rsidRPr="005A221F">
          <w:rPr>
            <w:rStyle w:val="Hyperlink"/>
            <w:rFonts w:ascii="Verdana" w:hAnsi="Verdana"/>
            <w:b w:val="0"/>
            <w:noProof/>
          </w:rPr>
          <w:t>List of Figures</w:t>
        </w:r>
        <w:r w:rsidRPr="005A221F">
          <w:rPr>
            <w:b w:val="0"/>
            <w:noProof/>
            <w:webHidden/>
          </w:rPr>
          <w:tab/>
        </w:r>
        <w:r w:rsidRPr="005A221F">
          <w:rPr>
            <w:b w:val="0"/>
            <w:noProof/>
            <w:webHidden/>
          </w:rPr>
          <w:fldChar w:fldCharType="begin"/>
        </w:r>
        <w:r w:rsidRPr="005A221F">
          <w:rPr>
            <w:b w:val="0"/>
            <w:noProof/>
            <w:webHidden/>
          </w:rPr>
          <w:instrText xml:space="preserve"> PAGEREF _Toc396225546 \h </w:instrText>
        </w:r>
        <w:r w:rsidRPr="005A221F">
          <w:rPr>
            <w:b w:val="0"/>
            <w:noProof/>
            <w:webHidden/>
          </w:rPr>
        </w:r>
        <w:r w:rsidRPr="005A221F">
          <w:rPr>
            <w:b w:val="0"/>
            <w:noProof/>
            <w:webHidden/>
          </w:rPr>
          <w:fldChar w:fldCharType="separate"/>
        </w:r>
        <w:r w:rsidR="009330F5">
          <w:rPr>
            <w:b w:val="0"/>
            <w:noProof/>
            <w:webHidden/>
          </w:rPr>
          <w:t>8</w:t>
        </w:r>
        <w:r w:rsidRPr="005A221F">
          <w:rPr>
            <w:b w:val="0"/>
            <w:noProof/>
            <w:webHidden/>
          </w:rPr>
          <w:fldChar w:fldCharType="end"/>
        </w:r>
      </w:hyperlink>
    </w:p>
    <w:p w:rsidR="005A221F" w:rsidRPr="005A221F" w:rsidRDefault="005A221F" w:rsidP="005A221F">
      <w:pPr>
        <w:pStyle w:val="TOC1"/>
        <w:spacing w:before="40" w:after="40"/>
        <w:rPr>
          <w:rFonts w:asciiTheme="minorHAnsi" w:eastAsiaTheme="minorEastAsia" w:hAnsiTheme="minorHAnsi" w:cstheme="minorBidi"/>
          <w:b w:val="0"/>
          <w:bCs w:val="0"/>
          <w:caps w:val="0"/>
          <w:noProof/>
          <w:color w:val="auto"/>
          <w:sz w:val="22"/>
          <w:szCs w:val="22"/>
          <w:lang w:val="bg-BG" w:eastAsia="bg-BG"/>
        </w:rPr>
      </w:pPr>
      <w:hyperlink w:anchor="_Toc396225547" w:history="1">
        <w:r w:rsidRPr="005A221F">
          <w:rPr>
            <w:rStyle w:val="Hyperlink"/>
            <w:rFonts w:ascii="Verdana" w:hAnsi="Verdana"/>
            <w:b w:val="0"/>
            <w:noProof/>
          </w:rPr>
          <w:t>Summary</w:t>
        </w:r>
        <w:r w:rsidRPr="005A221F">
          <w:rPr>
            <w:b w:val="0"/>
            <w:noProof/>
            <w:webHidden/>
          </w:rPr>
          <w:tab/>
        </w:r>
        <w:r w:rsidRPr="005A221F">
          <w:rPr>
            <w:b w:val="0"/>
            <w:noProof/>
            <w:webHidden/>
          </w:rPr>
          <w:fldChar w:fldCharType="begin"/>
        </w:r>
        <w:r w:rsidRPr="005A221F">
          <w:rPr>
            <w:b w:val="0"/>
            <w:noProof/>
            <w:webHidden/>
          </w:rPr>
          <w:instrText xml:space="preserve"> PAGEREF _Toc396225547 \h </w:instrText>
        </w:r>
        <w:r w:rsidRPr="005A221F">
          <w:rPr>
            <w:b w:val="0"/>
            <w:noProof/>
            <w:webHidden/>
          </w:rPr>
        </w:r>
        <w:r w:rsidRPr="005A221F">
          <w:rPr>
            <w:b w:val="0"/>
            <w:noProof/>
            <w:webHidden/>
          </w:rPr>
          <w:fldChar w:fldCharType="separate"/>
        </w:r>
        <w:r w:rsidR="009330F5">
          <w:rPr>
            <w:b w:val="0"/>
            <w:noProof/>
            <w:webHidden/>
          </w:rPr>
          <w:t>9</w:t>
        </w:r>
        <w:r w:rsidRPr="005A221F">
          <w:rPr>
            <w:b w:val="0"/>
            <w:noProof/>
            <w:webHidden/>
          </w:rPr>
          <w:fldChar w:fldCharType="end"/>
        </w:r>
      </w:hyperlink>
    </w:p>
    <w:p w:rsidR="005A221F" w:rsidRPr="005A221F" w:rsidRDefault="005A221F" w:rsidP="005A221F">
      <w:pPr>
        <w:pStyle w:val="TOC1"/>
        <w:spacing w:before="40" w:after="40"/>
        <w:rPr>
          <w:rFonts w:asciiTheme="minorHAnsi" w:eastAsiaTheme="minorEastAsia" w:hAnsiTheme="minorHAnsi" w:cstheme="minorBidi"/>
          <w:b w:val="0"/>
          <w:bCs w:val="0"/>
          <w:caps w:val="0"/>
          <w:noProof/>
          <w:color w:val="auto"/>
          <w:sz w:val="22"/>
          <w:szCs w:val="22"/>
          <w:lang w:val="bg-BG" w:eastAsia="bg-BG"/>
        </w:rPr>
      </w:pPr>
      <w:hyperlink w:anchor="_Toc396225548" w:history="1">
        <w:r w:rsidRPr="005A221F">
          <w:rPr>
            <w:rStyle w:val="Hyperlink"/>
            <w:rFonts w:ascii="Verdana" w:hAnsi="Verdana"/>
            <w:b w:val="0"/>
            <w:noProof/>
          </w:rPr>
          <w:t>I.</w:t>
        </w:r>
        <w:r w:rsidRPr="005A221F">
          <w:rPr>
            <w:rFonts w:asciiTheme="minorHAnsi" w:eastAsiaTheme="minorEastAsia" w:hAnsiTheme="minorHAnsi" w:cstheme="minorBidi"/>
            <w:b w:val="0"/>
            <w:bCs w:val="0"/>
            <w:caps w:val="0"/>
            <w:noProof/>
            <w:color w:val="auto"/>
            <w:sz w:val="22"/>
            <w:szCs w:val="22"/>
            <w:lang w:val="bg-BG" w:eastAsia="bg-BG"/>
          </w:rPr>
          <w:tab/>
        </w:r>
        <w:r w:rsidRPr="005A221F">
          <w:rPr>
            <w:rStyle w:val="Hyperlink"/>
            <w:rFonts w:ascii="Verdana" w:hAnsi="Verdana"/>
            <w:b w:val="0"/>
            <w:noProof/>
          </w:rPr>
          <w:t>Introduction</w:t>
        </w:r>
        <w:r w:rsidRPr="005A221F">
          <w:rPr>
            <w:b w:val="0"/>
            <w:noProof/>
            <w:webHidden/>
          </w:rPr>
          <w:tab/>
        </w:r>
        <w:r w:rsidRPr="005A221F">
          <w:rPr>
            <w:b w:val="0"/>
            <w:noProof/>
            <w:webHidden/>
          </w:rPr>
          <w:fldChar w:fldCharType="begin"/>
        </w:r>
        <w:r w:rsidRPr="005A221F">
          <w:rPr>
            <w:b w:val="0"/>
            <w:noProof/>
            <w:webHidden/>
          </w:rPr>
          <w:instrText xml:space="preserve"> PAGEREF _Toc396225548 \h </w:instrText>
        </w:r>
        <w:r w:rsidRPr="005A221F">
          <w:rPr>
            <w:b w:val="0"/>
            <w:noProof/>
            <w:webHidden/>
          </w:rPr>
        </w:r>
        <w:r w:rsidRPr="005A221F">
          <w:rPr>
            <w:b w:val="0"/>
            <w:noProof/>
            <w:webHidden/>
          </w:rPr>
          <w:fldChar w:fldCharType="separate"/>
        </w:r>
        <w:r w:rsidR="009330F5">
          <w:rPr>
            <w:b w:val="0"/>
            <w:noProof/>
            <w:webHidden/>
          </w:rPr>
          <w:t>22</w:t>
        </w:r>
        <w:r w:rsidRPr="005A221F">
          <w:rPr>
            <w:b w:val="0"/>
            <w:noProof/>
            <w:webHidden/>
          </w:rPr>
          <w:fldChar w:fldCharType="end"/>
        </w:r>
      </w:hyperlink>
    </w:p>
    <w:p w:rsidR="005A221F" w:rsidRPr="005A221F" w:rsidRDefault="005A221F" w:rsidP="005A221F">
      <w:pPr>
        <w:pStyle w:val="TOC1"/>
        <w:spacing w:before="40" w:after="40"/>
        <w:rPr>
          <w:rFonts w:asciiTheme="minorHAnsi" w:eastAsiaTheme="minorEastAsia" w:hAnsiTheme="minorHAnsi" w:cstheme="minorBidi"/>
          <w:b w:val="0"/>
          <w:bCs w:val="0"/>
          <w:caps w:val="0"/>
          <w:noProof/>
          <w:color w:val="auto"/>
          <w:sz w:val="22"/>
          <w:szCs w:val="22"/>
          <w:lang w:val="bg-BG" w:eastAsia="bg-BG"/>
        </w:rPr>
      </w:pPr>
      <w:hyperlink w:anchor="_Toc396225549" w:history="1">
        <w:r w:rsidRPr="005A221F">
          <w:rPr>
            <w:rStyle w:val="Hyperlink"/>
            <w:rFonts w:ascii="Verdana" w:hAnsi="Verdana"/>
            <w:b w:val="0"/>
            <w:noProof/>
          </w:rPr>
          <w:t>II.</w:t>
        </w:r>
        <w:r w:rsidRPr="005A221F">
          <w:rPr>
            <w:rFonts w:asciiTheme="minorHAnsi" w:eastAsiaTheme="minorEastAsia" w:hAnsiTheme="minorHAnsi" w:cstheme="minorBidi"/>
            <w:b w:val="0"/>
            <w:bCs w:val="0"/>
            <w:caps w:val="0"/>
            <w:noProof/>
            <w:color w:val="auto"/>
            <w:sz w:val="22"/>
            <w:szCs w:val="22"/>
            <w:lang w:val="bg-BG" w:eastAsia="bg-BG"/>
          </w:rPr>
          <w:tab/>
        </w:r>
        <w:r w:rsidRPr="005A221F">
          <w:rPr>
            <w:rStyle w:val="Hyperlink"/>
            <w:rFonts w:ascii="Verdana" w:hAnsi="Verdana"/>
            <w:b w:val="0"/>
            <w:noProof/>
          </w:rPr>
          <w:t>Objectives and Scope of the EVALUATION</w:t>
        </w:r>
        <w:r w:rsidRPr="005A221F">
          <w:rPr>
            <w:b w:val="0"/>
            <w:noProof/>
            <w:webHidden/>
          </w:rPr>
          <w:tab/>
        </w:r>
        <w:r w:rsidRPr="005A221F">
          <w:rPr>
            <w:b w:val="0"/>
            <w:noProof/>
            <w:webHidden/>
          </w:rPr>
          <w:fldChar w:fldCharType="begin"/>
        </w:r>
        <w:r w:rsidRPr="005A221F">
          <w:rPr>
            <w:b w:val="0"/>
            <w:noProof/>
            <w:webHidden/>
          </w:rPr>
          <w:instrText xml:space="preserve"> PAGEREF _Toc396225549 \h </w:instrText>
        </w:r>
        <w:r w:rsidRPr="005A221F">
          <w:rPr>
            <w:b w:val="0"/>
            <w:noProof/>
            <w:webHidden/>
          </w:rPr>
        </w:r>
        <w:r w:rsidRPr="005A221F">
          <w:rPr>
            <w:b w:val="0"/>
            <w:noProof/>
            <w:webHidden/>
          </w:rPr>
          <w:fldChar w:fldCharType="separate"/>
        </w:r>
        <w:r w:rsidR="009330F5">
          <w:rPr>
            <w:b w:val="0"/>
            <w:noProof/>
            <w:webHidden/>
          </w:rPr>
          <w:t>23</w:t>
        </w:r>
        <w:r w:rsidRPr="005A221F">
          <w:rPr>
            <w:b w:val="0"/>
            <w:noProof/>
            <w:webHidden/>
          </w:rPr>
          <w:fldChar w:fldCharType="end"/>
        </w:r>
      </w:hyperlink>
    </w:p>
    <w:p w:rsidR="005A221F" w:rsidRPr="005A221F" w:rsidRDefault="005A221F" w:rsidP="005A221F">
      <w:pPr>
        <w:pStyle w:val="TOC2"/>
        <w:tabs>
          <w:tab w:val="left" w:pos="440"/>
        </w:tabs>
        <w:spacing w:before="40" w:after="40"/>
        <w:rPr>
          <w:rFonts w:asciiTheme="minorHAnsi" w:eastAsiaTheme="minorEastAsia" w:hAnsiTheme="minorHAnsi" w:cstheme="minorBidi"/>
          <w:b w:val="0"/>
          <w:iCs w:val="0"/>
          <w:sz w:val="22"/>
          <w:szCs w:val="22"/>
          <w:lang w:val="bg-BG" w:eastAsia="bg-BG"/>
        </w:rPr>
      </w:pPr>
      <w:hyperlink w:anchor="_Toc396225550" w:history="1">
        <w:r w:rsidRPr="005A221F">
          <w:rPr>
            <w:rStyle w:val="Hyperlink"/>
            <w:b w:val="0"/>
          </w:rPr>
          <w:t>1.</w:t>
        </w:r>
        <w:r w:rsidRPr="005A221F">
          <w:rPr>
            <w:rFonts w:asciiTheme="minorHAnsi" w:eastAsiaTheme="minorEastAsia" w:hAnsiTheme="minorHAnsi" w:cstheme="minorBidi"/>
            <w:b w:val="0"/>
            <w:iCs w:val="0"/>
            <w:sz w:val="22"/>
            <w:szCs w:val="22"/>
            <w:lang w:val="bg-BG" w:eastAsia="bg-BG"/>
          </w:rPr>
          <w:tab/>
        </w:r>
        <w:r w:rsidRPr="005A221F">
          <w:rPr>
            <w:rStyle w:val="Hyperlink"/>
            <w:b w:val="0"/>
          </w:rPr>
          <w:t>Objectives of the evaluation</w:t>
        </w:r>
        <w:r w:rsidRPr="005A221F">
          <w:rPr>
            <w:b w:val="0"/>
            <w:webHidden/>
          </w:rPr>
          <w:tab/>
        </w:r>
        <w:r w:rsidRPr="005A221F">
          <w:rPr>
            <w:b w:val="0"/>
            <w:webHidden/>
          </w:rPr>
          <w:fldChar w:fldCharType="begin"/>
        </w:r>
        <w:r w:rsidRPr="005A221F">
          <w:rPr>
            <w:b w:val="0"/>
            <w:webHidden/>
          </w:rPr>
          <w:instrText xml:space="preserve"> PAGEREF _Toc396225550 \h </w:instrText>
        </w:r>
        <w:r w:rsidRPr="005A221F">
          <w:rPr>
            <w:b w:val="0"/>
            <w:webHidden/>
          </w:rPr>
        </w:r>
        <w:r w:rsidRPr="005A221F">
          <w:rPr>
            <w:b w:val="0"/>
            <w:webHidden/>
          </w:rPr>
          <w:fldChar w:fldCharType="separate"/>
        </w:r>
        <w:r w:rsidR="009330F5">
          <w:rPr>
            <w:b w:val="0"/>
            <w:webHidden/>
          </w:rPr>
          <w:t>23</w:t>
        </w:r>
        <w:r w:rsidRPr="005A221F">
          <w:rPr>
            <w:b w:val="0"/>
            <w:webHidden/>
          </w:rPr>
          <w:fldChar w:fldCharType="end"/>
        </w:r>
      </w:hyperlink>
    </w:p>
    <w:p w:rsidR="005A221F" w:rsidRPr="005A221F" w:rsidRDefault="005A221F" w:rsidP="005A221F">
      <w:pPr>
        <w:pStyle w:val="TOC2"/>
        <w:tabs>
          <w:tab w:val="left" w:pos="440"/>
        </w:tabs>
        <w:spacing w:before="40" w:after="40"/>
        <w:rPr>
          <w:rFonts w:asciiTheme="minorHAnsi" w:eastAsiaTheme="minorEastAsia" w:hAnsiTheme="minorHAnsi" w:cstheme="minorBidi"/>
          <w:b w:val="0"/>
          <w:iCs w:val="0"/>
          <w:sz w:val="22"/>
          <w:szCs w:val="22"/>
          <w:lang w:val="bg-BG" w:eastAsia="bg-BG"/>
        </w:rPr>
      </w:pPr>
      <w:hyperlink w:anchor="_Toc396225551" w:history="1">
        <w:r w:rsidRPr="005A221F">
          <w:rPr>
            <w:rStyle w:val="Hyperlink"/>
            <w:b w:val="0"/>
          </w:rPr>
          <w:t>2.</w:t>
        </w:r>
        <w:r w:rsidRPr="005A221F">
          <w:rPr>
            <w:rFonts w:asciiTheme="minorHAnsi" w:eastAsiaTheme="minorEastAsia" w:hAnsiTheme="minorHAnsi" w:cstheme="minorBidi"/>
            <w:b w:val="0"/>
            <w:iCs w:val="0"/>
            <w:sz w:val="22"/>
            <w:szCs w:val="22"/>
            <w:lang w:val="bg-BG" w:eastAsia="bg-BG"/>
          </w:rPr>
          <w:tab/>
        </w:r>
        <w:r w:rsidRPr="005A221F">
          <w:rPr>
            <w:rStyle w:val="Hyperlink"/>
            <w:b w:val="0"/>
          </w:rPr>
          <w:t>Scope of Evaluation and Key Questions</w:t>
        </w:r>
        <w:r w:rsidRPr="005A221F">
          <w:rPr>
            <w:b w:val="0"/>
            <w:webHidden/>
          </w:rPr>
          <w:tab/>
        </w:r>
        <w:r w:rsidRPr="005A221F">
          <w:rPr>
            <w:b w:val="0"/>
            <w:webHidden/>
          </w:rPr>
          <w:fldChar w:fldCharType="begin"/>
        </w:r>
        <w:r w:rsidRPr="005A221F">
          <w:rPr>
            <w:b w:val="0"/>
            <w:webHidden/>
          </w:rPr>
          <w:instrText xml:space="preserve"> PAGEREF _Toc396225551 \h </w:instrText>
        </w:r>
        <w:r w:rsidRPr="005A221F">
          <w:rPr>
            <w:b w:val="0"/>
            <w:webHidden/>
          </w:rPr>
        </w:r>
        <w:r w:rsidRPr="005A221F">
          <w:rPr>
            <w:b w:val="0"/>
            <w:webHidden/>
          </w:rPr>
          <w:fldChar w:fldCharType="separate"/>
        </w:r>
        <w:r w:rsidR="009330F5">
          <w:rPr>
            <w:b w:val="0"/>
            <w:webHidden/>
          </w:rPr>
          <w:t>23</w:t>
        </w:r>
        <w:r w:rsidRPr="005A221F">
          <w:rPr>
            <w:b w:val="0"/>
            <w:webHidden/>
          </w:rPr>
          <w:fldChar w:fldCharType="end"/>
        </w:r>
      </w:hyperlink>
    </w:p>
    <w:p w:rsidR="005A221F" w:rsidRPr="005A221F" w:rsidRDefault="005A221F" w:rsidP="005A221F">
      <w:pPr>
        <w:pStyle w:val="TOC1"/>
        <w:spacing w:before="40" w:after="40"/>
        <w:rPr>
          <w:rFonts w:asciiTheme="minorHAnsi" w:eastAsiaTheme="minorEastAsia" w:hAnsiTheme="minorHAnsi" w:cstheme="minorBidi"/>
          <w:b w:val="0"/>
          <w:bCs w:val="0"/>
          <w:caps w:val="0"/>
          <w:noProof/>
          <w:color w:val="auto"/>
          <w:sz w:val="22"/>
          <w:szCs w:val="22"/>
          <w:lang w:val="bg-BG" w:eastAsia="bg-BG"/>
        </w:rPr>
      </w:pPr>
      <w:hyperlink w:anchor="_Toc396225552" w:history="1">
        <w:r w:rsidRPr="005A221F">
          <w:rPr>
            <w:rStyle w:val="Hyperlink"/>
            <w:rFonts w:ascii="Verdana" w:hAnsi="Verdana"/>
            <w:b w:val="0"/>
            <w:noProof/>
          </w:rPr>
          <w:t>III.</w:t>
        </w:r>
        <w:r w:rsidRPr="005A221F">
          <w:rPr>
            <w:rFonts w:asciiTheme="minorHAnsi" w:eastAsiaTheme="minorEastAsia" w:hAnsiTheme="minorHAnsi" w:cstheme="minorBidi"/>
            <w:b w:val="0"/>
            <w:bCs w:val="0"/>
            <w:caps w:val="0"/>
            <w:noProof/>
            <w:color w:val="auto"/>
            <w:sz w:val="22"/>
            <w:szCs w:val="22"/>
            <w:lang w:val="bg-BG" w:eastAsia="bg-BG"/>
          </w:rPr>
          <w:tab/>
        </w:r>
        <w:r w:rsidRPr="005A221F">
          <w:rPr>
            <w:rStyle w:val="Hyperlink"/>
            <w:rFonts w:ascii="Verdana" w:hAnsi="Verdana"/>
            <w:b w:val="0"/>
            <w:noProof/>
          </w:rPr>
          <w:t>Approach and Methodology</w:t>
        </w:r>
        <w:r w:rsidRPr="005A221F">
          <w:rPr>
            <w:b w:val="0"/>
            <w:noProof/>
            <w:webHidden/>
          </w:rPr>
          <w:tab/>
        </w:r>
        <w:r w:rsidRPr="005A221F">
          <w:rPr>
            <w:b w:val="0"/>
            <w:noProof/>
            <w:webHidden/>
          </w:rPr>
          <w:fldChar w:fldCharType="begin"/>
        </w:r>
        <w:r w:rsidRPr="005A221F">
          <w:rPr>
            <w:b w:val="0"/>
            <w:noProof/>
            <w:webHidden/>
          </w:rPr>
          <w:instrText xml:space="preserve"> PAGEREF _Toc396225552 \h </w:instrText>
        </w:r>
        <w:r w:rsidRPr="005A221F">
          <w:rPr>
            <w:b w:val="0"/>
            <w:noProof/>
            <w:webHidden/>
          </w:rPr>
        </w:r>
        <w:r w:rsidRPr="005A221F">
          <w:rPr>
            <w:b w:val="0"/>
            <w:noProof/>
            <w:webHidden/>
          </w:rPr>
          <w:fldChar w:fldCharType="separate"/>
        </w:r>
        <w:r w:rsidR="009330F5">
          <w:rPr>
            <w:b w:val="0"/>
            <w:noProof/>
            <w:webHidden/>
          </w:rPr>
          <w:t>26</w:t>
        </w:r>
        <w:r w:rsidRPr="005A221F">
          <w:rPr>
            <w:b w:val="0"/>
            <w:noProof/>
            <w:webHidden/>
          </w:rPr>
          <w:fldChar w:fldCharType="end"/>
        </w:r>
      </w:hyperlink>
    </w:p>
    <w:p w:rsidR="005A221F" w:rsidRPr="005A221F" w:rsidRDefault="005A221F" w:rsidP="005A221F">
      <w:pPr>
        <w:pStyle w:val="TOC1"/>
        <w:spacing w:before="40" w:after="40"/>
        <w:rPr>
          <w:rFonts w:asciiTheme="minorHAnsi" w:eastAsiaTheme="minorEastAsia" w:hAnsiTheme="minorHAnsi" w:cstheme="minorBidi"/>
          <w:b w:val="0"/>
          <w:bCs w:val="0"/>
          <w:caps w:val="0"/>
          <w:noProof/>
          <w:color w:val="auto"/>
          <w:sz w:val="22"/>
          <w:szCs w:val="22"/>
          <w:lang w:val="bg-BG" w:eastAsia="bg-BG"/>
        </w:rPr>
      </w:pPr>
      <w:hyperlink w:anchor="_Toc396225553" w:history="1">
        <w:r w:rsidRPr="005A221F">
          <w:rPr>
            <w:rStyle w:val="Hyperlink"/>
            <w:rFonts w:ascii="Verdana" w:hAnsi="Verdana"/>
            <w:b w:val="0"/>
            <w:noProof/>
          </w:rPr>
          <w:t>IV. Evaluation</w:t>
        </w:r>
        <w:r w:rsidRPr="005A221F">
          <w:rPr>
            <w:b w:val="0"/>
            <w:noProof/>
            <w:webHidden/>
          </w:rPr>
          <w:tab/>
        </w:r>
        <w:r w:rsidRPr="005A221F">
          <w:rPr>
            <w:b w:val="0"/>
            <w:noProof/>
            <w:webHidden/>
          </w:rPr>
          <w:fldChar w:fldCharType="begin"/>
        </w:r>
        <w:r w:rsidRPr="005A221F">
          <w:rPr>
            <w:b w:val="0"/>
            <w:noProof/>
            <w:webHidden/>
          </w:rPr>
          <w:instrText xml:space="preserve"> PAGEREF _Toc396225553 \h </w:instrText>
        </w:r>
        <w:r w:rsidRPr="005A221F">
          <w:rPr>
            <w:b w:val="0"/>
            <w:noProof/>
            <w:webHidden/>
          </w:rPr>
        </w:r>
        <w:r w:rsidRPr="005A221F">
          <w:rPr>
            <w:b w:val="0"/>
            <w:noProof/>
            <w:webHidden/>
          </w:rPr>
          <w:fldChar w:fldCharType="separate"/>
        </w:r>
        <w:r w:rsidR="009330F5">
          <w:rPr>
            <w:b w:val="0"/>
            <w:noProof/>
            <w:webHidden/>
          </w:rPr>
          <w:t>29</w:t>
        </w:r>
        <w:r w:rsidRPr="005A221F">
          <w:rPr>
            <w:b w:val="0"/>
            <w:noProof/>
            <w:webHidden/>
          </w:rPr>
          <w:fldChar w:fldCharType="end"/>
        </w:r>
      </w:hyperlink>
    </w:p>
    <w:p w:rsidR="005A221F" w:rsidRPr="005A221F" w:rsidRDefault="005A221F" w:rsidP="005A221F">
      <w:pPr>
        <w:pStyle w:val="TOC2"/>
        <w:spacing w:before="40" w:after="40"/>
        <w:rPr>
          <w:rFonts w:asciiTheme="minorHAnsi" w:eastAsiaTheme="minorEastAsia" w:hAnsiTheme="minorHAnsi" w:cstheme="minorBidi"/>
          <w:b w:val="0"/>
          <w:iCs w:val="0"/>
          <w:sz w:val="22"/>
          <w:szCs w:val="22"/>
          <w:lang w:val="bg-BG" w:eastAsia="bg-BG"/>
        </w:rPr>
      </w:pPr>
      <w:hyperlink w:anchor="_Toc396225554" w:history="1">
        <w:r w:rsidRPr="005A221F">
          <w:rPr>
            <w:rStyle w:val="Hyperlink"/>
            <w:b w:val="0"/>
          </w:rPr>
          <w:t>Evaluation of External Coherence</w:t>
        </w:r>
        <w:r w:rsidRPr="005A221F">
          <w:rPr>
            <w:b w:val="0"/>
            <w:webHidden/>
          </w:rPr>
          <w:tab/>
        </w:r>
        <w:r w:rsidRPr="005A221F">
          <w:rPr>
            <w:b w:val="0"/>
            <w:webHidden/>
          </w:rPr>
          <w:fldChar w:fldCharType="begin"/>
        </w:r>
        <w:r w:rsidRPr="005A221F">
          <w:rPr>
            <w:b w:val="0"/>
            <w:webHidden/>
          </w:rPr>
          <w:instrText xml:space="preserve"> PAGEREF _Toc396225554 \h </w:instrText>
        </w:r>
        <w:r w:rsidRPr="005A221F">
          <w:rPr>
            <w:b w:val="0"/>
            <w:webHidden/>
          </w:rPr>
        </w:r>
        <w:r w:rsidRPr="005A221F">
          <w:rPr>
            <w:b w:val="0"/>
            <w:webHidden/>
          </w:rPr>
          <w:fldChar w:fldCharType="separate"/>
        </w:r>
        <w:r w:rsidR="009330F5">
          <w:rPr>
            <w:b w:val="0"/>
            <w:webHidden/>
          </w:rPr>
          <w:t>29</w:t>
        </w:r>
        <w:r w:rsidRPr="005A221F">
          <w:rPr>
            <w:b w:val="0"/>
            <w:webHidden/>
          </w:rPr>
          <w:fldChar w:fldCharType="end"/>
        </w:r>
      </w:hyperlink>
    </w:p>
    <w:p w:rsidR="005A221F" w:rsidRPr="005A221F" w:rsidRDefault="005A221F" w:rsidP="005A221F">
      <w:pPr>
        <w:pStyle w:val="TOC3"/>
        <w:tabs>
          <w:tab w:val="right" w:leader="dot" w:pos="9080"/>
        </w:tabs>
        <w:spacing w:before="40" w:after="40"/>
        <w:rPr>
          <w:rFonts w:asciiTheme="minorHAnsi" w:eastAsiaTheme="minorEastAsia" w:hAnsiTheme="minorHAnsi" w:cstheme="minorBidi"/>
          <w:i w:val="0"/>
          <w:iCs w:val="0"/>
          <w:noProof/>
          <w:sz w:val="22"/>
          <w:szCs w:val="22"/>
          <w:lang w:val="bg-BG" w:eastAsia="bg-BG"/>
        </w:rPr>
      </w:pPr>
      <w:hyperlink w:anchor="_Toc396225555" w:history="1">
        <w:r w:rsidRPr="005A221F">
          <w:rPr>
            <w:rStyle w:val="Hyperlink"/>
            <w:noProof/>
          </w:rPr>
          <w:t>Analysis</w:t>
        </w:r>
        <w:r w:rsidRPr="005A221F">
          <w:rPr>
            <w:noProof/>
            <w:webHidden/>
          </w:rPr>
          <w:tab/>
        </w:r>
        <w:r w:rsidRPr="005A221F">
          <w:rPr>
            <w:noProof/>
            <w:webHidden/>
          </w:rPr>
          <w:fldChar w:fldCharType="begin"/>
        </w:r>
        <w:r w:rsidRPr="005A221F">
          <w:rPr>
            <w:noProof/>
            <w:webHidden/>
          </w:rPr>
          <w:instrText xml:space="preserve"> PAGEREF _Toc396225555 \h </w:instrText>
        </w:r>
        <w:r w:rsidRPr="005A221F">
          <w:rPr>
            <w:noProof/>
            <w:webHidden/>
          </w:rPr>
        </w:r>
        <w:r w:rsidRPr="005A221F">
          <w:rPr>
            <w:noProof/>
            <w:webHidden/>
          </w:rPr>
          <w:fldChar w:fldCharType="separate"/>
        </w:r>
        <w:r w:rsidR="009330F5">
          <w:rPr>
            <w:noProof/>
            <w:webHidden/>
          </w:rPr>
          <w:t>29</w:t>
        </w:r>
        <w:r w:rsidRPr="005A221F">
          <w:rPr>
            <w:noProof/>
            <w:webHidden/>
          </w:rPr>
          <w:fldChar w:fldCharType="end"/>
        </w:r>
      </w:hyperlink>
    </w:p>
    <w:p w:rsidR="005A221F" w:rsidRPr="005A221F" w:rsidRDefault="005A221F" w:rsidP="005A221F">
      <w:pPr>
        <w:pStyle w:val="TOC3"/>
        <w:tabs>
          <w:tab w:val="right" w:leader="dot" w:pos="9080"/>
        </w:tabs>
        <w:spacing w:before="40" w:after="40"/>
        <w:rPr>
          <w:rFonts w:asciiTheme="minorHAnsi" w:eastAsiaTheme="minorEastAsia" w:hAnsiTheme="minorHAnsi" w:cstheme="minorBidi"/>
          <w:i w:val="0"/>
          <w:iCs w:val="0"/>
          <w:noProof/>
          <w:sz w:val="22"/>
          <w:szCs w:val="22"/>
          <w:lang w:val="bg-BG" w:eastAsia="bg-BG"/>
        </w:rPr>
      </w:pPr>
      <w:hyperlink w:anchor="_Toc396225556" w:history="1">
        <w:r w:rsidRPr="005A221F">
          <w:rPr>
            <w:rStyle w:val="Hyperlink"/>
            <w:noProof/>
          </w:rPr>
          <w:t>Conclusions and Recommendations</w:t>
        </w:r>
        <w:r w:rsidRPr="005A221F">
          <w:rPr>
            <w:noProof/>
            <w:webHidden/>
          </w:rPr>
          <w:tab/>
        </w:r>
        <w:r w:rsidRPr="005A221F">
          <w:rPr>
            <w:noProof/>
            <w:webHidden/>
          </w:rPr>
          <w:fldChar w:fldCharType="begin"/>
        </w:r>
        <w:r w:rsidRPr="005A221F">
          <w:rPr>
            <w:noProof/>
            <w:webHidden/>
          </w:rPr>
          <w:instrText xml:space="preserve"> PAGEREF _Toc396225556 \h </w:instrText>
        </w:r>
        <w:r w:rsidRPr="005A221F">
          <w:rPr>
            <w:noProof/>
            <w:webHidden/>
          </w:rPr>
        </w:r>
        <w:r w:rsidRPr="005A221F">
          <w:rPr>
            <w:noProof/>
            <w:webHidden/>
          </w:rPr>
          <w:fldChar w:fldCharType="separate"/>
        </w:r>
        <w:r w:rsidR="009330F5">
          <w:rPr>
            <w:noProof/>
            <w:webHidden/>
          </w:rPr>
          <w:t>61</w:t>
        </w:r>
        <w:r w:rsidRPr="005A221F">
          <w:rPr>
            <w:noProof/>
            <w:webHidden/>
          </w:rPr>
          <w:fldChar w:fldCharType="end"/>
        </w:r>
      </w:hyperlink>
    </w:p>
    <w:p w:rsidR="005A221F" w:rsidRPr="005A221F" w:rsidRDefault="005A221F" w:rsidP="005A221F">
      <w:pPr>
        <w:pStyle w:val="TOC2"/>
        <w:spacing w:before="40" w:after="40"/>
        <w:rPr>
          <w:rFonts w:asciiTheme="minorHAnsi" w:eastAsiaTheme="minorEastAsia" w:hAnsiTheme="minorHAnsi" w:cstheme="minorBidi"/>
          <w:b w:val="0"/>
          <w:iCs w:val="0"/>
          <w:sz w:val="22"/>
          <w:szCs w:val="22"/>
          <w:lang w:val="bg-BG" w:eastAsia="bg-BG"/>
        </w:rPr>
      </w:pPr>
      <w:hyperlink w:anchor="_Toc396225557" w:history="1">
        <w:r w:rsidRPr="005A221F">
          <w:rPr>
            <w:rStyle w:val="Hyperlink"/>
            <w:b w:val="0"/>
          </w:rPr>
          <w:t>Evaluation of Internal Coherence</w:t>
        </w:r>
        <w:r w:rsidRPr="005A221F">
          <w:rPr>
            <w:b w:val="0"/>
            <w:webHidden/>
          </w:rPr>
          <w:tab/>
        </w:r>
        <w:r w:rsidRPr="005A221F">
          <w:rPr>
            <w:b w:val="0"/>
            <w:webHidden/>
          </w:rPr>
          <w:fldChar w:fldCharType="begin"/>
        </w:r>
        <w:r w:rsidRPr="005A221F">
          <w:rPr>
            <w:b w:val="0"/>
            <w:webHidden/>
          </w:rPr>
          <w:instrText xml:space="preserve"> PAGEREF _Toc396225557 \h </w:instrText>
        </w:r>
        <w:r w:rsidRPr="005A221F">
          <w:rPr>
            <w:b w:val="0"/>
            <w:webHidden/>
          </w:rPr>
        </w:r>
        <w:r w:rsidRPr="005A221F">
          <w:rPr>
            <w:b w:val="0"/>
            <w:webHidden/>
          </w:rPr>
          <w:fldChar w:fldCharType="separate"/>
        </w:r>
        <w:r w:rsidR="009330F5">
          <w:rPr>
            <w:b w:val="0"/>
            <w:webHidden/>
          </w:rPr>
          <w:t>62</w:t>
        </w:r>
        <w:r w:rsidRPr="005A221F">
          <w:rPr>
            <w:b w:val="0"/>
            <w:webHidden/>
          </w:rPr>
          <w:fldChar w:fldCharType="end"/>
        </w:r>
      </w:hyperlink>
    </w:p>
    <w:p w:rsidR="005A221F" w:rsidRPr="005A221F" w:rsidRDefault="005A221F" w:rsidP="005A221F">
      <w:pPr>
        <w:pStyle w:val="TOC3"/>
        <w:tabs>
          <w:tab w:val="right" w:leader="dot" w:pos="9080"/>
        </w:tabs>
        <w:spacing w:before="40" w:after="40"/>
        <w:rPr>
          <w:rFonts w:asciiTheme="minorHAnsi" w:eastAsiaTheme="minorEastAsia" w:hAnsiTheme="minorHAnsi" w:cstheme="minorBidi"/>
          <w:i w:val="0"/>
          <w:iCs w:val="0"/>
          <w:noProof/>
          <w:sz w:val="22"/>
          <w:szCs w:val="22"/>
          <w:lang w:val="bg-BG" w:eastAsia="bg-BG"/>
        </w:rPr>
      </w:pPr>
      <w:hyperlink w:anchor="_Toc396225558" w:history="1">
        <w:r w:rsidRPr="005A221F">
          <w:rPr>
            <w:rStyle w:val="Hyperlink"/>
            <w:noProof/>
          </w:rPr>
          <w:t>Analysis</w:t>
        </w:r>
        <w:r w:rsidRPr="005A221F">
          <w:rPr>
            <w:noProof/>
            <w:webHidden/>
          </w:rPr>
          <w:tab/>
        </w:r>
        <w:r w:rsidRPr="005A221F">
          <w:rPr>
            <w:noProof/>
            <w:webHidden/>
          </w:rPr>
          <w:fldChar w:fldCharType="begin"/>
        </w:r>
        <w:r w:rsidRPr="005A221F">
          <w:rPr>
            <w:noProof/>
            <w:webHidden/>
          </w:rPr>
          <w:instrText xml:space="preserve"> PAGEREF _Toc396225558 \h </w:instrText>
        </w:r>
        <w:r w:rsidRPr="005A221F">
          <w:rPr>
            <w:noProof/>
            <w:webHidden/>
          </w:rPr>
        </w:r>
        <w:r w:rsidRPr="005A221F">
          <w:rPr>
            <w:noProof/>
            <w:webHidden/>
          </w:rPr>
          <w:fldChar w:fldCharType="separate"/>
        </w:r>
        <w:r w:rsidR="009330F5">
          <w:rPr>
            <w:noProof/>
            <w:webHidden/>
          </w:rPr>
          <w:t>62</w:t>
        </w:r>
        <w:r w:rsidRPr="005A221F">
          <w:rPr>
            <w:noProof/>
            <w:webHidden/>
          </w:rPr>
          <w:fldChar w:fldCharType="end"/>
        </w:r>
      </w:hyperlink>
    </w:p>
    <w:p w:rsidR="005A221F" w:rsidRPr="005A221F" w:rsidRDefault="005A221F" w:rsidP="005A221F">
      <w:pPr>
        <w:pStyle w:val="TOC3"/>
        <w:tabs>
          <w:tab w:val="right" w:leader="dot" w:pos="9080"/>
        </w:tabs>
        <w:spacing w:before="40" w:after="40"/>
        <w:rPr>
          <w:rFonts w:asciiTheme="minorHAnsi" w:eastAsiaTheme="minorEastAsia" w:hAnsiTheme="minorHAnsi" w:cstheme="minorBidi"/>
          <w:i w:val="0"/>
          <w:iCs w:val="0"/>
          <w:noProof/>
          <w:sz w:val="22"/>
          <w:szCs w:val="22"/>
          <w:lang w:val="bg-BG" w:eastAsia="bg-BG"/>
        </w:rPr>
      </w:pPr>
      <w:hyperlink w:anchor="_Toc396225559" w:history="1">
        <w:r w:rsidRPr="005A221F">
          <w:rPr>
            <w:rStyle w:val="Hyperlink"/>
            <w:noProof/>
          </w:rPr>
          <w:t>Conclusions and recommendations</w:t>
        </w:r>
        <w:r w:rsidRPr="005A221F">
          <w:rPr>
            <w:noProof/>
            <w:webHidden/>
          </w:rPr>
          <w:tab/>
        </w:r>
        <w:r w:rsidRPr="005A221F">
          <w:rPr>
            <w:noProof/>
            <w:webHidden/>
          </w:rPr>
          <w:fldChar w:fldCharType="begin"/>
        </w:r>
        <w:r w:rsidRPr="005A221F">
          <w:rPr>
            <w:noProof/>
            <w:webHidden/>
          </w:rPr>
          <w:instrText xml:space="preserve"> PAGEREF _Toc396225559 \h </w:instrText>
        </w:r>
        <w:r w:rsidRPr="005A221F">
          <w:rPr>
            <w:noProof/>
            <w:webHidden/>
          </w:rPr>
        </w:r>
        <w:r w:rsidRPr="005A221F">
          <w:rPr>
            <w:noProof/>
            <w:webHidden/>
          </w:rPr>
          <w:fldChar w:fldCharType="separate"/>
        </w:r>
        <w:r w:rsidR="009330F5">
          <w:rPr>
            <w:noProof/>
            <w:webHidden/>
          </w:rPr>
          <w:t>112</w:t>
        </w:r>
        <w:r w:rsidRPr="005A221F">
          <w:rPr>
            <w:noProof/>
            <w:webHidden/>
          </w:rPr>
          <w:fldChar w:fldCharType="end"/>
        </w:r>
      </w:hyperlink>
    </w:p>
    <w:p w:rsidR="005A221F" w:rsidRPr="005A221F" w:rsidRDefault="005A221F" w:rsidP="005A221F">
      <w:pPr>
        <w:pStyle w:val="TOC2"/>
        <w:spacing w:before="40" w:after="40"/>
        <w:rPr>
          <w:rFonts w:asciiTheme="minorHAnsi" w:eastAsiaTheme="minorEastAsia" w:hAnsiTheme="minorHAnsi" w:cstheme="minorBidi"/>
          <w:b w:val="0"/>
          <w:iCs w:val="0"/>
          <w:sz w:val="22"/>
          <w:szCs w:val="22"/>
          <w:lang w:val="bg-BG" w:eastAsia="bg-BG"/>
        </w:rPr>
      </w:pPr>
      <w:hyperlink w:anchor="_Toc396225560" w:history="1">
        <w:r w:rsidRPr="005A221F">
          <w:rPr>
            <w:rStyle w:val="Hyperlink"/>
            <w:b w:val="0"/>
          </w:rPr>
          <w:t>Evaluation of the system of indicators</w:t>
        </w:r>
        <w:r w:rsidRPr="005A221F">
          <w:rPr>
            <w:b w:val="0"/>
            <w:webHidden/>
          </w:rPr>
          <w:tab/>
        </w:r>
        <w:r w:rsidRPr="005A221F">
          <w:rPr>
            <w:b w:val="0"/>
            <w:webHidden/>
          </w:rPr>
          <w:fldChar w:fldCharType="begin"/>
        </w:r>
        <w:r w:rsidRPr="005A221F">
          <w:rPr>
            <w:b w:val="0"/>
            <w:webHidden/>
          </w:rPr>
          <w:instrText xml:space="preserve"> PAGEREF _Toc396225560 \h </w:instrText>
        </w:r>
        <w:r w:rsidRPr="005A221F">
          <w:rPr>
            <w:b w:val="0"/>
            <w:webHidden/>
          </w:rPr>
        </w:r>
        <w:r w:rsidRPr="005A221F">
          <w:rPr>
            <w:b w:val="0"/>
            <w:webHidden/>
          </w:rPr>
          <w:fldChar w:fldCharType="separate"/>
        </w:r>
        <w:r w:rsidR="009330F5">
          <w:rPr>
            <w:b w:val="0"/>
            <w:webHidden/>
          </w:rPr>
          <w:t>112</w:t>
        </w:r>
        <w:r w:rsidRPr="005A221F">
          <w:rPr>
            <w:b w:val="0"/>
            <w:webHidden/>
          </w:rPr>
          <w:fldChar w:fldCharType="end"/>
        </w:r>
      </w:hyperlink>
    </w:p>
    <w:p w:rsidR="005A221F" w:rsidRPr="005A221F" w:rsidRDefault="005A221F" w:rsidP="005A221F">
      <w:pPr>
        <w:pStyle w:val="TOC3"/>
        <w:tabs>
          <w:tab w:val="right" w:leader="dot" w:pos="9080"/>
        </w:tabs>
        <w:spacing w:before="40" w:after="40"/>
        <w:rPr>
          <w:rFonts w:asciiTheme="minorHAnsi" w:eastAsiaTheme="minorEastAsia" w:hAnsiTheme="minorHAnsi" w:cstheme="minorBidi"/>
          <w:i w:val="0"/>
          <w:iCs w:val="0"/>
          <w:noProof/>
          <w:sz w:val="22"/>
          <w:szCs w:val="22"/>
          <w:lang w:val="bg-BG" w:eastAsia="bg-BG"/>
        </w:rPr>
      </w:pPr>
      <w:hyperlink w:anchor="_Toc396225561" w:history="1">
        <w:r w:rsidRPr="005A221F">
          <w:rPr>
            <w:rStyle w:val="Hyperlink"/>
            <w:rFonts w:eastAsia="Times New Roman" w:cs="Calibri"/>
            <w:noProof/>
            <w:lang w:eastAsia="cs-CZ"/>
          </w:rPr>
          <w:t>Analysis</w:t>
        </w:r>
        <w:r w:rsidRPr="005A221F">
          <w:rPr>
            <w:noProof/>
            <w:webHidden/>
          </w:rPr>
          <w:tab/>
        </w:r>
        <w:r w:rsidRPr="005A221F">
          <w:rPr>
            <w:noProof/>
            <w:webHidden/>
          </w:rPr>
          <w:fldChar w:fldCharType="begin"/>
        </w:r>
        <w:r w:rsidRPr="005A221F">
          <w:rPr>
            <w:noProof/>
            <w:webHidden/>
          </w:rPr>
          <w:instrText xml:space="preserve"> PAGEREF _Toc396225561 \h </w:instrText>
        </w:r>
        <w:r w:rsidRPr="005A221F">
          <w:rPr>
            <w:noProof/>
            <w:webHidden/>
          </w:rPr>
        </w:r>
        <w:r w:rsidRPr="005A221F">
          <w:rPr>
            <w:noProof/>
            <w:webHidden/>
          </w:rPr>
          <w:fldChar w:fldCharType="separate"/>
        </w:r>
        <w:r w:rsidR="009330F5">
          <w:rPr>
            <w:noProof/>
            <w:webHidden/>
          </w:rPr>
          <w:t>112</w:t>
        </w:r>
        <w:r w:rsidRPr="005A221F">
          <w:rPr>
            <w:noProof/>
            <w:webHidden/>
          </w:rPr>
          <w:fldChar w:fldCharType="end"/>
        </w:r>
      </w:hyperlink>
    </w:p>
    <w:p w:rsidR="005A221F" w:rsidRPr="005A221F" w:rsidRDefault="005A221F" w:rsidP="005A221F">
      <w:pPr>
        <w:pStyle w:val="TOC3"/>
        <w:tabs>
          <w:tab w:val="right" w:leader="dot" w:pos="9080"/>
        </w:tabs>
        <w:spacing w:before="40" w:after="40"/>
        <w:rPr>
          <w:rFonts w:asciiTheme="minorHAnsi" w:eastAsiaTheme="minorEastAsia" w:hAnsiTheme="minorHAnsi" w:cstheme="minorBidi"/>
          <w:i w:val="0"/>
          <w:iCs w:val="0"/>
          <w:noProof/>
          <w:sz w:val="22"/>
          <w:szCs w:val="22"/>
          <w:lang w:val="bg-BG" w:eastAsia="bg-BG"/>
        </w:rPr>
      </w:pPr>
      <w:hyperlink w:anchor="_Toc396225562" w:history="1">
        <w:r w:rsidRPr="005A221F">
          <w:rPr>
            <w:rStyle w:val="Hyperlink"/>
            <w:rFonts w:eastAsia="Times New Roman" w:cs="Calibri"/>
            <w:noProof/>
            <w:lang w:eastAsia="cs-CZ"/>
          </w:rPr>
          <w:t>Conclusions and Recommendations</w:t>
        </w:r>
        <w:r w:rsidRPr="005A221F">
          <w:rPr>
            <w:noProof/>
            <w:webHidden/>
          </w:rPr>
          <w:tab/>
        </w:r>
        <w:r w:rsidRPr="005A221F">
          <w:rPr>
            <w:noProof/>
            <w:webHidden/>
          </w:rPr>
          <w:fldChar w:fldCharType="begin"/>
        </w:r>
        <w:r w:rsidRPr="005A221F">
          <w:rPr>
            <w:noProof/>
            <w:webHidden/>
          </w:rPr>
          <w:instrText xml:space="preserve"> PAGEREF _Toc396225562 \h </w:instrText>
        </w:r>
        <w:r w:rsidRPr="005A221F">
          <w:rPr>
            <w:noProof/>
            <w:webHidden/>
          </w:rPr>
        </w:r>
        <w:r w:rsidRPr="005A221F">
          <w:rPr>
            <w:noProof/>
            <w:webHidden/>
          </w:rPr>
          <w:fldChar w:fldCharType="separate"/>
        </w:r>
        <w:r w:rsidR="009330F5">
          <w:rPr>
            <w:noProof/>
            <w:webHidden/>
          </w:rPr>
          <w:t>138</w:t>
        </w:r>
        <w:r w:rsidRPr="005A221F">
          <w:rPr>
            <w:noProof/>
            <w:webHidden/>
          </w:rPr>
          <w:fldChar w:fldCharType="end"/>
        </w:r>
      </w:hyperlink>
    </w:p>
    <w:p w:rsidR="005A221F" w:rsidRPr="005A221F" w:rsidRDefault="005A221F" w:rsidP="005A221F">
      <w:pPr>
        <w:pStyle w:val="TOC2"/>
        <w:spacing w:before="40" w:after="40"/>
        <w:rPr>
          <w:rFonts w:asciiTheme="minorHAnsi" w:eastAsiaTheme="minorEastAsia" w:hAnsiTheme="minorHAnsi" w:cstheme="minorBidi"/>
          <w:b w:val="0"/>
          <w:iCs w:val="0"/>
          <w:sz w:val="22"/>
          <w:szCs w:val="22"/>
          <w:lang w:val="bg-BG" w:eastAsia="bg-BG"/>
        </w:rPr>
      </w:pPr>
      <w:hyperlink w:anchor="_Toc396225563" w:history="1">
        <w:r w:rsidRPr="005A221F">
          <w:rPr>
            <w:rStyle w:val="Hyperlink"/>
            <w:b w:val="0"/>
          </w:rPr>
          <w:t>Evaluation of the Programme budget</w:t>
        </w:r>
        <w:r w:rsidRPr="005A221F">
          <w:rPr>
            <w:b w:val="0"/>
            <w:webHidden/>
          </w:rPr>
          <w:tab/>
        </w:r>
        <w:r w:rsidRPr="005A221F">
          <w:rPr>
            <w:b w:val="0"/>
            <w:webHidden/>
          </w:rPr>
          <w:fldChar w:fldCharType="begin"/>
        </w:r>
        <w:r w:rsidRPr="005A221F">
          <w:rPr>
            <w:b w:val="0"/>
            <w:webHidden/>
          </w:rPr>
          <w:instrText xml:space="preserve"> PAGEREF _Toc396225563 \h </w:instrText>
        </w:r>
        <w:r w:rsidRPr="005A221F">
          <w:rPr>
            <w:b w:val="0"/>
            <w:webHidden/>
          </w:rPr>
        </w:r>
        <w:r w:rsidRPr="005A221F">
          <w:rPr>
            <w:b w:val="0"/>
            <w:webHidden/>
          </w:rPr>
          <w:fldChar w:fldCharType="separate"/>
        </w:r>
        <w:r w:rsidR="009330F5">
          <w:rPr>
            <w:b w:val="0"/>
            <w:webHidden/>
          </w:rPr>
          <w:t>139</w:t>
        </w:r>
        <w:r w:rsidRPr="005A221F">
          <w:rPr>
            <w:b w:val="0"/>
            <w:webHidden/>
          </w:rPr>
          <w:fldChar w:fldCharType="end"/>
        </w:r>
      </w:hyperlink>
    </w:p>
    <w:p w:rsidR="005A221F" w:rsidRPr="005A221F" w:rsidRDefault="005A221F" w:rsidP="005A221F">
      <w:pPr>
        <w:pStyle w:val="TOC3"/>
        <w:tabs>
          <w:tab w:val="right" w:leader="dot" w:pos="9080"/>
        </w:tabs>
        <w:spacing w:before="40" w:after="40"/>
        <w:rPr>
          <w:rFonts w:asciiTheme="minorHAnsi" w:eastAsiaTheme="minorEastAsia" w:hAnsiTheme="minorHAnsi" w:cstheme="minorBidi"/>
          <w:i w:val="0"/>
          <w:iCs w:val="0"/>
          <w:noProof/>
          <w:sz w:val="22"/>
          <w:szCs w:val="22"/>
          <w:lang w:val="bg-BG" w:eastAsia="bg-BG"/>
        </w:rPr>
      </w:pPr>
      <w:hyperlink w:anchor="_Toc396225564" w:history="1">
        <w:r w:rsidRPr="005A221F">
          <w:rPr>
            <w:rStyle w:val="Hyperlink"/>
            <w:rFonts w:eastAsia="Times New Roman" w:cs="Calibri"/>
            <w:noProof/>
            <w:lang w:eastAsia="cs-CZ"/>
          </w:rPr>
          <w:t>Analysis</w:t>
        </w:r>
        <w:r w:rsidRPr="005A221F">
          <w:rPr>
            <w:noProof/>
            <w:webHidden/>
          </w:rPr>
          <w:tab/>
        </w:r>
        <w:r w:rsidRPr="005A221F">
          <w:rPr>
            <w:noProof/>
            <w:webHidden/>
          </w:rPr>
          <w:fldChar w:fldCharType="begin"/>
        </w:r>
        <w:r w:rsidRPr="005A221F">
          <w:rPr>
            <w:noProof/>
            <w:webHidden/>
          </w:rPr>
          <w:instrText xml:space="preserve"> PAGEREF _Toc396225564 \h </w:instrText>
        </w:r>
        <w:r w:rsidRPr="005A221F">
          <w:rPr>
            <w:noProof/>
            <w:webHidden/>
          </w:rPr>
        </w:r>
        <w:r w:rsidRPr="005A221F">
          <w:rPr>
            <w:noProof/>
            <w:webHidden/>
          </w:rPr>
          <w:fldChar w:fldCharType="separate"/>
        </w:r>
        <w:r w:rsidR="009330F5">
          <w:rPr>
            <w:noProof/>
            <w:webHidden/>
          </w:rPr>
          <w:t>139</w:t>
        </w:r>
        <w:r w:rsidRPr="005A221F">
          <w:rPr>
            <w:noProof/>
            <w:webHidden/>
          </w:rPr>
          <w:fldChar w:fldCharType="end"/>
        </w:r>
      </w:hyperlink>
    </w:p>
    <w:p w:rsidR="005A221F" w:rsidRPr="005A221F" w:rsidRDefault="005A221F" w:rsidP="005A221F">
      <w:pPr>
        <w:pStyle w:val="TOC3"/>
        <w:tabs>
          <w:tab w:val="right" w:leader="dot" w:pos="9080"/>
        </w:tabs>
        <w:spacing w:before="40" w:after="40"/>
        <w:rPr>
          <w:rFonts w:asciiTheme="minorHAnsi" w:eastAsiaTheme="minorEastAsia" w:hAnsiTheme="minorHAnsi" w:cstheme="minorBidi"/>
          <w:i w:val="0"/>
          <w:iCs w:val="0"/>
          <w:noProof/>
          <w:sz w:val="22"/>
          <w:szCs w:val="22"/>
          <w:lang w:val="bg-BG" w:eastAsia="bg-BG"/>
        </w:rPr>
      </w:pPr>
      <w:hyperlink w:anchor="_Toc396225565" w:history="1">
        <w:r w:rsidRPr="005A221F">
          <w:rPr>
            <w:rStyle w:val="Hyperlink"/>
            <w:rFonts w:eastAsia="Times New Roman" w:cs="Calibri"/>
            <w:noProof/>
            <w:lang w:eastAsia="cs-CZ"/>
          </w:rPr>
          <w:t>Conclusions and recommendations</w:t>
        </w:r>
        <w:r w:rsidRPr="005A221F">
          <w:rPr>
            <w:noProof/>
            <w:webHidden/>
          </w:rPr>
          <w:tab/>
        </w:r>
        <w:r w:rsidRPr="005A221F">
          <w:rPr>
            <w:noProof/>
            <w:webHidden/>
          </w:rPr>
          <w:fldChar w:fldCharType="begin"/>
        </w:r>
        <w:r w:rsidRPr="005A221F">
          <w:rPr>
            <w:noProof/>
            <w:webHidden/>
          </w:rPr>
          <w:instrText xml:space="preserve"> PAGEREF _Toc396225565 \h </w:instrText>
        </w:r>
        <w:r w:rsidRPr="005A221F">
          <w:rPr>
            <w:noProof/>
            <w:webHidden/>
          </w:rPr>
        </w:r>
        <w:r w:rsidRPr="005A221F">
          <w:rPr>
            <w:noProof/>
            <w:webHidden/>
          </w:rPr>
          <w:fldChar w:fldCharType="separate"/>
        </w:r>
        <w:r w:rsidR="009330F5">
          <w:rPr>
            <w:noProof/>
            <w:webHidden/>
          </w:rPr>
          <w:t>151</w:t>
        </w:r>
        <w:r w:rsidRPr="005A221F">
          <w:rPr>
            <w:noProof/>
            <w:webHidden/>
          </w:rPr>
          <w:fldChar w:fldCharType="end"/>
        </w:r>
      </w:hyperlink>
    </w:p>
    <w:p w:rsidR="005A221F" w:rsidRPr="005A221F" w:rsidRDefault="005A221F" w:rsidP="005A221F">
      <w:pPr>
        <w:pStyle w:val="TOC2"/>
        <w:spacing w:before="40" w:after="40"/>
        <w:rPr>
          <w:rFonts w:asciiTheme="minorHAnsi" w:eastAsiaTheme="minorEastAsia" w:hAnsiTheme="minorHAnsi" w:cstheme="minorBidi"/>
          <w:b w:val="0"/>
          <w:iCs w:val="0"/>
          <w:sz w:val="22"/>
          <w:szCs w:val="22"/>
          <w:lang w:val="bg-BG" w:eastAsia="bg-BG"/>
        </w:rPr>
      </w:pPr>
      <w:hyperlink w:anchor="_Toc396225566" w:history="1">
        <w:r w:rsidRPr="005A221F">
          <w:rPr>
            <w:rStyle w:val="Hyperlink"/>
            <w:b w:val="0"/>
          </w:rPr>
          <w:t>Evaluation of the Administrative Capacity, Management Monitoring and Evaluation of OPSESG</w:t>
        </w:r>
        <w:r w:rsidRPr="005A221F">
          <w:rPr>
            <w:b w:val="0"/>
            <w:webHidden/>
          </w:rPr>
          <w:tab/>
        </w:r>
        <w:r w:rsidRPr="005A221F">
          <w:rPr>
            <w:b w:val="0"/>
            <w:webHidden/>
          </w:rPr>
          <w:fldChar w:fldCharType="begin"/>
        </w:r>
        <w:r w:rsidRPr="005A221F">
          <w:rPr>
            <w:b w:val="0"/>
            <w:webHidden/>
          </w:rPr>
          <w:instrText xml:space="preserve"> PAGEREF _Toc396225566 \h </w:instrText>
        </w:r>
        <w:r w:rsidRPr="005A221F">
          <w:rPr>
            <w:b w:val="0"/>
            <w:webHidden/>
          </w:rPr>
        </w:r>
        <w:r w:rsidRPr="005A221F">
          <w:rPr>
            <w:b w:val="0"/>
            <w:webHidden/>
          </w:rPr>
          <w:fldChar w:fldCharType="separate"/>
        </w:r>
        <w:r w:rsidR="009330F5">
          <w:rPr>
            <w:b w:val="0"/>
            <w:webHidden/>
          </w:rPr>
          <w:t>152</w:t>
        </w:r>
        <w:r w:rsidRPr="005A221F">
          <w:rPr>
            <w:b w:val="0"/>
            <w:webHidden/>
          </w:rPr>
          <w:fldChar w:fldCharType="end"/>
        </w:r>
      </w:hyperlink>
    </w:p>
    <w:p w:rsidR="005A221F" w:rsidRPr="005A221F" w:rsidRDefault="005A221F" w:rsidP="005A221F">
      <w:pPr>
        <w:pStyle w:val="TOC3"/>
        <w:tabs>
          <w:tab w:val="right" w:leader="dot" w:pos="9080"/>
        </w:tabs>
        <w:spacing w:before="40" w:after="40"/>
        <w:rPr>
          <w:rFonts w:asciiTheme="minorHAnsi" w:eastAsiaTheme="minorEastAsia" w:hAnsiTheme="minorHAnsi" w:cstheme="minorBidi"/>
          <w:i w:val="0"/>
          <w:iCs w:val="0"/>
          <w:noProof/>
          <w:sz w:val="22"/>
          <w:szCs w:val="22"/>
          <w:lang w:val="bg-BG" w:eastAsia="bg-BG"/>
        </w:rPr>
      </w:pPr>
      <w:hyperlink w:anchor="_Toc396225567" w:history="1">
        <w:r w:rsidRPr="005A221F">
          <w:rPr>
            <w:rStyle w:val="Hyperlink"/>
            <w:rFonts w:eastAsia="Times New Roman" w:cs="Calibri"/>
            <w:noProof/>
            <w:lang w:eastAsia="cs-CZ"/>
          </w:rPr>
          <w:t>Conclusions and recommendations</w:t>
        </w:r>
        <w:r w:rsidRPr="005A221F">
          <w:rPr>
            <w:noProof/>
            <w:webHidden/>
          </w:rPr>
          <w:tab/>
        </w:r>
        <w:r w:rsidRPr="005A221F">
          <w:rPr>
            <w:noProof/>
            <w:webHidden/>
          </w:rPr>
          <w:fldChar w:fldCharType="begin"/>
        </w:r>
        <w:r w:rsidRPr="005A221F">
          <w:rPr>
            <w:noProof/>
            <w:webHidden/>
          </w:rPr>
          <w:instrText xml:space="preserve"> PAGEREF _Toc396225567 \h </w:instrText>
        </w:r>
        <w:r w:rsidRPr="005A221F">
          <w:rPr>
            <w:noProof/>
            <w:webHidden/>
          </w:rPr>
        </w:r>
        <w:r w:rsidRPr="005A221F">
          <w:rPr>
            <w:noProof/>
            <w:webHidden/>
          </w:rPr>
          <w:fldChar w:fldCharType="separate"/>
        </w:r>
        <w:r w:rsidR="009330F5">
          <w:rPr>
            <w:noProof/>
            <w:webHidden/>
          </w:rPr>
          <w:t>180</w:t>
        </w:r>
        <w:r w:rsidRPr="005A221F">
          <w:rPr>
            <w:noProof/>
            <w:webHidden/>
          </w:rPr>
          <w:fldChar w:fldCharType="end"/>
        </w:r>
      </w:hyperlink>
    </w:p>
    <w:p w:rsidR="005A221F" w:rsidRPr="005A221F" w:rsidRDefault="005A221F" w:rsidP="005A221F">
      <w:pPr>
        <w:pStyle w:val="TOC1"/>
        <w:spacing w:before="40" w:after="40"/>
        <w:rPr>
          <w:rFonts w:asciiTheme="minorHAnsi" w:eastAsiaTheme="minorEastAsia" w:hAnsiTheme="minorHAnsi" w:cstheme="minorBidi"/>
          <w:b w:val="0"/>
          <w:bCs w:val="0"/>
          <w:caps w:val="0"/>
          <w:noProof/>
          <w:color w:val="auto"/>
          <w:sz w:val="22"/>
          <w:szCs w:val="22"/>
          <w:lang w:val="bg-BG" w:eastAsia="bg-BG"/>
        </w:rPr>
      </w:pPr>
      <w:hyperlink w:anchor="_Toc396225568" w:history="1">
        <w:r w:rsidRPr="005A221F">
          <w:rPr>
            <w:rStyle w:val="Hyperlink"/>
            <w:rFonts w:ascii="Verdana" w:hAnsi="Verdana"/>
            <w:b w:val="0"/>
            <w:noProof/>
          </w:rPr>
          <w:t>IV.</w:t>
        </w:r>
        <w:r w:rsidRPr="005A221F">
          <w:rPr>
            <w:rFonts w:asciiTheme="minorHAnsi" w:eastAsiaTheme="minorEastAsia" w:hAnsiTheme="minorHAnsi" w:cstheme="minorBidi"/>
            <w:b w:val="0"/>
            <w:bCs w:val="0"/>
            <w:caps w:val="0"/>
            <w:noProof/>
            <w:color w:val="auto"/>
            <w:sz w:val="22"/>
            <w:szCs w:val="22"/>
            <w:lang w:val="bg-BG" w:eastAsia="bg-BG"/>
          </w:rPr>
          <w:tab/>
        </w:r>
        <w:r w:rsidRPr="005A221F">
          <w:rPr>
            <w:rStyle w:val="Hyperlink"/>
            <w:rFonts w:ascii="Verdana" w:hAnsi="Verdana"/>
            <w:b w:val="0"/>
            <w:noProof/>
          </w:rPr>
          <w:t>Conclusions and recommendations</w:t>
        </w:r>
        <w:r w:rsidRPr="005A221F">
          <w:rPr>
            <w:b w:val="0"/>
            <w:noProof/>
            <w:webHidden/>
          </w:rPr>
          <w:tab/>
        </w:r>
        <w:r w:rsidRPr="005A221F">
          <w:rPr>
            <w:b w:val="0"/>
            <w:noProof/>
            <w:webHidden/>
          </w:rPr>
          <w:fldChar w:fldCharType="begin"/>
        </w:r>
        <w:r w:rsidRPr="005A221F">
          <w:rPr>
            <w:b w:val="0"/>
            <w:noProof/>
            <w:webHidden/>
          </w:rPr>
          <w:instrText xml:space="preserve"> PAGEREF _Toc396225568 \h </w:instrText>
        </w:r>
        <w:r w:rsidRPr="005A221F">
          <w:rPr>
            <w:b w:val="0"/>
            <w:noProof/>
            <w:webHidden/>
          </w:rPr>
        </w:r>
        <w:r w:rsidRPr="005A221F">
          <w:rPr>
            <w:b w:val="0"/>
            <w:noProof/>
            <w:webHidden/>
          </w:rPr>
          <w:fldChar w:fldCharType="separate"/>
        </w:r>
        <w:r w:rsidR="009330F5">
          <w:rPr>
            <w:b w:val="0"/>
            <w:noProof/>
            <w:webHidden/>
          </w:rPr>
          <w:t>181</w:t>
        </w:r>
        <w:r w:rsidRPr="005A221F">
          <w:rPr>
            <w:b w:val="0"/>
            <w:noProof/>
            <w:webHidden/>
          </w:rPr>
          <w:fldChar w:fldCharType="end"/>
        </w:r>
      </w:hyperlink>
    </w:p>
    <w:p w:rsidR="005A221F" w:rsidRPr="005A221F" w:rsidRDefault="005A221F" w:rsidP="005A221F">
      <w:pPr>
        <w:pStyle w:val="TOC2"/>
        <w:spacing w:before="40" w:after="40"/>
        <w:rPr>
          <w:rFonts w:asciiTheme="minorHAnsi" w:eastAsiaTheme="minorEastAsia" w:hAnsiTheme="minorHAnsi" w:cstheme="minorBidi"/>
          <w:b w:val="0"/>
          <w:iCs w:val="0"/>
          <w:sz w:val="22"/>
          <w:szCs w:val="22"/>
          <w:lang w:val="bg-BG" w:eastAsia="bg-BG"/>
        </w:rPr>
      </w:pPr>
      <w:hyperlink w:anchor="_Toc396225569" w:history="1">
        <w:r w:rsidRPr="005A221F">
          <w:rPr>
            <w:rStyle w:val="Hyperlink"/>
            <w:b w:val="0"/>
          </w:rPr>
          <w:t>Conclusions</w:t>
        </w:r>
        <w:r w:rsidRPr="005A221F">
          <w:rPr>
            <w:b w:val="0"/>
            <w:webHidden/>
          </w:rPr>
          <w:tab/>
        </w:r>
        <w:r w:rsidRPr="005A221F">
          <w:rPr>
            <w:b w:val="0"/>
            <w:webHidden/>
          </w:rPr>
          <w:fldChar w:fldCharType="begin"/>
        </w:r>
        <w:r w:rsidRPr="005A221F">
          <w:rPr>
            <w:b w:val="0"/>
            <w:webHidden/>
          </w:rPr>
          <w:instrText xml:space="preserve"> PAGEREF _Toc396225569 \h </w:instrText>
        </w:r>
        <w:r w:rsidRPr="005A221F">
          <w:rPr>
            <w:b w:val="0"/>
            <w:webHidden/>
          </w:rPr>
        </w:r>
        <w:r w:rsidRPr="005A221F">
          <w:rPr>
            <w:b w:val="0"/>
            <w:webHidden/>
          </w:rPr>
          <w:fldChar w:fldCharType="separate"/>
        </w:r>
        <w:r w:rsidR="009330F5">
          <w:rPr>
            <w:b w:val="0"/>
            <w:webHidden/>
          </w:rPr>
          <w:t>181</w:t>
        </w:r>
        <w:r w:rsidRPr="005A221F">
          <w:rPr>
            <w:b w:val="0"/>
            <w:webHidden/>
          </w:rPr>
          <w:fldChar w:fldCharType="end"/>
        </w:r>
      </w:hyperlink>
    </w:p>
    <w:p w:rsidR="005A221F" w:rsidRPr="005A221F" w:rsidRDefault="005A221F" w:rsidP="005A221F">
      <w:pPr>
        <w:pStyle w:val="TOC2"/>
        <w:spacing w:before="40" w:after="40"/>
        <w:rPr>
          <w:rFonts w:asciiTheme="minorHAnsi" w:eastAsiaTheme="minorEastAsia" w:hAnsiTheme="minorHAnsi" w:cstheme="minorBidi"/>
          <w:b w:val="0"/>
          <w:iCs w:val="0"/>
          <w:sz w:val="22"/>
          <w:szCs w:val="22"/>
          <w:lang w:val="bg-BG" w:eastAsia="bg-BG"/>
        </w:rPr>
      </w:pPr>
      <w:hyperlink w:anchor="_Toc396225570" w:history="1">
        <w:r w:rsidRPr="005A221F">
          <w:rPr>
            <w:rStyle w:val="Hyperlink"/>
            <w:b w:val="0"/>
          </w:rPr>
          <w:t>Recommendations</w:t>
        </w:r>
        <w:r w:rsidRPr="005A221F">
          <w:rPr>
            <w:b w:val="0"/>
            <w:webHidden/>
          </w:rPr>
          <w:tab/>
        </w:r>
        <w:r w:rsidRPr="005A221F">
          <w:rPr>
            <w:b w:val="0"/>
            <w:webHidden/>
          </w:rPr>
          <w:fldChar w:fldCharType="begin"/>
        </w:r>
        <w:r w:rsidRPr="005A221F">
          <w:rPr>
            <w:b w:val="0"/>
            <w:webHidden/>
          </w:rPr>
          <w:instrText xml:space="preserve"> PAGEREF _Toc396225570 \h </w:instrText>
        </w:r>
        <w:r w:rsidRPr="005A221F">
          <w:rPr>
            <w:b w:val="0"/>
            <w:webHidden/>
          </w:rPr>
        </w:r>
        <w:r w:rsidRPr="005A221F">
          <w:rPr>
            <w:b w:val="0"/>
            <w:webHidden/>
          </w:rPr>
          <w:fldChar w:fldCharType="separate"/>
        </w:r>
        <w:r w:rsidR="009330F5">
          <w:rPr>
            <w:b w:val="0"/>
            <w:webHidden/>
          </w:rPr>
          <w:t>183</w:t>
        </w:r>
        <w:r w:rsidRPr="005A221F">
          <w:rPr>
            <w:b w:val="0"/>
            <w:webHidden/>
          </w:rPr>
          <w:fldChar w:fldCharType="end"/>
        </w:r>
      </w:hyperlink>
    </w:p>
    <w:p w:rsidR="005A221F" w:rsidRPr="005A221F" w:rsidRDefault="005A221F" w:rsidP="005A221F">
      <w:pPr>
        <w:pStyle w:val="TOC1"/>
        <w:spacing w:before="40" w:after="40"/>
        <w:rPr>
          <w:rFonts w:asciiTheme="minorHAnsi" w:eastAsiaTheme="minorEastAsia" w:hAnsiTheme="minorHAnsi" w:cstheme="minorBidi"/>
          <w:b w:val="0"/>
          <w:bCs w:val="0"/>
          <w:caps w:val="0"/>
          <w:noProof/>
          <w:color w:val="auto"/>
          <w:sz w:val="22"/>
          <w:szCs w:val="22"/>
          <w:lang w:val="bg-BG" w:eastAsia="bg-BG"/>
        </w:rPr>
      </w:pPr>
      <w:hyperlink w:anchor="_Toc396225571" w:history="1">
        <w:r w:rsidRPr="005A221F">
          <w:rPr>
            <w:rStyle w:val="Hyperlink"/>
            <w:rFonts w:ascii="Verdana" w:hAnsi="Verdana"/>
            <w:b w:val="0"/>
            <w:noProof/>
          </w:rPr>
          <w:t>V.</w:t>
        </w:r>
        <w:r w:rsidRPr="005A221F">
          <w:rPr>
            <w:rFonts w:asciiTheme="minorHAnsi" w:eastAsiaTheme="minorEastAsia" w:hAnsiTheme="minorHAnsi" w:cstheme="minorBidi"/>
            <w:b w:val="0"/>
            <w:bCs w:val="0"/>
            <w:caps w:val="0"/>
            <w:noProof/>
            <w:color w:val="auto"/>
            <w:sz w:val="22"/>
            <w:szCs w:val="22"/>
            <w:lang w:val="bg-BG" w:eastAsia="bg-BG"/>
          </w:rPr>
          <w:tab/>
        </w:r>
        <w:r w:rsidRPr="005A221F">
          <w:rPr>
            <w:rStyle w:val="Hyperlink"/>
            <w:rFonts w:ascii="Verdana" w:hAnsi="Verdana"/>
            <w:b w:val="0"/>
            <w:noProof/>
          </w:rPr>
          <w:t>Annexes</w:t>
        </w:r>
        <w:r w:rsidRPr="005A221F">
          <w:rPr>
            <w:b w:val="0"/>
            <w:noProof/>
            <w:webHidden/>
          </w:rPr>
          <w:tab/>
        </w:r>
        <w:r w:rsidRPr="005A221F">
          <w:rPr>
            <w:b w:val="0"/>
            <w:noProof/>
            <w:webHidden/>
          </w:rPr>
          <w:fldChar w:fldCharType="begin"/>
        </w:r>
        <w:r w:rsidRPr="005A221F">
          <w:rPr>
            <w:b w:val="0"/>
            <w:noProof/>
            <w:webHidden/>
          </w:rPr>
          <w:instrText xml:space="preserve"> PAGEREF _Toc396225571 \h </w:instrText>
        </w:r>
        <w:r w:rsidRPr="005A221F">
          <w:rPr>
            <w:b w:val="0"/>
            <w:noProof/>
            <w:webHidden/>
          </w:rPr>
        </w:r>
        <w:r w:rsidRPr="005A221F">
          <w:rPr>
            <w:b w:val="0"/>
            <w:noProof/>
            <w:webHidden/>
          </w:rPr>
          <w:fldChar w:fldCharType="separate"/>
        </w:r>
        <w:r w:rsidR="009330F5">
          <w:rPr>
            <w:b w:val="0"/>
            <w:noProof/>
            <w:webHidden/>
          </w:rPr>
          <w:t>193</w:t>
        </w:r>
        <w:r w:rsidRPr="005A221F">
          <w:rPr>
            <w:b w:val="0"/>
            <w:noProof/>
            <w:webHidden/>
          </w:rPr>
          <w:fldChar w:fldCharType="end"/>
        </w:r>
      </w:hyperlink>
    </w:p>
    <w:p w:rsidR="005A221F" w:rsidRPr="005A221F" w:rsidRDefault="005A221F" w:rsidP="005A221F">
      <w:pPr>
        <w:pStyle w:val="TOC2"/>
        <w:spacing w:before="40" w:after="40"/>
        <w:rPr>
          <w:rFonts w:asciiTheme="minorHAnsi" w:eastAsiaTheme="minorEastAsia" w:hAnsiTheme="minorHAnsi" w:cstheme="minorBidi"/>
          <w:b w:val="0"/>
          <w:iCs w:val="0"/>
          <w:sz w:val="22"/>
          <w:szCs w:val="22"/>
          <w:lang w:val="bg-BG" w:eastAsia="bg-BG"/>
        </w:rPr>
      </w:pPr>
      <w:hyperlink w:anchor="_Toc396225572" w:history="1">
        <w:r w:rsidRPr="005A221F">
          <w:rPr>
            <w:rStyle w:val="Hyperlink"/>
            <w:b w:val="0"/>
          </w:rPr>
          <w:t>Annex 1: List of used documents</w:t>
        </w:r>
        <w:r w:rsidRPr="005A221F">
          <w:rPr>
            <w:b w:val="0"/>
            <w:webHidden/>
          </w:rPr>
          <w:tab/>
        </w:r>
        <w:r w:rsidRPr="005A221F">
          <w:rPr>
            <w:b w:val="0"/>
            <w:webHidden/>
          </w:rPr>
          <w:fldChar w:fldCharType="begin"/>
        </w:r>
        <w:r w:rsidRPr="005A221F">
          <w:rPr>
            <w:b w:val="0"/>
            <w:webHidden/>
          </w:rPr>
          <w:instrText xml:space="preserve"> PAGEREF _Toc396225572 \h </w:instrText>
        </w:r>
        <w:r w:rsidRPr="005A221F">
          <w:rPr>
            <w:b w:val="0"/>
            <w:webHidden/>
          </w:rPr>
        </w:r>
        <w:r w:rsidRPr="005A221F">
          <w:rPr>
            <w:b w:val="0"/>
            <w:webHidden/>
          </w:rPr>
          <w:fldChar w:fldCharType="separate"/>
        </w:r>
        <w:r w:rsidR="009330F5">
          <w:rPr>
            <w:b w:val="0"/>
            <w:webHidden/>
          </w:rPr>
          <w:t>194</w:t>
        </w:r>
        <w:r w:rsidRPr="005A221F">
          <w:rPr>
            <w:b w:val="0"/>
            <w:webHidden/>
          </w:rPr>
          <w:fldChar w:fldCharType="end"/>
        </w:r>
      </w:hyperlink>
    </w:p>
    <w:p w:rsidR="005A221F" w:rsidRPr="005A221F" w:rsidRDefault="005A221F" w:rsidP="005A221F">
      <w:pPr>
        <w:pStyle w:val="TOC2"/>
        <w:spacing w:before="40" w:after="40"/>
        <w:rPr>
          <w:rFonts w:asciiTheme="minorHAnsi" w:eastAsiaTheme="minorEastAsia" w:hAnsiTheme="minorHAnsi" w:cstheme="minorBidi"/>
          <w:b w:val="0"/>
          <w:iCs w:val="0"/>
          <w:sz w:val="22"/>
          <w:szCs w:val="22"/>
          <w:lang w:val="bg-BG" w:eastAsia="bg-BG"/>
        </w:rPr>
      </w:pPr>
      <w:hyperlink w:anchor="_Toc396225573" w:history="1">
        <w:r w:rsidRPr="005A221F">
          <w:rPr>
            <w:rStyle w:val="Hyperlink"/>
            <w:b w:val="0"/>
          </w:rPr>
          <w:t>Annex 2: List of participants in the meetings with focus groups</w:t>
        </w:r>
        <w:r w:rsidRPr="005A221F">
          <w:rPr>
            <w:b w:val="0"/>
            <w:webHidden/>
          </w:rPr>
          <w:tab/>
        </w:r>
        <w:r w:rsidRPr="005A221F">
          <w:rPr>
            <w:b w:val="0"/>
            <w:webHidden/>
          </w:rPr>
          <w:fldChar w:fldCharType="begin"/>
        </w:r>
        <w:r w:rsidRPr="005A221F">
          <w:rPr>
            <w:b w:val="0"/>
            <w:webHidden/>
          </w:rPr>
          <w:instrText xml:space="preserve"> PAGEREF _Toc396225573 \h </w:instrText>
        </w:r>
        <w:r w:rsidRPr="005A221F">
          <w:rPr>
            <w:b w:val="0"/>
            <w:webHidden/>
          </w:rPr>
        </w:r>
        <w:r w:rsidRPr="005A221F">
          <w:rPr>
            <w:b w:val="0"/>
            <w:webHidden/>
          </w:rPr>
          <w:fldChar w:fldCharType="separate"/>
        </w:r>
        <w:r w:rsidR="009330F5">
          <w:rPr>
            <w:b w:val="0"/>
            <w:webHidden/>
          </w:rPr>
          <w:t>200</w:t>
        </w:r>
        <w:r w:rsidRPr="005A221F">
          <w:rPr>
            <w:b w:val="0"/>
            <w:webHidden/>
          </w:rPr>
          <w:fldChar w:fldCharType="end"/>
        </w:r>
      </w:hyperlink>
    </w:p>
    <w:p w:rsidR="005A221F" w:rsidRPr="005A221F" w:rsidRDefault="005A221F" w:rsidP="005A221F">
      <w:pPr>
        <w:pStyle w:val="TOC2"/>
        <w:spacing w:before="40" w:after="40"/>
        <w:rPr>
          <w:rFonts w:asciiTheme="minorHAnsi" w:eastAsiaTheme="minorEastAsia" w:hAnsiTheme="minorHAnsi" w:cstheme="minorBidi"/>
          <w:b w:val="0"/>
          <w:iCs w:val="0"/>
          <w:sz w:val="22"/>
          <w:szCs w:val="22"/>
          <w:lang w:val="bg-BG" w:eastAsia="bg-BG"/>
        </w:rPr>
      </w:pPr>
      <w:hyperlink w:anchor="_Toc396225574" w:history="1">
        <w:r w:rsidRPr="005A221F">
          <w:rPr>
            <w:rStyle w:val="Hyperlink"/>
            <w:b w:val="0"/>
          </w:rPr>
          <w:t>Annex 3: Results from the online survey among potential beneficiaries of the programme, the future MA and members of the Working Group for the programme preparation</w:t>
        </w:r>
        <w:r w:rsidRPr="005A221F">
          <w:rPr>
            <w:b w:val="0"/>
            <w:webHidden/>
          </w:rPr>
          <w:tab/>
        </w:r>
        <w:r w:rsidRPr="005A221F">
          <w:rPr>
            <w:b w:val="0"/>
            <w:webHidden/>
          </w:rPr>
          <w:fldChar w:fldCharType="begin"/>
        </w:r>
        <w:r w:rsidRPr="005A221F">
          <w:rPr>
            <w:b w:val="0"/>
            <w:webHidden/>
          </w:rPr>
          <w:instrText xml:space="preserve"> PAGEREF _Toc396225574 \h </w:instrText>
        </w:r>
        <w:r w:rsidRPr="005A221F">
          <w:rPr>
            <w:b w:val="0"/>
            <w:webHidden/>
          </w:rPr>
        </w:r>
        <w:r w:rsidRPr="005A221F">
          <w:rPr>
            <w:b w:val="0"/>
            <w:webHidden/>
          </w:rPr>
          <w:fldChar w:fldCharType="separate"/>
        </w:r>
        <w:r w:rsidR="009330F5">
          <w:rPr>
            <w:b w:val="0"/>
            <w:webHidden/>
          </w:rPr>
          <w:t>203</w:t>
        </w:r>
        <w:r w:rsidRPr="005A221F">
          <w:rPr>
            <w:b w:val="0"/>
            <w:webHidden/>
          </w:rPr>
          <w:fldChar w:fldCharType="end"/>
        </w:r>
      </w:hyperlink>
    </w:p>
    <w:p w:rsidR="005A221F" w:rsidRPr="005A221F" w:rsidRDefault="005A221F" w:rsidP="005A221F">
      <w:pPr>
        <w:pStyle w:val="TOC2"/>
        <w:spacing w:before="40" w:after="40"/>
        <w:rPr>
          <w:rFonts w:asciiTheme="minorHAnsi" w:eastAsiaTheme="minorEastAsia" w:hAnsiTheme="minorHAnsi" w:cstheme="minorBidi"/>
          <w:b w:val="0"/>
          <w:iCs w:val="0"/>
          <w:sz w:val="22"/>
          <w:szCs w:val="22"/>
          <w:lang w:val="bg-BG" w:eastAsia="bg-BG"/>
        </w:rPr>
      </w:pPr>
      <w:hyperlink w:anchor="_Toc396225575" w:history="1">
        <w:r w:rsidRPr="005A221F">
          <w:rPr>
            <w:rStyle w:val="Hyperlink"/>
            <w:b w:val="0"/>
          </w:rPr>
          <w:t>Annex 4: Results from the online survey among GD SFIEP experts</w:t>
        </w:r>
        <w:r w:rsidRPr="005A221F">
          <w:rPr>
            <w:b w:val="0"/>
            <w:webHidden/>
          </w:rPr>
          <w:tab/>
        </w:r>
        <w:r w:rsidRPr="005A221F">
          <w:rPr>
            <w:b w:val="0"/>
            <w:webHidden/>
          </w:rPr>
          <w:fldChar w:fldCharType="begin"/>
        </w:r>
        <w:r w:rsidRPr="005A221F">
          <w:rPr>
            <w:b w:val="0"/>
            <w:webHidden/>
          </w:rPr>
          <w:instrText xml:space="preserve"> PAGEREF _Toc396225575 \h </w:instrText>
        </w:r>
        <w:r w:rsidRPr="005A221F">
          <w:rPr>
            <w:b w:val="0"/>
            <w:webHidden/>
          </w:rPr>
        </w:r>
        <w:r w:rsidRPr="005A221F">
          <w:rPr>
            <w:b w:val="0"/>
            <w:webHidden/>
          </w:rPr>
          <w:fldChar w:fldCharType="separate"/>
        </w:r>
        <w:r w:rsidR="009330F5">
          <w:rPr>
            <w:b w:val="0"/>
            <w:webHidden/>
          </w:rPr>
          <w:t>204</w:t>
        </w:r>
        <w:r w:rsidRPr="005A221F">
          <w:rPr>
            <w:b w:val="0"/>
            <w:webHidden/>
          </w:rPr>
          <w:fldChar w:fldCharType="end"/>
        </w:r>
      </w:hyperlink>
    </w:p>
    <w:p w:rsidR="005A221F" w:rsidRPr="005A221F" w:rsidRDefault="005A221F" w:rsidP="005A221F">
      <w:pPr>
        <w:pStyle w:val="TOC2"/>
        <w:spacing w:before="40" w:after="40"/>
        <w:rPr>
          <w:rFonts w:asciiTheme="minorHAnsi" w:eastAsiaTheme="minorEastAsia" w:hAnsiTheme="minorHAnsi" w:cstheme="minorBidi"/>
          <w:b w:val="0"/>
          <w:iCs w:val="0"/>
          <w:sz w:val="22"/>
          <w:szCs w:val="22"/>
          <w:lang w:val="bg-BG" w:eastAsia="bg-BG"/>
        </w:rPr>
      </w:pPr>
      <w:hyperlink w:anchor="_Toc396225576" w:history="1">
        <w:r w:rsidRPr="005A221F">
          <w:rPr>
            <w:rStyle w:val="Hyperlink"/>
            <w:b w:val="0"/>
          </w:rPr>
          <w:t>Annex 5: Intervention logic of the programme</w:t>
        </w:r>
        <w:r w:rsidRPr="005A221F">
          <w:rPr>
            <w:b w:val="0"/>
            <w:webHidden/>
          </w:rPr>
          <w:tab/>
        </w:r>
        <w:r w:rsidRPr="005A221F">
          <w:rPr>
            <w:b w:val="0"/>
            <w:webHidden/>
          </w:rPr>
          <w:fldChar w:fldCharType="begin"/>
        </w:r>
        <w:r w:rsidRPr="005A221F">
          <w:rPr>
            <w:b w:val="0"/>
            <w:webHidden/>
          </w:rPr>
          <w:instrText xml:space="preserve"> PAGEREF _Toc396225576 \h </w:instrText>
        </w:r>
        <w:r w:rsidRPr="005A221F">
          <w:rPr>
            <w:b w:val="0"/>
            <w:webHidden/>
          </w:rPr>
        </w:r>
        <w:r w:rsidRPr="005A221F">
          <w:rPr>
            <w:b w:val="0"/>
            <w:webHidden/>
          </w:rPr>
          <w:fldChar w:fldCharType="separate"/>
        </w:r>
        <w:r w:rsidR="009330F5">
          <w:rPr>
            <w:b w:val="0"/>
            <w:webHidden/>
          </w:rPr>
          <w:t>205</w:t>
        </w:r>
        <w:r w:rsidRPr="005A221F">
          <w:rPr>
            <w:b w:val="0"/>
            <w:webHidden/>
          </w:rPr>
          <w:fldChar w:fldCharType="end"/>
        </w:r>
      </w:hyperlink>
    </w:p>
    <w:p w:rsidR="00F24971" w:rsidRPr="00181A22" w:rsidRDefault="005A221F" w:rsidP="005A221F">
      <w:pPr>
        <w:pStyle w:val="TOC2"/>
        <w:spacing w:before="40" w:after="40"/>
        <w:rPr>
          <w:b w:val="0"/>
        </w:rPr>
      </w:pPr>
      <w:hyperlink w:anchor="_Toc396225577" w:history="1">
        <w:r w:rsidRPr="005A221F">
          <w:rPr>
            <w:rStyle w:val="Hyperlink"/>
            <w:b w:val="0"/>
          </w:rPr>
          <w:t>Annex 6: Indicator fiches</w:t>
        </w:r>
        <w:r w:rsidRPr="005A221F">
          <w:rPr>
            <w:b w:val="0"/>
            <w:webHidden/>
          </w:rPr>
          <w:tab/>
        </w:r>
        <w:r w:rsidRPr="005A221F">
          <w:rPr>
            <w:b w:val="0"/>
            <w:webHidden/>
          </w:rPr>
          <w:fldChar w:fldCharType="begin"/>
        </w:r>
        <w:r w:rsidRPr="005A221F">
          <w:rPr>
            <w:b w:val="0"/>
            <w:webHidden/>
          </w:rPr>
          <w:instrText xml:space="preserve"> PAGEREF _Toc396225577 \h </w:instrText>
        </w:r>
        <w:r w:rsidRPr="005A221F">
          <w:rPr>
            <w:b w:val="0"/>
            <w:webHidden/>
          </w:rPr>
        </w:r>
        <w:r w:rsidRPr="005A221F">
          <w:rPr>
            <w:b w:val="0"/>
            <w:webHidden/>
          </w:rPr>
          <w:fldChar w:fldCharType="separate"/>
        </w:r>
        <w:r w:rsidR="009330F5">
          <w:rPr>
            <w:b w:val="0"/>
            <w:webHidden/>
          </w:rPr>
          <w:t>206</w:t>
        </w:r>
        <w:r w:rsidRPr="005A221F">
          <w:rPr>
            <w:b w:val="0"/>
            <w:webHidden/>
          </w:rPr>
          <w:fldChar w:fldCharType="end"/>
        </w:r>
      </w:hyperlink>
      <w:r w:rsidR="00A35E98" w:rsidRPr="00181A22">
        <w:rPr>
          <w:b w:val="0"/>
        </w:rPr>
        <w:fldChar w:fldCharType="end"/>
      </w:r>
      <w:r w:rsidR="00A35E98" w:rsidRPr="00181A22">
        <w:rPr>
          <w:b w:val="0"/>
        </w:rPr>
        <w:br w:type="page"/>
      </w:r>
    </w:p>
    <w:p w:rsidR="00F24971" w:rsidRPr="005B6074" w:rsidRDefault="00A35E98" w:rsidP="00F24971">
      <w:pPr>
        <w:pStyle w:val="Heading1"/>
        <w:shd w:val="clear" w:color="auto" w:fill="0063B8"/>
        <w:tabs>
          <w:tab w:val="num" w:pos="720"/>
        </w:tabs>
        <w:spacing w:before="120" w:after="120" w:line="276" w:lineRule="auto"/>
        <w:ind w:left="720" w:hanging="720"/>
        <w:rPr>
          <w:rFonts w:ascii="Verdana" w:hAnsi="Verdana"/>
          <w:b w:val="0"/>
          <w:caps/>
          <w:color w:val="FFFFFF"/>
        </w:rPr>
      </w:pPr>
      <w:bookmarkStart w:id="22" w:name="_Toc390262429"/>
      <w:bookmarkStart w:id="23" w:name="_Toc396225544"/>
      <w:r w:rsidRPr="005B6074">
        <w:rPr>
          <w:rFonts w:ascii="Verdana" w:hAnsi="Verdana"/>
          <w:b w:val="0"/>
          <w:caps/>
          <w:color w:val="FFFFFF"/>
        </w:rPr>
        <w:lastRenderedPageBreak/>
        <w:t>List of Abbreviations</w:t>
      </w:r>
      <w:bookmarkEnd w:id="22"/>
      <w:bookmarkEnd w:id="23"/>
    </w:p>
    <w:p w:rsidR="00F24971" w:rsidRPr="005B6074" w:rsidRDefault="00F24971" w:rsidP="00F24971">
      <w:pPr>
        <w:tabs>
          <w:tab w:val="left" w:pos="1701"/>
        </w:tabs>
        <w:spacing w:before="60" w:after="60" w:line="240" w:lineRule="auto"/>
        <w:ind w:left="96"/>
        <w:rPr>
          <w:rFonts w:cs="Arial"/>
          <w:sz w:val="24"/>
          <w:szCs w:val="24"/>
        </w:rPr>
      </w:pPr>
    </w:p>
    <w:tbl>
      <w:tblPr>
        <w:tblW w:w="9090" w:type="dxa"/>
        <w:tblInd w:w="68" w:type="dxa"/>
        <w:tblBorders>
          <w:insideV w:val="single" w:sz="4" w:space="0" w:color="548DD4"/>
        </w:tblBorders>
        <w:tblCellMar>
          <w:left w:w="68" w:type="dxa"/>
          <w:right w:w="68" w:type="dxa"/>
        </w:tblCellMar>
        <w:tblLook w:val="01E0" w:firstRow="1" w:lastRow="1" w:firstColumn="1" w:lastColumn="1" w:noHBand="0" w:noVBand="0"/>
      </w:tblPr>
      <w:tblGrid>
        <w:gridCol w:w="1440"/>
        <w:gridCol w:w="7650"/>
      </w:tblGrid>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AA</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Agricultural Academy</w:t>
            </w:r>
          </w:p>
        </w:tc>
      </w:tr>
      <w:tr w:rsidR="00F24971" w:rsidRPr="005B6074" w:rsidTr="00F24971">
        <w:tc>
          <w:tcPr>
            <w:tcW w:w="1440" w:type="dxa"/>
          </w:tcPr>
          <w:p w:rsidR="00F24971" w:rsidRPr="005B6074" w:rsidRDefault="00A35E98" w:rsidP="00F24971">
            <w:pPr>
              <w:spacing w:before="60" w:after="60" w:line="240" w:lineRule="auto"/>
              <w:rPr>
                <w:rFonts w:ascii="Verdana" w:hAnsi="Verdana" w:cs="Arial"/>
                <w:b/>
                <w:sz w:val="20"/>
                <w:szCs w:val="20"/>
              </w:rPr>
            </w:pPr>
            <w:r w:rsidRPr="005B6074">
              <w:rPr>
                <w:rFonts w:ascii="Verdana" w:hAnsi="Verdana"/>
                <w:b/>
                <w:sz w:val="20"/>
              </w:rPr>
              <w:t>BAS</w:t>
            </w:r>
          </w:p>
        </w:tc>
        <w:tc>
          <w:tcPr>
            <w:tcW w:w="7650" w:type="dxa"/>
          </w:tcPr>
          <w:p w:rsidR="00F24971" w:rsidRPr="005B6074" w:rsidRDefault="00A35E98" w:rsidP="00F24971">
            <w:pPr>
              <w:spacing w:before="60" w:after="60" w:line="240" w:lineRule="auto"/>
              <w:ind w:left="22"/>
              <w:rPr>
                <w:rFonts w:ascii="Verdana" w:hAnsi="Verdana" w:cs="Arial"/>
                <w:sz w:val="20"/>
                <w:szCs w:val="20"/>
              </w:rPr>
            </w:pPr>
            <w:r w:rsidRPr="005B6074">
              <w:rPr>
                <w:rFonts w:ascii="Verdana" w:hAnsi="Verdana"/>
                <w:sz w:val="20"/>
              </w:rPr>
              <w:t>Bulgarian Academy of Sciences</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CCP</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Climate Change Policy</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CCU</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Central Coordination Unit</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CM</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Council of Ministers</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CMD</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Council of Ministers’ Decision</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CSF</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Common Strategic Framework</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EC</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European Commission</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EP</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Environmental Policy</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ESIF</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European Structural and Investment Funds</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ESF</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European Social Fund</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EU</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European Union</w:t>
            </w:r>
          </w:p>
        </w:tc>
      </w:tr>
      <w:tr w:rsidR="00F24971" w:rsidRPr="005B6074" w:rsidTr="00F24971">
        <w:tc>
          <w:tcPr>
            <w:tcW w:w="1440" w:type="dxa"/>
          </w:tcPr>
          <w:p w:rsidR="00F24971" w:rsidRPr="005B6074" w:rsidRDefault="00A35E98" w:rsidP="00F24971">
            <w:pPr>
              <w:spacing w:before="60" w:after="60" w:line="240" w:lineRule="auto"/>
              <w:rPr>
                <w:rFonts w:ascii="Verdana" w:hAnsi="Verdana" w:cs="Arial"/>
                <w:b/>
                <w:sz w:val="20"/>
                <w:szCs w:val="20"/>
              </w:rPr>
            </w:pPr>
            <w:r w:rsidRPr="005B6074">
              <w:rPr>
                <w:rFonts w:ascii="Verdana" w:hAnsi="Verdana"/>
                <w:b/>
                <w:sz w:val="20"/>
              </w:rPr>
              <w:t>GD SFIEP</w:t>
            </w:r>
          </w:p>
        </w:tc>
        <w:tc>
          <w:tcPr>
            <w:tcW w:w="7650" w:type="dxa"/>
          </w:tcPr>
          <w:p w:rsidR="00F24971" w:rsidRPr="005B6074" w:rsidRDefault="00A35E98" w:rsidP="00F24971">
            <w:pPr>
              <w:spacing w:before="60" w:after="60" w:line="240" w:lineRule="auto"/>
              <w:ind w:left="22" w:right="-68"/>
              <w:rPr>
                <w:rFonts w:ascii="Verdana" w:hAnsi="Verdana" w:cs="Arial"/>
                <w:sz w:val="20"/>
                <w:szCs w:val="20"/>
              </w:rPr>
            </w:pPr>
            <w:r w:rsidRPr="005B6074">
              <w:rPr>
                <w:rFonts w:ascii="Verdana" w:hAnsi="Verdana"/>
                <w:sz w:val="20"/>
              </w:rPr>
              <w:t>General Directorate “Structural Funds and International Educational Programmes”</w:t>
            </w:r>
          </w:p>
        </w:tc>
      </w:tr>
      <w:tr w:rsidR="00F24971" w:rsidRPr="005B6074" w:rsidTr="00F24971">
        <w:tc>
          <w:tcPr>
            <w:tcW w:w="1440" w:type="dxa"/>
          </w:tcPr>
          <w:p w:rsidR="00F24971" w:rsidRPr="005B6074" w:rsidRDefault="00A35E98" w:rsidP="00F24971">
            <w:pPr>
              <w:spacing w:before="60" w:after="60" w:line="240" w:lineRule="auto"/>
              <w:rPr>
                <w:rFonts w:ascii="Verdana" w:hAnsi="Verdana" w:cs="Arial"/>
                <w:b/>
                <w:sz w:val="20"/>
                <w:szCs w:val="20"/>
              </w:rPr>
            </w:pPr>
            <w:r w:rsidRPr="005B6074">
              <w:rPr>
                <w:rFonts w:ascii="Verdana" w:hAnsi="Verdana"/>
                <w:b/>
                <w:sz w:val="20"/>
              </w:rPr>
              <w:t>IP</w:t>
            </w:r>
          </w:p>
        </w:tc>
        <w:tc>
          <w:tcPr>
            <w:tcW w:w="7650" w:type="dxa"/>
          </w:tcPr>
          <w:p w:rsidR="00F24971" w:rsidRPr="005B6074" w:rsidRDefault="00A35E98" w:rsidP="00F24971">
            <w:pPr>
              <w:spacing w:before="60" w:after="60" w:line="240" w:lineRule="auto"/>
              <w:ind w:left="22"/>
              <w:rPr>
                <w:rFonts w:ascii="Verdana" w:hAnsi="Verdana" w:cs="Arial"/>
                <w:sz w:val="20"/>
                <w:szCs w:val="20"/>
              </w:rPr>
            </w:pPr>
            <w:r w:rsidRPr="005B6074">
              <w:rPr>
                <w:rFonts w:ascii="Verdana" w:hAnsi="Verdana"/>
                <w:sz w:val="20"/>
              </w:rPr>
              <w:t>Investment Priority</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MA</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Managing Authority</w:t>
            </w:r>
          </w:p>
        </w:tc>
      </w:tr>
      <w:tr w:rsidR="00F24971" w:rsidRPr="005B6074" w:rsidTr="00F24971">
        <w:tc>
          <w:tcPr>
            <w:tcW w:w="1440" w:type="dxa"/>
          </w:tcPr>
          <w:p w:rsidR="00F24971" w:rsidRPr="005B6074" w:rsidRDefault="00A35E98" w:rsidP="00F24971">
            <w:pPr>
              <w:spacing w:before="60" w:after="60" w:line="240" w:lineRule="auto"/>
              <w:rPr>
                <w:rFonts w:ascii="Verdana" w:hAnsi="Verdana" w:cs="Arial"/>
                <w:b/>
                <w:sz w:val="20"/>
                <w:szCs w:val="20"/>
              </w:rPr>
            </w:pPr>
            <w:r w:rsidRPr="005B6074">
              <w:rPr>
                <w:rFonts w:ascii="Verdana" w:hAnsi="Verdana"/>
                <w:b/>
                <w:sz w:val="20"/>
              </w:rPr>
              <w:t>MES</w:t>
            </w:r>
          </w:p>
        </w:tc>
        <w:tc>
          <w:tcPr>
            <w:tcW w:w="7650" w:type="dxa"/>
          </w:tcPr>
          <w:p w:rsidR="00F24971" w:rsidRPr="005B6074" w:rsidRDefault="00A35E98" w:rsidP="00F24971">
            <w:pPr>
              <w:spacing w:before="60" w:after="60" w:line="240" w:lineRule="auto"/>
              <w:ind w:left="22"/>
              <w:rPr>
                <w:rFonts w:ascii="Verdana" w:hAnsi="Verdana" w:cs="Arial"/>
                <w:sz w:val="20"/>
                <w:szCs w:val="20"/>
              </w:rPr>
            </w:pPr>
            <w:r w:rsidRPr="005B6074">
              <w:rPr>
                <w:rFonts w:ascii="Verdana" w:hAnsi="Verdana"/>
                <w:sz w:val="20"/>
              </w:rPr>
              <w:t>Ministry of Education and Science</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MFP</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Maritime and Fisheries Programme 2014–2020</w:t>
            </w:r>
          </w:p>
        </w:tc>
      </w:tr>
      <w:tr w:rsidR="00F24971" w:rsidRPr="005B6074" w:rsidTr="00F24971">
        <w:tc>
          <w:tcPr>
            <w:tcW w:w="1440" w:type="dxa"/>
          </w:tcPr>
          <w:p w:rsidR="00F24971" w:rsidRPr="005B6074" w:rsidRDefault="00A35E98" w:rsidP="00F24971">
            <w:pPr>
              <w:spacing w:before="60" w:after="60" w:line="240" w:lineRule="auto"/>
              <w:rPr>
                <w:rFonts w:ascii="Verdana" w:hAnsi="Verdana" w:cs="Arial"/>
                <w:b/>
                <w:sz w:val="20"/>
                <w:szCs w:val="20"/>
              </w:rPr>
            </w:pPr>
            <w:r w:rsidRPr="005B6074">
              <w:rPr>
                <w:rFonts w:ascii="Verdana" w:hAnsi="Verdana"/>
                <w:b/>
                <w:sz w:val="20"/>
              </w:rPr>
              <w:t>OPAC</w:t>
            </w:r>
          </w:p>
        </w:tc>
        <w:tc>
          <w:tcPr>
            <w:tcW w:w="7650" w:type="dxa"/>
          </w:tcPr>
          <w:p w:rsidR="00F24971" w:rsidRPr="005B6074" w:rsidRDefault="00A35E98" w:rsidP="00F24971">
            <w:pPr>
              <w:spacing w:before="60" w:after="60" w:line="240" w:lineRule="auto"/>
              <w:ind w:left="22"/>
              <w:rPr>
                <w:rFonts w:ascii="Verdana" w:hAnsi="Verdana" w:cs="Arial"/>
                <w:sz w:val="20"/>
                <w:szCs w:val="20"/>
              </w:rPr>
            </w:pPr>
            <w:r w:rsidRPr="005B6074">
              <w:rPr>
                <w:rFonts w:ascii="Verdana" w:hAnsi="Verdana"/>
                <w:sz w:val="20"/>
              </w:rPr>
              <w:t>Operational Programme Administrative Capacity 2007–2013</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Pr>
                <w:rFonts w:ascii="Verdana" w:hAnsi="Verdana"/>
                <w:b/>
                <w:sz w:val="20"/>
              </w:rPr>
              <w:t>OPHRD</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 xml:space="preserve">Operational Programme Human Resources Development </w:t>
            </w:r>
          </w:p>
        </w:tc>
      </w:tr>
      <w:tr w:rsidR="00F24971" w:rsidRPr="005B6074" w:rsidTr="00F24971">
        <w:tc>
          <w:tcPr>
            <w:tcW w:w="1440" w:type="dxa"/>
          </w:tcPr>
          <w:p w:rsidR="00F24971" w:rsidRPr="005B6074" w:rsidRDefault="00A35E98" w:rsidP="00F24971">
            <w:pPr>
              <w:spacing w:before="60" w:after="60" w:line="240" w:lineRule="auto"/>
              <w:rPr>
                <w:rFonts w:ascii="Verdana" w:hAnsi="Verdana" w:cs="Arial"/>
                <w:b/>
                <w:sz w:val="20"/>
                <w:szCs w:val="20"/>
              </w:rPr>
            </w:pPr>
            <w:r w:rsidRPr="005B6074">
              <w:rPr>
                <w:rFonts w:ascii="Verdana" w:hAnsi="Verdana"/>
                <w:b/>
                <w:sz w:val="20"/>
              </w:rPr>
              <w:t>OPGG</w:t>
            </w:r>
          </w:p>
        </w:tc>
        <w:tc>
          <w:tcPr>
            <w:tcW w:w="7650" w:type="dxa"/>
          </w:tcPr>
          <w:p w:rsidR="00F24971" w:rsidRPr="005B6074" w:rsidRDefault="00A35E98" w:rsidP="00F24971">
            <w:pPr>
              <w:spacing w:before="60" w:after="60" w:line="240" w:lineRule="auto"/>
              <w:ind w:left="22"/>
              <w:rPr>
                <w:rFonts w:ascii="Verdana" w:hAnsi="Verdana" w:cs="Arial"/>
                <w:sz w:val="20"/>
                <w:szCs w:val="20"/>
              </w:rPr>
            </w:pPr>
            <w:r w:rsidRPr="005B6074">
              <w:rPr>
                <w:rFonts w:ascii="Verdana" w:hAnsi="Verdana"/>
                <w:sz w:val="20"/>
              </w:rPr>
              <w:t>Operational Programme Good Governance</w:t>
            </w:r>
          </w:p>
        </w:tc>
      </w:tr>
      <w:tr w:rsidR="00F24971" w:rsidRPr="005B6074" w:rsidTr="00F24971">
        <w:tc>
          <w:tcPr>
            <w:tcW w:w="1440" w:type="dxa"/>
          </w:tcPr>
          <w:p w:rsidR="00F24971" w:rsidRPr="005B6074" w:rsidRDefault="00A35E98" w:rsidP="00F24971">
            <w:pPr>
              <w:spacing w:before="60" w:after="60" w:line="240" w:lineRule="auto"/>
              <w:rPr>
                <w:rFonts w:ascii="Verdana" w:hAnsi="Verdana" w:cs="Arial"/>
                <w:b/>
                <w:sz w:val="20"/>
                <w:szCs w:val="20"/>
              </w:rPr>
            </w:pPr>
            <w:r w:rsidRPr="005B6074">
              <w:rPr>
                <w:rFonts w:ascii="Verdana" w:hAnsi="Verdana"/>
                <w:b/>
                <w:sz w:val="20"/>
              </w:rPr>
              <w:t>OPIC</w:t>
            </w:r>
          </w:p>
        </w:tc>
        <w:tc>
          <w:tcPr>
            <w:tcW w:w="7650" w:type="dxa"/>
          </w:tcPr>
          <w:p w:rsidR="00F24971" w:rsidRPr="005B6074" w:rsidRDefault="00A35E98" w:rsidP="00F24971">
            <w:pPr>
              <w:spacing w:before="60" w:after="60" w:line="240" w:lineRule="auto"/>
              <w:ind w:left="22"/>
              <w:rPr>
                <w:rFonts w:ascii="Verdana" w:hAnsi="Verdana" w:cs="Arial"/>
                <w:sz w:val="20"/>
                <w:szCs w:val="20"/>
              </w:rPr>
            </w:pPr>
            <w:r w:rsidRPr="005B6074">
              <w:rPr>
                <w:rFonts w:ascii="Verdana" w:hAnsi="Verdana"/>
                <w:sz w:val="20"/>
              </w:rPr>
              <w:t>Operational Programme Innovation and Competitiveness 2014–2020</w:t>
            </w:r>
          </w:p>
        </w:tc>
      </w:tr>
      <w:tr w:rsidR="00F24971" w:rsidRPr="005B6074" w:rsidTr="00F24971">
        <w:tc>
          <w:tcPr>
            <w:tcW w:w="1440" w:type="dxa"/>
          </w:tcPr>
          <w:p w:rsidR="00F24971" w:rsidRPr="005B6074" w:rsidRDefault="00A35E98" w:rsidP="00F24971">
            <w:pPr>
              <w:spacing w:before="60" w:after="60" w:line="240" w:lineRule="auto"/>
              <w:rPr>
                <w:rFonts w:ascii="Verdana" w:hAnsi="Verdana" w:cs="Arial"/>
                <w:b/>
                <w:sz w:val="20"/>
                <w:szCs w:val="20"/>
              </w:rPr>
            </w:pPr>
            <w:r w:rsidRPr="005B6074">
              <w:rPr>
                <w:rFonts w:ascii="Verdana" w:hAnsi="Verdana"/>
                <w:b/>
                <w:sz w:val="20"/>
              </w:rPr>
              <w:t>OPE</w:t>
            </w:r>
          </w:p>
        </w:tc>
        <w:tc>
          <w:tcPr>
            <w:tcW w:w="7650" w:type="dxa"/>
          </w:tcPr>
          <w:p w:rsidR="00F24971" w:rsidRPr="005B6074" w:rsidRDefault="00A35E98" w:rsidP="00F24971">
            <w:pPr>
              <w:spacing w:before="60" w:after="60" w:line="240" w:lineRule="auto"/>
              <w:ind w:left="22"/>
              <w:rPr>
                <w:rFonts w:ascii="Verdana" w:hAnsi="Verdana" w:cs="Arial"/>
                <w:sz w:val="20"/>
                <w:szCs w:val="20"/>
              </w:rPr>
            </w:pPr>
            <w:r w:rsidRPr="005B6074">
              <w:rPr>
                <w:rFonts w:ascii="Verdana" w:hAnsi="Verdana"/>
                <w:sz w:val="20"/>
              </w:rPr>
              <w:t>Operational Programme Environment</w:t>
            </w:r>
          </w:p>
        </w:tc>
      </w:tr>
      <w:tr w:rsidR="00F24971" w:rsidRPr="005B6074" w:rsidTr="00F24971">
        <w:tc>
          <w:tcPr>
            <w:tcW w:w="1440" w:type="dxa"/>
          </w:tcPr>
          <w:p w:rsidR="00F24971" w:rsidRPr="005B6074" w:rsidRDefault="00A35E98" w:rsidP="005B6074">
            <w:pPr>
              <w:spacing w:before="60" w:after="60" w:line="240" w:lineRule="auto"/>
              <w:rPr>
                <w:rFonts w:ascii="Verdana" w:hAnsi="Verdana" w:cs="Arial"/>
                <w:b/>
                <w:sz w:val="20"/>
                <w:szCs w:val="20"/>
              </w:rPr>
            </w:pPr>
            <w:r w:rsidRPr="005B6074">
              <w:rPr>
                <w:rFonts w:ascii="Verdana" w:hAnsi="Verdana"/>
                <w:b/>
                <w:sz w:val="20"/>
              </w:rPr>
              <w:t xml:space="preserve">OPRD </w:t>
            </w:r>
          </w:p>
        </w:tc>
        <w:tc>
          <w:tcPr>
            <w:tcW w:w="7650" w:type="dxa"/>
          </w:tcPr>
          <w:p w:rsidR="00F24971" w:rsidRPr="005B6074" w:rsidRDefault="00A35E98" w:rsidP="005B6074">
            <w:pPr>
              <w:spacing w:before="60" w:after="60" w:line="240" w:lineRule="auto"/>
              <w:ind w:left="22"/>
              <w:rPr>
                <w:rFonts w:ascii="Verdana" w:hAnsi="Verdana" w:cs="Arial"/>
                <w:sz w:val="20"/>
                <w:szCs w:val="20"/>
              </w:rPr>
            </w:pPr>
            <w:r w:rsidRPr="005B6074">
              <w:rPr>
                <w:rFonts w:ascii="Verdana" w:hAnsi="Verdana"/>
                <w:sz w:val="20"/>
              </w:rPr>
              <w:t>Operational Programme Regional Development 2007–2013</w:t>
            </w:r>
          </w:p>
        </w:tc>
      </w:tr>
      <w:tr w:rsidR="005B6074" w:rsidRPr="005B6074" w:rsidTr="00F24971">
        <w:tc>
          <w:tcPr>
            <w:tcW w:w="1440" w:type="dxa"/>
          </w:tcPr>
          <w:p w:rsidR="005B6074" w:rsidRPr="005B6074" w:rsidRDefault="005B6074" w:rsidP="005B6074">
            <w:pPr>
              <w:spacing w:before="60" w:after="60" w:line="240" w:lineRule="auto"/>
              <w:rPr>
                <w:rFonts w:ascii="Verdana" w:hAnsi="Verdana"/>
                <w:b/>
                <w:sz w:val="20"/>
              </w:rPr>
            </w:pPr>
            <w:r w:rsidRPr="005B6074">
              <w:rPr>
                <w:rFonts w:ascii="Verdana" w:hAnsi="Verdana"/>
                <w:b/>
                <w:sz w:val="20"/>
              </w:rPr>
              <w:t>OPRG</w:t>
            </w:r>
          </w:p>
        </w:tc>
        <w:tc>
          <w:tcPr>
            <w:tcW w:w="7650" w:type="dxa"/>
          </w:tcPr>
          <w:p w:rsidR="005B6074" w:rsidRPr="005B6074" w:rsidRDefault="005B6074" w:rsidP="00F24971">
            <w:pPr>
              <w:spacing w:before="60" w:after="60" w:line="240" w:lineRule="auto"/>
              <w:ind w:left="22"/>
              <w:rPr>
                <w:rFonts w:ascii="Verdana" w:hAnsi="Verdana"/>
                <w:sz w:val="20"/>
              </w:rPr>
            </w:pPr>
            <w:r w:rsidRPr="005B6074">
              <w:rPr>
                <w:rFonts w:ascii="Verdana" w:hAnsi="Verdana"/>
                <w:sz w:val="20"/>
              </w:rPr>
              <w:t>Operational Programme Regions in Growth 2014–2020</w:t>
            </w:r>
          </w:p>
        </w:tc>
      </w:tr>
      <w:tr w:rsidR="00F24971" w:rsidRPr="005B6074" w:rsidTr="00F24971">
        <w:tc>
          <w:tcPr>
            <w:tcW w:w="1440" w:type="dxa"/>
          </w:tcPr>
          <w:p w:rsidR="00F24971" w:rsidRPr="005B6074" w:rsidRDefault="005B6074" w:rsidP="005B6074">
            <w:pPr>
              <w:spacing w:before="60" w:after="60" w:line="240" w:lineRule="auto"/>
              <w:rPr>
                <w:rFonts w:ascii="Verdana" w:hAnsi="Verdana" w:cs="Arial"/>
                <w:b/>
                <w:sz w:val="20"/>
                <w:szCs w:val="20"/>
              </w:rPr>
            </w:pPr>
            <w:r>
              <w:rPr>
                <w:rFonts w:ascii="Verdana" w:hAnsi="Verdana"/>
                <w:b/>
                <w:sz w:val="20"/>
              </w:rPr>
              <w:t>OP</w:t>
            </w:r>
            <w:r w:rsidR="00A35E98" w:rsidRPr="005B6074">
              <w:rPr>
                <w:rFonts w:ascii="Verdana" w:hAnsi="Verdana"/>
                <w:b/>
                <w:sz w:val="20"/>
              </w:rPr>
              <w:t>DCBE</w:t>
            </w:r>
          </w:p>
        </w:tc>
        <w:tc>
          <w:tcPr>
            <w:tcW w:w="7650" w:type="dxa"/>
          </w:tcPr>
          <w:p w:rsidR="00F24971" w:rsidRPr="005B6074" w:rsidRDefault="00A35E98" w:rsidP="00F24971">
            <w:pPr>
              <w:spacing w:before="60" w:after="60" w:line="240" w:lineRule="auto"/>
              <w:ind w:left="22"/>
              <w:rPr>
                <w:rFonts w:ascii="Verdana" w:hAnsi="Verdana" w:cs="Arial"/>
                <w:sz w:val="20"/>
                <w:szCs w:val="20"/>
              </w:rPr>
            </w:pPr>
            <w:r w:rsidRPr="005B6074">
              <w:rPr>
                <w:rFonts w:ascii="Verdana" w:hAnsi="Verdana"/>
                <w:sz w:val="20"/>
              </w:rPr>
              <w:t>Operational Programme Development of the Competitiveness of the Bulgarian Economy</w:t>
            </w:r>
          </w:p>
        </w:tc>
      </w:tr>
      <w:tr w:rsidR="00F24971" w:rsidRPr="005B6074" w:rsidTr="00F24971">
        <w:tc>
          <w:tcPr>
            <w:tcW w:w="1440" w:type="dxa"/>
          </w:tcPr>
          <w:p w:rsidR="00F24971" w:rsidRPr="005B6074" w:rsidRDefault="00A35E98" w:rsidP="00F24971">
            <w:pPr>
              <w:spacing w:before="60" w:after="60" w:line="240" w:lineRule="auto"/>
              <w:rPr>
                <w:rFonts w:ascii="Verdana" w:hAnsi="Verdana" w:cs="Arial"/>
                <w:b/>
                <w:sz w:val="20"/>
                <w:szCs w:val="20"/>
              </w:rPr>
            </w:pPr>
            <w:r w:rsidRPr="005B6074">
              <w:rPr>
                <w:rFonts w:ascii="Verdana" w:hAnsi="Verdana"/>
                <w:b/>
                <w:sz w:val="20"/>
              </w:rPr>
              <w:t>OPTTI</w:t>
            </w:r>
          </w:p>
        </w:tc>
        <w:tc>
          <w:tcPr>
            <w:tcW w:w="7650" w:type="dxa"/>
          </w:tcPr>
          <w:p w:rsidR="00F24971" w:rsidRPr="005B6074" w:rsidRDefault="00A35E98" w:rsidP="00F24971">
            <w:pPr>
              <w:spacing w:before="60" w:after="60" w:line="240" w:lineRule="auto"/>
              <w:ind w:left="22"/>
              <w:rPr>
                <w:rFonts w:ascii="Verdana" w:hAnsi="Verdana" w:cs="Arial"/>
                <w:sz w:val="20"/>
                <w:szCs w:val="20"/>
              </w:rPr>
            </w:pPr>
            <w:r w:rsidRPr="005B6074">
              <w:rPr>
                <w:rFonts w:ascii="Verdana" w:hAnsi="Verdana"/>
                <w:sz w:val="20"/>
              </w:rPr>
              <w:t>Operational Programme Transport and Transport Infrastructure 2014–2020</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Pr>
                <w:rFonts w:ascii="Verdana" w:hAnsi="Verdana"/>
                <w:b/>
                <w:sz w:val="20"/>
              </w:rPr>
              <w:t>OP</w:t>
            </w:r>
            <w:r w:rsidRPr="005B6074">
              <w:rPr>
                <w:rFonts w:ascii="Verdana" w:hAnsi="Verdana"/>
                <w:b/>
                <w:sz w:val="20"/>
              </w:rPr>
              <w:t>SESG</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Operational Programme Science and Education for Smart Growth</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PA</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Priority Axis</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PA 2014-2020</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Partnership Agreem</w:t>
            </w:r>
            <w:r>
              <w:rPr>
                <w:rFonts w:ascii="Verdana" w:hAnsi="Verdana"/>
                <w:sz w:val="20"/>
              </w:rPr>
              <w:t>ent of the Republic of Bulgaria</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R&amp;D</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Research and Development</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RDP</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Rural Development Programme 2014–2020</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lastRenderedPageBreak/>
              <w:t>SACP</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State Agency for Child Protection</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SCF</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EU Structural and Cohesion Funds</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SEN</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Special Educational Needs</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SO</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Specific Objective</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TL</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Team Leader</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TS</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Technical Specification</w:t>
            </w:r>
          </w:p>
        </w:tc>
      </w:tr>
      <w:tr w:rsidR="005B6074" w:rsidRPr="005B6074" w:rsidTr="005B6074">
        <w:tc>
          <w:tcPr>
            <w:tcW w:w="1440" w:type="dxa"/>
          </w:tcPr>
          <w:p w:rsidR="005B6074" w:rsidRPr="005B6074" w:rsidRDefault="005B6074" w:rsidP="005B6074">
            <w:pPr>
              <w:spacing w:before="60" w:after="60" w:line="240" w:lineRule="auto"/>
              <w:rPr>
                <w:rFonts w:ascii="Verdana" w:hAnsi="Verdana" w:cs="Arial"/>
                <w:b/>
                <w:sz w:val="20"/>
                <w:szCs w:val="20"/>
              </w:rPr>
            </w:pPr>
            <w:r w:rsidRPr="005B6074">
              <w:rPr>
                <w:rFonts w:ascii="Verdana" w:hAnsi="Verdana"/>
                <w:b/>
                <w:sz w:val="20"/>
              </w:rPr>
              <w:t>TWG</w:t>
            </w:r>
          </w:p>
        </w:tc>
        <w:tc>
          <w:tcPr>
            <w:tcW w:w="7650" w:type="dxa"/>
          </w:tcPr>
          <w:p w:rsidR="005B6074" w:rsidRPr="005B6074" w:rsidRDefault="005B6074" w:rsidP="005B6074">
            <w:pPr>
              <w:spacing w:before="60" w:after="60" w:line="240" w:lineRule="auto"/>
              <w:ind w:left="22"/>
              <w:rPr>
                <w:rFonts w:ascii="Verdana" w:hAnsi="Verdana" w:cs="Arial"/>
                <w:sz w:val="20"/>
                <w:szCs w:val="20"/>
              </w:rPr>
            </w:pPr>
            <w:r w:rsidRPr="005B6074">
              <w:rPr>
                <w:rFonts w:ascii="Verdana" w:hAnsi="Verdana"/>
                <w:sz w:val="20"/>
              </w:rPr>
              <w:t>Thematic Working Group</w:t>
            </w:r>
          </w:p>
        </w:tc>
      </w:tr>
      <w:tr w:rsidR="00F24971" w:rsidRPr="005B6074" w:rsidTr="00F24971">
        <w:tc>
          <w:tcPr>
            <w:tcW w:w="1440" w:type="dxa"/>
          </w:tcPr>
          <w:p w:rsidR="00F24971" w:rsidRPr="005B6074" w:rsidRDefault="00A35E98" w:rsidP="00F24971">
            <w:pPr>
              <w:spacing w:before="60" w:after="60" w:line="240" w:lineRule="auto"/>
              <w:rPr>
                <w:rFonts w:ascii="Verdana" w:hAnsi="Verdana" w:cs="Arial"/>
                <w:b/>
                <w:sz w:val="20"/>
                <w:szCs w:val="20"/>
              </w:rPr>
            </w:pPr>
            <w:r w:rsidRPr="005B6074">
              <w:rPr>
                <w:rFonts w:ascii="Verdana" w:hAnsi="Verdana"/>
                <w:b/>
                <w:sz w:val="20"/>
              </w:rPr>
              <w:t>VET</w:t>
            </w:r>
          </w:p>
        </w:tc>
        <w:tc>
          <w:tcPr>
            <w:tcW w:w="7650" w:type="dxa"/>
          </w:tcPr>
          <w:p w:rsidR="00F24971" w:rsidRPr="005B6074" w:rsidRDefault="00A35E98" w:rsidP="00F24971">
            <w:pPr>
              <w:spacing w:before="60" w:after="60" w:line="240" w:lineRule="auto"/>
              <w:ind w:left="22"/>
              <w:rPr>
                <w:rFonts w:ascii="Verdana" w:hAnsi="Verdana" w:cs="Arial"/>
                <w:sz w:val="20"/>
                <w:szCs w:val="20"/>
              </w:rPr>
            </w:pPr>
            <w:r w:rsidRPr="005B6074">
              <w:rPr>
                <w:rFonts w:ascii="Verdana" w:hAnsi="Verdana"/>
                <w:sz w:val="20"/>
              </w:rPr>
              <w:t>Vocational Education and Training</w:t>
            </w:r>
          </w:p>
        </w:tc>
      </w:tr>
      <w:tr w:rsidR="00F24971" w:rsidRPr="005B6074" w:rsidTr="00F24971">
        <w:tc>
          <w:tcPr>
            <w:tcW w:w="1440" w:type="dxa"/>
          </w:tcPr>
          <w:p w:rsidR="00F24971" w:rsidRPr="005B6074" w:rsidRDefault="00A35E98" w:rsidP="00F24971">
            <w:pPr>
              <w:spacing w:before="60" w:after="60" w:line="240" w:lineRule="auto"/>
              <w:rPr>
                <w:rFonts w:ascii="Verdana" w:hAnsi="Verdana" w:cs="Arial"/>
                <w:b/>
                <w:sz w:val="20"/>
                <w:szCs w:val="20"/>
              </w:rPr>
            </w:pPr>
            <w:r w:rsidRPr="005B6074">
              <w:rPr>
                <w:rFonts w:ascii="Verdana" w:hAnsi="Verdana"/>
                <w:b/>
                <w:sz w:val="20"/>
              </w:rPr>
              <w:t>WD</w:t>
            </w:r>
          </w:p>
        </w:tc>
        <w:tc>
          <w:tcPr>
            <w:tcW w:w="7650" w:type="dxa"/>
          </w:tcPr>
          <w:p w:rsidR="00F24971" w:rsidRPr="005B6074" w:rsidRDefault="00A35E98" w:rsidP="00F24971">
            <w:pPr>
              <w:spacing w:before="60" w:after="60" w:line="240" w:lineRule="auto"/>
              <w:ind w:left="22"/>
              <w:rPr>
                <w:rFonts w:ascii="Verdana" w:hAnsi="Verdana" w:cs="Arial"/>
                <w:sz w:val="20"/>
                <w:szCs w:val="20"/>
              </w:rPr>
            </w:pPr>
            <w:r w:rsidRPr="005B6074">
              <w:rPr>
                <w:rFonts w:ascii="Verdana" w:hAnsi="Verdana"/>
                <w:sz w:val="20"/>
              </w:rPr>
              <w:t>Working Document</w:t>
            </w:r>
          </w:p>
        </w:tc>
      </w:tr>
    </w:tbl>
    <w:p w:rsidR="003D506F" w:rsidRPr="005B6074" w:rsidRDefault="003D506F" w:rsidP="00F24971">
      <w:pPr>
        <w:sectPr w:rsidR="003D506F" w:rsidRPr="005B6074" w:rsidSect="00F24971">
          <w:footerReference w:type="default" r:id="rId13"/>
          <w:pgSz w:w="11907" w:h="16839" w:code="9"/>
          <w:pgMar w:top="2164" w:right="1377" w:bottom="1440" w:left="1440" w:header="720" w:footer="18" w:gutter="0"/>
          <w:cols w:space="720"/>
          <w:docGrid w:linePitch="360"/>
        </w:sectPr>
      </w:pPr>
    </w:p>
    <w:p w:rsidR="00F24971" w:rsidRPr="005B6074" w:rsidRDefault="00A35E98" w:rsidP="00F24971">
      <w:pPr>
        <w:pStyle w:val="Heading1"/>
        <w:shd w:val="clear" w:color="auto" w:fill="0063B8"/>
        <w:tabs>
          <w:tab w:val="num" w:pos="720"/>
        </w:tabs>
        <w:spacing w:before="120" w:after="120" w:line="276" w:lineRule="auto"/>
        <w:ind w:left="720" w:hanging="720"/>
        <w:rPr>
          <w:rFonts w:ascii="Verdana" w:hAnsi="Verdana"/>
          <w:b w:val="0"/>
          <w:caps/>
          <w:color w:val="FFFFFF"/>
        </w:rPr>
      </w:pPr>
      <w:bookmarkStart w:id="24" w:name="_Toc390262430"/>
      <w:bookmarkStart w:id="25" w:name="_Toc396225545"/>
      <w:r w:rsidRPr="005B6074">
        <w:rPr>
          <w:rFonts w:ascii="Verdana" w:hAnsi="Verdana"/>
          <w:b w:val="0"/>
          <w:caps/>
          <w:color w:val="FFFFFF"/>
        </w:rPr>
        <w:lastRenderedPageBreak/>
        <w:t>List of Tables</w:t>
      </w:r>
      <w:bookmarkEnd w:id="24"/>
      <w:bookmarkEnd w:id="25"/>
    </w:p>
    <w:p w:rsidR="009E0EF0" w:rsidRPr="005B6074" w:rsidRDefault="009E0EF0" w:rsidP="009E0EF0">
      <w:pPr>
        <w:rPr>
          <w:rFonts w:ascii="Verdana" w:hAnsi="Verdana"/>
          <w:b/>
        </w:rPr>
      </w:pPr>
    </w:p>
    <w:p w:rsidR="005A221F" w:rsidRPr="005A221F" w:rsidRDefault="00A35E98"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r w:rsidRPr="005A221F">
        <w:rPr>
          <w:rFonts w:ascii="Verdana" w:hAnsi="Verdana"/>
          <w:sz w:val="18"/>
          <w:szCs w:val="18"/>
        </w:rPr>
        <w:fldChar w:fldCharType="begin"/>
      </w:r>
      <w:r w:rsidRPr="005A221F">
        <w:rPr>
          <w:rFonts w:ascii="Verdana" w:hAnsi="Verdana"/>
          <w:sz w:val="18"/>
          <w:szCs w:val="18"/>
        </w:rPr>
        <w:instrText xml:space="preserve"> TOC \h \z \c "Таблица" </w:instrText>
      </w:r>
      <w:r w:rsidRPr="005A221F">
        <w:rPr>
          <w:rFonts w:ascii="Verdana" w:hAnsi="Verdana"/>
          <w:sz w:val="18"/>
          <w:szCs w:val="18"/>
        </w:rPr>
        <w:fldChar w:fldCharType="separate"/>
      </w:r>
      <w:hyperlink w:anchor="_Toc396225596" w:history="1">
        <w:r w:rsidR="005A221F" w:rsidRPr="005A221F">
          <w:rPr>
            <w:rStyle w:val="Hyperlink"/>
            <w:rFonts w:ascii="Verdana" w:hAnsi="Verdana"/>
            <w:noProof/>
          </w:rPr>
          <w:t>Table 1. Connection between the Priorities of OPSESG and OPRG</w:t>
        </w:r>
        <w:r w:rsidR="005A221F" w:rsidRPr="005A221F">
          <w:rPr>
            <w:noProof/>
            <w:webHidden/>
          </w:rPr>
          <w:tab/>
        </w:r>
        <w:r w:rsidR="005A221F" w:rsidRPr="005A221F">
          <w:rPr>
            <w:noProof/>
            <w:webHidden/>
          </w:rPr>
          <w:fldChar w:fldCharType="begin"/>
        </w:r>
        <w:r w:rsidR="005A221F" w:rsidRPr="005A221F">
          <w:rPr>
            <w:noProof/>
            <w:webHidden/>
          </w:rPr>
          <w:instrText xml:space="preserve"> PAGEREF _Toc396225596 \h </w:instrText>
        </w:r>
        <w:r w:rsidR="005A221F" w:rsidRPr="005A221F">
          <w:rPr>
            <w:noProof/>
            <w:webHidden/>
          </w:rPr>
        </w:r>
        <w:r w:rsidR="005A221F" w:rsidRPr="005A221F">
          <w:rPr>
            <w:noProof/>
            <w:webHidden/>
          </w:rPr>
          <w:fldChar w:fldCharType="separate"/>
        </w:r>
        <w:r w:rsidR="009330F5">
          <w:rPr>
            <w:noProof/>
            <w:webHidden/>
          </w:rPr>
          <w:t>45</w:t>
        </w:r>
        <w:r w:rsidR="005A221F"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597" w:history="1">
        <w:r w:rsidRPr="005A221F">
          <w:rPr>
            <w:rStyle w:val="Hyperlink"/>
            <w:rFonts w:ascii="Verdana" w:hAnsi="Verdana"/>
            <w:noProof/>
          </w:rPr>
          <w:t>Table 2. Complementarity and Demarcation of OPSESG and OPRG</w:t>
        </w:r>
        <w:r w:rsidRPr="005A221F">
          <w:rPr>
            <w:noProof/>
            <w:webHidden/>
          </w:rPr>
          <w:tab/>
        </w:r>
        <w:r w:rsidRPr="005A221F">
          <w:rPr>
            <w:noProof/>
            <w:webHidden/>
          </w:rPr>
          <w:fldChar w:fldCharType="begin"/>
        </w:r>
        <w:r w:rsidRPr="005A221F">
          <w:rPr>
            <w:noProof/>
            <w:webHidden/>
          </w:rPr>
          <w:instrText xml:space="preserve"> PAGEREF _Toc396225597 \h </w:instrText>
        </w:r>
        <w:r w:rsidRPr="005A221F">
          <w:rPr>
            <w:noProof/>
            <w:webHidden/>
          </w:rPr>
        </w:r>
        <w:r w:rsidRPr="005A221F">
          <w:rPr>
            <w:noProof/>
            <w:webHidden/>
          </w:rPr>
          <w:fldChar w:fldCharType="separate"/>
        </w:r>
        <w:r w:rsidR="009330F5">
          <w:rPr>
            <w:noProof/>
            <w:webHidden/>
          </w:rPr>
          <w:t>45</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598" w:history="1">
        <w:r w:rsidRPr="005A221F">
          <w:rPr>
            <w:rStyle w:val="Hyperlink"/>
            <w:rFonts w:ascii="Verdana" w:hAnsi="Verdana"/>
            <w:noProof/>
          </w:rPr>
          <w:t>Table 3: Connection between the Priorities of OPSESG and OPIC</w:t>
        </w:r>
        <w:r w:rsidRPr="005A221F">
          <w:rPr>
            <w:noProof/>
            <w:webHidden/>
          </w:rPr>
          <w:tab/>
        </w:r>
        <w:r w:rsidRPr="005A221F">
          <w:rPr>
            <w:noProof/>
            <w:webHidden/>
          </w:rPr>
          <w:fldChar w:fldCharType="begin"/>
        </w:r>
        <w:r w:rsidRPr="005A221F">
          <w:rPr>
            <w:noProof/>
            <w:webHidden/>
          </w:rPr>
          <w:instrText xml:space="preserve"> PAGEREF _Toc396225598 \h </w:instrText>
        </w:r>
        <w:r w:rsidRPr="005A221F">
          <w:rPr>
            <w:noProof/>
            <w:webHidden/>
          </w:rPr>
        </w:r>
        <w:r w:rsidRPr="005A221F">
          <w:rPr>
            <w:noProof/>
            <w:webHidden/>
          </w:rPr>
          <w:fldChar w:fldCharType="separate"/>
        </w:r>
        <w:r w:rsidR="009330F5">
          <w:rPr>
            <w:noProof/>
            <w:webHidden/>
          </w:rPr>
          <w:t>46</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599" w:history="1">
        <w:r w:rsidRPr="005A221F">
          <w:rPr>
            <w:rStyle w:val="Hyperlink"/>
            <w:rFonts w:ascii="Verdana" w:hAnsi="Verdana"/>
            <w:noProof/>
          </w:rPr>
          <w:t>Table 4. Complementarity and Demarcation of OPSESG and OPIC</w:t>
        </w:r>
        <w:r w:rsidRPr="005A221F">
          <w:rPr>
            <w:noProof/>
            <w:webHidden/>
          </w:rPr>
          <w:tab/>
        </w:r>
        <w:r w:rsidRPr="005A221F">
          <w:rPr>
            <w:noProof/>
            <w:webHidden/>
          </w:rPr>
          <w:fldChar w:fldCharType="begin"/>
        </w:r>
        <w:r w:rsidRPr="005A221F">
          <w:rPr>
            <w:noProof/>
            <w:webHidden/>
          </w:rPr>
          <w:instrText xml:space="preserve"> PAGEREF _Toc396225599 \h </w:instrText>
        </w:r>
        <w:r w:rsidRPr="005A221F">
          <w:rPr>
            <w:noProof/>
            <w:webHidden/>
          </w:rPr>
        </w:r>
        <w:r w:rsidRPr="005A221F">
          <w:rPr>
            <w:noProof/>
            <w:webHidden/>
          </w:rPr>
          <w:fldChar w:fldCharType="separate"/>
        </w:r>
        <w:r w:rsidR="009330F5">
          <w:rPr>
            <w:noProof/>
            <w:webHidden/>
          </w:rPr>
          <w:t>47</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00" w:history="1">
        <w:r w:rsidRPr="005A221F">
          <w:rPr>
            <w:rStyle w:val="Hyperlink"/>
            <w:rFonts w:ascii="Verdana" w:hAnsi="Verdana"/>
            <w:noProof/>
          </w:rPr>
          <w:t>Table 5: Connection between the Priorities of OPSESG and OPE</w:t>
        </w:r>
        <w:r w:rsidRPr="005A221F">
          <w:rPr>
            <w:noProof/>
            <w:webHidden/>
          </w:rPr>
          <w:tab/>
        </w:r>
        <w:r w:rsidRPr="005A221F">
          <w:rPr>
            <w:noProof/>
            <w:webHidden/>
          </w:rPr>
          <w:fldChar w:fldCharType="begin"/>
        </w:r>
        <w:r w:rsidRPr="005A221F">
          <w:rPr>
            <w:noProof/>
            <w:webHidden/>
          </w:rPr>
          <w:instrText xml:space="preserve"> PAGEREF _Toc396225600 \h </w:instrText>
        </w:r>
        <w:r w:rsidRPr="005A221F">
          <w:rPr>
            <w:noProof/>
            <w:webHidden/>
          </w:rPr>
        </w:r>
        <w:r w:rsidRPr="005A221F">
          <w:rPr>
            <w:noProof/>
            <w:webHidden/>
          </w:rPr>
          <w:fldChar w:fldCharType="separate"/>
        </w:r>
        <w:r w:rsidR="009330F5">
          <w:rPr>
            <w:noProof/>
            <w:webHidden/>
          </w:rPr>
          <w:t>48</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01" w:history="1">
        <w:r w:rsidRPr="005A221F">
          <w:rPr>
            <w:rStyle w:val="Hyperlink"/>
            <w:rFonts w:ascii="Verdana" w:hAnsi="Verdana"/>
            <w:noProof/>
          </w:rPr>
          <w:t>Table 6. Complementarity and Demarcation of OPSESG and OPE</w:t>
        </w:r>
        <w:r w:rsidRPr="005A221F">
          <w:rPr>
            <w:noProof/>
            <w:webHidden/>
          </w:rPr>
          <w:tab/>
        </w:r>
        <w:r w:rsidRPr="005A221F">
          <w:rPr>
            <w:noProof/>
            <w:webHidden/>
          </w:rPr>
          <w:fldChar w:fldCharType="begin"/>
        </w:r>
        <w:r w:rsidRPr="005A221F">
          <w:rPr>
            <w:noProof/>
            <w:webHidden/>
          </w:rPr>
          <w:instrText xml:space="preserve"> PAGEREF _Toc396225601 \h </w:instrText>
        </w:r>
        <w:r w:rsidRPr="005A221F">
          <w:rPr>
            <w:noProof/>
            <w:webHidden/>
          </w:rPr>
        </w:r>
        <w:r w:rsidRPr="005A221F">
          <w:rPr>
            <w:noProof/>
            <w:webHidden/>
          </w:rPr>
          <w:fldChar w:fldCharType="separate"/>
        </w:r>
        <w:r w:rsidR="009330F5">
          <w:rPr>
            <w:noProof/>
            <w:webHidden/>
          </w:rPr>
          <w:t>49</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02" w:history="1">
        <w:r w:rsidRPr="005A221F">
          <w:rPr>
            <w:rStyle w:val="Hyperlink"/>
            <w:rFonts w:ascii="Verdana" w:hAnsi="Verdana"/>
            <w:noProof/>
          </w:rPr>
          <w:t>Table 7. Connection between the Priorities of OPSESG and OPTTI</w:t>
        </w:r>
        <w:r w:rsidRPr="005A221F">
          <w:rPr>
            <w:noProof/>
            <w:webHidden/>
          </w:rPr>
          <w:tab/>
        </w:r>
        <w:r w:rsidRPr="005A221F">
          <w:rPr>
            <w:noProof/>
            <w:webHidden/>
          </w:rPr>
          <w:fldChar w:fldCharType="begin"/>
        </w:r>
        <w:r w:rsidRPr="005A221F">
          <w:rPr>
            <w:noProof/>
            <w:webHidden/>
          </w:rPr>
          <w:instrText xml:space="preserve"> PAGEREF _Toc396225602 \h </w:instrText>
        </w:r>
        <w:r w:rsidRPr="005A221F">
          <w:rPr>
            <w:noProof/>
            <w:webHidden/>
          </w:rPr>
        </w:r>
        <w:r w:rsidRPr="005A221F">
          <w:rPr>
            <w:noProof/>
            <w:webHidden/>
          </w:rPr>
          <w:fldChar w:fldCharType="separate"/>
        </w:r>
        <w:r w:rsidR="009330F5">
          <w:rPr>
            <w:noProof/>
            <w:webHidden/>
          </w:rPr>
          <w:t>50</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03" w:history="1">
        <w:r w:rsidRPr="005A221F">
          <w:rPr>
            <w:rStyle w:val="Hyperlink"/>
            <w:rFonts w:ascii="Verdana" w:hAnsi="Verdana"/>
            <w:noProof/>
          </w:rPr>
          <w:t>Table 8. Complementarity and Demarcation of OPSESG and OPTTI</w:t>
        </w:r>
        <w:r w:rsidRPr="005A221F">
          <w:rPr>
            <w:noProof/>
            <w:webHidden/>
          </w:rPr>
          <w:tab/>
        </w:r>
        <w:r w:rsidRPr="005A221F">
          <w:rPr>
            <w:noProof/>
            <w:webHidden/>
          </w:rPr>
          <w:fldChar w:fldCharType="begin"/>
        </w:r>
        <w:r w:rsidRPr="005A221F">
          <w:rPr>
            <w:noProof/>
            <w:webHidden/>
          </w:rPr>
          <w:instrText xml:space="preserve"> PAGEREF _Toc396225603 \h </w:instrText>
        </w:r>
        <w:r w:rsidRPr="005A221F">
          <w:rPr>
            <w:noProof/>
            <w:webHidden/>
          </w:rPr>
        </w:r>
        <w:r w:rsidRPr="005A221F">
          <w:rPr>
            <w:noProof/>
            <w:webHidden/>
          </w:rPr>
          <w:fldChar w:fldCharType="separate"/>
        </w:r>
        <w:r w:rsidR="009330F5">
          <w:rPr>
            <w:noProof/>
            <w:webHidden/>
          </w:rPr>
          <w:t>50</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04" w:history="1">
        <w:r w:rsidRPr="005A221F">
          <w:rPr>
            <w:rStyle w:val="Hyperlink"/>
            <w:rFonts w:ascii="Verdana" w:hAnsi="Verdana"/>
            <w:noProof/>
          </w:rPr>
          <w:t>Table 9. Connection between the Priorities of OPSESG and OPGG</w:t>
        </w:r>
        <w:r w:rsidRPr="005A221F">
          <w:rPr>
            <w:noProof/>
            <w:webHidden/>
          </w:rPr>
          <w:tab/>
        </w:r>
        <w:r w:rsidRPr="005A221F">
          <w:rPr>
            <w:noProof/>
            <w:webHidden/>
          </w:rPr>
          <w:fldChar w:fldCharType="begin"/>
        </w:r>
        <w:r w:rsidRPr="005A221F">
          <w:rPr>
            <w:noProof/>
            <w:webHidden/>
          </w:rPr>
          <w:instrText xml:space="preserve"> PAGEREF _Toc396225604 \h </w:instrText>
        </w:r>
        <w:r w:rsidRPr="005A221F">
          <w:rPr>
            <w:noProof/>
            <w:webHidden/>
          </w:rPr>
        </w:r>
        <w:r w:rsidRPr="005A221F">
          <w:rPr>
            <w:noProof/>
            <w:webHidden/>
          </w:rPr>
          <w:fldChar w:fldCharType="separate"/>
        </w:r>
        <w:r w:rsidR="009330F5">
          <w:rPr>
            <w:noProof/>
            <w:webHidden/>
          </w:rPr>
          <w:t>51</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05" w:history="1">
        <w:r w:rsidRPr="005A221F">
          <w:rPr>
            <w:rStyle w:val="Hyperlink"/>
            <w:rFonts w:ascii="Verdana" w:hAnsi="Verdana"/>
            <w:noProof/>
          </w:rPr>
          <w:t>Table 10. Complementarity and Demarcation of OPSESG and OPGG</w:t>
        </w:r>
        <w:r w:rsidRPr="005A221F">
          <w:rPr>
            <w:noProof/>
            <w:webHidden/>
          </w:rPr>
          <w:tab/>
        </w:r>
        <w:r w:rsidRPr="005A221F">
          <w:rPr>
            <w:noProof/>
            <w:webHidden/>
          </w:rPr>
          <w:fldChar w:fldCharType="begin"/>
        </w:r>
        <w:r w:rsidRPr="005A221F">
          <w:rPr>
            <w:noProof/>
            <w:webHidden/>
          </w:rPr>
          <w:instrText xml:space="preserve"> PAGEREF _Toc396225605 \h </w:instrText>
        </w:r>
        <w:r w:rsidRPr="005A221F">
          <w:rPr>
            <w:noProof/>
            <w:webHidden/>
          </w:rPr>
        </w:r>
        <w:r w:rsidRPr="005A221F">
          <w:rPr>
            <w:noProof/>
            <w:webHidden/>
          </w:rPr>
          <w:fldChar w:fldCharType="separate"/>
        </w:r>
        <w:r w:rsidR="009330F5">
          <w:rPr>
            <w:noProof/>
            <w:webHidden/>
          </w:rPr>
          <w:t>52</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06" w:history="1">
        <w:r w:rsidRPr="005A221F">
          <w:rPr>
            <w:rStyle w:val="Hyperlink"/>
            <w:rFonts w:ascii="Verdana" w:hAnsi="Verdana"/>
            <w:noProof/>
          </w:rPr>
          <w:t>Table 11: Connection between the Priorities of OPSESG and HRD OP</w:t>
        </w:r>
        <w:r w:rsidRPr="005A221F">
          <w:rPr>
            <w:noProof/>
            <w:webHidden/>
          </w:rPr>
          <w:tab/>
        </w:r>
        <w:r w:rsidRPr="005A221F">
          <w:rPr>
            <w:noProof/>
            <w:webHidden/>
          </w:rPr>
          <w:fldChar w:fldCharType="begin"/>
        </w:r>
        <w:r w:rsidRPr="005A221F">
          <w:rPr>
            <w:noProof/>
            <w:webHidden/>
          </w:rPr>
          <w:instrText xml:space="preserve"> PAGEREF _Toc396225606 \h </w:instrText>
        </w:r>
        <w:r w:rsidRPr="005A221F">
          <w:rPr>
            <w:noProof/>
            <w:webHidden/>
          </w:rPr>
        </w:r>
        <w:r w:rsidRPr="005A221F">
          <w:rPr>
            <w:noProof/>
            <w:webHidden/>
          </w:rPr>
          <w:fldChar w:fldCharType="separate"/>
        </w:r>
        <w:r w:rsidR="009330F5">
          <w:rPr>
            <w:noProof/>
            <w:webHidden/>
          </w:rPr>
          <w:t>53</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07" w:history="1">
        <w:r w:rsidRPr="005A221F">
          <w:rPr>
            <w:rStyle w:val="Hyperlink"/>
            <w:rFonts w:ascii="Verdana" w:hAnsi="Verdana"/>
            <w:noProof/>
          </w:rPr>
          <w:t>Table 12. Complementarity and Demarcation of OPSESG and HRDOP</w:t>
        </w:r>
        <w:r w:rsidRPr="005A221F">
          <w:rPr>
            <w:noProof/>
            <w:webHidden/>
          </w:rPr>
          <w:tab/>
        </w:r>
        <w:r w:rsidRPr="005A221F">
          <w:rPr>
            <w:noProof/>
            <w:webHidden/>
          </w:rPr>
          <w:fldChar w:fldCharType="begin"/>
        </w:r>
        <w:r w:rsidRPr="005A221F">
          <w:rPr>
            <w:noProof/>
            <w:webHidden/>
          </w:rPr>
          <w:instrText xml:space="preserve"> PAGEREF _Toc396225607 \h </w:instrText>
        </w:r>
        <w:r w:rsidRPr="005A221F">
          <w:rPr>
            <w:noProof/>
            <w:webHidden/>
          </w:rPr>
        </w:r>
        <w:r w:rsidRPr="005A221F">
          <w:rPr>
            <w:noProof/>
            <w:webHidden/>
          </w:rPr>
          <w:fldChar w:fldCharType="separate"/>
        </w:r>
        <w:r w:rsidR="009330F5">
          <w:rPr>
            <w:noProof/>
            <w:webHidden/>
          </w:rPr>
          <w:t>54</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08" w:history="1">
        <w:r w:rsidRPr="005A221F">
          <w:rPr>
            <w:rStyle w:val="Hyperlink"/>
            <w:rFonts w:ascii="Verdana" w:hAnsi="Verdana"/>
            <w:noProof/>
          </w:rPr>
          <w:t>Table 13: Connection between the Priorities of OPSESG and RDP</w:t>
        </w:r>
        <w:r w:rsidRPr="005A221F">
          <w:rPr>
            <w:noProof/>
            <w:webHidden/>
          </w:rPr>
          <w:tab/>
        </w:r>
        <w:r w:rsidRPr="005A221F">
          <w:rPr>
            <w:noProof/>
            <w:webHidden/>
          </w:rPr>
          <w:fldChar w:fldCharType="begin"/>
        </w:r>
        <w:r w:rsidRPr="005A221F">
          <w:rPr>
            <w:noProof/>
            <w:webHidden/>
          </w:rPr>
          <w:instrText xml:space="preserve"> PAGEREF _Toc396225608 \h </w:instrText>
        </w:r>
        <w:r w:rsidRPr="005A221F">
          <w:rPr>
            <w:noProof/>
            <w:webHidden/>
          </w:rPr>
        </w:r>
        <w:r w:rsidRPr="005A221F">
          <w:rPr>
            <w:noProof/>
            <w:webHidden/>
          </w:rPr>
          <w:fldChar w:fldCharType="separate"/>
        </w:r>
        <w:r w:rsidR="009330F5">
          <w:rPr>
            <w:noProof/>
            <w:webHidden/>
          </w:rPr>
          <w:t>56</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09" w:history="1">
        <w:r w:rsidRPr="005A221F">
          <w:rPr>
            <w:rStyle w:val="Hyperlink"/>
            <w:rFonts w:ascii="Verdana" w:hAnsi="Verdana"/>
            <w:noProof/>
          </w:rPr>
          <w:t>Table 14. Complementarity and Demarcation of OPSESG and RDP</w:t>
        </w:r>
        <w:r w:rsidRPr="005A221F">
          <w:rPr>
            <w:noProof/>
            <w:webHidden/>
          </w:rPr>
          <w:tab/>
        </w:r>
        <w:r w:rsidRPr="005A221F">
          <w:rPr>
            <w:noProof/>
            <w:webHidden/>
          </w:rPr>
          <w:fldChar w:fldCharType="begin"/>
        </w:r>
        <w:r w:rsidRPr="005A221F">
          <w:rPr>
            <w:noProof/>
            <w:webHidden/>
          </w:rPr>
          <w:instrText xml:space="preserve"> PAGEREF _Toc396225609 \h </w:instrText>
        </w:r>
        <w:r w:rsidRPr="005A221F">
          <w:rPr>
            <w:noProof/>
            <w:webHidden/>
          </w:rPr>
        </w:r>
        <w:r w:rsidRPr="005A221F">
          <w:rPr>
            <w:noProof/>
            <w:webHidden/>
          </w:rPr>
          <w:fldChar w:fldCharType="separate"/>
        </w:r>
        <w:r w:rsidR="009330F5">
          <w:rPr>
            <w:noProof/>
            <w:webHidden/>
          </w:rPr>
          <w:t>57</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10" w:history="1">
        <w:r w:rsidRPr="005A221F">
          <w:rPr>
            <w:rStyle w:val="Hyperlink"/>
            <w:rFonts w:ascii="Verdana" w:hAnsi="Verdana"/>
            <w:noProof/>
          </w:rPr>
          <w:t>Table 15: Connection between the Priorities of OPSESG and MFP</w:t>
        </w:r>
        <w:r w:rsidRPr="005A221F">
          <w:rPr>
            <w:noProof/>
            <w:webHidden/>
          </w:rPr>
          <w:tab/>
        </w:r>
        <w:r w:rsidRPr="005A221F">
          <w:rPr>
            <w:noProof/>
            <w:webHidden/>
          </w:rPr>
          <w:fldChar w:fldCharType="begin"/>
        </w:r>
        <w:r w:rsidRPr="005A221F">
          <w:rPr>
            <w:noProof/>
            <w:webHidden/>
          </w:rPr>
          <w:instrText xml:space="preserve"> PAGEREF _Toc396225610 \h </w:instrText>
        </w:r>
        <w:r w:rsidRPr="005A221F">
          <w:rPr>
            <w:noProof/>
            <w:webHidden/>
          </w:rPr>
        </w:r>
        <w:r w:rsidRPr="005A221F">
          <w:rPr>
            <w:noProof/>
            <w:webHidden/>
          </w:rPr>
          <w:fldChar w:fldCharType="separate"/>
        </w:r>
        <w:r w:rsidR="009330F5">
          <w:rPr>
            <w:noProof/>
            <w:webHidden/>
          </w:rPr>
          <w:t>59</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11" w:history="1">
        <w:r w:rsidRPr="005A221F">
          <w:rPr>
            <w:rStyle w:val="Hyperlink"/>
            <w:rFonts w:ascii="Verdana" w:hAnsi="Verdana"/>
            <w:noProof/>
          </w:rPr>
          <w:t>Table 16. Complementarity and Demarcation of OPSESG and MFP</w:t>
        </w:r>
        <w:r w:rsidRPr="005A221F">
          <w:rPr>
            <w:noProof/>
            <w:webHidden/>
          </w:rPr>
          <w:tab/>
        </w:r>
        <w:r w:rsidRPr="005A221F">
          <w:rPr>
            <w:noProof/>
            <w:webHidden/>
          </w:rPr>
          <w:fldChar w:fldCharType="begin"/>
        </w:r>
        <w:r w:rsidRPr="005A221F">
          <w:rPr>
            <w:noProof/>
            <w:webHidden/>
          </w:rPr>
          <w:instrText xml:space="preserve"> PAGEREF _Toc396225611 \h </w:instrText>
        </w:r>
        <w:r w:rsidRPr="005A221F">
          <w:rPr>
            <w:noProof/>
            <w:webHidden/>
          </w:rPr>
        </w:r>
        <w:r w:rsidRPr="005A221F">
          <w:rPr>
            <w:noProof/>
            <w:webHidden/>
          </w:rPr>
          <w:fldChar w:fldCharType="separate"/>
        </w:r>
        <w:r w:rsidR="009330F5">
          <w:rPr>
            <w:noProof/>
            <w:webHidden/>
          </w:rPr>
          <w:t>59</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12" w:history="1">
        <w:r w:rsidRPr="005A221F">
          <w:rPr>
            <w:rStyle w:val="Hyperlink"/>
            <w:rFonts w:ascii="Verdana" w:hAnsi="Verdana"/>
            <w:noProof/>
          </w:rPr>
          <w:t>Table 17. PA1 - Compliance between Needs, IP, Activities and Indicators</w:t>
        </w:r>
        <w:r w:rsidRPr="005A221F">
          <w:rPr>
            <w:noProof/>
            <w:webHidden/>
          </w:rPr>
          <w:tab/>
        </w:r>
        <w:r w:rsidRPr="005A221F">
          <w:rPr>
            <w:noProof/>
            <w:webHidden/>
          </w:rPr>
          <w:fldChar w:fldCharType="begin"/>
        </w:r>
        <w:r w:rsidRPr="005A221F">
          <w:rPr>
            <w:noProof/>
            <w:webHidden/>
          </w:rPr>
          <w:instrText xml:space="preserve"> PAGEREF _Toc396225612 \h </w:instrText>
        </w:r>
        <w:r w:rsidRPr="005A221F">
          <w:rPr>
            <w:noProof/>
            <w:webHidden/>
          </w:rPr>
        </w:r>
        <w:r w:rsidRPr="005A221F">
          <w:rPr>
            <w:noProof/>
            <w:webHidden/>
          </w:rPr>
          <w:fldChar w:fldCharType="separate"/>
        </w:r>
        <w:r w:rsidR="009330F5">
          <w:rPr>
            <w:noProof/>
            <w:webHidden/>
          </w:rPr>
          <w:t>64</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13" w:history="1">
        <w:r w:rsidRPr="005A221F">
          <w:rPr>
            <w:rStyle w:val="Hyperlink"/>
            <w:rFonts w:ascii="Verdana" w:hAnsi="Verdana"/>
            <w:noProof/>
          </w:rPr>
          <w:t>Table 18. PA2 - Compliance between Needs, IP, Activities and Indicators</w:t>
        </w:r>
        <w:r w:rsidRPr="005A221F">
          <w:rPr>
            <w:noProof/>
            <w:webHidden/>
          </w:rPr>
          <w:tab/>
        </w:r>
        <w:r w:rsidRPr="005A221F">
          <w:rPr>
            <w:noProof/>
            <w:webHidden/>
          </w:rPr>
          <w:fldChar w:fldCharType="begin"/>
        </w:r>
        <w:r w:rsidRPr="005A221F">
          <w:rPr>
            <w:noProof/>
            <w:webHidden/>
          </w:rPr>
          <w:instrText xml:space="preserve"> PAGEREF _Toc396225613 \h </w:instrText>
        </w:r>
        <w:r w:rsidRPr="005A221F">
          <w:rPr>
            <w:noProof/>
            <w:webHidden/>
          </w:rPr>
        </w:r>
        <w:r w:rsidRPr="005A221F">
          <w:rPr>
            <w:noProof/>
            <w:webHidden/>
          </w:rPr>
          <w:fldChar w:fldCharType="separate"/>
        </w:r>
        <w:r w:rsidR="009330F5">
          <w:rPr>
            <w:noProof/>
            <w:webHidden/>
          </w:rPr>
          <w:t>67</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14" w:history="1">
        <w:r w:rsidRPr="005A221F">
          <w:rPr>
            <w:rStyle w:val="Hyperlink"/>
            <w:rFonts w:ascii="Verdana" w:hAnsi="Verdana"/>
            <w:noProof/>
          </w:rPr>
          <w:t>Table 19. PA3 - Compliance between Needs, IP, Activities and Indicators</w:t>
        </w:r>
        <w:r w:rsidRPr="005A221F">
          <w:rPr>
            <w:noProof/>
            <w:webHidden/>
          </w:rPr>
          <w:tab/>
        </w:r>
        <w:r w:rsidRPr="005A221F">
          <w:rPr>
            <w:noProof/>
            <w:webHidden/>
          </w:rPr>
          <w:fldChar w:fldCharType="begin"/>
        </w:r>
        <w:r w:rsidRPr="005A221F">
          <w:rPr>
            <w:noProof/>
            <w:webHidden/>
          </w:rPr>
          <w:instrText xml:space="preserve"> PAGEREF _Toc396225614 \h </w:instrText>
        </w:r>
        <w:r w:rsidRPr="005A221F">
          <w:rPr>
            <w:noProof/>
            <w:webHidden/>
          </w:rPr>
        </w:r>
        <w:r w:rsidRPr="005A221F">
          <w:rPr>
            <w:noProof/>
            <w:webHidden/>
          </w:rPr>
          <w:fldChar w:fldCharType="separate"/>
        </w:r>
        <w:r w:rsidR="009330F5">
          <w:rPr>
            <w:noProof/>
            <w:webHidden/>
          </w:rPr>
          <w:t>73</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15" w:history="1">
        <w:r w:rsidRPr="005A221F">
          <w:rPr>
            <w:rStyle w:val="Hyperlink"/>
            <w:rFonts w:ascii="Verdana" w:hAnsi="Verdana"/>
            <w:noProof/>
          </w:rPr>
          <w:t>Table 20. PA4 - Compliance between Needs, IP, Activities and Indicators</w:t>
        </w:r>
        <w:r w:rsidRPr="005A221F">
          <w:rPr>
            <w:noProof/>
            <w:webHidden/>
          </w:rPr>
          <w:tab/>
        </w:r>
        <w:r w:rsidRPr="005A221F">
          <w:rPr>
            <w:noProof/>
            <w:webHidden/>
          </w:rPr>
          <w:fldChar w:fldCharType="begin"/>
        </w:r>
        <w:r w:rsidRPr="005A221F">
          <w:rPr>
            <w:noProof/>
            <w:webHidden/>
          </w:rPr>
          <w:instrText xml:space="preserve"> PAGEREF _Toc396225615 \h </w:instrText>
        </w:r>
        <w:r w:rsidRPr="005A221F">
          <w:rPr>
            <w:noProof/>
            <w:webHidden/>
          </w:rPr>
        </w:r>
        <w:r w:rsidRPr="005A221F">
          <w:rPr>
            <w:noProof/>
            <w:webHidden/>
          </w:rPr>
          <w:fldChar w:fldCharType="separate"/>
        </w:r>
        <w:r w:rsidR="009330F5">
          <w:rPr>
            <w:noProof/>
            <w:webHidden/>
          </w:rPr>
          <w:t>75</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16" w:history="1">
        <w:r w:rsidRPr="005A221F">
          <w:rPr>
            <w:rStyle w:val="Hyperlink"/>
            <w:rFonts w:ascii="Verdana" w:hAnsi="Verdana"/>
            <w:noProof/>
          </w:rPr>
          <w:t>Table 21. PA1 – Analysis of the activities</w:t>
        </w:r>
        <w:r w:rsidRPr="005A221F">
          <w:rPr>
            <w:noProof/>
            <w:webHidden/>
          </w:rPr>
          <w:tab/>
        </w:r>
        <w:r w:rsidRPr="005A221F">
          <w:rPr>
            <w:noProof/>
            <w:webHidden/>
          </w:rPr>
          <w:fldChar w:fldCharType="begin"/>
        </w:r>
        <w:r w:rsidRPr="005A221F">
          <w:rPr>
            <w:noProof/>
            <w:webHidden/>
          </w:rPr>
          <w:instrText xml:space="preserve"> PAGEREF _Toc396225616 \h </w:instrText>
        </w:r>
        <w:r w:rsidRPr="005A221F">
          <w:rPr>
            <w:noProof/>
            <w:webHidden/>
          </w:rPr>
        </w:r>
        <w:r w:rsidRPr="005A221F">
          <w:rPr>
            <w:noProof/>
            <w:webHidden/>
          </w:rPr>
          <w:fldChar w:fldCharType="separate"/>
        </w:r>
        <w:r w:rsidR="009330F5">
          <w:rPr>
            <w:noProof/>
            <w:webHidden/>
          </w:rPr>
          <w:t>76</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17" w:history="1">
        <w:r w:rsidRPr="005A221F">
          <w:rPr>
            <w:rStyle w:val="Hyperlink"/>
            <w:rFonts w:ascii="Verdana" w:hAnsi="Verdana"/>
            <w:noProof/>
          </w:rPr>
          <w:t>Table 22. PA2 – Analysis of the activities</w:t>
        </w:r>
        <w:r w:rsidRPr="005A221F">
          <w:rPr>
            <w:noProof/>
            <w:webHidden/>
          </w:rPr>
          <w:tab/>
        </w:r>
        <w:r w:rsidRPr="005A221F">
          <w:rPr>
            <w:noProof/>
            <w:webHidden/>
          </w:rPr>
          <w:fldChar w:fldCharType="begin"/>
        </w:r>
        <w:r w:rsidRPr="005A221F">
          <w:rPr>
            <w:noProof/>
            <w:webHidden/>
          </w:rPr>
          <w:instrText xml:space="preserve"> PAGEREF _Toc396225617 \h </w:instrText>
        </w:r>
        <w:r w:rsidRPr="005A221F">
          <w:rPr>
            <w:noProof/>
            <w:webHidden/>
          </w:rPr>
        </w:r>
        <w:r w:rsidRPr="005A221F">
          <w:rPr>
            <w:noProof/>
            <w:webHidden/>
          </w:rPr>
          <w:fldChar w:fldCharType="separate"/>
        </w:r>
        <w:r w:rsidR="009330F5">
          <w:rPr>
            <w:noProof/>
            <w:webHidden/>
          </w:rPr>
          <w:t>78</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18" w:history="1">
        <w:r w:rsidRPr="005A221F">
          <w:rPr>
            <w:rStyle w:val="Hyperlink"/>
            <w:rFonts w:ascii="Verdana" w:hAnsi="Verdana"/>
            <w:noProof/>
          </w:rPr>
          <w:t>Table 23. PA3 – Analysis of the activities</w:t>
        </w:r>
        <w:r w:rsidRPr="005A221F">
          <w:rPr>
            <w:noProof/>
            <w:webHidden/>
          </w:rPr>
          <w:tab/>
        </w:r>
        <w:r w:rsidRPr="005A221F">
          <w:rPr>
            <w:noProof/>
            <w:webHidden/>
          </w:rPr>
          <w:fldChar w:fldCharType="begin"/>
        </w:r>
        <w:r w:rsidRPr="005A221F">
          <w:rPr>
            <w:noProof/>
            <w:webHidden/>
          </w:rPr>
          <w:instrText xml:space="preserve"> PAGEREF _Toc396225618 \h </w:instrText>
        </w:r>
        <w:r w:rsidRPr="005A221F">
          <w:rPr>
            <w:noProof/>
            <w:webHidden/>
          </w:rPr>
        </w:r>
        <w:r w:rsidRPr="005A221F">
          <w:rPr>
            <w:noProof/>
            <w:webHidden/>
          </w:rPr>
          <w:fldChar w:fldCharType="separate"/>
        </w:r>
        <w:r w:rsidR="009330F5">
          <w:rPr>
            <w:noProof/>
            <w:webHidden/>
          </w:rPr>
          <w:t>86</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19" w:history="1">
        <w:r w:rsidRPr="005A221F">
          <w:rPr>
            <w:rStyle w:val="Hyperlink"/>
            <w:rFonts w:ascii="Verdana" w:hAnsi="Verdana"/>
            <w:noProof/>
          </w:rPr>
          <w:t>Table 24. PA4 – Analysis of the activities</w:t>
        </w:r>
        <w:r w:rsidRPr="005A221F">
          <w:rPr>
            <w:noProof/>
            <w:webHidden/>
          </w:rPr>
          <w:tab/>
        </w:r>
        <w:r w:rsidRPr="005A221F">
          <w:rPr>
            <w:noProof/>
            <w:webHidden/>
          </w:rPr>
          <w:fldChar w:fldCharType="begin"/>
        </w:r>
        <w:r w:rsidRPr="005A221F">
          <w:rPr>
            <w:noProof/>
            <w:webHidden/>
          </w:rPr>
          <w:instrText xml:space="preserve"> PAGEREF _Toc396225619 \h </w:instrText>
        </w:r>
        <w:r w:rsidRPr="005A221F">
          <w:rPr>
            <w:noProof/>
            <w:webHidden/>
          </w:rPr>
        </w:r>
        <w:r w:rsidRPr="005A221F">
          <w:rPr>
            <w:noProof/>
            <w:webHidden/>
          </w:rPr>
          <w:fldChar w:fldCharType="separate"/>
        </w:r>
        <w:r w:rsidR="009330F5">
          <w:rPr>
            <w:noProof/>
            <w:webHidden/>
          </w:rPr>
          <w:t>89</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20" w:history="1">
        <w:r w:rsidRPr="005A221F">
          <w:rPr>
            <w:rStyle w:val="Hyperlink"/>
            <w:rFonts w:ascii="Verdana" w:hAnsi="Verdana"/>
            <w:noProof/>
          </w:rPr>
          <w:t>Table 25. PA1 – Analysis of beneficiaries and target groups</w:t>
        </w:r>
        <w:r w:rsidRPr="005A221F">
          <w:rPr>
            <w:noProof/>
            <w:webHidden/>
          </w:rPr>
          <w:tab/>
        </w:r>
        <w:r w:rsidRPr="005A221F">
          <w:rPr>
            <w:noProof/>
            <w:webHidden/>
          </w:rPr>
          <w:fldChar w:fldCharType="begin"/>
        </w:r>
        <w:r w:rsidRPr="005A221F">
          <w:rPr>
            <w:noProof/>
            <w:webHidden/>
          </w:rPr>
          <w:instrText xml:space="preserve"> PAGEREF _Toc396225620 \h </w:instrText>
        </w:r>
        <w:r w:rsidRPr="005A221F">
          <w:rPr>
            <w:noProof/>
            <w:webHidden/>
          </w:rPr>
        </w:r>
        <w:r w:rsidRPr="005A221F">
          <w:rPr>
            <w:noProof/>
            <w:webHidden/>
          </w:rPr>
          <w:fldChar w:fldCharType="separate"/>
        </w:r>
        <w:r w:rsidR="009330F5">
          <w:rPr>
            <w:noProof/>
            <w:webHidden/>
          </w:rPr>
          <w:t>91</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21" w:history="1">
        <w:r w:rsidRPr="005A221F">
          <w:rPr>
            <w:rStyle w:val="Hyperlink"/>
            <w:rFonts w:ascii="Verdana" w:hAnsi="Verdana"/>
            <w:noProof/>
          </w:rPr>
          <w:t>Table 26. PA2 – Analysis of beneficiaries and target groups</w:t>
        </w:r>
        <w:r w:rsidRPr="005A221F">
          <w:rPr>
            <w:noProof/>
            <w:webHidden/>
          </w:rPr>
          <w:tab/>
        </w:r>
        <w:r w:rsidRPr="005A221F">
          <w:rPr>
            <w:noProof/>
            <w:webHidden/>
          </w:rPr>
          <w:fldChar w:fldCharType="begin"/>
        </w:r>
        <w:r w:rsidRPr="005A221F">
          <w:rPr>
            <w:noProof/>
            <w:webHidden/>
          </w:rPr>
          <w:instrText xml:space="preserve"> PAGEREF _Toc396225621 \h </w:instrText>
        </w:r>
        <w:r w:rsidRPr="005A221F">
          <w:rPr>
            <w:noProof/>
            <w:webHidden/>
          </w:rPr>
        </w:r>
        <w:r w:rsidRPr="005A221F">
          <w:rPr>
            <w:noProof/>
            <w:webHidden/>
          </w:rPr>
          <w:fldChar w:fldCharType="separate"/>
        </w:r>
        <w:r w:rsidR="009330F5">
          <w:rPr>
            <w:noProof/>
            <w:webHidden/>
          </w:rPr>
          <w:t>92</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22" w:history="1">
        <w:r w:rsidRPr="005A221F">
          <w:rPr>
            <w:rStyle w:val="Hyperlink"/>
            <w:rFonts w:ascii="Verdana" w:hAnsi="Verdana"/>
            <w:noProof/>
          </w:rPr>
          <w:t>Table 27. PA3 – Analysis of beneficiaries and target groups</w:t>
        </w:r>
        <w:r w:rsidRPr="005A221F">
          <w:rPr>
            <w:noProof/>
            <w:webHidden/>
          </w:rPr>
          <w:tab/>
        </w:r>
        <w:r w:rsidRPr="005A221F">
          <w:rPr>
            <w:noProof/>
            <w:webHidden/>
          </w:rPr>
          <w:fldChar w:fldCharType="begin"/>
        </w:r>
        <w:r w:rsidRPr="005A221F">
          <w:rPr>
            <w:noProof/>
            <w:webHidden/>
          </w:rPr>
          <w:instrText xml:space="preserve"> PAGEREF _Toc396225622 \h </w:instrText>
        </w:r>
        <w:r w:rsidRPr="005A221F">
          <w:rPr>
            <w:noProof/>
            <w:webHidden/>
          </w:rPr>
        </w:r>
        <w:r w:rsidRPr="005A221F">
          <w:rPr>
            <w:noProof/>
            <w:webHidden/>
          </w:rPr>
          <w:fldChar w:fldCharType="separate"/>
        </w:r>
        <w:r w:rsidR="009330F5">
          <w:rPr>
            <w:noProof/>
            <w:webHidden/>
          </w:rPr>
          <w:t>95</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23" w:history="1">
        <w:r w:rsidRPr="005A221F">
          <w:rPr>
            <w:rStyle w:val="Hyperlink"/>
            <w:rFonts w:ascii="Verdana" w:hAnsi="Verdana"/>
            <w:noProof/>
          </w:rPr>
          <w:t>Table 28. Principles referred to as leading in the selection of operations</w:t>
        </w:r>
        <w:r w:rsidRPr="005A221F">
          <w:rPr>
            <w:noProof/>
            <w:webHidden/>
          </w:rPr>
          <w:tab/>
        </w:r>
        <w:r w:rsidRPr="005A221F">
          <w:rPr>
            <w:noProof/>
            <w:webHidden/>
          </w:rPr>
          <w:fldChar w:fldCharType="begin"/>
        </w:r>
        <w:r w:rsidRPr="005A221F">
          <w:rPr>
            <w:noProof/>
            <w:webHidden/>
          </w:rPr>
          <w:instrText xml:space="preserve"> PAGEREF _Toc396225623 \h </w:instrText>
        </w:r>
        <w:r w:rsidRPr="005A221F">
          <w:rPr>
            <w:noProof/>
            <w:webHidden/>
          </w:rPr>
        </w:r>
        <w:r w:rsidRPr="005A221F">
          <w:rPr>
            <w:noProof/>
            <w:webHidden/>
          </w:rPr>
          <w:fldChar w:fldCharType="separate"/>
        </w:r>
        <w:r w:rsidR="009330F5">
          <w:rPr>
            <w:noProof/>
            <w:webHidden/>
          </w:rPr>
          <w:t>96</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24" w:history="1">
        <w:r w:rsidRPr="005A221F">
          <w:rPr>
            <w:rStyle w:val="Hyperlink"/>
            <w:rFonts w:ascii="Verdana" w:hAnsi="Verdana"/>
            <w:noProof/>
          </w:rPr>
          <w:t>Table 29. Analysis of the principles referred to as guiding principles in the selection of operations</w:t>
        </w:r>
        <w:r w:rsidRPr="005A221F">
          <w:rPr>
            <w:noProof/>
            <w:webHidden/>
          </w:rPr>
          <w:tab/>
        </w:r>
        <w:r w:rsidRPr="005A221F">
          <w:rPr>
            <w:noProof/>
            <w:webHidden/>
          </w:rPr>
          <w:fldChar w:fldCharType="begin"/>
        </w:r>
        <w:r w:rsidRPr="005A221F">
          <w:rPr>
            <w:noProof/>
            <w:webHidden/>
          </w:rPr>
          <w:instrText xml:space="preserve"> PAGEREF _Toc396225624 \h </w:instrText>
        </w:r>
        <w:r w:rsidRPr="005A221F">
          <w:rPr>
            <w:noProof/>
            <w:webHidden/>
          </w:rPr>
        </w:r>
        <w:r w:rsidRPr="005A221F">
          <w:rPr>
            <w:noProof/>
            <w:webHidden/>
          </w:rPr>
          <w:fldChar w:fldCharType="separate"/>
        </w:r>
        <w:r w:rsidR="009330F5">
          <w:rPr>
            <w:noProof/>
            <w:webHidden/>
          </w:rPr>
          <w:t>97</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25" w:history="1">
        <w:r w:rsidRPr="005A221F">
          <w:rPr>
            <w:rStyle w:val="Hyperlink"/>
            <w:rFonts w:ascii="Verdana" w:hAnsi="Verdana"/>
            <w:noProof/>
          </w:rPr>
          <w:t>Table 30. Examples of financial instruments in the area of science and education</w:t>
        </w:r>
        <w:r w:rsidRPr="005A221F">
          <w:rPr>
            <w:noProof/>
            <w:webHidden/>
          </w:rPr>
          <w:tab/>
        </w:r>
        <w:r w:rsidRPr="005A221F">
          <w:rPr>
            <w:noProof/>
            <w:webHidden/>
          </w:rPr>
          <w:fldChar w:fldCharType="begin"/>
        </w:r>
        <w:r w:rsidRPr="005A221F">
          <w:rPr>
            <w:noProof/>
            <w:webHidden/>
          </w:rPr>
          <w:instrText xml:space="preserve"> PAGEREF _Toc396225625 \h </w:instrText>
        </w:r>
        <w:r w:rsidRPr="005A221F">
          <w:rPr>
            <w:noProof/>
            <w:webHidden/>
          </w:rPr>
        </w:r>
        <w:r w:rsidRPr="005A221F">
          <w:rPr>
            <w:noProof/>
            <w:webHidden/>
          </w:rPr>
          <w:fldChar w:fldCharType="separate"/>
        </w:r>
        <w:r w:rsidR="009330F5">
          <w:rPr>
            <w:noProof/>
            <w:webHidden/>
          </w:rPr>
          <w:t>100</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26" w:history="1">
        <w:r w:rsidRPr="005A221F">
          <w:rPr>
            <w:rStyle w:val="Hyperlink"/>
            <w:rFonts w:ascii="Verdana" w:hAnsi="Verdana"/>
            <w:noProof/>
          </w:rPr>
          <w:t>Table 31. Recommendations on the topics which are in the scope of OPSESG 2014–2020</w:t>
        </w:r>
        <w:r w:rsidRPr="005A221F">
          <w:rPr>
            <w:noProof/>
            <w:webHidden/>
          </w:rPr>
          <w:tab/>
        </w:r>
        <w:r w:rsidRPr="005A221F">
          <w:rPr>
            <w:noProof/>
            <w:webHidden/>
          </w:rPr>
          <w:fldChar w:fldCharType="begin"/>
        </w:r>
        <w:r w:rsidRPr="005A221F">
          <w:rPr>
            <w:noProof/>
            <w:webHidden/>
          </w:rPr>
          <w:instrText xml:space="preserve"> PAGEREF _Toc396225626 \h </w:instrText>
        </w:r>
        <w:r w:rsidRPr="005A221F">
          <w:rPr>
            <w:noProof/>
            <w:webHidden/>
          </w:rPr>
        </w:r>
        <w:r w:rsidRPr="005A221F">
          <w:rPr>
            <w:noProof/>
            <w:webHidden/>
          </w:rPr>
          <w:fldChar w:fldCharType="separate"/>
        </w:r>
        <w:r w:rsidR="009330F5">
          <w:rPr>
            <w:noProof/>
            <w:webHidden/>
          </w:rPr>
          <w:t>102</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27" w:history="1">
        <w:r w:rsidRPr="005A221F">
          <w:rPr>
            <w:rStyle w:val="Hyperlink"/>
            <w:rFonts w:ascii="Verdana" w:hAnsi="Verdana"/>
            <w:noProof/>
          </w:rPr>
          <w:t>Table 32. Horizontal principles, laid down in the regulations for the period 2014-2020 and in the Partnership Agreement</w:t>
        </w:r>
        <w:r w:rsidRPr="005A221F">
          <w:rPr>
            <w:noProof/>
            <w:webHidden/>
          </w:rPr>
          <w:tab/>
        </w:r>
        <w:r w:rsidRPr="005A221F">
          <w:rPr>
            <w:noProof/>
            <w:webHidden/>
          </w:rPr>
          <w:fldChar w:fldCharType="begin"/>
        </w:r>
        <w:r w:rsidRPr="005A221F">
          <w:rPr>
            <w:noProof/>
            <w:webHidden/>
          </w:rPr>
          <w:instrText xml:space="preserve"> PAGEREF _Toc396225627 \h </w:instrText>
        </w:r>
        <w:r w:rsidRPr="005A221F">
          <w:rPr>
            <w:noProof/>
            <w:webHidden/>
          </w:rPr>
        </w:r>
        <w:r w:rsidRPr="005A221F">
          <w:rPr>
            <w:noProof/>
            <w:webHidden/>
          </w:rPr>
          <w:fldChar w:fldCharType="separate"/>
        </w:r>
        <w:r w:rsidR="009330F5">
          <w:rPr>
            <w:noProof/>
            <w:webHidden/>
          </w:rPr>
          <w:t>108</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28" w:history="1">
        <w:r w:rsidRPr="005A221F">
          <w:rPr>
            <w:rStyle w:val="Hyperlink"/>
            <w:rFonts w:ascii="Verdana" w:hAnsi="Verdana"/>
            <w:noProof/>
          </w:rPr>
          <w:t>Table 33. Comparison of the horizontal principles laid down in the Regulations on the assistance under ESIF in the period 2014-2020 and the Partnership Agreement</w:t>
        </w:r>
        <w:r w:rsidRPr="005A221F">
          <w:rPr>
            <w:noProof/>
            <w:webHidden/>
          </w:rPr>
          <w:tab/>
        </w:r>
        <w:r w:rsidRPr="005A221F">
          <w:rPr>
            <w:noProof/>
            <w:webHidden/>
          </w:rPr>
          <w:fldChar w:fldCharType="begin"/>
        </w:r>
        <w:r w:rsidRPr="005A221F">
          <w:rPr>
            <w:noProof/>
            <w:webHidden/>
          </w:rPr>
          <w:instrText xml:space="preserve"> PAGEREF _Toc396225628 \h </w:instrText>
        </w:r>
        <w:r w:rsidRPr="005A221F">
          <w:rPr>
            <w:noProof/>
            <w:webHidden/>
          </w:rPr>
        </w:r>
        <w:r w:rsidRPr="005A221F">
          <w:rPr>
            <w:noProof/>
            <w:webHidden/>
          </w:rPr>
          <w:fldChar w:fldCharType="separate"/>
        </w:r>
        <w:r w:rsidR="009330F5">
          <w:rPr>
            <w:noProof/>
            <w:webHidden/>
          </w:rPr>
          <w:t>110</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29" w:history="1">
        <w:r w:rsidRPr="005A221F">
          <w:rPr>
            <w:rStyle w:val="Hyperlink"/>
            <w:rFonts w:ascii="Verdana" w:hAnsi="Verdana"/>
            <w:noProof/>
          </w:rPr>
          <w:t>Table 34. Analysis of the way the horizontal principles are laid down in OPSESG</w:t>
        </w:r>
        <w:r w:rsidRPr="005A221F">
          <w:rPr>
            <w:noProof/>
            <w:webHidden/>
          </w:rPr>
          <w:tab/>
        </w:r>
        <w:r w:rsidRPr="005A221F">
          <w:rPr>
            <w:noProof/>
            <w:webHidden/>
          </w:rPr>
          <w:fldChar w:fldCharType="begin"/>
        </w:r>
        <w:r w:rsidRPr="005A221F">
          <w:rPr>
            <w:noProof/>
            <w:webHidden/>
          </w:rPr>
          <w:instrText xml:space="preserve"> PAGEREF _Toc396225629 \h </w:instrText>
        </w:r>
        <w:r w:rsidRPr="005A221F">
          <w:rPr>
            <w:noProof/>
            <w:webHidden/>
          </w:rPr>
        </w:r>
        <w:r w:rsidRPr="005A221F">
          <w:rPr>
            <w:noProof/>
            <w:webHidden/>
          </w:rPr>
          <w:fldChar w:fldCharType="separate"/>
        </w:r>
        <w:r w:rsidR="009330F5">
          <w:rPr>
            <w:noProof/>
            <w:webHidden/>
          </w:rPr>
          <w:t>111</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30" w:history="1">
        <w:r w:rsidRPr="005A221F">
          <w:rPr>
            <w:rStyle w:val="Hyperlink"/>
            <w:rFonts w:ascii="Verdana" w:hAnsi="Verdana"/>
            <w:noProof/>
          </w:rPr>
          <w:t>Table 35. Evaluation of the relevance and clarity of the system of indicators</w:t>
        </w:r>
        <w:r w:rsidRPr="005A221F">
          <w:rPr>
            <w:noProof/>
            <w:webHidden/>
          </w:rPr>
          <w:tab/>
        </w:r>
        <w:r w:rsidRPr="005A221F">
          <w:rPr>
            <w:noProof/>
            <w:webHidden/>
          </w:rPr>
          <w:fldChar w:fldCharType="begin"/>
        </w:r>
        <w:r w:rsidRPr="005A221F">
          <w:rPr>
            <w:noProof/>
            <w:webHidden/>
          </w:rPr>
          <w:instrText xml:space="preserve"> PAGEREF _Toc396225630 \h </w:instrText>
        </w:r>
        <w:r w:rsidRPr="005A221F">
          <w:rPr>
            <w:noProof/>
            <w:webHidden/>
          </w:rPr>
        </w:r>
        <w:r w:rsidRPr="005A221F">
          <w:rPr>
            <w:noProof/>
            <w:webHidden/>
          </w:rPr>
          <w:fldChar w:fldCharType="separate"/>
        </w:r>
        <w:r w:rsidR="009330F5">
          <w:rPr>
            <w:noProof/>
            <w:webHidden/>
          </w:rPr>
          <w:t>114</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31" w:history="1">
        <w:r w:rsidRPr="005A221F">
          <w:rPr>
            <w:rStyle w:val="Hyperlink"/>
            <w:rFonts w:ascii="Verdana" w:hAnsi="Verdana"/>
            <w:noProof/>
          </w:rPr>
          <w:t>Table 36. Comments on the new system of output indicators</w:t>
        </w:r>
        <w:r w:rsidRPr="005A221F">
          <w:rPr>
            <w:noProof/>
            <w:webHidden/>
          </w:rPr>
          <w:tab/>
        </w:r>
        <w:r w:rsidRPr="005A221F">
          <w:rPr>
            <w:noProof/>
            <w:webHidden/>
          </w:rPr>
          <w:fldChar w:fldCharType="begin"/>
        </w:r>
        <w:r w:rsidRPr="005A221F">
          <w:rPr>
            <w:noProof/>
            <w:webHidden/>
          </w:rPr>
          <w:instrText xml:space="preserve"> PAGEREF _Toc396225631 \h </w:instrText>
        </w:r>
        <w:r w:rsidRPr="005A221F">
          <w:rPr>
            <w:noProof/>
            <w:webHidden/>
          </w:rPr>
        </w:r>
        <w:r w:rsidRPr="005A221F">
          <w:rPr>
            <w:noProof/>
            <w:webHidden/>
          </w:rPr>
          <w:fldChar w:fldCharType="separate"/>
        </w:r>
        <w:r w:rsidR="009330F5">
          <w:rPr>
            <w:noProof/>
            <w:webHidden/>
          </w:rPr>
          <w:t>123</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32" w:history="1">
        <w:r w:rsidRPr="005A221F">
          <w:rPr>
            <w:rStyle w:val="Hyperlink"/>
            <w:rFonts w:ascii="Verdana" w:hAnsi="Verdana"/>
            <w:noProof/>
          </w:rPr>
          <w:t>Table 37. Comments on the new system of result indicators</w:t>
        </w:r>
        <w:r w:rsidRPr="005A221F">
          <w:rPr>
            <w:noProof/>
            <w:webHidden/>
          </w:rPr>
          <w:tab/>
        </w:r>
        <w:r w:rsidRPr="005A221F">
          <w:rPr>
            <w:noProof/>
            <w:webHidden/>
          </w:rPr>
          <w:fldChar w:fldCharType="begin"/>
        </w:r>
        <w:r w:rsidRPr="005A221F">
          <w:rPr>
            <w:noProof/>
            <w:webHidden/>
          </w:rPr>
          <w:instrText xml:space="preserve"> PAGEREF _Toc396225632 \h </w:instrText>
        </w:r>
        <w:r w:rsidRPr="005A221F">
          <w:rPr>
            <w:noProof/>
            <w:webHidden/>
          </w:rPr>
        </w:r>
        <w:r w:rsidRPr="005A221F">
          <w:rPr>
            <w:noProof/>
            <w:webHidden/>
          </w:rPr>
          <w:fldChar w:fldCharType="separate"/>
        </w:r>
        <w:r w:rsidR="009330F5">
          <w:rPr>
            <w:noProof/>
            <w:webHidden/>
          </w:rPr>
          <w:t>131</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33" w:history="1">
        <w:r w:rsidRPr="005A221F">
          <w:rPr>
            <w:rStyle w:val="Hyperlink"/>
            <w:rFonts w:ascii="Verdana" w:hAnsi="Verdana"/>
            <w:noProof/>
          </w:rPr>
          <w:t>Table 38. Comparison of the budget of OPSESG 2014-2020 with the budget for similar activities in the 2007-2013 programming period under Priority Axes</w:t>
        </w:r>
        <w:r w:rsidRPr="005A221F">
          <w:rPr>
            <w:noProof/>
            <w:webHidden/>
          </w:rPr>
          <w:tab/>
        </w:r>
        <w:r w:rsidRPr="005A221F">
          <w:rPr>
            <w:noProof/>
            <w:webHidden/>
          </w:rPr>
          <w:fldChar w:fldCharType="begin"/>
        </w:r>
        <w:r w:rsidRPr="005A221F">
          <w:rPr>
            <w:noProof/>
            <w:webHidden/>
          </w:rPr>
          <w:instrText xml:space="preserve"> PAGEREF _Toc396225633 \h </w:instrText>
        </w:r>
        <w:r w:rsidRPr="005A221F">
          <w:rPr>
            <w:noProof/>
            <w:webHidden/>
          </w:rPr>
        </w:r>
        <w:r w:rsidRPr="005A221F">
          <w:rPr>
            <w:noProof/>
            <w:webHidden/>
          </w:rPr>
          <w:fldChar w:fldCharType="separate"/>
        </w:r>
        <w:r w:rsidR="009330F5">
          <w:rPr>
            <w:noProof/>
            <w:webHidden/>
          </w:rPr>
          <w:t>140</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34" w:history="1">
        <w:r w:rsidRPr="005A221F">
          <w:rPr>
            <w:rStyle w:val="Hyperlink"/>
            <w:rFonts w:ascii="Verdana" w:hAnsi="Verdana"/>
            <w:noProof/>
          </w:rPr>
          <w:t>Table 37. Distribution of the experts by departments of SFIEP</w:t>
        </w:r>
        <w:r w:rsidRPr="005A221F">
          <w:rPr>
            <w:noProof/>
            <w:webHidden/>
          </w:rPr>
          <w:tab/>
        </w:r>
        <w:r w:rsidRPr="005A221F">
          <w:rPr>
            <w:noProof/>
            <w:webHidden/>
          </w:rPr>
          <w:fldChar w:fldCharType="begin"/>
        </w:r>
        <w:r w:rsidRPr="005A221F">
          <w:rPr>
            <w:noProof/>
            <w:webHidden/>
          </w:rPr>
          <w:instrText xml:space="preserve"> PAGEREF _Toc396225634 \h </w:instrText>
        </w:r>
        <w:r w:rsidRPr="005A221F">
          <w:rPr>
            <w:noProof/>
            <w:webHidden/>
          </w:rPr>
        </w:r>
        <w:r w:rsidRPr="005A221F">
          <w:rPr>
            <w:noProof/>
            <w:webHidden/>
          </w:rPr>
          <w:fldChar w:fldCharType="separate"/>
        </w:r>
        <w:r w:rsidR="009330F5">
          <w:rPr>
            <w:noProof/>
            <w:webHidden/>
          </w:rPr>
          <w:t>155</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35" w:history="1">
        <w:r w:rsidRPr="005A221F">
          <w:rPr>
            <w:rStyle w:val="Hyperlink"/>
            <w:rFonts w:ascii="Verdana" w:hAnsi="Verdana"/>
            <w:noProof/>
          </w:rPr>
          <w:t>Table 38. Risks related to the administrative capacity of OPSESG 2014-2020</w:t>
        </w:r>
        <w:r w:rsidRPr="005A221F">
          <w:rPr>
            <w:noProof/>
            <w:webHidden/>
          </w:rPr>
          <w:tab/>
        </w:r>
        <w:r w:rsidRPr="005A221F">
          <w:rPr>
            <w:noProof/>
            <w:webHidden/>
          </w:rPr>
          <w:fldChar w:fldCharType="begin"/>
        </w:r>
        <w:r w:rsidRPr="005A221F">
          <w:rPr>
            <w:noProof/>
            <w:webHidden/>
          </w:rPr>
          <w:instrText xml:space="preserve"> PAGEREF _Toc396225635 \h </w:instrText>
        </w:r>
        <w:r w:rsidRPr="005A221F">
          <w:rPr>
            <w:noProof/>
            <w:webHidden/>
          </w:rPr>
        </w:r>
        <w:r w:rsidRPr="005A221F">
          <w:rPr>
            <w:noProof/>
            <w:webHidden/>
          </w:rPr>
          <w:fldChar w:fldCharType="separate"/>
        </w:r>
        <w:r w:rsidR="009330F5">
          <w:rPr>
            <w:noProof/>
            <w:webHidden/>
          </w:rPr>
          <w:t>167</w:t>
        </w:r>
        <w:r w:rsidRPr="005A221F">
          <w:rPr>
            <w:noProof/>
            <w:webHidden/>
          </w:rPr>
          <w:fldChar w:fldCharType="end"/>
        </w:r>
      </w:hyperlink>
    </w:p>
    <w:p w:rsidR="005A221F" w:rsidRPr="005A221F" w:rsidRDefault="005A221F" w:rsidP="005A221F">
      <w:pPr>
        <w:pStyle w:val="TableofFigures"/>
        <w:tabs>
          <w:tab w:val="right" w:leader="dot" w:pos="9017"/>
        </w:tabs>
        <w:spacing w:before="60" w:after="60"/>
        <w:ind w:left="442" w:hanging="442"/>
        <w:rPr>
          <w:rFonts w:eastAsiaTheme="minorEastAsia" w:cstheme="minorBidi"/>
          <w:smallCaps w:val="0"/>
          <w:noProof/>
          <w:sz w:val="22"/>
          <w:szCs w:val="22"/>
          <w:lang w:val="bg-BG" w:eastAsia="bg-BG"/>
        </w:rPr>
      </w:pPr>
      <w:hyperlink w:anchor="_Toc396225636" w:history="1">
        <w:r w:rsidRPr="005A221F">
          <w:rPr>
            <w:rStyle w:val="Hyperlink"/>
            <w:rFonts w:ascii="Verdana" w:hAnsi="Verdana"/>
            <w:noProof/>
          </w:rPr>
          <w:t>Table 39. High-intensity risks and their treatment</w:t>
        </w:r>
        <w:r w:rsidRPr="005A221F">
          <w:rPr>
            <w:noProof/>
            <w:webHidden/>
          </w:rPr>
          <w:tab/>
        </w:r>
        <w:r w:rsidRPr="005A221F">
          <w:rPr>
            <w:noProof/>
            <w:webHidden/>
          </w:rPr>
          <w:fldChar w:fldCharType="begin"/>
        </w:r>
        <w:r w:rsidRPr="005A221F">
          <w:rPr>
            <w:noProof/>
            <w:webHidden/>
          </w:rPr>
          <w:instrText xml:space="preserve"> PAGEREF _Toc396225636 \h </w:instrText>
        </w:r>
        <w:r w:rsidRPr="005A221F">
          <w:rPr>
            <w:noProof/>
            <w:webHidden/>
          </w:rPr>
        </w:r>
        <w:r w:rsidRPr="005A221F">
          <w:rPr>
            <w:noProof/>
            <w:webHidden/>
          </w:rPr>
          <w:fldChar w:fldCharType="separate"/>
        </w:r>
        <w:r w:rsidR="009330F5">
          <w:rPr>
            <w:noProof/>
            <w:webHidden/>
          </w:rPr>
          <w:t>169</w:t>
        </w:r>
        <w:r w:rsidRPr="005A221F">
          <w:rPr>
            <w:noProof/>
            <w:webHidden/>
          </w:rPr>
          <w:fldChar w:fldCharType="end"/>
        </w:r>
      </w:hyperlink>
    </w:p>
    <w:p w:rsidR="00F24971" w:rsidRPr="005B6074" w:rsidRDefault="00A35E98" w:rsidP="005A221F">
      <w:pPr>
        <w:pStyle w:val="TableofFigures"/>
        <w:tabs>
          <w:tab w:val="right" w:leader="dot" w:pos="9017"/>
        </w:tabs>
        <w:spacing w:before="60" w:after="60"/>
        <w:ind w:left="442" w:hanging="442"/>
        <w:rPr>
          <w:rFonts w:ascii="Verdana" w:hAnsi="Verdana"/>
          <w:b/>
        </w:rPr>
      </w:pPr>
      <w:r w:rsidRPr="005A221F">
        <w:rPr>
          <w:rFonts w:ascii="Verdana" w:hAnsi="Verdana"/>
          <w:sz w:val="18"/>
          <w:szCs w:val="18"/>
        </w:rPr>
        <w:fldChar w:fldCharType="end"/>
      </w:r>
    </w:p>
    <w:p w:rsidR="003D506F" w:rsidRPr="005B6074" w:rsidRDefault="003D506F" w:rsidP="00F24971">
      <w:pPr>
        <w:sectPr w:rsidR="003D506F" w:rsidRPr="005B6074" w:rsidSect="00F24971">
          <w:pgSz w:w="11907" w:h="16839" w:code="9"/>
          <w:pgMar w:top="2169" w:right="1440" w:bottom="1440" w:left="1440" w:header="720" w:footer="239" w:gutter="0"/>
          <w:cols w:space="720"/>
          <w:docGrid w:linePitch="360"/>
        </w:sectPr>
      </w:pPr>
    </w:p>
    <w:p w:rsidR="00F24971" w:rsidRPr="005B6074" w:rsidRDefault="00A35E98" w:rsidP="00F24971">
      <w:pPr>
        <w:pStyle w:val="Heading1"/>
        <w:shd w:val="clear" w:color="auto" w:fill="0063B8"/>
        <w:tabs>
          <w:tab w:val="num" w:pos="720"/>
        </w:tabs>
        <w:spacing w:before="120" w:after="120" w:line="276" w:lineRule="auto"/>
        <w:ind w:left="720" w:hanging="720"/>
        <w:rPr>
          <w:rFonts w:ascii="Verdana" w:hAnsi="Verdana"/>
          <w:b w:val="0"/>
          <w:caps/>
          <w:color w:val="FFFFFF"/>
        </w:rPr>
      </w:pPr>
      <w:bookmarkStart w:id="26" w:name="_Toc390262431"/>
      <w:bookmarkStart w:id="27" w:name="_Toc396225546"/>
      <w:r w:rsidRPr="005B6074">
        <w:rPr>
          <w:rFonts w:ascii="Verdana" w:hAnsi="Verdana"/>
          <w:b w:val="0"/>
          <w:caps/>
          <w:color w:val="FFFFFF"/>
        </w:rPr>
        <w:lastRenderedPageBreak/>
        <w:t>List of Figures</w:t>
      </w:r>
      <w:bookmarkEnd w:id="26"/>
      <w:bookmarkEnd w:id="27"/>
    </w:p>
    <w:p w:rsidR="00F24971" w:rsidRPr="005B6074" w:rsidRDefault="00F24971" w:rsidP="00F24971">
      <w:pPr>
        <w:rPr>
          <w:rFonts w:ascii="Verdana" w:hAnsi="Verdana"/>
          <w:b/>
        </w:rPr>
      </w:pPr>
    </w:p>
    <w:p w:rsidR="005A221F" w:rsidRPr="005A221F" w:rsidRDefault="00A35E98" w:rsidP="005A221F">
      <w:pPr>
        <w:pStyle w:val="TableofFigures"/>
        <w:tabs>
          <w:tab w:val="right" w:leader="dot" w:pos="9017"/>
        </w:tabs>
        <w:spacing w:beforeLines="60" w:before="144" w:afterLines="60" w:after="144"/>
        <w:rPr>
          <w:rFonts w:ascii="Verdana" w:eastAsiaTheme="minorEastAsia" w:hAnsi="Verdana" w:cstheme="minorBidi"/>
          <w:smallCaps w:val="0"/>
          <w:noProof/>
          <w:sz w:val="22"/>
          <w:szCs w:val="22"/>
          <w:lang w:val="bg-BG" w:eastAsia="bg-BG"/>
        </w:rPr>
      </w:pPr>
      <w:r w:rsidRPr="005A221F">
        <w:rPr>
          <w:rStyle w:val="Hyperlink"/>
          <w:rFonts w:ascii="Verdana" w:hAnsi="Verdana"/>
          <w:noProof/>
        </w:rPr>
        <w:fldChar w:fldCharType="begin"/>
      </w:r>
      <w:r w:rsidRPr="005A221F">
        <w:rPr>
          <w:rStyle w:val="Hyperlink"/>
          <w:rFonts w:ascii="Verdana" w:hAnsi="Verdana"/>
          <w:noProof/>
        </w:rPr>
        <w:instrText xml:space="preserve"> TOC \h \z \c "Фигура" </w:instrText>
      </w:r>
      <w:r w:rsidRPr="005A221F">
        <w:rPr>
          <w:rStyle w:val="Hyperlink"/>
          <w:rFonts w:ascii="Verdana" w:hAnsi="Verdana"/>
          <w:noProof/>
        </w:rPr>
        <w:fldChar w:fldCharType="separate"/>
      </w:r>
      <w:hyperlink w:anchor="_Toc396225637" w:history="1">
        <w:r w:rsidR="005A221F" w:rsidRPr="005A221F">
          <w:rPr>
            <w:rStyle w:val="Hyperlink"/>
            <w:rFonts w:ascii="Verdana" w:hAnsi="Verdana"/>
            <w:noProof/>
          </w:rPr>
          <w:t>Figure 1: Defining the Scope of Evaluation</w:t>
        </w:r>
        <w:r w:rsidR="005A221F" w:rsidRPr="005A221F">
          <w:rPr>
            <w:rFonts w:ascii="Verdana" w:hAnsi="Verdana"/>
            <w:noProof/>
            <w:webHidden/>
          </w:rPr>
          <w:tab/>
        </w:r>
        <w:r w:rsidR="005A221F" w:rsidRPr="005A221F">
          <w:rPr>
            <w:rFonts w:ascii="Verdana" w:hAnsi="Verdana"/>
            <w:noProof/>
            <w:webHidden/>
          </w:rPr>
          <w:fldChar w:fldCharType="begin"/>
        </w:r>
        <w:r w:rsidR="005A221F" w:rsidRPr="005A221F">
          <w:rPr>
            <w:rFonts w:ascii="Verdana" w:hAnsi="Verdana"/>
            <w:noProof/>
            <w:webHidden/>
          </w:rPr>
          <w:instrText xml:space="preserve"> PAGEREF _Toc396225637 \h </w:instrText>
        </w:r>
        <w:r w:rsidR="005A221F" w:rsidRPr="005A221F">
          <w:rPr>
            <w:rFonts w:ascii="Verdana" w:hAnsi="Verdana"/>
            <w:noProof/>
            <w:webHidden/>
          </w:rPr>
        </w:r>
        <w:r w:rsidR="005A221F" w:rsidRPr="005A221F">
          <w:rPr>
            <w:rFonts w:ascii="Verdana" w:hAnsi="Verdana"/>
            <w:noProof/>
            <w:webHidden/>
          </w:rPr>
          <w:fldChar w:fldCharType="separate"/>
        </w:r>
        <w:r w:rsidR="009330F5">
          <w:rPr>
            <w:rFonts w:ascii="Verdana" w:hAnsi="Verdana"/>
            <w:noProof/>
            <w:webHidden/>
          </w:rPr>
          <w:t>24</w:t>
        </w:r>
        <w:r w:rsidR="005A221F" w:rsidRPr="005A221F">
          <w:rPr>
            <w:rFonts w:ascii="Verdana" w:hAnsi="Verdana"/>
            <w:noProof/>
            <w:webHidden/>
          </w:rPr>
          <w:fldChar w:fldCharType="end"/>
        </w:r>
      </w:hyperlink>
    </w:p>
    <w:p w:rsidR="005A221F" w:rsidRPr="005A221F" w:rsidRDefault="005A221F" w:rsidP="005A221F">
      <w:pPr>
        <w:pStyle w:val="TableofFigures"/>
        <w:tabs>
          <w:tab w:val="right" w:leader="dot" w:pos="9017"/>
        </w:tabs>
        <w:spacing w:beforeLines="60" w:before="144" w:afterLines="60" w:after="144"/>
        <w:rPr>
          <w:rFonts w:ascii="Verdana" w:eastAsiaTheme="minorEastAsia" w:hAnsi="Verdana" w:cstheme="minorBidi"/>
          <w:smallCaps w:val="0"/>
          <w:noProof/>
          <w:sz w:val="22"/>
          <w:szCs w:val="22"/>
          <w:lang w:val="bg-BG" w:eastAsia="bg-BG"/>
        </w:rPr>
      </w:pPr>
      <w:hyperlink w:anchor="_Toc396225638" w:history="1">
        <w:r w:rsidRPr="005A221F">
          <w:rPr>
            <w:rStyle w:val="Hyperlink"/>
            <w:rFonts w:ascii="Verdana" w:hAnsi="Verdana"/>
            <w:noProof/>
          </w:rPr>
          <w:t>Figure 2: Evaluation Approach</w:t>
        </w:r>
        <w:r w:rsidRPr="005A221F">
          <w:rPr>
            <w:rFonts w:ascii="Verdana" w:hAnsi="Verdana"/>
            <w:noProof/>
            <w:webHidden/>
          </w:rPr>
          <w:tab/>
        </w:r>
        <w:r w:rsidRPr="005A221F">
          <w:rPr>
            <w:rFonts w:ascii="Verdana" w:hAnsi="Verdana"/>
            <w:noProof/>
            <w:webHidden/>
          </w:rPr>
          <w:fldChar w:fldCharType="begin"/>
        </w:r>
        <w:r w:rsidRPr="005A221F">
          <w:rPr>
            <w:rFonts w:ascii="Verdana" w:hAnsi="Verdana"/>
            <w:noProof/>
            <w:webHidden/>
          </w:rPr>
          <w:instrText xml:space="preserve"> PAGEREF _Toc396225638 \h </w:instrText>
        </w:r>
        <w:r w:rsidRPr="005A221F">
          <w:rPr>
            <w:rFonts w:ascii="Verdana" w:hAnsi="Verdana"/>
            <w:noProof/>
            <w:webHidden/>
          </w:rPr>
        </w:r>
        <w:r w:rsidRPr="005A221F">
          <w:rPr>
            <w:rFonts w:ascii="Verdana" w:hAnsi="Verdana"/>
            <w:noProof/>
            <w:webHidden/>
          </w:rPr>
          <w:fldChar w:fldCharType="separate"/>
        </w:r>
        <w:r w:rsidR="009330F5">
          <w:rPr>
            <w:rFonts w:ascii="Verdana" w:hAnsi="Verdana"/>
            <w:noProof/>
            <w:webHidden/>
          </w:rPr>
          <w:t>26</w:t>
        </w:r>
        <w:r w:rsidRPr="005A221F">
          <w:rPr>
            <w:rFonts w:ascii="Verdana" w:hAnsi="Verdana"/>
            <w:noProof/>
            <w:webHidden/>
          </w:rPr>
          <w:fldChar w:fldCharType="end"/>
        </w:r>
      </w:hyperlink>
    </w:p>
    <w:p w:rsidR="005A221F" w:rsidRPr="005A221F" w:rsidRDefault="005A221F" w:rsidP="005A221F">
      <w:pPr>
        <w:pStyle w:val="TableofFigures"/>
        <w:tabs>
          <w:tab w:val="right" w:leader="dot" w:pos="9017"/>
        </w:tabs>
        <w:spacing w:beforeLines="60" w:before="144" w:afterLines="60" w:after="144"/>
        <w:rPr>
          <w:rFonts w:ascii="Verdana" w:eastAsiaTheme="minorEastAsia" w:hAnsi="Verdana" w:cstheme="minorBidi"/>
          <w:smallCaps w:val="0"/>
          <w:noProof/>
          <w:sz w:val="22"/>
          <w:szCs w:val="22"/>
          <w:lang w:val="bg-BG" w:eastAsia="bg-BG"/>
        </w:rPr>
      </w:pPr>
      <w:hyperlink w:anchor="_Toc396225639" w:history="1">
        <w:r w:rsidRPr="005A221F">
          <w:rPr>
            <w:rStyle w:val="Hyperlink"/>
            <w:rFonts w:ascii="Verdana" w:hAnsi="Verdana"/>
            <w:noProof/>
          </w:rPr>
          <w:t>Figure 3: Approaches to the provision of the funds under the Programme</w:t>
        </w:r>
        <w:r w:rsidRPr="005A221F">
          <w:rPr>
            <w:rFonts w:ascii="Verdana" w:hAnsi="Verdana"/>
            <w:noProof/>
            <w:webHidden/>
          </w:rPr>
          <w:tab/>
        </w:r>
        <w:r w:rsidRPr="005A221F">
          <w:rPr>
            <w:rFonts w:ascii="Verdana" w:hAnsi="Verdana"/>
            <w:noProof/>
            <w:webHidden/>
          </w:rPr>
          <w:fldChar w:fldCharType="begin"/>
        </w:r>
        <w:r w:rsidRPr="005A221F">
          <w:rPr>
            <w:rFonts w:ascii="Verdana" w:hAnsi="Verdana"/>
            <w:noProof/>
            <w:webHidden/>
          </w:rPr>
          <w:instrText xml:space="preserve"> PAGEREF _Toc396225639 \h </w:instrText>
        </w:r>
        <w:r w:rsidRPr="005A221F">
          <w:rPr>
            <w:rFonts w:ascii="Verdana" w:hAnsi="Verdana"/>
            <w:noProof/>
            <w:webHidden/>
          </w:rPr>
        </w:r>
        <w:r w:rsidRPr="005A221F">
          <w:rPr>
            <w:rFonts w:ascii="Verdana" w:hAnsi="Verdana"/>
            <w:noProof/>
            <w:webHidden/>
          </w:rPr>
          <w:fldChar w:fldCharType="separate"/>
        </w:r>
        <w:r w:rsidR="009330F5">
          <w:rPr>
            <w:rFonts w:ascii="Verdana" w:hAnsi="Verdana"/>
            <w:noProof/>
            <w:webHidden/>
          </w:rPr>
          <w:t>99</w:t>
        </w:r>
        <w:r w:rsidRPr="005A221F">
          <w:rPr>
            <w:rFonts w:ascii="Verdana" w:hAnsi="Verdana"/>
            <w:noProof/>
            <w:webHidden/>
          </w:rPr>
          <w:fldChar w:fldCharType="end"/>
        </w:r>
      </w:hyperlink>
    </w:p>
    <w:p w:rsidR="005A221F" w:rsidRPr="005A221F" w:rsidRDefault="005A221F" w:rsidP="005A221F">
      <w:pPr>
        <w:pStyle w:val="TableofFigures"/>
        <w:tabs>
          <w:tab w:val="right" w:leader="dot" w:pos="9017"/>
        </w:tabs>
        <w:spacing w:beforeLines="60" w:before="144" w:afterLines="60" w:after="144"/>
        <w:rPr>
          <w:rFonts w:ascii="Verdana" w:eastAsiaTheme="minorEastAsia" w:hAnsi="Verdana" w:cstheme="minorBidi"/>
          <w:smallCaps w:val="0"/>
          <w:noProof/>
          <w:sz w:val="22"/>
          <w:szCs w:val="22"/>
          <w:lang w:val="bg-BG" w:eastAsia="bg-BG"/>
        </w:rPr>
      </w:pPr>
      <w:hyperlink w:anchor="_Toc396225640" w:history="1">
        <w:r w:rsidRPr="005A221F">
          <w:rPr>
            <w:rStyle w:val="Hyperlink"/>
            <w:rFonts w:ascii="Verdana" w:hAnsi="Verdana"/>
            <w:noProof/>
          </w:rPr>
          <w:t>Figure 4: Possible areas for application of financial instruments</w:t>
        </w:r>
        <w:r w:rsidRPr="005A221F">
          <w:rPr>
            <w:rFonts w:ascii="Verdana" w:hAnsi="Verdana"/>
            <w:noProof/>
            <w:webHidden/>
          </w:rPr>
          <w:tab/>
        </w:r>
        <w:r w:rsidRPr="005A221F">
          <w:rPr>
            <w:rFonts w:ascii="Verdana" w:hAnsi="Verdana"/>
            <w:noProof/>
            <w:webHidden/>
          </w:rPr>
          <w:fldChar w:fldCharType="begin"/>
        </w:r>
        <w:r w:rsidRPr="005A221F">
          <w:rPr>
            <w:rFonts w:ascii="Verdana" w:hAnsi="Verdana"/>
            <w:noProof/>
            <w:webHidden/>
          </w:rPr>
          <w:instrText xml:space="preserve"> PAGEREF _Toc396225640 \h </w:instrText>
        </w:r>
        <w:r w:rsidRPr="005A221F">
          <w:rPr>
            <w:rFonts w:ascii="Verdana" w:hAnsi="Verdana"/>
            <w:noProof/>
            <w:webHidden/>
          </w:rPr>
        </w:r>
        <w:r w:rsidRPr="005A221F">
          <w:rPr>
            <w:rFonts w:ascii="Verdana" w:hAnsi="Verdana"/>
            <w:noProof/>
            <w:webHidden/>
          </w:rPr>
          <w:fldChar w:fldCharType="separate"/>
        </w:r>
        <w:r w:rsidR="009330F5">
          <w:rPr>
            <w:rFonts w:ascii="Verdana" w:hAnsi="Verdana"/>
            <w:noProof/>
            <w:webHidden/>
          </w:rPr>
          <w:t>100</w:t>
        </w:r>
        <w:r w:rsidRPr="005A221F">
          <w:rPr>
            <w:rFonts w:ascii="Verdana" w:hAnsi="Verdana"/>
            <w:noProof/>
            <w:webHidden/>
          </w:rPr>
          <w:fldChar w:fldCharType="end"/>
        </w:r>
      </w:hyperlink>
    </w:p>
    <w:p w:rsidR="005A221F" w:rsidRPr="005A221F" w:rsidRDefault="005A221F" w:rsidP="005A221F">
      <w:pPr>
        <w:pStyle w:val="TableofFigures"/>
        <w:tabs>
          <w:tab w:val="right" w:leader="dot" w:pos="9017"/>
        </w:tabs>
        <w:spacing w:beforeLines="60" w:before="144" w:afterLines="60" w:after="144"/>
        <w:rPr>
          <w:rFonts w:ascii="Verdana" w:eastAsiaTheme="minorEastAsia" w:hAnsi="Verdana" w:cstheme="minorBidi"/>
          <w:smallCaps w:val="0"/>
          <w:noProof/>
          <w:sz w:val="22"/>
          <w:szCs w:val="22"/>
          <w:lang w:val="bg-BG" w:eastAsia="bg-BG"/>
        </w:rPr>
      </w:pPr>
      <w:hyperlink w:anchor="_Toc396225641" w:history="1">
        <w:r w:rsidRPr="005A221F">
          <w:rPr>
            <w:rStyle w:val="Hyperlink"/>
            <w:rFonts w:ascii="Verdana" w:hAnsi="Verdana"/>
            <w:noProof/>
          </w:rPr>
          <w:t>Figure 5: Priority areas of support according to the conducted on-line survey</w:t>
        </w:r>
        <w:r w:rsidRPr="005A221F">
          <w:rPr>
            <w:rFonts w:ascii="Verdana" w:hAnsi="Verdana"/>
            <w:noProof/>
            <w:webHidden/>
          </w:rPr>
          <w:tab/>
        </w:r>
        <w:r w:rsidRPr="005A221F">
          <w:rPr>
            <w:rFonts w:ascii="Verdana" w:hAnsi="Verdana"/>
            <w:noProof/>
            <w:webHidden/>
          </w:rPr>
          <w:fldChar w:fldCharType="begin"/>
        </w:r>
        <w:r w:rsidRPr="005A221F">
          <w:rPr>
            <w:rFonts w:ascii="Verdana" w:hAnsi="Verdana"/>
            <w:noProof/>
            <w:webHidden/>
          </w:rPr>
          <w:instrText xml:space="preserve"> PAGEREF _Toc396225641 \h </w:instrText>
        </w:r>
        <w:r w:rsidRPr="005A221F">
          <w:rPr>
            <w:rFonts w:ascii="Verdana" w:hAnsi="Verdana"/>
            <w:noProof/>
            <w:webHidden/>
          </w:rPr>
        </w:r>
        <w:r w:rsidRPr="005A221F">
          <w:rPr>
            <w:rFonts w:ascii="Verdana" w:hAnsi="Verdana"/>
            <w:noProof/>
            <w:webHidden/>
          </w:rPr>
          <w:fldChar w:fldCharType="separate"/>
        </w:r>
        <w:r w:rsidR="009330F5">
          <w:rPr>
            <w:rFonts w:ascii="Verdana" w:hAnsi="Verdana"/>
            <w:noProof/>
            <w:webHidden/>
          </w:rPr>
          <w:t>107</w:t>
        </w:r>
        <w:r w:rsidRPr="005A221F">
          <w:rPr>
            <w:rFonts w:ascii="Verdana" w:hAnsi="Verdana"/>
            <w:noProof/>
            <w:webHidden/>
          </w:rPr>
          <w:fldChar w:fldCharType="end"/>
        </w:r>
      </w:hyperlink>
    </w:p>
    <w:p w:rsidR="005A221F" w:rsidRPr="005A221F" w:rsidRDefault="005A221F" w:rsidP="005A221F">
      <w:pPr>
        <w:pStyle w:val="TableofFigures"/>
        <w:tabs>
          <w:tab w:val="right" w:leader="dot" w:pos="9017"/>
        </w:tabs>
        <w:spacing w:beforeLines="60" w:before="144" w:afterLines="60" w:after="144"/>
        <w:rPr>
          <w:rFonts w:ascii="Verdana" w:eastAsiaTheme="minorEastAsia" w:hAnsi="Verdana" w:cstheme="minorBidi"/>
          <w:smallCaps w:val="0"/>
          <w:noProof/>
          <w:sz w:val="22"/>
          <w:szCs w:val="22"/>
          <w:lang w:val="bg-BG" w:eastAsia="bg-BG"/>
        </w:rPr>
      </w:pPr>
      <w:hyperlink w:anchor="_Toc396225642" w:history="1">
        <w:r w:rsidRPr="005A221F">
          <w:rPr>
            <w:rStyle w:val="Hyperlink"/>
            <w:rFonts w:ascii="Verdana" w:hAnsi="Verdana"/>
            <w:noProof/>
          </w:rPr>
          <w:t>Figure 6: Structure of the budget of OPSESG 2014-2020 by priority axes and funds</w:t>
        </w:r>
        <w:r w:rsidRPr="005A221F">
          <w:rPr>
            <w:rFonts w:ascii="Verdana" w:hAnsi="Verdana"/>
            <w:noProof/>
            <w:webHidden/>
          </w:rPr>
          <w:tab/>
        </w:r>
        <w:r w:rsidRPr="005A221F">
          <w:rPr>
            <w:rFonts w:ascii="Verdana" w:hAnsi="Verdana"/>
            <w:noProof/>
            <w:webHidden/>
          </w:rPr>
          <w:fldChar w:fldCharType="begin"/>
        </w:r>
        <w:r w:rsidRPr="005A221F">
          <w:rPr>
            <w:rFonts w:ascii="Verdana" w:hAnsi="Verdana"/>
            <w:noProof/>
            <w:webHidden/>
          </w:rPr>
          <w:instrText xml:space="preserve"> PAGEREF _Toc396225642 \h </w:instrText>
        </w:r>
        <w:r w:rsidRPr="005A221F">
          <w:rPr>
            <w:rFonts w:ascii="Verdana" w:hAnsi="Verdana"/>
            <w:noProof/>
            <w:webHidden/>
          </w:rPr>
        </w:r>
        <w:r w:rsidRPr="005A221F">
          <w:rPr>
            <w:rFonts w:ascii="Verdana" w:hAnsi="Verdana"/>
            <w:noProof/>
            <w:webHidden/>
          </w:rPr>
          <w:fldChar w:fldCharType="separate"/>
        </w:r>
        <w:r w:rsidR="009330F5">
          <w:rPr>
            <w:rFonts w:ascii="Verdana" w:hAnsi="Verdana"/>
            <w:noProof/>
            <w:webHidden/>
          </w:rPr>
          <w:t>139</w:t>
        </w:r>
        <w:r w:rsidRPr="005A221F">
          <w:rPr>
            <w:rFonts w:ascii="Verdana" w:hAnsi="Verdana"/>
            <w:noProof/>
            <w:webHidden/>
          </w:rPr>
          <w:fldChar w:fldCharType="end"/>
        </w:r>
      </w:hyperlink>
    </w:p>
    <w:p w:rsidR="005A221F" w:rsidRPr="005A221F" w:rsidRDefault="005A221F" w:rsidP="005A221F">
      <w:pPr>
        <w:pStyle w:val="TableofFigures"/>
        <w:tabs>
          <w:tab w:val="right" w:leader="dot" w:pos="9017"/>
        </w:tabs>
        <w:spacing w:beforeLines="60" w:before="144" w:afterLines="60" w:after="144"/>
        <w:rPr>
          <w:rFonts w:ascii="Verdana" w:eastAsiaTheme="minorEastAsia" w:hAnsi="Verdana" w:cstheme="minorBidi"/>
          <w:smallCaps w:val="0"/>
          <w:noProof/>
          <w:sz w:val="22"/>
          <w:szCs w:val="22"/>
          <w:lang w:val="bg-BG" w:eastAsia="bg-BG"/>
        </w:rPr>
      </w:pPr>
      <w:hyperlink w:anchor="_Toc396225643" w:history="1">
        <w:r w:rsidRPr="005A221F">
          <w:rPr>
            <w:rStyle w:val="Hyperlink"/>
            <w:rFonts w:ascii="Verdana" w:hAnsi="Verdana"/>
            <w:noProof/>
            <w:lang w:eastAsia="en-US"/>
          </w:rPr>
          <w:t>Figure 7: Break-down of budget commitments by years – OPSESG 2014-2020 - compared to comparable investment in 2007-2013</w:t>
        </w:r>
        <w:r w:rsidRPr="005A221F">
          <w:rPr>
            <w:rFonts w:ascii="Verdana" w:hAnsi="Verdana"/>
            <w:noProof/>
            <w:webHidden/>
          </w:rPr>
          <w:tab/>
        </w:r>
        <w:r w:rsidRPr="005A221F">
          <w:rPr>
            <w:rFonts w:ascii="Verdana" w:hAnsi="Verdana"/>
            <w:noProof/>
            <w:webHidden/>
          </w:rPr>
          <w:fldChar w:fldCharType="begin"/>
        </w:r>
        <w:r w:rsidRPr="005A221F">
          <w:rPr>
            <w:rFonts w:ascii="Verdana" w:hAnsi="Verdana"/>
            <w:noProof/>
            <w:webHidden/>
          </w:rPr>
          <w:instrText xml:space="preserve"> PAGEREF _Toc396225643 \h </w:instrText>
        </w:r>
        <w:r w:rsidRPr="005A221F">
          <w:rPr>
            <w:rFonts w:ascii="Verdana" w:hAnsi="Verdana"/>
            <w:noProof/>
            <w:webHidden/>
          </w:rPr>
        </w:r>
        <w:r w:rsidRPr="005A221F">
          <w:rPr>
            <w:rFonts w:ascii="Verdana" w:hAnsi="Verdana"/>
            <w:noProof/>
            <w:webHidden/>
          </w:rPr>
          <w:fldChar w:fldCharType="separate"/>
        </w:r>
        <w:r w:rsidR="009330F5">
          <w:rPr>
            <w:rFonts w:ascii="Verdana" w:hAnsi="Verdana"/>
            <w:noProof/>
            <w:webHidden/>
          </w:rPr>
          <w:t>141</w:t>
        </w:r>
        <w:r w:rsidRPr="005A221F">
          <w:rPr>
            <w:rFonts w:ascii="Verdana" w:hAnsi="Verdana"/>
            <w:noProof/>
            <w:webHidden/>
          </w:rPr>
          <w:fldChar w:fldCharType="end"/>
        </w:r>
      </w:hyperlink>
    </w:p>
    <w:p w:rsidR="005A221F" w:rsidRPr="005A221F" w:rsidRDefault="005A221F" w:rsidP="005A221F">
      <w:pPr>
        <w:pStyle w:val="TableofFigures"/>
        <w:tabs>
          <w:tab w:val="right" w:leader="dot" w:pos="9017"/>
        </w:tabs>
        <w:spacing w:beforeLines="60" w:before="144" w:afterLines="60" w:after="144"/>
        <w:rPr>
          <w:rFonts w:ascii="Verdana" w:eastAsiaTheme="minorEastAsia" w:hAnsi="Verdana" w:cstheme="minorBidi"/>
          <w:smallCaps w:val="0"/>
          <w:noProof/>
          <w:sz w:val="22"/>
          <w:szCs w:val="22"/>
          <w:lang w:val="bg-BG" w:eastAsia="bg-BG"/>
        </w:rPr>
      </w:pPr>
      <w:hyperlink w:anchor="_Toc396225644" w:history="1">
        <w:r w:rsidRPr="005A221F">
          <w:rPr>
            <w:rStyle w:val="Hyperlink"/>
            <w:rFonts w:ascii="Verdana" w:hAnsi="Verdana"/>
            <w:noProof/>
            <w:lang w:eastAsia="en-US"/>
          </w:rPr>
          <w:t>Figure 8: Absorption during 2007-2013</w:t>
        </w:r>
        <w:r w:rsidRPr="005A221F">
          <w:rPr>
            <w:rFonts w:ascii="Verdana" w:hAnsi="Verdana"/>
            <w:noProof/>
            <w:webHidden/>
          </w:rPr>
          <w:tab/>
        </w:r>
        <w:r w:rsidRPr="005A221F">
          <w:rPr>
            <w:rFonts w:ascii="Verdana" w:hAnsi="Verdana"/>
            <w:noProof/>
            <w:webHidden/>
          </w:rPr>
          <w:fldChar w:fldCharType="begin"/>
        </w:r>
        <w:r w:rsidRPr="005A221F">
          <w:rPr>
            <w:rFonts w:ascii="Verdana" w:hAnsi="Verdana"/>
            <w:noProof/>
            <w:webHidden/>
          </w:rPr>
          <w:instrText xml:space="preserve"> PAGEREF _Toc396225644 \h </w:instrText>
        </w:r>
        <w:r w:rsidRPr="005A221F">
          <w:rPr>
            <w:rFonts w:ascii="Verdana" w:hAnsi="Verdana"/>
            <w:noProof/>
            <w:webHidden/>
          </w:rPr>
        </w:r>
        <w:r w:rsidRPr="005A221F">
          <w:rPr>
            <w:rFonts w:ascii="Verdana" w:hAnsi="Verdana"/>
            <w:noProof/>
            <w:webHidden/>
          </w:rPr>
          <w:fldChar w:fldCharType="separate"/>
        </w:r>
        <w:r w:rsidR="009330F5">
          <w:rPr>
            <w:rFonts w:ascii="Verdana" w:hAnsi="Verdana"/>
            <w:noProof/>
            <w:webHidden/>
          </w:rPr>
          <w:t>142</w:t>
        </w:r>
        <w:r w:rsidRPr="005A221F">
          <w:rPr>
            <w:rFonts w:ascii="Verdana" w:hAnsi="Verdana"/>
            <w:noProof/>
            <w:webHidden/>
          </w:rPr>
          <w:fldChar w:fldCharType="end"/>
        </w:r>
      </w:hyperlink>
    </w:p>
    <w:p w:rsidR="005A221F" w:rsidRPr="005A221F" w:rsidRDefault="005A221F" w:rsidP="005A221F">
      <w:pPr>
        <w:pStyle w:val="TableofFigures"/>
        <w:tabs>
          <w:tab w:val="right" w:leader="dot" w:pos="9017"/>
        </w:tabs>
        <w:spacing w:beforeLines="60" w:before="144" w:afterLines="60" w:after="144"/>
        <w:rPr>
          <w:rFonts w:ascii="Verdana" w:eastAsiaTheme="minorEastAsia" w:hAnsi="Verdana" w:cstheme="minorBidi"/>
          <w:smallCaps w:val="0"/>
          <w:noProof/>
          <w:sz w:val="22"/>
          <w:szCs w:val="22"/>
          <w:lang w:val="bg-BG" w:eastAsia="bg-BG"/>
        </w:rPr>
      </w:pPr>
      <w:hyperlink w:anchor="_Toc396225645" w:history="1">
        <w:r w:rsidRPr="005A221F">
          <w:rPr>
            <w:rStyle w:val="Hyperlink"/>
            <w:rFonts w:ascii="Verdana" w:hAnsi="Verdana"/>
            <w:noProof/>
            <w:lang w:eastAsia="en-US"/>
          </w:rPr>
          <w:t>Figure 9: Absorption during 2014-2020</w:t>
        </w:r>
        <w:r w:rsidRPr="005A221F">
          <w:rPr>
            <w:rFonts w:ascii="Verdana" w:hAnsi="Verdana"/>
            <w:noProof/>
            <w:webHidden/>
          </w:rPr>
          <w:tab/>
        </w:r>
        <w:r w:rsidRPr="005A221F">
          <w:rPr>
            <w:rFonts w:ascii="Verdana" w:hAnsi="Verdana"/>
            <w:noProof/>
            <w:webHidden/>
          </w:rPr>
          <w:fldChar w:fldCharType="begin"/>
        </w:r>
        <w:r w:rsidRPr="005A221F">
          <w:rPr>
            <w:rFonts w:ascii="Verdana" w:hAnsi="Verdana"/>
            <w:noProof/>
            <w:webHidden/>
          </w:rPr>
          <w:instrText xml:space="preserve"> PAGEREF _Toc396225645 \h </w:instrText>
        </w:r>
        <w:r w:rsidRPr="005A221F">
          <w:rPr>
            <w:rFonts w:ascii="Verdana" w:hAnsi="Verdana"/>
            <w:noProof/>
            <w:webHidden/>
          </w:rPr>
        </w:r>
        <w:r w:rsidRPr="005A221F">
          <w:rPr>
            <w:rFonts w:ascii="Verdana" w:hAnsi="Verdana"/>
            <w:noProof/>
            <w:webHidden/>
          </w:rPr>
          <w:fldChar w:fldCharType="separate"/>
        </w:r>
        <w:r w:rsidR="009330F5">
          <w:rPr>
            <w:rFonts w:ascii="Verdana" w:hAnsi="Verdana"/>
            <w:noProof/>
            <w:webHidden/>
          </w:rPr>
          <w:t>142</w:t>
        </w:r>
        <w:r w:rsidRPr="005A221F">
          <w:rPr>
            <w:rFonts w:ascii="Verdana" w:hAnsi="Verdana"/>
            <w:noProof/>
            <w:webHidden/>
          </w:rPr>
          <w:fldChar w:fldCharType="end"/>
        </w:r>
      </w:hyperlink>
    </w:p>
    <w:p w:rsidR="005A221F" w:rsidRPr="005A221F" w:rsidRDefault="005A221F" w:rsidP="005A221F">
      <w:pPr>
        <w:pStyle w:val="TableofFigures"/>
        <w:tabs>
          <w:tab w:val="right" w:leader="dot" w:pos="9017"/>
        </w:tabs>
        <w:spacing w:beforeLines="60" w:before="144" w:afterLines="60" w:after="144"/>
        <w:rPr>
          <w:rFonts w:ascii="Verdana" w:eastAsiaTheme="minorEastAsia" w:hAnsi="Verdana" w:cstheme="minorBidi"/>
          <w:smallCaps w:val="0"/>
          <w:noProof/>
          <w:sz w:val="22"/>
          <w:szCs w:val="22"/>
          <w:lang w:val="bg-BG" w:eastAsia="bg-BG"/>
        </w:rPr>
      </w:pPr>
      <w:hyperlink w:anchor="_Toc396225646" w:history="1">
        <w:r w:rsidRPr="005A221F">
          <w:rPr>
            <w:rStyle w:val="Hyperlink"/>
            <w:rFonts w:ascii="Verdana" w:hAnsi="Verdana"/>
            <w:noProof/>
            <w:lang w:eastAsia="en-US"/>
          </w:rPr>
          <w:t>Figure 10: Risk of automatic decommitment of funds under the alternative distribution of the budget of OPSESG 2014-2020, per year</w:t>
        </w:r>
        <w:r w:rsidRPr="005A221F">
          <w:rPr>
            <w:rFonts w:ascii="Verdana" w:hAnsi="Verdana"/>
            <w:noProof/>
            <w:webHidden/>
          </w:rPr>
          <w:tab/>
        </w:r>
        <w:r w:rsidRPr="005A221F">
          <w:rPr>
            <w:rFonts w:ascii="Verdana" w:hAnsi="Verdana"/>
            <w:noProof/>
            <w:webHidden/>
          </w:rPr>
          <w:fldChar w:fldCharType="begin"/>
        </w:r>
        <w:r w:rsidRPr="005A221F">
          <w:rPr>
            <w:rFonts w:ascii="Verdana" w:hAnsi="Verdana"/>
            <w:noProof/>
            <w:webHidden/>
          </w:rPr>
          <w:instrText xml:space="preserve"> PAGEREF _Toc396225646 \h </w:instrText>
        </w:r>
        <w:r w:rsidRPr="005A221F">
          <w:rPr>
            <w:rFonts w:ascii="Verdana" w:hAnsi="Verdana"/>
            <w:noProof/>
            <w:webHidden/>
          </w:rPr>
        </w:r>
        <w:r w:rsidRPr="005A221F">
          <w:rPr>
            <w:rFonts w:ascii="Verdana" w:hAnsi="Verdana"/>
            <w:noProof/>
            <w:webHidden/>
          </w:rPr>
          <w:fldChar w:fldCharType="separate"/>
        </w:r>
        <w:r w:rsidR="009330F5">
          <w:rPr>
            <w:rFonts w:ascii="Verdana" w:hAnsi="Verdana"/>
            <w:noProof/>
            <w:webHidden/>
          </w:rPr>
          <w:t>143</w:t>
        </w:r>
        <w:r w:rsidRPr="005A221F">
          <w:rPr>
            <w:rFonts w:ascii="Verdana" w:hAnsi="Verdana"/>
            <w:noProof/>
            <w:webHidden/>
          </w:rPr>
          <w:fldChar w:fldCharType="end"/>
        </w:r>
      </w:hyperlink>
    </w:p>
    <w:p w:rsidR="005A221F" w:rsidRPr="005A221F" w:rsidRDefault="005A221F" w:rsidP="005A221F">
      <w:pPr>
        <w:pStyle w:val="TableofFigures"/>
        <w:tabs>
          <w:tab w:val="right" w:leader="dot" w:pos="9017"/>
        </w:tabs>
        <w:spacing w:beforeLines="60" w:before="144" w:afterLines="60" w:after="144"/>
        <w:rPr>
          <w:rFonts w:ascii="Verdana" w:eastAsiaTheme="minorEastAsia" w:hAnsi="Verdana" w:cstheme="minorBidi"/>
          <w:smallCaps w:val="0"/>
          <w:noProof/>
          <w:sz w:val="22"/>
          <w:szCs w:val="22"/>
          <w:lang w:val="bg-BG" w:eastAsia="bg-BG"/>
        </w:rPr>
      </w:pPr>
      <w:hyperlink w:anchor="_Toc396225647" w:history="1">
        <w:r w:rsidRPr="005A221F">
          <w:rPr>
            <w:rStyle w:val="Hyperlink"/>
            <w:rFonts w:ascii="Verdana" w:hAnsi="Verdana"/>
            <w:noProof/>
          </w:rPr>
          <w:t>Figure 12: Distribution of responses on the share of financing under the PAs</w:t>
        </w:r>
        <w:r w:rsidRPr="005A221F">
          <w:rPr>
            <w:rFonts w:ascii="Verdana" w:hAnsi="Verdana"/>
            <w:noProof/>
            <w:webHidden/>
          </w:rPr>
          <w:tab/>
        </w:r>
        <w:r w:rsidRPr="005A221F">
          <w:rPr>
            <w:rFonts w:ascii="Verdana" w:hAnsi="Verdana"/>
            <w:noProof/>
            <w:webHidden/>
          </w:rPr>
          <w:fldChar w:fldCharType="begin"/>
        </w:r>
        <w:r w:rsidRPr="005A221F">
          <w:rPr>
            <w:rFonts w:ascii="Verdana" w:hAnsi="Verdana"/>
            <w:noProof/>
            <w:webHidden/>
          </w:rPr>
          <w:instrText xml:space="preserve"> PAGEREF _Toc396225647 \h </w:instrText>
        </w:r>
        <w:r w:rsidRPr="005A221F">
          <w:rPr>
            <w:rFonts w:ascii="Verdana" w:hAnsi="Verdana"/>
            <w:noProof/>
            <w:webHidden/>
          </w:rPr>
        </w:r>
        <w:r w:rsidRPr="005A221F">
          <w:rPr>
            <w:rFonts w:ascii="Verdana" w:hAnsi="Verdana"/>
            <w:noProof/>
            <w:webHidden/>
          </w:rPr>
          <w:fldChar w:fldCharType="separate"/>
        </w:r>
        <w:r w:rsidR="009330F5">
          <w:rPr>
            <w:rFonts w:ascii="Verdana" w:hAnsi="Verdana"/>
            <w:noProof/>
            <w:webHidden/>
          </w:rPr>
          <w:t>144</w:t>
        </w:r>
        <w:r w:rsidRPr="005A221F">
          <w:rPr>
            <w:rFonts w:ascii="Verdana" w:hAnsi="Verdana"/>
            <w:noProof/>
            <w:webHidden/>
          </w:rPr>
          <w:fldChar w:fldCharType="end"/>
        </w:r>
      </w:hyperlink>
    </w:p>
    <w:p w:rsidR="005A221F" w:rsidRPr="005A221F" w:rsidRDefault="005A221F" w:rsidP="005A221F">
      <w:pPr>
        <w:pStyle w:val="TableofFigures"/>
        <w:tabs>
          <w:tab w:val="right" w:leader="dot" w:pos="9017"/>
        </w:tabs>
        <w:spacing w:beforeLines="60" w:before="144" w:afterLines="60" w:after="144"/>
        <w:rPr>
          <w:rFonts w:ascii="Verdana" w:eastAsiaTheme="minorEastAsia" w:hAnsi="Verdana" w:cstheme="minorBidi"/>
          <w:smallCaps w:val="0"/>
          <w:noProof/>
          <w:sz w:val="22"/>
          <w:szCs w:val="22"/>
          <w:lang w:val="bg-BG" w:eastAsia="bg-BG"/>
        </w:rPr>
      </w:pPr>
      <w:hyperlink w:anchor="_Toc396225648" w:history="1">
        <w:r w:rsidRPr="005A221F">
          <w:rPr>
            <w:rStyle w:val="Hyperlink"/>
            <w:rFonts w:ascii="Verdana" w:hAnsi="Verdana"/>
            <w:noProof/>
          </w:rPr>
          <w:t>Figure 13: Organizational chart of DG SFIEP</w:t>
        </w:r>
        <w:r w:rsidRPr="005A221F">
          <w:rPr>
            <w:rFonts w:ascii="Verdana" w:hAnsi="Verdana"/>
            <w:noProof/>
            <w:webHidden/>
          </w:rPr>
          <w:tab/>
        </w:r>
        <w:r w:rsidRPr="005A221F">
          <w:rPr>
            <w:rFonts w:ascii="Verdana" w:hAnsi="Verdana"/>
            <w:noProof/>
            <w:webHidden/>
          </w:rPr>
          <w:fldChar w:fldCharType="begin"/>
        </w:r>
        <w:r w:rsidRPr="005A221F">
          <w:rPr>
            <w:rFonts w:ascii="Verdana" w:hAnsi="Verdana"/>
            <w:noProof/>
            <w:webHidden/>
          </w:rPr>
          <w:instrText xml:space="preserve"> PAGEREF _Toc396225648 \h </w:instrText>
        </w:r>
        <w:r w:rsidRPr="005A221F">
          <w:rPr>
            <w:rFonts w:ascii="Verdana" w:hAnsi="Verdana"/>
            <w:noProof/>
            <w:webHidden/>
          </w:rPr>
        </w:r>
        <w:r w:rsidRPr="005A221F">
          <w:rPr>
            <w:rFonts w:ascii="Verdana" w:hAnsi="Verdana"/>
            <w:noProof/>
            <w:webHidden/>
          </w:rPr>
          <w:fldChar w:fldCharType="separate"/>
        </w:r>
        <w:r w:rsidR="009330F5">
          <w:rPr>
            <w:rFonts w:ascii="Verdana" w:hAnsi="Verdana"/>
            <w:noProof/>
            <w:webHidden/>
          </w:rPr>
          <w:t>153</w:t>
        </w:r>
        <w:r w:rsidRPr="005A221F">
          <w:rPr>
            <w:rFonts w:ascii="Verdana" w:hAnsi="Verdana"/>
            <w:noProof/>
            <w:webHidden/>
          </w:rPr>
          <w:fldChar w:fldCharType="end"/>
        </w:r>
      </w:hyperlink>
    </w:p>
    <w:p w:rsidR="005A221F" w:rsidRPr="005A221F" w:rsidRDefault="005A221F" w:rsidP="005A221F">
      <w:pPr>
        <w:pStyle w:val="TableofFigures"/>
        <w:tabs>
          <w:tab w:val="right" w:leader="dot" w:pos="9017"/>
        </w:tabs>
        <w:spacing w:beforeLines="60" w:before="144" w:afterLines="60" w:after="144"/>
        <w:rPr>
          <w:rFonts w:ascii="Verdana" w:eastAsiaTheme="minorEastAsia" w:hAnsi="Verdana" w:cstheme="minorBidi"/>
          <w:smallCaps w:val="0"/>
          <w:noProof/>
          <w:sz w:val="22"/>
          <w:szCs w:val="22"/>
          <w:lang w:val="bg-BG" w:eastAsia="bg-BG"/>
        </w:rPr>
      </w:pPr>
      <w:hyperlink w:anchor="_Toc396225649" w:history="1">
        <w:r w:rsidRPr="005A221F">
          <w:rPr>
            <w:rStyle w:val="Hyperlink"/>
            <w:rFonts w:ascii="Verdana" w:hAnsi="Verdana"/>
            <w:noProof/>
          </w:rPr>
          <w:t>Figure 14: Workload of the employees of DG SFIEP</w:t>
        </w:r>
        <w:r w:rsidRPr="005A221F">
          <w:rPr>
            <w:rFonts w:ascii="Verdana" w:hAnsi="Verdana"/>
            <w:noProof/>
            <w:webHidden/>
          </w:rPr>
          <w:tab/>
        </w:r>
        <w:r w:rsidRPr="005A221F">
          <w:rPr>
            <w:rFonts w:ascii="Verdana" w:hAnsi="Verdana"/>
            <w:noProof/>
            <w:webHidden/>
          </w:rPr>
          <w:fldChar w:fldCharType="begin"/>
        </w:r>
        <w:r w:rsidRPr="005A221F">
          <w:rPr>
            <w:rFonts w:ascii="Verdana" w:hAnsi="Verdana"/>
            <w:noProof/>
            <w:webHidden/>
          </w:rPr>
          <w:instrText xml:space="preserve"> PAGEREF _Toc396225649 \h </w:instrText>
        </w:r>
        <w:r w:rsidRPr="005A221F">
          <w:rPr>
            <w:rFonts w:ascii="Verdana" w:hAnsi="Verdana"/>
            <w:noProof/>
            <w:webHidden/>
          </w:rPr>
        </w:r>
        <w:r w:rsidRPr="005A221F">
          <w:rPr>
            <w:rFonts w:ascii="Verdana" w:hAnsi="Verdana"/>
            <w:noProof/>
            <w:webHidden/>
          </w:rPr>
          <w:fldChar w:fldCharType="separate"/>
        </w:r>
        <w:r w:rsidR="009330F5">
          <w:rPr>
            <w:rFonts w:ascii="Verdana" w:hAnsi="Verdana"/>
            <w:noProof/>
            <w:webHidden/>
          </w:rPr>
          <w:t>157</w:t>
        </w:r>
        <w:r w:rsidRPr="005A221F">
          <w:rPr>
            <w:rFonts w:ascii="Verdana" w:hAnsi="Verdana"/>
            <w:noProof/>
            <w:webHidden/>
          </w:rPr>
          <w:fldChar w:fldCharType="end"/>
        </w:r>
      </w:hyperlink>
    </w:p>
    <w:p w:rsidR="005A221F" w:rsidRPr="005A221F" w:rsidRDefault="005A221F" w:rsidP="005A221F">
      <w:pPr>
        <w:pStyle w:val="TableofFigures"/>
        <w:tabs>
          <w:tab w:val="right" w:leader="dot" w:pos="9017"/>
        </w:tabs>
        <w:spacing w:beforeLines="60" w:before="144" w:afterLines="60" w:after="144"/>
        <w:rPr>
          <w:rFonts w:ascii="Verdana" w:eastAsiaTheme="minorEastAsia" w:hAnsi="Verdana" w:cstheme="minorBidi"/>
          <w:smallCaps w:val="0"/>
          <w:noProof/>
          <w:sz w:val="22"/>
          <w:szCs w:val="22"/>
          <w:lang w:val="bg-BG" w:eastAsia="bg-BG"/>
        </w:rPr>
      </w:pPr>
      <w:hyperlink w:anchor="_Toc396225650" w:history="1">
        <w:r w:rsidRPr="005A221F">
          <w:rPr>
            <w:rStyle w:val="Hyperlink"/>
            <w:rFonts w:ascii="Verdana" w:hAnsi="Verdana"/>
            <w:noProof/>
            <w:lang w:eastAsia="en-US"/>
          </w:rPr>
          <w:t>Figure 15: Risk assessment</w:t>
        </w:r>
        <w:r w:rsidRPr="005A221F">
          <w:rPr>
            <w:rFonts w:ascii="Verdana" w:hAnsi="Verdana"/>
            <w:noProof/>
            <w:webHidden/>
          </w:rPr>
          <w:tab/>
        </w:r>
        <w:r w:rsidRPr="005A221F">
          <w:rPr>
            <w:rFonts w:ascii="Verdana" w:hAnsi="Verdana"/>
            <w:noProof/>
            <w:webHidden/>
          </w:rPr>
          <w:fldChar w:fldCharType="begin"/>
        </w:r>
        <w:r w:rsidRPr="005A221F">
          <w:rPr>
            <w:rFonts w:ascii="Verdana" w:hAnsi="Verdana"/>
            <w:noProof/>
            <w:webHidden/>
          </w:rPr>
          <w:instrText xml:space="preserve"> PAGEREF _Toc396225650 \h </w:instrText>
        </w:r>
        <w:r w:rsidRPr="005A221F">
          <w:rPr>
            <w:rFonts w:ascii="Verdana" w:hAnsi="Verdana"/>
            <w:noProof/>
            <w:webHidden/>
          </w:rPr>
        </w:r>
        <w:r w:rsidRPr="005A221F">
          <w:rPr>
            <w:rFonts w:ascii="Verdana" w:hAnsi="Verdana"/>
            <w:noProof/>
            <w:webHidden/>
          </w:rPr>
          <w:fldChar w:fldCharType="separate"/>
        </w:r>
        <w:r w:rsidR="009330F5">
          <w:rPr>
            <w:rFonts w:ascii="Verdana" w:hAnsi="Verdana"/>
            <w:noProof/>
            <w:webHidden/>
          </w:rPr>
          <w:t>169</w:t>
        </w:r>
        <w:r w:rsidRPr="005A221F">
          <w:rPr>
            <w:rFonts w:ascii="Verdana" w:hAnsi="Verdana"/>
            <w:noProof/>
            <w:webHidden/>
          </w:rPr>
          <w:fldChar w:fldCharType="end"/>
        </w:r>
      </w:hyperlink>
    </w:p>
    <w:p w:rsidR="005A221F" w:rsidRPr="005A221F" w:rsidRDefault="005A221F" w:rsidP="005A221F">
      <w:pPr>
        <w:pStyle w:val="TableofFigures"/>
        <w:tabs>
          <w:tab w:val="right" w:leader="dot" w:pos="9017"/>
        </w:tabs>
        <w:spacing w:beforeLines="60" w:before="144" w:afterLines="60" w:after="144"/>
        <w:rPr>
          <w:rFonts w:ascii="Verdana" w:eastAsiaTheme="minorEastAsia" w:hAnsi="Verdana" w:cstheme="minorBidi"/>
          <w:smallCaps w:val="0"/>
          <w:noProof/>
          <w:sz w:val="22"/>
          <w:szCs w:val="22"/>
          <w:lang w:val="bg-BG" w:eastAsia="bg-BG"/>
        </w:rPr>
      </w:pPr>
      <w:hyperlink w:anchor="_Toc396225651" w:history="1">
        <w:r w:rsidRPr="005A221F">
          <w:rPr>
            <w:rStyle w:val="Hyperlink"/>
            <w:rFonts w:ascii="Verdana" w:hAnsi="Verdana"/>
            <w:noProof/>
            <w:lang w:eastAsia="en-US"/>
          </w:rPr>
          <w:t>Figure 16: Data collection and aggregation system</w:t>
        </w:r>
        <w:r w:rsidRPr="005A221F">
          <w:rPr>
            <w:rFonts w:ascii="Verdana" w:hAnsi="Verdana"/>
            <w:noProof/>
            <w:webHidden/>
          </w:rPr>
          <w:tab/>
        </w:r>
        <w:r w:rsidRPr="005A221F">
          <w:rPr>
            <w:rFonts w:ascii="Verdana" w:hAnsi="Verdana"/>
            <w:noProof/>
            <w:webHidden/>
          </w:rPr>
          <w:fldChar w:fldCharType="begin"/>
        </w:r>
        <w:r w:rsidRPr="005A221F">
          <w:rPr>
            <w:rFonts w:ascii="Verdana" w:hAnsi="Verdana"/>
            <w:noProof/>
            <w:webHidden/>
          </w:rPr>
          <w:instrText xml:space="preserve"> PAGEREF _Toc396225651 \h </w:instrText>
        </w:r>
        <w:r w:rsidRPr="005A221F">
          <w:rPr>
            <w:rFonts w:ascii="Verdana" w:hAnsi="Verdana"/>
            <w:noProof/>
            <w:webHidden/>
          </w:rPr>
        </w:r>
        <w:r w:rsidRPr="005A221F">
          <w:rPr>
            <w:rFonts w:ascii="Verdana" w:hAnsi="Verdana"/>
            <w:noProof/>
            <w:webHidden/>
          </w:rPr>
          <w:fldChar w:fldCharType="separate"/>
        </w:r>
        <w:r w:rsidR="009330F5">
          <w:rPr>
            <w:rFonts w:ascii="Verdana" w:hAnsi="Verdana"/>
            <w:noProof/>
            <w:webHidden/>
          </w:rPr>
          <w:t>174</w:t>
        </w:r>
        <w:r w:rsidRPr="005A221F">
          <w:rPr>
            <w:rFonts w:ascii="Verdana" w:hAnsi="Verdana"/>
            <w:noProof/>
            <w:webHidden/>
          </w:rPr>
          <w:fldChar w:fldCharType="end"/>
        </w:r>
      </w:hyperlink>
    </w:p>
    <w:p w:rsidR="00391FDC" w:rsidRPr="00181A22" w:rsidRDefault="00A35E98" w:rsidP="005A221F">
      <w:pPr>
        <w:pStyle w:val="TableofFigures"/>
        <w:tabs>
          <w:tab w:val="right" w:leader="dot" w:pos="9017"/>
        </w:tabs>
        <w:spacing w:beforeLines="60" w:before="144" w:afterLines="60" w:after="144"/>
        <w:ind w:left="442" w:hanging="442"/>
        <w:rPr>
          <w:rStyle w:val="Hyperlink"/>
          <w:noProof/>
        </w:rPr>
      </w:pPr>
      <w:r w:rsidRPr="005A221F">
        <w:rPr>
          <w:rStyle w:val="Hyperlink"/>
          <w:rFonts w:ascii="Verdana" w:hAnsi="Verdana"/>
          <w:noProof/>
        </w:rPr>
        <w:fldChar w:fldCharType="end"/>
      </w:r>
      <w:r w:rsidRPr="00181A22">
        <w:rPr>
          <w:rStyle w:val="Hyperlink"/>
          <w:rFonts w:ascii="Verdana" w:hAnsi="Verdana"/>
          <w:noProof/>
        </w:rPr>
        <w:br w:type="page"/>
      </w:r>
    </w:p>
    <w:p w:rsidR="003D506F" w:rsidRPr="005B6074" w:rsidRDefault="003D23CC" w:rsidP="00406058">
      <w:pPr>
        <w:pStyle w:val="Heading1"/>
        <w:shd w:val="clear" w:color="auto" w:fill="0063B8"/>
        <w:tabs>
          <w:tab w:val="num" w:pos="720"/>
        </w:tabs>
        <w:spacing w:before="0"/>
        <w:ind w:left="720" w:hanging="720"/>
        <w:rPr>
          <w:rFonts w:ascii="Verdana" w:hAnsi="Verdana"/>
          <w:b w:val="0"/>
          <w:color w:val="FFFFFF"/>
        </w:rPr>
      </w:pPr>
      <w:bookmarkStart w:id="28" w:name="_Toc396225547"/>
      <w:r w:rsidRPr="005B6074">
        <w:rPr>
          <w:rFonts w:ascii="Verdana" w:hAnsi="Verdana"/>
          <w:b w:val="0"/>
          <w:color w:val="FFFFFF"/>
        </w:rPr>
        <w:lastRenderedPageBreak/>
        <w:t>Summary</w:t>
      </w:r>
      <w:bookmarkEnd w:id="28"/>
    </w:p>
    <w:p w:rsidR="00F24971" w:rsidRPr="005B6074" w:rsidRDefault="005B6074" w:rsidP="00F24971">
      <w:pPr>
        <w:spacing w:before="600" w:after="120"/>
        <w:jc w:val="both"/>
        <w:rPr>
          <w:rFonts w:ascii="Verdana" w:hAnsi="Verdana"/>
          <w:sz w:val="20"/>
          <w:szCs w:val="20"/>
        </w:rPr>
      </w:pPr>
      <w:r>
        <w:rPr>
          <w:rFonts w:ascii="Verdana" w:hAnsi="Verdana"/>
          <w:sz w:val="20"/>
        </w:rPr>
        <w:t>The ex-ante evaluation</w:t>
      </w:r>
      <w:r w:rsidR="00A35E98" w:rsidRPr="005B6074">
        <w:rPr>
          <w:rFonts w:ascii="Verdana" w:hAnsi="Verdana"/>
          <w:sz w:val="20"/>
        </w:rPr>
        <w:t xml:space="preserve"> of Operational Programme Science and Education for Smart Growth for the 2014–2020 Period is made as part of the mandatory activities related to programming of the operational programme. </w:t>
      </w:r>
      <w:r w:rsidR="00A35E98" w:rsidRPr="005B6074">
        <w:rPr>
          <w:rFonts w:ascii="Verdana" w:hAnsi="Verdana"/>
          <w:sz w:val="20"/>
          <w:szCs w:val="20"/>
        </w:rPr>
        <w:t xml:space="preserve">The evaluation was designed to support and contribute to the improvement of the quality of the </w:t>
      </w:r>
      <w:r>
        <w:rPr>
          <w:rFonts w:ascii="Verdana" w:hAnsi="Verdana"/>
          <w:sz w:val="20"/>
          <w:szCs w:val="20"/>
        </w:rPr>
        <w:t>p</w:t>
      </w:r>
      <w:r w:rsidR="00A35E98" w:rsidRPr="005B6074">
        <w:rPr>
          <w:rFonts w:ascii="Verdana" w:hAnsi="Verdana"/>
          <w:sz w:val="20"/>
          <w:szCs w:val="20"/>
        </w:rPr>
        <w:t>rogramming process, in accordance with the Common Provisions Regulation (1303/2013)</w:t>
      </w:r>
      <w:r w:rsidR="00A35E98" w:rsidRPr="005B6074">
        <w:rPr>
          <w:rFonts w:ascii="Verdana" w:hAnsi="Verdana"/>
          <w:sz w:val="20"/>
        </w:rPr>
        <w:t>.</w:t>
      </w:r>
    </w:p>
    <w:p w:rsidR="00F24971" w:rsidRPr="005B6074" w:rsidRDefault="00A35E98" w:rsidP="00F24971">
      <w:pPr>
        <w:jc w:val="both"/>
        <w:rPr>
          <w:rFonts w:ascii="Verdana" w:hAnsi="Verdana"/>
          <w:sz w:val="20"/>
          <w:szCs w:val="20"/>
        </w:rPr>
      </w:pPr>
      <w:r w:rsidRPr="005B6074">
        <w:rPr>
          <w:rFonts w:ascii="Verdana" w:hAnsi="Verdana"/>
          <w:sz w:val="20"/>
        </w:rPr>
        <w:t xml:space="preserve">The </w:t>
      </w:r>
      <w:r w:rsidR="00AF2745">
        <w:rPr>
          <w:rFonts w:ascii="Verdana" w:hAnsi="Verdana"/>
          <w:sz w:val="20"/>
        </w:rPr>
        <w:t>evaluation</w:t>
      </w:r>
      <w:r w:rsidRPr="005B6074">
        <w:rPr>
          <w:rFonts w:ascii="Verdana" w:hAnsi="Verdana"/>
          <w:sz w:val="20"/>
        </w:rPr>
        <w:t xml:space="preserve"> is financed by project BG051PO001-8.1-01-0001 </w:t>
      </w:r>
      <w:r w:rsidRPr="005B6074">
        <w:rPr>
          <w:rFonts w:ascii="Verdana" w:hAnsi="Verdana"/>
          <w:i/>
          <w:sz w:val="20"/>
        </w:rPr>
        <w:t xml:space="preserve">"Support for General Directorate "Structural Funds and International Educational Programmes" of the Ministry of Education and Science to manage successfully priority axes 3 and 4 of </w:t>
      </w:r>
      <w:r w:rsidR="005B6074" w:rsidRPr="005B6074">
        <w:rPr>
          <w:rFonts w:ascii="Verdana" w:hAnsi="Verdana"/>
          <w:i/>
          <w:sz w:val="20"/>
        </w:rPr>
        <w:t xml:space="preserve">Operational Programme </w:t>
      </w:r>
      <w:r w:rsidRPr="005B6074">
        <w:rPr>
          <w:rFonts w:ascii="Verdana" w:hAnsi="Verdana"/>
          <w:i/>
          <w:sz w:val="20"/>
        </w:rPr>
        <w:t>Human Resources Development</w:t>
      </w:r>
      <w:r w:rsidRPr="005B6074">
        <w:rPr>
          <w:rFonts w:ascii="Verdana" w:hAnsi="Verdana"/>
          <w:sz w:val="20"/>
        </w:rPr>
        <w:t>” which has been implemented with the financial assistance of the Operational Programme Human Resources Development, co-financed by the European Social Fund of the European Union.</w:t>
      </w:r>
    </w:p>
    <w:p w:rsidR="00F24971" w:rsidRPr="005B6074" w:rsidRDefault="00A35E98" w:rsidP="00F24971">
      <w:pPr>
        <w:jc w:val="both"/>
        <w:rPr>
          <w:rFonts w:ascii="Verdana" w:hAnsi="Verdana"/>
          <w:sz w:val="20"/>
          <w:szCs w:val="20"/>
        </w:rPr>
      </w:pPr>
      <w:r w:rsidRPr="005B6074">
        <w:rPr>
          <w:rFonts w:ascii="Verdana" w:hAnsi="Verdana"/>
          <w:sz w:val="20"/>
        </w:rPr>
        <w:t>The evaluation report, of which this summary is an integral part, gives account of the Consultant's opinion and recommendations on the latest version of the operational programme from May 2014. The analyses are structured in accordance with the Terms of Reference of the Contracting Authority and according to the evaluation questions in the following chapters/</w:t>
      </w:r>
      <w:r w:rsidR="00897407">
        <w:rPr>
          <w:rFonts w:ascii="Verdana" w:hAnsi="Verdana"/>
          <w:sz w:val="20"/>
        </w:rPr>
        <w:t>evaluations</w:t>
      </w:r>
      <w:r w:rsidRPr="005B6074">
        <w:rPr>
          <w:rFonts w:ascii="Verdana" w:hAnsi="Verdana"/>
          <w:sz w:val="20"/>
        </w:rPr>
        <w:t>:</w:t>
      </w:r>
    </w:p>
    <w:p w:rsidR="00F24971" w:rsidRPr="005B6074" w:rsidRDefault="00897407" w:rsidP="00181A22">
      <w:pPr>
        <w:pStyle w:val="ListParagraph"/>
        <w:numPr>
          <w:ilvl w:val="0"/>
          <w:numId w:val="59"/>
        </w:numPr>
        <w:jc w:val="both"/>
        <w:rPr>
          <w:rFonts w:ascii="Verdana" w:hAnsi="Verdana"/>
          <w:sz w:val="20"/>
          <w:szCs w:val="20"/>
        </w:rPr>
      </w:pPr>
      <w:r>
        <w:rPr>
          <w:rFonts w:ascii="Verdana" w:hAnsi="Verdana"/>
          <w:sz w:val="20"/>
        </w:rPr>
        <w:t>Evaluation</w:t>
      </w:r>
      <w:r w:rsidR="00A35E98" w:rsidRPr="005B6074">
        <w:rPr>
          <w:rFonts w:ascii="Verdana" w:hAnsi="Verdana"/>
          <w:sz w:val="20"/>
        </w:rPr>
        <w:t xml:space="preserve"> of external coherence;</w:t>
      </w:r>
    </w:p>
    <w:p w:rsidR="00F24971" w:rsidRPr="005B6074" w:rsidRDefault="00897407" w:rsidP="00181A22">
      <w:pPr>
        <w:pStyle w:val="ListParagraph"/>
        <w:numPr>
          <w:ilvl w:val="0"/>
          <w:numId w:val="59"/>
        </w:numPr>
        <w:jc w:val="both"/>
        <w:rPr>
          <w:rFonts w:ascii="Verdana" w:hAnsi="Verdana"/>
          <w:sz w:val="20"/>
          <w:szCs w:val="20"/>
        </w:rPr>
      </w:pPr>
      <w:r>
        <w:rPr>
          <w:rFonts w:ascii="Verdana" w:hAnsi="Verdana"/>
          <w:sz w:val="20"/>
        </w:rPr>
        <w:t>Evaluation</w:t>
      </w:r>
      <w:r w:rsidR="00A35E98" w:rsidRPr="005B6074">
        <w:rPr>
          <w:rFonts w:ascii="Verdana" w:hAnsi="Verdana"/>
          <w:sz w:val="20"/>
        </w:rPr>
        <w:t xml:space="preserve"> of internal coherence;</w:t>
      </w:r>
    </w:p>
    <w:p w:rsidR="00F24971" w:rsidRPr="005B6074" w:rsidRDefault="00897407" w:rsidP="00181A22">
      <w:pPr>
        <w:pStyle w:val="ListParagraph"/>
        <w:numPr>
          <w:ilvl w:val="0"/>
          <w:numId w:val="59"/>
        </w:numPr>
        <w:jc w:val="both"/>
        <w:rPr>
          <w:rFonts w:ascii="Verdana" w:hAnsi="Verdana"/>
          <w:sz w:val="20"/>
          <w:szCs w:val="20"/>
        </w:rPr>
      </w:pPr>
      <w:r>
        <w:rPr>
          <w:rFonts w:ascii="Verdana" w:hAnsi="Verdana"/>
          <w:sz w:val="20"/>
        </w:rPr>
        <w:t>Evaluation</w:t>
      </w:r>
      <w:r w:rsidR="00A35E98" w:rsidRPr="005B6074">
        <w:rPr>
          <w:rFonts w:ascii="Verdana" w:hAnsi="Verdana"/>
          <w:sz w:val="20"/>
        </w:rPr>
        <w:t xml:space="preserve"> of the system of indicators;</w:t>
      </w:r>
    </w:p>
    <w:p w:rsidR="00F24971" w:rsidRPr="005B6074" w:rsidRDefault="00897407" w:rsidP="00181A22">
      <w:pPr>
        <w:pStyle w:val="ListParagraph"/>
        <w:numPr>
          <w:ilvl w:val="0"/>
          <w:numId w:val="59"/>
        </w:numPr>
        <w:jc w:val="both"/>
        <w:rPr>
          <w:rFonts w:ascii="Verdana" w:hAnsi="Verdana"/>
          <w:sz w:val="20"/>
          <w:szCs w:val="20"/>
        </w:rPr>
      </w:pPr>
      <w:r>
        <w:rPr>
          <w:rFonts w:ascii="Verdana" w:hAnsi="Verdana"/>
          <w:sz w:val="20"/>
        </w:rPr>
        <w:t>Evaluation</w:t>
      </w:r>
      <w:r w:rsidR="00A35E98" w:rsidRPr="005B6074">
        <w:rPr>
          <w:rFonts w:ascii="Verdana" w:hAnsi="Verdana"/>
          <w:sz w:val="20"/>
        </w:rPr>
        <w:t xml:space="preserve"> of the Programme's financial allocation;</w:t>
      </w:r>
    </w:p>
    <w:p w:rsidR="00F24971" w:rsidRPr="005B6074" w:rsidRDefault="00897407" w:rsidP="00181A22">
      <w:pPr>
        <w:pStyle w:val="ListParagraph"/>
        <w:numPr>
          <w:ilvl w:val="0"/>
          <w:numId w:val="59"/>
        </w:numPr>
        <w:jc w:val="both"/>
        <w:rPr>
          <w:rFonts w:ascii="Verdana" w:hAnsi="Verdana"/>
          <w:sz w:val="20"/>
          <w:szCs w:val="20"/>
        </w:rPr>
      </w:pPr>
      <w:r>
        <w:rPr>
          <w:rFonts w:ascii="Verdana" w:hAnsi="Verdana"/>
          <w:sz w:val="20"/>
        </w:rPr>
        <w:t>Evaluation</w:t>
      </w:r>
      <w:r w:rsidR="00A35E98" w:rsidRPr="005B6074">
        <w:rPr>
          <w:rFonts w:ascii="Verdana" w:hAnsi="Verdana"/>
          <w:sz w:val="20"/>
        </w:rPr>
        <w:t xml:space="preserve"> of the administrative capacity;</w:t>
      </w:r>
    </w:p>
    <w:p w:rsidR="00F24971" w:rsidRPr="005B6074" w:rsidRDefault="00A35E98" w:rsidP="00F24971">
      <w:pPr>
        <w:spacing w:before="120" w:after="120"/>
        <w:jc w:val="both"/>
        <w:rPr>
          <w:rFonts w:ascii="Verdana" w:hAnsi="Verdana"/>
          <w:sz w:val="20"/>
          <w:szCs w:val="20"/>
        </w:rPr>
      </w:pPr>
      <w:r w:rsidRPr="005B6074">
        <w:rPr>
          <w:rFonts w:ascii="Verdana" w:hAnsi="Verdana"/>
          <w:sz w:val="20"/>
        </w:rPr>
        <w:t xml:space="preserve">The </w:t>
      </w:r>
      <w:r w:rsidR="00897407" w:rsidRPr="005B6074">
        <w:rPr>
          <w:rFonts w:ascii="Verdana" w:hAnsi="Verdana"/>
          <w:sz w:val="20"/>
        </w:rPr>
        <w:t>e</w:t>
      </w:r>
      <w:r w:rsidR="00897407">
        <w:rPr>
          <w:rFonts w:ascii="Verdana" w:hAnsi="Verdana"/>
          <w:sz w:val="20"/>
        </w:rPr>
        <w:t xml:space="preserve">valuation </w:t>
      </w:r>
      <w:r w:rsidRPr="005B6074">
        <w:rPr>
          <w:rFonts w:ascii="Verdana" w:hAnsi="Verdana"/>
          <w:sz w:val="20"/>
        </w:rPr>
        <w:t>contains 6 annexes as follows: sources of information (Annex 1), meetings held and focus groups (Annex 2), on-line surveys (Annexes 3 and 4), Programme's intervention logic (Annex 5) and indicator fiches (Annex 6).</w:t>
      </w:r>
    </w:p>
    <w:p w:rsidR="00F24971" w:rsidRPr="005B6074" w:rsidRDefault="00A35E98" w:rsidP="00F24971">
      <w:pPr>
        <w:spacing w:before="120" w:after="120"/>
        <w:jc w:val="both"/>
        <w:rPr>
          <w:rFonts w:ascii="Verdana" w:hAnsi="Verdana"/>
          <w:sz w:val="20"/>
          <w:szCs w:val="20"/>
        </w:rPr>
      </w:pPr>
      <w:r w:rsidRPr="005B6074">
        <w:rPr>
          <w:rFonts w:ascii="Verdana" w:hAnsi="Verdana"/>
          <w:sz w:val="20"/>
        </w:rPr>
        <w:t xml:space="preserve">This </w:t>
      </w:r>
      <w:r w:rsidR="00897407">
        <w:rPr>
          <w:rFonts w:ascii="Verdana" w:hAnsi="Verdana"/>
          <w:sz w:val="20"/>
        </w:rPr>
        <w:t>evaluation</w:t>
      </w:r>
      <w:r w:rsidRPr="005B6074">
        <w:rPr>
          <w:rFonts w:ascii="Verdana" w:hAnsi="Verdana"/>
          <w:sz w:val="20"/>
        </w:rPr>
        <w:t xml:space="preserve"> has been made in close cooperation with the Contracting Authority, General Directorate "Structural Funds and International Educational Programmes" of the Ministry of Education and Science, which is the Managing Authority of the operational programme. The opinion of other key stakeholders such as the following has been taken into account through meetings, on-line research and focus groups: the working group for Programme preparation, directorates of the Ministry of Education and Science, representatives of scientific organisations, higher, school and pre-school education, NGOs and potential programme beneficiaries. The following qualitative and quantitative methods of gathering information and assessment have been used: desk research of documents and data; interviews; on-line questionnaires; focus groups; stakeholder analysis; tree of objectives; analysis of the intervention logic; comparative analysis; workload analysis; risk analysis; financial and legal analysis; SMART analysis of indicators and indicator fiches.</w:t>
      </w:r>
    </w:p>
    <w:p w:rsidR="00F24971" w:rsidRPr="005B6074" w:rsidRDefault="00A35E98" w:rsidP="00F24971">
      <w:pPr>
        <w:jc w:val="both"/>
        <w:rPr>
          <w:rFonts w:ascii="Verdana" w:hAnsi="Verdana"/>
          <w:sz w:val="20"/>
          <w:szCs w:val="20"/>
        </w:rPr>
      </w:pPr>
      <w:r w:rsidRPr="005B6074">
        <w:rPr>
          <w:rFonts w:ascii="Verdana" w:hAnsi="Verdana"/>
          <w:sz w:val="20"/>
        </w:rPr>
        <w:lastRenderedPageBreak/>
        <w:t xml:space="preserve">The main conclusions from the analyses of the topics and the issues subject to </w:t>
      </w:r>
      <w:r w:rsidR="00AF2745">
        <w:rPr>
          <w:rFonts w:ascii="Verdana" w:hAnsi="Verdana"/>
          <w:sz w:val="20"/>
        </w:rPr>
        <w:t xml:space="preserve">evaluation </w:t>
      </w:r>
      <w:r w:rsidRPr="005B6074">
        <w:rPr>
          <w:rFonts w:ascii="Verdana" w:hAnsi="Verdana"/>
          <w:sz w:val="20"/>
        </w:rPr>
        <w:t>are given below.</w:t>
      </w:r>
    </w:p>
    <w:p w:rsidR="00F24971" w:rsidRPr="005B6074" w:rsidRDefault="00897407" w:rsidP="00F24971">
      <w:pPr>
        <w:jc w:val="both"/>
        <w:rPr>
          <w:rFonts w:ascii="Verdana" w:hAnsi="Verdana"/>
          <w:color w:val="548DD4"/>
        </w:rPr>
      </w:pPr>
      <w:r>
        <w:rPr>
          <w:rFonts w:ascii="Verdana" w:hAnsi="Verdana"/>
          <w:color w:val="548DD4"/>
        </w:rPr>
        <w:t>Evaluation</w:t>
      </w:r>
      <w:r w:rsidR="00A35E98" w:rsidRPr="005B6074">
        <w:rPr>
          <w:rFonts w:ascii="Verdana" w:hAnsi="Verdana"/>
          <w:color w:val="548DD4"/>
        </w:rPr>
        <w:t xml:space="preserve"> of the Programme's External Coherence;</w:t>
      </w:r>
    </w:p>
    <w:tbl>
      <w:tblPr>
        <w:tblW w:w="9110" w:type="dxa"/>
        <w:tblBorders>
          <w:top w:val="single" w:sz="4" w:space="0" w:color="auto"/>
          <w:bottom w:val="single" w:sz="4" w:space="0" w:color="auto"/>
        </w:tblBorders>
        <w:tblLook w:val="04A0" w:firstRow="1" w:lastRow="0" w:firstColumn="1" w:lastColumn="0" w:noHBand="0" w:noVBand="1"/>
      </w:tblPr>
      <w:tblGrid>
        <w:gridCol w:w="540"/>
        <w:gridCol w:w="8570"/>
      </w:tblGrid>
      <w:tr w:rsidR="00F24971" w:rsidRPr="005B6074" w:rsidTr="00F24971">
        <w:tc>
          <w:tcPr>
            <w:tcW w:w="540" w:type="dxa"/>
            <w:vAlign w:val="center"/>
          </w:tcPr>
          <w:p w:rsidR="00F24971" w:rsidRPr="005B6074" w:rsidRDefault="00A35E98" w:rsidP="00F24971">
            <w:pPr>
              <w:pStyle w:val="BodyText"/>
              <w:spacing w:after="0" w:line="276" w:lineRule="auto"/>
              <w:jc w:val="center"/>
              <w:rPr>
                <w:rFonts w:ascii="Verdana" w:hAnsi="Verdana"/>
                <w:b/>
                <w:color w:val="548DD4"/>
                <w:sz w:val="36"/>
                <w:szCs w:val="36"/>
              </w:rPr>
            </w:pPr>
            <w:r w:rsidRPr="005B6074">
              <w:rPr>
                <w:rFonts w:ascii="Verdana" w:hAnsi="Verdana"/>
                <w:b/>
                <w:color w:val="548DD4"/>
                <w:sz w:val="36"/>
              </w:rPr>
              <w:t>?</w:t>
            </w:r>
          </w:p>
        </w:tc>
        <w:tc>
          <w:tcPr>
            <w:tcW w:w="8570" w:type="dxa"/>
            <w:shd w:val="clear" w:color="auto" w:fill="B8CCE4"/>
          </w:tcPr>
          <w:p w:rsidR="00F24971" w:rsidRPr="005B6074" w:rsidRDefault="00A35E98" w:rsidP="00F24971">
            <w:pPr>
              <w:suppressAutoHyphens/>
              <w:spacing w:before="60" w:after="60" w:line="240" w:lineRule="auto"/>
              <w:ind w:left="113"/>
              <w:jc w:val="both"/>
              <w:rPr>
                <w:rFonts w:ascii="Verdana" w:hAnsi="Verdana" w:cs="TimesNewRomanPSMT"/>
                <w:sz w:val="20"/>
                <w:szCs w:val="20"/>
              </w:rPr>
            </w:pPr>
            <w:r w:rsidRPr="005B6074">
              <w:rPr>
                <w:rFonts w:ascii="Verdana" w:hAnsi="Verdana"/>
                <w:sz w:val="20"/>
              </w:rPr>
              <w:t>Coherence with the European strategic framework – contribution to the EU Strategy for Smart, Sustainable and Inclusive Growth</w:t>
            </w:r>
          </w:p>
        </w:tc>
      </w:tr>
    </w:tbl>
    <w:p w:rsidR="00F24971" w:rsidRPr="005B6074" w:rsidRDefault="00A35E98" w:rsidP="00F24971">
      <w:pPr>
        <w:spacing w:before="240" w:after="120"/>
        <w:jc w:val="both"/>
        <w:rPr>
          <w:rFonts w:ascii="Verdana" w:hAnsi="Verdana"/>
          <w:sz w:val="20"/>
          <w:szCs w:val="20"/>
        </w:rPr>
      </w:pPr>
      <w:r w:rsidRPr="005B6074">
        <w:rPr>
          <w:rFonts w:ascii="Verdana" w:hAnsi="Verdana"/>
          <w:sz w:val="20"/>
        </w:rPr>
        <w:t xml:space="preserve">Operational Programme Science and Education for Smart Growth for the 2014–2020 Period is expected to contribute to two of the objectives of the Europe 2020 Strategy: Target 2 - </w:t>
      </w:r>
      <w:r w:rsidRPr="005B6074">
        <w:rPr>
          <w:rFonts w:ascii="Verdana" w:hAnsi="Verdana"/>
          <w:i/>
          <w:sz w:val="20"/>
        </w:rPr>
        <w:t>Investing 3% (target of 1.5% for Bulgaria) of GDP in research and development (R&amp;D)</w:t>
      </w:r>
      <w:r w:rsidRPr="005B6074">
        <w:rPr>
          <w:rFonts w:ascii="Verdana" w:hAnsi="Verdana"/>
          <w:sz w:val="20"/>
        </w:rPr>
        <w:t xml:space="preserve"> and Target 4 – а) </w:t>
      </w:r>
      <w:r w:rsidRPr="005B6074">
        <w:rPr>
          <w:rFonts w:ascii="Verdana" w:hAnsi="Verdana"/>
          <w:i/>
          <w:sz w:val="20"/>
        </w:rPr>
        <w:t xml:space="preserve">Reducing the rates of early school leaving to 10% (11% for Bulgaria) </w:t>
      </w:r>
      <w:r w:rsidRPr="005B6074">
        <w:rPr>
          <w:rFonts w:ascii="Verdana" w:hAnsi="Verdana"/>
          <w:sz w:val="20"/>
        </w:rPr>
        <w:t xml:space="preserve">and b) </w:t>
      </w:r>
      <w:r w:rsidRPr="005B6074">
        <w:rPr>
          <w:rFonts w:ascii="Verdana" w:hAnsi="Verdana"/>
          <w:i/>
          <w:sz w:val="20"/>
        </w:rPr>
        <w:t>at least 40% (36% for Bulgaria) of 30-34–year-olds completing third level education.</w:t>
      </w:r>
      <w:r w:rsidRPr="005B6074">
        <w:rPr>
          <w:rFonts w:ascii="Verdana" w:hAnsi="Verdana"/>
          <w:sz w:val="20"/>
        </w:rPr>
        <w:t xml:space="preserve"> The Programme supports the execution of 5 out of the 7 flagship initiatives for Strategy implementation. </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The Programme is also expected to contribute to axis 7 "Society of Knowledge" of the Danube Strategy. This operational programme is expected to complement the measures under the Horizon 2020 Programme, as well as the EU Programme for Employment and Social Innovation and the Erasmus for All Programme.</w:t>
      </w:r>
    </w:p>
    <w:p w:rsidR="00F24971" w:rsidRPr="005B6074" w:rsidRDefault="00A35E98" w:rsidP="00F24971">
      <w:pPr>
        <w:autoSpaceDE w:val="0"/>
        <w:autoSpaceDN w:val="0"/>
        <w:adjustRightInd w:val="0"/>
        <w:spacing w:after="120"/>
        <w:jc w:val="both"/>
        <w:rPr>
          <w:rFonts w:ascii="Verdana" w:hAnsi="Verdana"/>
          <w:sz w:val="20"/>
          <w:szCs w:val="20"/>
        </w:rPr>
      </w:pPr>
      <w:r w:rsidRPr="005B6074">
        <w:rPr>
          <w:rFonts w:ascii="Verdana" w:hAnsi="Verdana"/>
          <w:sz w:val="20"/>
        </w:rPr>
        <w:t>The Programme does not reflect to a sufficient degree the territorial aspects related to the problems with diverging quality of education in small towns and big cities and the territorial concentration of children from ethnic minorities.</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625"/>
        <w:gridCol w:w="8294"/>
      </w:tblGrid>
      <w:tr w:rsidR="00F24971" w:rsidRPr="005B6074" w:rsidTr="00F24971">
        <w:tc>
          <w:tcPr>
            <w:tcW w:w="625" w:type="dxa"/>
            <w:vAlign w:val="center"/>
          </w:tcPr>
          <w:p w:rsidR="00F24971" w:rsidRPr="005B6074" w:rsidRDefault="00A35E98" w:rsidP="00F24971">
            <w:pPr>
              <w:pStyle w:val="BodyText"/>
              <w:spacing w:after="0" w:line="276" w:lineRule="auto"/>
              <w:jc w:val="center"/>
              <w:rPr>
                <w:rFonts w:ascii="Verdana" w:hAnsi="Verdana"/>
                <w:color w:val="548DD4"/>
                <w:sz w:val="36"/>
                <w:szCs w:val="36"/>
              </w:rPr>
            </w:pPr>
            <w:r w:rsidRPr="005B6074">
              <w:rPr>
                <w:rFonts w:ascii="Verdana" w:hAnsi="Verdana"/>
                <w:color w:val="548DD4"/>
                <w:sz w:val="36"/>
              </w:rPr>
              <w:t>?</w:t>
            </w:r>
          </w:p>
        </w:tc>
        <w:tc>
          <w:tcPr>
            <w:tcW w:w="8294" w:type="dxa"/>
            <w:shd w:val="clear" w:color="auto" w:fill="B8CCE4"/>
          </w:tcPr>
          <w:p w:rsidR="00F24971" w:rsidRPr="005B6074" w:rsidRDefault="00A35E98" w:rsidP="00F24971">
            <w:pPr>
              <w:suppressAutoHyphens/>
              <w:spacing w:before="120" w:after="120" w:line="240" w:lineRule="auto"/>
              <w:ind w:left="115"/>
              <w:jc w:val="both"/>
              <w:rPr>
                <w:rFonts w:ascii="Verdana" w:hAnsi="Verdana" w:cs="TimesNewRomanPSMT"/>
                <w:sz w:val="20"/>
                <w:szCs w:val="20"/>
              </w:rPr>
            </w:pPr>
            <w:r w:rsidRPr="005B6074">
              <w:rPr>
                <w:rFonts w:ascii="Verdana" w:hAnsi="Verdana"/>
                <w:sz w:val="20"/>
              </w:rPr>
              <w:t>Coherence with the national strategic framework – National Development Programme Bulgaria 2020, National Reform Programme</w:t>
            </w:r>
          </w:p>
        </w:tc>
      </w:tr>
    </w:tbl>
    <w:p w:rsidR="00F24971" w:rsidRPr="005B6074" w:rsidRDefault="00A35E98" w:rsidP="00F24971">
      <w:pPr>
        <w:spacing w:before="240" w:after="360"/>
        <w:jc w:val="both"/>
        <w:rPr>
          <w:rFonts w:ascii="Verdana" w:eastAsia="Times New Roman" w:hAnsi="Verdana"/>
          <w:sz w:val="20"/>
          <w:szCs w:val="20"/>
        </w:rPr>
      </w:pPr>
      <w:r w:rsidRPr="005B6074">
        <w:rPr>
          <w:rFonts w:ascii="Verdana" w:hAnsi="Verdana"/>
          <w:sz w:val="20"/>
        </w:rPr>
        <w:t>The operational programme is based on and takes account of the analyses and the measures provided for in the National Development Programme and in the National Reform Programme in the field of science and education.</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37"/>
        <w:gridCol w:w="8382"/>
      </w:tblGrid>
      <w:tr w:rsidR="00F24971" w:rsidRPr="005B6074" w:rsidTr="00F24971">
        <w:tc>
          <w:tcPr>
            <w:tcW w:w="537" w:type="dxa"/>
            <w:vAlign w:val="center"/>
          </w:tcPr>
          <w:p w:rsidR="00F24971" w:rsidRPr="005B6074" w:rsidRDefault="00A35E98" w:rsidP="00F24971">
            <w:pPr>
              <w:pStyle w:val="BodyText"/>
              <w:keepNext/>
              <w:spacing w:after="0" w:line="276" w:lineRule="auto"/>
              <w:jc w:val="center"/>
              <w:rPr>
                <w:rFonts w:ascii="Verdana" w:hAnsi="Verdana"/>
                <w:color w:val="548DD4"/>
                <w:sz w:val="20"/>
                <w:szCs w:val="20"/>
              </w:rPr>
            </w:pPr>
            <w:r w:rsidRPr="005B6074">
              <w:rPr>
                <w:rFonts w:ascii="Verdana" w:hAnsi="Verdana"/>
                <w:color w:val="548DD4"/>
                <w:sz w:val="36"/>
              </w:rPr>
              <w:t>?</w:t>
            </w:r>
          </w:p>
        </w:tc>
        <w:tc>
          <w:tcPr>
            <w:tcW w:w="8382" w:type="dxa"/>
            <w:shd w:val="clear" w:color="auto" w:fill="B8CCE4"/>
          </w:tcPr>
          <w:p w:rsidR="00F24971" w:rsidRPr="005B6074" w:rsidRDefault="00A35E98" w:rsidP="00F24971">
            <w:pPr>
              <w:keepNext/>
              <w:suppressAutoHyphens/>
              <w:spacing w:before="120" w:after="120" w:line="240" w:lineRule="auto"/>
              <w:ind w:left="115"/>
              <w:jc w:val="both"/>
              <w:rPr>
                <w:rFonts w:ascii="Verdana" w:hAnsi="Verdana" w:cs="TimesNewRomanPSMT"/>
                <w:sz w:val="20"/>
                <w:szCs w:val="20"/>
              </w:rPr>
            </w:pPr>
            <w:r w:rsidRPr="005B6074">
              <w:rPr>
                <w:rFonts w:ascii="Verdana" w:hAnsi="Verdana"/>
                <w:sz w:val="20"/>
              </w:rPr>
              <w:t>Coherence with the EU legislative framework</w:t>
            </w:r>
          </w:p>
        </w:tc>
      </w:tr>
    </w:tbl>
    <w:p w:rsidR="00F24971" w:rsidRPr="005B6074" w:rsidRDefault="00A35E98" w:rsidP="00F24971">
      <w:pPr>
        <w:spacing w:before="240" w:after="360"/>
        <w:jc w:val="both"/>
        <w:rPr>
          <w:rFonts w:ascii="Verdana" w:eastAsia="Times New Roman" w:hAnsi="Verdana"/>
          <w:sz w:val="20"/>
          <w:szCs w:val="20"/>
        </w:rPr>
      </w:pPr>
      <w:r w:rsidRPr="005B6074">
        <w:rPr>
          <w:rFonts w:ascii="Verdana" w:hAnsi="Verdana"/>
          <w:sz w:val="20"/>
        </w:rPr>
        <w:t xml:space="preserve">The operational programme takes account of the requirements of the basic regulations concerning the 2014-2020 programming period, specifically the Common Provisions Regulation 1303/2013, the European Social Fund Regulation 1304/2013 and the European Regional Development Fund Regulation 1301/2013. </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37"/>
        <w:gridCol w:w="8382"/>
      </w:tblGrid>
      <w:tr w:rsidR="00F24971" w:rsidRPr="005B6074" w:rsidTr="00F24971">
        <w:trPr>
          <w:trHeight w:val="599"/>
        </w:trPr>
        <w:tc>
          <w:tcPr>
            <w:tcW w:w="537" w:type="dxa"/>
            <w:vAlign w:val="center"/>
          </w:tcPr>
          <w:p w:rsidR="00F24971" w:rsidRPr="005B6074" w:rsidRDefault="00A35E98" w:rsidP="00F24971">
            <w:pPr>
              <w:pStyle w:val="BodyText"/>
              <w:spacing w:after="0" w:line="276" w:lineRule="auto"/>
              <w:jc w:val="center"/>
              <w:rPr>
                <w:rFonts w:ascii="Verdana" w:hAnsi="Verdana"/>
                <w:color w:val="548DD4"/>
                <w:sz w:val="20"/>
                <w:szCs w:val="20"/>
              </w:rPr>
            </w:pPr>
            <w:r w:rsidRPr="005B6074">
              <w:rPr>
                <w:rFonts w:ascii="Verdana" w:hAnsi="Verdana"/>
                <w:color w:val="548DD4"/>
                <w:sz w:val="36"/>
              </w:rPr>
              <w:t>?</w:t>
            </w:r>
          </w:p>
        </w:tc>
        <w:tc>
          <w:tcPr>
            <w:tcW w:w="8382" w:type="dxa"/>
            <w:shd w:val="clear" w:color="auto" w:fill="B8CCE4"/>
            <w:vAlign w:val="center"/>
          </w:tcPr>
          <w:p w:rsidR="00F24971" w:rsidRPr="005B6074" w:rsidRDefault="00A35E98" w:rsidP="00F24971">
            <w:pPr>
              <w:suppressAutoHyphens/>
              <w:spacing w:before="120" w:after="120" w:line="240" w:lineRule="auto"/>
              <w:ind w:left="115"/>
              <w:rPr>
                <w:rFonts w:ascii="Verdana" w:hAnsi="Verdana" w:cs="TimesNewRomanPSMT"/>
                <w:sz w:val="20"/>
                <w:szCs w:val="20"/>
              </w:rPr>
            </w:pPr>
            <w:r w:rsidRPr="005B6074">
              <w:rPr>
                <w:rFonts w:ascii="Verdana" w:hAnsi="Verdana"/>
                <w:sz w:val="20"/>
              </w:rPr>
              <w:t>Coherence with the national legislative framework</w:t>
            </w:r>
          </w:p>
        </w:tc>
      </w:tr>
    </w:tbl>
    <w:p w:rsidR="00F24971" w:rsidRPr="005B6074" w:rsidRDefault="00A35E98" w:rsidP="00F24971">
      <w:pPr>
        <w:spacing w:before="240" w:after="120"/>
        <w:jc w:val="both"/>
        <w:rPr>
          <w:rFonts w:ascii="Verdana" w:eastAsia="Times New Roman" w:hAnsi="Verdana"/>
          <w:sz w:val="20"/>
          <w:szCs w:val="20"/>
        </w:rPr>
      </w:pPr>
      <w:r w:rsidRPr="005B6074">
        <w:rPr>
          <w:rFonts w:ascii="Verdana" w:hAnsi="Verdana"/>
          <w:sz w:val="20"/>
        </w:rPr>
        <w:t>The operational programme does not contradict to the provisions of national legislation with regard to science and legislation. Some laws in this area, such as the Secondary Education Law and the Vocational Education and Training Law, which may influence the implementation of some of the Programme measures, are still to be drafted and updated.</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35"/>
        <w:gridCol w:w="8384"/>
      </w:tblGrid>
      <w:tr w:rsidR="00F24971" w:rsidRPr="005B6074" w:rsidTr="00F24971">
        <w:trPr>
          <w:trHeight w:val="617"/>
        </w:trPr>
        <w:tc>
          <w:tcPr>
            <w:tcW w:w="540" w:type="dxa"/>
            <w:vAlign w:val="center"/>
          </w:tcPr>
          <w:p w:rsidR="00F24971" w:rsidRPr="005B6074" w:rsidRDefault="00A35E98" w:rsidP="00F24971">
            <w:pPr>
              <w:pStyle w:val="BodyText"/>
              <w:keepNext/>
              <w:spacing w:after="0" w:line="276" w:lineRule="auto"/>
              <w:jc w:val="center"/>
              <w:rPr>
                <w:rFonts w:ascii="Verdana" w:hAnsi="Verdana"/>
                <w:color w:val="548DD4"/>
                <w:sz w:val="20"/>
                <w:szCs w:val="20"/>
              </w:rPr>
            </w:pPr>
            <w:r w:rsidRPr="005B6074">
              <w:rPr>
                <w:rFonts w:ascii="Verdana" w:hAnsi="Verdana"/>
                <w:color w:val="548DD4"/>
                <w:sz w:val="36"/>
              </w:rPr>
              <w:lastRenderedPageBreak/>
              <w:t>?</w:t>
            </w:r>
          </w:p>
        </w:tc>
        <w:tc>
          <w:tcPr>
            <w:tcW w:w="8640" w:type="dxa"/>
            <w:shd w:val="clear" w:color="auto" w:fill="B8CCE4"/>
            <w:vAlign w:val="center"/>
          </w:tcPr>
          <w:p w:rsidR="00F24971" w:rsidRPr="005B6074" w:rsidRDefault="00A35E98" w:rsidP="00F24971">
            <w:pPr>
              <w:keepNext/>
              <w:suppressAutoHyphens/>
              <w:spacing w:before="120" w:after="120" w:line="240" w:lineRule="auto"/>
              <w:ind w:left="115"/>
              <w:rPr>
                <w:rFonts w:ascii="Verdana" w:hAnsi="Verdana" w:cs="TimesNewRomanPSMT"/>
                <w:sz w:val="20"/>
                <w:szCs w:val="20"/>
              </w:rPr>
            </w:pPr>
            <w:r w:rsidRPr="005B6074">
              <w:rPr>
                <w:rFonts w:ascii="Verdana" w:hAnsi="Verdana"/>
                <w:sz w:val="20"/>
              </w:rPr>
              <w:t xml:space="preserve">Coherence with other </w:t>
            </w:r>
            <w:proofErr w:type="spellStart"/>
            <w:r w:rsidRPr="005B6074">
              <w:rPr>
                <w:rFonts w:ascii="Verdana" w:hAnsi="Verdana"/>
                <w:sz w:val="20"/>
              </w:rPr>
              <w:t>sectoral</w:t>
            </w:r>
            <w:proofErr w:type="spellEnd"/>
            <w:r w:rsidRPr="005B6074">
              <w:rPr>
                <w:rFonts w:ascii="Verdana" w:hAnsi="Verdana"/>
                <w:sz w:val="20"/>
              </w:rPr>
              <w:t xml:space="preserve"> programmes</w:t>
            </w:r>
          </w:p>
        </w:tc>
      </w:tr>
    </w:tbl>
    <w:p w:rsidR="00F24971" w:rsidRPr="005B6074" w:rsidRDefault="00A35E98" w:rsidP="00F24971">
      <w:pPr>
        <w:spacing w:before="240" w:after="120"/>
        <w:jc w:val="both"/>
        <w:rPr>
          <w:rFonts w:ascii="Verdana" w:hAnsi="Verdana"/>
          <w:sz w:val="20"/>
          <w:szCs w:val="20"/>
        </w:rPr>
      </w:pPr>
      <w:r w:rsidRPr="005B6074">
        <w:rPr>
          <w:rFonts w:ascii="Verdana" w:hAnsi="Verdana"/>
          <w:sz w:val="20"/>
        </w:rPr>
        <w:t xml:space="preserve">As a whole, the operational programme takes account of most of the targets and measures set in EU and national strategic </w:t>
      </w:r>
      <w:proofErr w:type="spellStart"/>
      <w:r w:rsidRPr="005B6074">
        <w:rPr>
          <w:rFonts w:ascii="Verdana" w:hAnsi="Verdana"/>
          <w:sz w:val="20"/>
        </w:rPr>
        <w:t>sectoral</w:t>
      </w:r>
      <w:proofErr w:type="spellEnd"/>
      <w:r w:rsidRPr="005B6074">
        <w:rPr>
          <w:rFonts w:ascii="Verdana" w:hAnsi="Verdana"/>
          <w:sz w:val="20"/>
        </w:rPr>
        <w:t xml:space="preserve"> documents, including: Bucharest Communiqué of the Ministers Responsible for Higher Education, Mobility Strategy 2020 for the European Higher Education Area, Communication from the Commission to the European Parliament, the Council, the European Economic and Social Committee and the Committee of the Regions: Supporting Growth and Jobs – an Agenda for the Modernisation of Europe's Higher Education Systems (2011), Bruges Communiqué on Enhanced European Cooperation in Vocational Education and Training for the period 2011—2020, Communication from the Commission to the European Parliament, the Council, the European Economic and Social Committee and the Committee of the Regions: New Impetus for European Cooperation in Vocational Education and Training to Support the Europe 2020 Strategy, Updated National Demographic Strategy of the Republic of Bulgaria 2012-2030, National Youth Strategy 2010-2020, „</w:t>
      </w:r>
      <w:hyperlink r:id="rId14" w:tooltip="National Lifelong Learning Strategy for the Period 2008-2013" w:history="1">
        <w:r w:rsidRPr="005B6074">
          <w:rPr>
            <w:rFonts w:ascii="Verdana" w:hAnsi="Verdana"/>
            <w:sz w:val="20"/>
          </w:rPr>
          <w:t>National Strategy for Lifelong Learning for the Period 2014–2020</w:t>
        </w:r>
      </w:hyperlink>
      <w:r w:rsidRPr="005B6074">
        <w:rPr>
          <w:rFonts w:ascii="Verdana" w:hAnsi="Verdana"/>
          <w:sz w:val="20"/>
        </w:rPr>
        <w:t>,</w:t>
      </w:r>
      <w:hyperlink r:id="rId15" w:tooltip="National Research Development Strategy 2020" w:history="1">
        <w:r w:rsidRPr="005B6074">
          <w:rPr>
            <w:rFonts w:ascii="Verdana" w:hAnsi="Verdana"/>
            <w:sz w:val="20"/>
          </w:rPr>
          <w:t>National Research Development Strategy 2020</w:t>
        </w:r>
      </w:hyperlink>
      <w:r w:rsidRPr="005B6074">
        <w:rPr>
          <w:rFonts w:ascii="Verdana" w:hAnsi="Verdana"/>
          <w:sz w:val="20"/>
        </w:rPr>
        <w:t>, Strategy for Preventing and Reducing the Share of Drop-outs and Early School Leavers 2013-2020 and National Roma Integration Strategy of the Republic of Bulgaria 2012-2020.</w:t>
      </w:r>
    </w:p>
    <w:p w:rsidR="00F24971" w:rsidRPr="005B6074" w:rsidRDefault="00A35E98" w:rsidP="00F24971">
      <w:pPr>
        <w:spacing w:before="120" w:after="120"/>
        <w:jc w:val="both"/>
        <w:rPr>
          <w:rFonts w:ascii="Verdana" w:hAnsi="Verdana"/>
          <w:sz w:val="20"/>
          <w:szCs w:val="20"/>
        </w:rPr>
      </w:pPr>
      <w:r w:rsidRPr="005B6074">
        <w:rPr>
          <w:rFonts w:ascii="Verdana" w:hAnsi="Verdana"/>
          <w:sz w:val="20"/>
        </w:rPr>
        <w:t>The National Roadmap for Research Infrastructures has been taken into account but has not ministered to focusing the support as it is being updated. The National Higher Education Strategy, the National Smart Specialisation Strategy, the National Teaching Staff Development Strategy and the Strategy for Effective Implementation of Information and Communication Technologies in Science and Education of the Republic of Bulgaria 2014–2020 are being elaborated, which has hindered the focusing of Programme support in those areas.</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37"/>
        <w:gridCol w:w="8382"/>
      </w:tblGrid>
      <w:tr w:rsidR="00F24971" w:rsidRPr="005B6074" w:rsidTr="00F24971">
        <w:trPr>
          <w:trHeight w:val="599"/>
        </w:trPr>
        <w:tc>
          <w:tcPr>
            <w:tcW w:w="537" w:type="dxa"/>
            <w:vAlign w:val="center"/>
          </w:tcPr>
          <w:p w:rsidR="00F24971" w:rsidRPr="005B6074" w:rsidRDefault="00A35E98" w:rsidP="00F24971">
            <w:pPr>
              <w:pStyle w:val="BodyText"/>
              <w:spacing w:after="0" w:line="276" w:lineRule="auto"/>
              <w:jc w:val="center"/>
              <w:rPr>
                <w:rFonts w:ascii="Verdana" w:hAnsi="Verdana"/>
                <w:color w:val="548DD4"/>
                <w:sz w:val="20"/>
                <w:szCs w:val="20"/>
              </w:rPr>
            </w:pPr>
            <w:r w:rsidRPr="005B6074">
              <w:rPr>
                <w:rFonts w:ascii="Verdana" w:hAnsi="Verdana"/>
                <w:color w:val="548DD4"/>
                <w:sz w:val="36"/>
              </w:rPr>
              <w:t>?</w:t>
            </w:r>
          </w:p>
        </w:tc>
        <w:tc>
          <w:tcPr>
            <w:tcW w:w="8382" w:type="dxa"/>
            <w:shd w:val="clear" w:color="auto" w:fill="B8CCE4"/>
            <w:vAlign w:val="center"/>
          </w:tcPr>
          <w:p w:rsidR="00F24971" w:rsidRPr="005B6074" w:rsidRDefault="00A35E98" w:rsidP="00F24971">
            <w:pPr>
              <w:suppressAutoHyphens/>
              <w:spacing w:before="120" w:after="120" w:line="240" w:lineRule="auto"/>
              <w:ind w:left="115"/>
              <w:rPr>
                <w:rFonts w:ascii="Verdana" w:hAnsi="Verdana" w:cs="TimesNewRomanPSMT"/>
                <w:sz w:val="20"/>
                <w:szCs w:val="20"/>
              </w:rPr>
            </w:pPr>
            <w:r w:rsidRPr="005B6074">
              <w:rPr>
                <w:rFonts w:ascii="Verdana" w:hAnsi="Verdana"/>
                <w:sz w:val="20"/>
              </w:rPr>
              <w:t>Coherence with the Partnership Agreement</w:t>
            </w:r>
          </w:p>
        </w:tc>
      </w:tr>
    </w:tbl>
    <w:p w:rsidR="00F24971" w:rsidRPr="005B6074" w:rsidRDefault="00A35E98" w:rsidP="00F24971">
      <w:pPr>
        <w:spacing w:before="240" w:after="120"/>
        <w:jc w:val="both"/>
        <w:rPr>
          <w:rFonts w:ascii="Verdana" w:hAnsi="Verdana"/>
          <w:sz w:val="20"/>
          <w:szCs w:val="20"/>
        </w:rPr>
      </w:pPr>
      <w:r w:rsidRPr="005B6074">
        <w:rPr>
          <w:rFonts w:ascii="Verdana" w:hAnsi="Verdana"/>
          <w:sz w:val="20"/>
        </w:rPr>
        <w:t>The Programme is in accordance with the main policy lines of the Partnership Agreement. The Programme does not take full account of the following challenges in the field of science, education and innovations outlined in the Partnership Agreement:</w:t>
      </w:r>
    </w:p>
    <w:p w:rsidR="00F24971" w:rsidRPr="005B6074" w:rsidRDefault="00A35E98" w:rsidP="00F24971">
      <w:pPr>
        <w:pStyle w:val="BodyText"/>
        <w:widowControl w:val="0"/>
        <w:numPr>
          <w:ilvl w:val="0"/>
          <w:numId w:val="19"/>
        </w:numPr>
        <w:spacing w:before="120" w:line="276" w:lineRule="auto"/>
        <w:jc w:val="both"/>
        <w:rPr>
          <w:rFonts w:ascii="Verdana" w:hAnsi="Verdana"/>
          <w:sz w:val="20"/>
          <w:szCs w:val="20"/>
        </w:rPr>
      </w:pPr>
      <w:r w:rsidRPr="005B6074">
        <w:rPr>
          <w:rFonts w:ascii="Verdana" w:hAnsi="Verdana"/>
          <w:sz w:val="20"/>
        </w:rPr>
        <w:t>Establishing and enhancing of partnerships among higher education, enterprises and research;</w:t>
      </w:r>
    </w:p>
    <w:p w:rsidR="00F24971" w:rsidRPr="005B6074" w:rsidRDefault="00A35E98" w:rsidP="00F24971">
      <w:pPr>
        <w:pStyle w:val="BodyText"/>
        <w:widowControl w:val="0"/>
        <w:numPr>
          <w:ilvl w:val="0"/>
          <w:numId w:val="19"/>
        </w:numPr>
        <w:spacing w:before="120" w:line="276" w:lineRule="auto"/>
        <w:jc w:val="both"/>
        <w:rPr>
          <w:rFonts w:ascii="Verdana" w:hAnsi="Verdana"/>
          <w:sz w:val="20"/>
          <w:szCs w:val="20"/>
        </w:rPr>
      </w:pPr>
      <w:r w:rsidRPr="005B6074">
        <w:rPr>
          <w:rFonts w:ascii="Verdana" w:hAnsi="Verdana"/>
          <w:sz w:val="20"/>
        </w:rPr>
        <w:t>Strengthening of the management capacity of scientific institutes;</w:t>
      </w:r>
    </w:p>
    <w:p w:rsidR="00F24971" w:rsidRPr="005B6074" w:rsidRDefault="00A35E98" w:rsidP="00F24971">
      <w:pPr>
        <w:pStyle w:val="BodyText"/>
        <w:widowControl w:val="0"/>
        <w:numPr>
          <w:ilvl w:val="0"/>
          <w:numId w:val="19"/>
        </w:numPr>
        <w:spacing w:before="120" w:line="276" w:lineRule="auto"/>
        <w:jc w:val="both"/>
        <w:rPr>
          <w:rFonts w:ascii="Verdana" w:hAnsi="Verdana"/>
          <w:sz w:val="20"/>
          <w:szCs w:val="20"/>
        </w:rPr>
      </w:pPr>
      <w:r w:rsidRPr="005B6074">
        <w:rPr>
          <w:rFonts w:ascii="Verdana" w:hAnsi="Verdana"/>
          <w:sz w:val="20"/>
        </w:rPr>
        <w:t>Creating of possibilities for researcher traineeships in enterprises;</w:t>
      </w:r>
    </w:p>
    <w:p w:rsidR="00F24971" w:rsidRPr="005B6074" w:rsidRDefault="00A35E98" w:rsidP="00F24971">
      <w:pPr>
        <w:pStyle w:val="BodyText"/>
        <w:widowControl w:val="0"/>
        <w:numPr>
          <w:ilvl w:val="0"/>
          <w:numId w:val="19"/>
        </w:numPr>
        <w:spacing w:before="120" w:line="276" w:lineRule="auto"/>
        <w:jc w:val="both"/>
        <w:rPr>
          <w:rFonts w:ascii="Verdana" w:hAnsi="Verdana"/>
          <w:sz w:val="20"/>
          <w:szCs w:val="20"/>
        </w:rPr>
      </w:pPr>
      <w:r w:rsidRPr="005B6074">
        <w:rPr>
          <w:rFonts w:ascii="Verdana" w:hAnsi="Verdana"/>
          <w:sz w:val="20"/>
        </w:rPr>
        <w:t>Urging of educational institutions to deliver educational services beyond their infrastructure on the basis of partnership with employers, state and municipal institutions and other stakeholders;</w:t>
      </w:r>
    </w:p>
    <w:p w:rsidR="00F24971" w:rsidRPr="005B6074" w:rsidRDefault="00A35E98" w:rsidP="00F24971">
      <w:pPr>
        <w:pStyle w:val="BodyText"/>
        <w:widowControl w:val="0"/>
        <w:numPr>
          <w:ilvl w:val="0"/>
          <w:numId w:val="19"/>
        </w:numPr>
        <w:spacing w:before="240" w:after="360" w:line="276" w:lineRule="auto"/>
        <w:jc w:val="both"/>
        <w:rPr>
          <w:rFonts w:ascii="Verdana" w:hAnsi="Verdana"/>
          <w:sz w:val="20"/>
          <w:szCs w:val="20"/>
        </w:rPr>
      </w:pPr>
      <w:r w:rsidRPr="005B6074">
        <w:rPr>
          <w:rFonts w:ascii="Verdana" w:hAnsi="Verdana"/>
          <w:sz w:val="20"/>
        </w:rPr>
        <w:t>Developing of partnerships between business and scientists.</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37"/>
        <w:gridCol w:w="8382"/>
      </w:tblGrid>
      <w:tr w:rsidR="00F24971" w:rsidRPr="005B6074" w:rsidTr="00F24971">
        <w:trPr>
          <w:trHeight w:val="518"/>
        </w:trPr>
        <w:tc>
          <w:tcPr>
            <w:tcW w:w="537" w:type="dxa"/>
            <w:vAlign w:val="center"/>
          </w:tcPr>
          <w:p w:rsidR="00F24971" w:rsidRPr="005B6074" w:rsidRDefault="00A35E98" w:rsidP="005A221F">
            <w:pPr>
              <w:pStyle w:val="BodyText"/>
              <w:keepNext/>
              <w:spacing w:after="0" w:line="276" w:lineRule="auto"/>
              <w:jc w:val="center"/>
              <w:rPr>
                <w:rFonts w:ascii="Verdana" w:hAnsi="Verdana"/>
                <w:color w:val="548DD4"/>
                <w:sz w:val="20"/>
                <w:szCs w:val="20"/>
              </w:rPr>
            </w:pPr>
            <w:r w:rsidRPr="005B6074">
              <w:rPr>
                <w:rFonts w:ascii="Verdana" w:hAnsi="Verdana"/>
                <w:color w:val="548DD4"/>
                <w:sz w:val="36"/>
              </w:rPr>
              <w:lastRenderedPageBreak/>
              <w:t>?</w:t>
            </w:r>
          </w:p>
        </w:tc>
        <w:tc>
          <w:tcPr>
            <w:tcW w:w="8382" w:type="dxa"/>
            <w:shd w:val="clear" w:color="auto" w:fill="B8CCE4"/>
            <w:vAlign w:val="center"/>
          </w:tcPr>
          <w:p w:rsidR="00F24971" w:rsidRPr="005B6074" w:rsidRDefault="00A35E98" w:rsidP="005A221F">
            <w:pPr>
              <w:keepNext/>
              <w:spacing w:before="120" w:after="120" w:line="240" w:lineRule="auto"/>
              <w:ind w:left="115"/>
              <w:rPr>
                <w:rFonts w:ascii="Verdana" w:hAnsi="Verdana" w:cs="TimesNewRomanPSMT"/>
                <w:sz w:val="20"/>
                <w:szCs w:val="20"/>
              </w:rPr>
            </w:pPr>
            <w:r w:rsidRPr="005B6074">
              <w:rPr>
                <w:rFonts w:ascii="Verdana" w:hAnsi="Verdana"/>
                <w:sz w:val="20"/>
              </w:rPr>
              <w:t>Coherence with other operational programmes</w:t>
            </w:r>
          </w:p>
        </w:tc>
      </w:tr>
    </w:tbl>
    <w:p w:rsidR="00F24971" w:rsidRPr="005B6074" w:rsidRDefault="00A35E98" w:rsidP="00F24971">
      <w:pPr>
        <w:spacing w:before="240" w:after="360"/>
        <w:jc w:val="both"/>
        <w:rPr>
          <w:rFonts w:ascii="Verdana" w:hAnsi="Verdana"/>
          <w:sz w:val="20"/>
          <w:szCs w:val="20"/>
        </w:rPr>
      </w:pPr>
      <w:r w:rsidRPr="005B6074">
        <w:rPr>
          <w:rFonts w:ascii="Verdana" w:hAnsi="Verdana"/>
          <w:sz w:val="20"/>
        </w:rPr>
        <w:t xml:space="preserve">During the preparation of the Programme and of the other operational programmes there has been a process of synchronisation, division and complementing of support. As a result, many of the issues have been taken into account and addressed. These processes still continue, though to a much smaller degree, and will continue until programmes are finally approved. In this regard, Operational Programme Science and Education for Smart Growth may undergo some further corrections with regard to complementing and distinguishing from the other operational programmes. This is particularly needed in reference to Operational Programme Innovation and Competitiveness. </w:t>
      </w:r>
    </w:p>
    <w:p w:rsidR="00F24971" w:rsidRPr="005B6074" w:rsidRDefault="00897407" w:rsidP="00F24971">
      <w:pPr>
        <w:jc w:val="both"/>
        <w:rPr>
          <w:rFonts w:ascii="Verdana" w:hAnsi="Verdana"/>
          <w:color w:val="548DD4"/>
        </w:rPr>
      </w:pPr>
      <w:r>
        <w:rPr>
          <w:rFonts w:ascii="Verdana" w:hAnsi="Verdana"/>
          <w:color w:val="548DD4"/>
        </w:rPr>
        <w:t>Evaluation</w:t>
      </w:r>
      <w:r w:rsidR="00A35E98" w:rsidRPr="005B6074">
        <w:rPr>
          <w:rFonts w:ascii="Verdana" w:hAnsi="Verdana"/>
          <w:color w:val="548DD4"/>
        </w:rPr>
        <w:t xml:space="preserve"> of the Programme's Internal Coherence</w:t>
      </w:r>
    </w:p>
    <w:tbl>
      <w:tblPr>
        <w:tblW w:w="0" w:type="auto"/>
        <w:tblInd w:w="108" w:type="dxa"/>
        <w:tblLook w:val="04A0" w:firstRow="1" w:lastRow="0" w:firstColumn="1" w:lastColumn="0" w:noHBand="0" w:noVBand="1"/>
      </w:tblPr>
      <w:tblGrid>
        <w:gridCol w:w="537"/>
        <w:gridCol w:w="8382"/>
      </w:tblGrid>
      <w:tr w:rsidR="00F24971" w:rsidRPr="005B6074" w:rsidTr="00F24971">
        <w:tc>
          <w:tcPr>
            <w:tcW w:w="537" w:type="dxa"/>
            <w:tcBorders>
              <w:top w:val="single" w:sz="4" w:space="0" w:color="auto"/>
              <w:bottom w:val="single" w:sz="4" w:space="0" w:color="auto"/>
            </w:tcBorders>
            <w:vAlign w:val="center"/>
          </w:tcPr>
          <w:p w:rsidR="00F24971" w:rsidRPr="005B6074" w:rsidRDefault="00A35E98" w:rsidP="00F24971">
            <w:pPr>
              <w:pStyle w:val="BodyText"/>
              <w:spacing w:after="0" w:line="276" w:lineRule="auto"/>
              <w:jc w:val="center"/>
              <w:rPr>
                <w:rFonts w:ascii="Verdana" w:hAnsi="Verdana"/>
                <w:color w:val="548DD4"/>
                <w:sz w:val="20"/>
                <w:szCs w:val="20"/>
              </w:rPr>
            </w:pPr>
            <w:r w:rsidRPr="005B6074">
              <w:rPr>
                <w:rFonts w:ascii="Verdana" w:hAnsi="Verdana"/>
                <w:color w:val="548DD4"/>
                <w:sz w:val="36"/>
              </w:rPr>
              <w:t>?</w:t>
            </w:r>
          </w:p>
        </w:tc>
        <w:tc>
          <w:tcPr>
            <w:tcW w:w="8382" w:type="dxa"/>
            <w:tcBorders>
              <w:top w:val="single" w:sz="4" w:space="0" w:color="auto"/>
              <w:bottom w:val="single" w:sz="4" w:space="0" w:color="auto"/>
            </w:tcBorders>
            <w:shd w:val="clear" w:color="auto" w:fill="B8CCE4"/>
          </w:tcPr>
          <w:p w:rsidR="00F24971" w:rsidRPr="005B6074" w:rsidRDefault="00A35E98" w:rsidP="00F24971">
            <w:pPr>
              <w:autoSpaceDE w:val="0"/>
              <w:autoSpaceDN w:val="0"/>
              <w:adjustRightInd w:val="0"/>
              <w:spacing w:before="120" w:after="120" w:line="240" w:lineRule="auto"/>
              <w:ind w:left="115"/>
              <w:rPr>
                <w:rFonts w:ascii="Verdana" w:hAnsi="Verdana"/>
                <w:sz w:val="20"/>
                <w:szCs w:val="20"/>
              </w:rPr>
            </w:pPr>
            <w:r w:rsidRPr="005B6074">
              <w:rPr>
                <w:rFonts w:ascii="Verdana" w:hAnsi="Verdana"/>
                <w:sz w:val="20"/>
              </w:rPr>
              <w:t xml:space="preserve">Relevance of the </w:t>
            </w:r>
            <w:r w:rsidR="005B35A7">
              <w:rPr>
                <w:rFonts w:ascii="Verdana" w:hAnsi="Verdana"/>
                <w:sz w:val="20"/>
              </w:rPr>
              <w:t>OPSESG</w:t>
            </w:r>
            <w:r w:rsidRPr="005B6074">
              <w:rPr>
                <w:rFonts w:ascii="Verdana" w:hAnsi="Verdana"/>
                <w:sz w:val="20"/>
              </w:rPr>
              <w:t xml:space="preserve"> strategy</w:t>
            </w:r>
          </w:p>
        </w:tc>
      </w:tr>
    </w:tbl>
    <w:p w:rsidR="00F24971" w:rsidRPr="005B6074" w:rsidRDefault="00A35E98" w:rsidP="00F24971">
      <w:pPr>
        <w:spacing w:before="240" w:after="360"/>
        <w:jc w:val="both"/>
        <w:rPr>
          <w:rFonts w:ascii="Verdana" w:eastAsia="Times New Roman" w:hAnsi="Verdana"/>
          <w:color w:val="000000"/>
          <w:sz w:val="20"/>
          <w:szCs w:val="20"/>
        </w:rPr>
      </w:pPr>
      <w:r w:rsidRPr="005B6074">
        <w:rPr>
          <w:rFonts w:ascii="Verdana" w:hAnsi="Verdana"/>
          <w:color w:val="000000"/>
          <w:sz w:val="20"/>
        </w:rPr>
        <w:t>The Programme strategy is based on the problems in the following three areas: scientific research, higher education and school education. The strategy is well grounded and reasoned, with the major weaknesses being related to the need for supplementing the analyses and addressing all of the analysed problems through appropriate measures.</w:t>
      </w:r>
    </w:p>
    <w:tbl>
      <w:tblPr>
        <w:tblW w:w="0" w:type="auto"/>
        <w:tblLook w:val="04A0" w:firstRow="1" w:lastRow="0" w:firstColumn="1" w:lastColumn="0" w:noHBand="0" w:noVBand="1"/>
      </w:tblPr>
      <w:tblGrid>
        <w:gridCol w:w="521"/>
        <w:gridCol w:w="8501"/>
      </w:tblGrid>
      <w:tr w:rsidR="00F24971" w:rsidRPr="005B6074" w:rsidTr="00F24971">
        <w:tc>
          <w:tcPr>
            <w:tcW w:w="534" w:type="dxa"/>
            <w:vAlign w:val="center"/>
          </w:tcPr>
          <w:p w:rsidR="00F24971" w:rsidRPr="005B6074" w:rsidRDefault="00A35E98" w:rsidP="00F24971">
            <w:pPr>
              <w:pStyle w:val="BodyText"/>
              <w:spacing w:after="0" w:line="276" w:lineRule="auto"/>
              <w:jc w:val="center"/>
              <w:rPr>
                <w:rFonts w:ascii="Verdana" w:hAnsi="Verdana"/>
                <w:b/>
                <w:color w:val="548DD4"/>
                <w:sz w:val="20"/>
                <w:szCs w:val="20"/>
              </w:rPr>
            </w:pPr>
            <w:r w:rsidRPr="005B6074">
              <w:rPr>
                <w:rFonts w:ascii="Verdana" w:hAnsi="Verdana"/>
                <w:b/>
                <w:color w:val="548DD4"/>
                <w:sz w:val="20"/>
              </w:rPr>
              <w:t>?</w:t>
            </w:r>
          </w:p>
        </w:tc>
        <w:tc>
          <w:tcPr>
            <w:tcW w:w="8966" w:type="dxa"/>
            <w:tcBorders>
              <w:top w:val="single" w:sz="4" w:space="0" w:color="auto"/>
              <w:bottom w:val="single" w:sz="4" w:space="0" w:color="auto"/>
              <w:right w:val="single" w:sz="4" w:space="0" w:color="auto"/>
            </w:tcBorders>
            <w:shd w:val="clear" w:color="auto" w:fill="B8CCE4"/>
          </w:tcPr>
          <w:p w:rsidR="00F24971" w:rsidRPr="005B6074" w:rsidRDefault="00A35E98" w:rsidP="00F24971">
            <w:pPr>
              <w:pStyle w:val="ListParagraph"/>
              <w:numPr>
                <w:ilvl w:val="0"/>
                <w:numId w:val="7"/>
              </w:numPr>
              <w:autoSpaceDE w:val="0"/>
              <w:autoSpaceDN w:val="0"/>
              <w:adjustRightInd w:val="0"/>
              <w:spacing w:before="120" w:after="120" w:line="240" w:lineRule="auto"/>
              <w:ind w:left="473"/>
              <w:rPr>
                <w:rFonts w:ascii="Verdana" w:hAnsi="Verdana"/>
                <w:sz w:val="20"/>
                <w:szCs w:val="20"/>
              </w:rPr>
            </w:pPr>
            <w:r w:rsidRPr="005B6074">
              <w:rPr>
                <w:rFonts w:ascii="Verdana" w:hAnsi="Verdana"/>
                <w:sz w:val="20"/>
              </w:rPr>
              <w:t>Adequacy of the measures set forth in the Programme and the degree to which they will contribute to achieving its objectives</w:t>
            </w:r>
          </w:p>
        </w:tc>
      </w:tr>
    </w:tbl>
    <w:p w:rsidR="00F24971" w:rsidRPr="005B6074" w:rsidRDefault="00A35E98" w:rsidP="00F24971">
      <w:pPr>
        <w:spacing w:before="240" w:after="120"/>
        <w:jc w:val="both"/>
        <w:rPr>
          <w:rFonts w:ascii="Verdana" w:eastAsia="Times New Roman" w:hAnsi="Verdana"/>
          <w:color w:val="000000"/>
          <w:sz w:val="20"/>
          <w:szCs w:val="20"/>
        </w:rPr>
      </w:pPr>
      <w:r w:rsidRPr="005B6074">
        <w:rPr>
          <w:rFonts w:ascii="Verdana" w:hAnsi="Verdana"/>
          <w:color w:val="000000"/>
          <w:sz w:val="20"/>
        </w:rPr>
        <w:t>The Programme is formulated in 4 priority axes. Three of the axes address the key problems discussed in the strategy and the fourth axis is planned for technical assistance to support Programme management and implementation.</w:t>
      </w:r>
    </w:p>
    <w:p w:rsidR="00F24971" w:rsidRPr="005B6074" w:rsidRDefault="00A35E98" w:rsidP="00F24971">
      <w:pPr>
        <w:spacing w:before="120" w:after="120"/>
        <w:jc w:val="both"/>
        <w:rPr>
          <w:rFonts w:ascii="Verdana" w:eastAsia="Times New Roman" w:hAnsi="Verdana"/>
          <w:color w:val="000000"/>
          <w:sz w:val="20"/>
          <w:szCs w:val="20"/>
        </w:rPr>
      </w:pPr>
      <w:r w:rsidRPr="005B6074">
        <w:rPr>
          <w:rFonts w:ascii="Verdana" w:hAnsi="Verdana"/>
          <w:color w:val="000000"/>
          <w:sz w:val="20"/>
        </w:rPr>
        <w:t>The first specific axis ”</w:t>
      </w:r>
      <w:r w:rsidRPr="005B6074">
        <w:rPr>
          <w:rFonts w:ascii="Verdana" w:hAnsi="Verdana"/>
          <w:i/>
          <w:color w:val="000000"/>
          <w:sz w:val="20"/>
        </w:rPr>
        <w:t xml:space="preserve">Scientific Research and Technological Development” </w:t>
      </w:r>
      <w:r w:rsidRPr="005B6074">
        <w:rPr>
          <w:rFonts w:ascii="Verdana" w:hAnsi="Verdana"/>
          <w:color w:val="000000"/>
          <w:sz w:val="20"/>
        </w:rPr>
        <w:t xml:space="preserve">is laid down in two investment priorities referring to improvement in scientific infrastructure and promotion of scientific and applied research and the link between science and business. These two priorities and the specific objectives reflect the basic needs. The justification of the first specific objective outlines the main problems and approaches to their solution but there is a need for better structuring and editing of the wording. The justification of the second specific objective is much </w:t>
      </w:r>
      <w:proofErr w:type="gramStart"/>
      <w:r w:rsidRPr="005B6074">
        <w:rPr>
          <w:rFonts w:ascii="Verdana" w:hAnsi="Verdana"/>
          <w:color w:val="000000"/>
          <w:sz w:val="20"/>
        </w:rPr>
        <w:t>more vague</w:t>
      </w:r>
      <w:proofErr w:type="gramEnd"/>
      <w:r w:rsidRPr="005B6074">
        <w:rPr>
          <w:rFonts w:ascii="Verdana" w:hAnsi="Verdana"/>
          <w:color w:val="000000"/>
          <w:sz w:val="20"/>
        </w:rPr>
        <w:t xml:space="preserve"> and the approaches and the measures for addressing it are therefore not sufficiently convincing. The existence of a clear strategy for dividing and supplementing of the support to be delivered in this area between Operational Programme Science and Education for Smart Growth and Operational Programme Innovation and Competitiveness is of particular importance for the focusing of the investment priority. </w:t>
      </w:r>
    </w:p>
    <w:p w:rsidR="00F24971" w:rsidRPr="005B6074" w:rsidRDefault="00A35E98" w:rsidP="00F24971">
      <w:pPr>
        <w:spacing w:before="120" w:after="120"/>
        <w:jc w:val="both"/>
        <w:rPr>
          <w:rFonts w:ascii="Verdana" w:hAnsi="Verdana"/>
          <w:sz w:val="20"/>
          <w:szCs w:val="20"/>
        </w:rPr>
      </w:pPr>
      <w:r w:rsidRPr="005B6074">
        <w:rPr>
          <w:rFonts w:ascii="Verdana" w:hAnsi="Verdana"/>
          <w:color w:val="000000"/>
          <w:sz w:val="20"/>
        </w:rPr>
        <w:t>The second specific axis ”</w:t>
      </w:r>
      <w:r w:rsidRPr="005B6074">
        <w:rPr>
          <w:rFonts w:ascii="Verdana" w:hAnsi="Verdana"/>
          <w:i/>
          <w:color w:val="000000"/>
          <w:sz w:val="20"/>
        </w:rPr>
        <w:t xml:space="preserve">Education and Lifelong Learning” </w:t>
      </w:r>
      <w:r w:rsidRPr="005B6074">
        <w:rPr>
          <w:rFonts w:ascii="Verdana" w:hAnsi="Verdana"/>
          <w:color w:val="000000"/>
          <w:sz w:val="20"/>
        </w:rPr>
        <w:t xml:space="preserve">is outlined in four investment priorities aimed at (1) reducing and preventing of early school leaving, (2) improving of the quality of and access to higher education, (3) lifelong learning and (4) improving of the systems of education and training towards the labour market. The first investment priority is well laid down in three specific objectives aimed at improving of children's achievements, inclusion and retention of pupils in school, and improving of the quality of </w:t>
      </w:r>
      <w:r w:rsidRPr="005B6074">
        <w:rPr>
          <w:rFonts w:ascii="Verdana" w:hAnsi="Verdana"/>
          <w:color w:val="000000"/>
          <w:sz w:val="20"/>
        </w:rPr>
        <w:lastRenderedPageBreak/>
        <w:t xml:space="preserve">education. The justification of the second investment priority which is aimed at higher education is also well grounded, with some possibilities for improvement for the third specific objective referring to the access to higher education. The third investment priority gives a fair account of the problems related to the qualification of the persons working in the field of education. The second specific objective of this priority which relates to ongoing education needs to be focused so as to avoid duplication of support with Operational Programme Human Resources. The justification of the fourth investment priority needs focusing and complementing of the needs analysis. </w:t>
      </w:r>
      <w:r w:rsidRPr="005B6074">
        <w:rPr>
          <w:rFonts w:ascii="Verdana" w:hAnsi="Verdana"/>
          <w:sz w:val="20"/>
        </w:rPr>
        <w:t>The promotion of education in engineering and technical and natural subjects is not well grounded. The support for improving computer skills as a whole has already been addressed in the previous investment priorities 1 and 2.</w:t>
      </w:r>
    </w:p>
    <w:p w:rsidR="00F24971" w:rsidRPr="005B6074" w:rsidRDefault="00A35E98" w:rsidP="00F24971">
      <w:pPr>
        <w:spacing w:before="120" w:after="120"/>
        <w:jc w:val="both"/>
        <w:rPr>
          <w:rFonts w:ascii="Verdana" w:hAnsi="Verdana"/>
          <w:sz w:val="20"/>
          <w:szCs w:val="20"/>
        </w:rPr>
      </w:pPr>
      <w:r w:rsidRPr="005B6074">
        <w:rPr>
          <w:rFonts w:ascii="Verdana" w:hAnsi="Verdana"/>
          <w:color w:val="000000"/>
          <w:sz w:val="20"/>
        </w:rPr>
        <w:t>The third priority axis ”</w:t>
      </w:r>
      <w:r w:rsidRPr="005B6074">
        <w:rPr>
          <w:rFonts w:ascii="Verdana" w:hAnsi="Verdana"/>
          <w:i/>
          <w:color w:val="000000"/>
          <w:sz w:val="20"/>
        </w:rPr>
        <w:t xml:space="preserve">Educational Environment for Active Social Inclusion” </w:t>
      </w:r>
      <w:r w:rsidRPr="005B6074">
        <w:rPr>
          <w:rFonts w:ascii="Verdana" w:hAnsi="Verdana"/>
          <w:color w:val="000000"/>
          <w:sz w:val="20"/>
        </w:rPr>
        <w:t xml:space="preserve">is laid down in two investment priorities aimed at active inclusion with the purpose of better employability and social and economic integration of marginalised communities. </w:t>
      </w:r>
      <w:r w:rsidRPr="005B6074">
        <w:rPr>
          <w:rFonts w:ascii="Verdana" w:hAnsi="Verdana"/>
          <w:sz w:val="20"/>
        </w:rPr>
        <w:t>The two specific objectives of the first investment priority address two major problems for inclusive education: inclusive education for children with special educational needs and the system of education that takes account of the individual needs. The justification of the second specific objective is too general and is possible to be focused on the all-day organisation of the learning process. The justification of the second investment priority points to the major problems but is not exhaustive in terms of rendering specific information about the segregation in the process of learning, which would, as a result, support focusing of the measures.</w:t>
      </w:r>
    </w:p>
    <w:p w:rsidR="00F24971" w:rsidRPr="005B6074" w:rsidRDefault="00A35E98" w:rsidP="00F24971">
      <w:pPr>
        <w:spacing w:before="120" w:after="120"/>
        <w:jc w:val="both"/>
        <w:rPr>
          <w:rFonts w:ascii="Verdana" w:eastAsia="Times New Roman" w:hAnsi="Verdana"/>
          <w:color w:val="000000"/>
          <w:sz w:val="20"/>
          <w:szCs w:val="20"/>
        </w:rPr>
      </w:pPr>
      <w:r w:rsidRPr="005B6074">
        <w:rPr>
          <w:rFonts w:ascii="Verdana" w:hAnsi="Verdana"/>
          <w:color w:val="000000"/>
          <w:sz w:val="20"/>
        </w:rPr>
        <w:t xml:space="preserve">The fourth priority </w:t>
      </w:r>
      <w:proofErr w:type="gramStart"/>
      <w:r w:rsidRPr="005B6074">
        <w:rPr>
          <w:rFonts w:ascii="Verdana" w:hAnsi="Verdana"/>
          <w:color w:val="000000"/>
          <w:sz w:val="20"/>
        </w:rPr>
        <w:t>axis ”</w:t>
      </w:r>
      <w:proofErr w:type="gramEnd"/>
      <w:r w:rsidRPr="005B6074">
        <w:rPr>
          <w:rFonts w:ascii="Verdana" w:hAnsi="Verdana"/>
          <w:i/>
          <w:color w:val="000000"/>
          <w:sz w:val="20"/>
        </w:rPr>
        <w:t xml:space="preserve">Technical Assistance” </w:t>
      </w:r>
      <w:r w:rsidRPr="005B6074">
        <w:rPr>
          <w:rFonts w:ascii="Verdana" w:hAnsi="Verdana"/>
          <w:color w:val="000000"/>
          <w:sz w:val="20"/>
        </w:rPr>
        <w:t>includes one specific objective covering the need for strengthening of the administrative capacity of the Managing Authority and of Programme beneficiaries. In general, the basic needs are outlined, as well as the possible measures to address them.</w:t>
      </w:r>
    </w:p>
    <w:tbl>
      <w:tblPr>
        <w:tblW w:w="0" w:type="auto"/>
        <w:tblLook w:val="04A0" w:firstRow="1" w:lastRow="0" w:firstColumn="1" w:lastColumn="0" w:noHBand="0" w:noVBand="1"/>
      </w:tblPr>
      <w:tblGrid>
        <w:gridCol w:w="528"/>
        <w:gridCol w:w="8494"/>
      </w:tblGrid>
      <w:tr w:rsidR="00F24971" w:rsidRPr="005B6074" w:rsidTr="00F24971">
        <w:tc>
          <w:tcPr>
            <w:tcW w:w="528" w:type="dxa"/>
            <w:vAlign w:val="center"/>
          </w:tcPr>
          <w:p w:rsidR="00F24971" w:rsidRPr="005B6074" w:rsidRDefault="00A35E98" w:rsidP="00F24971">
            <w:pPr>
              <w:pStyle w:val="BodyText"/>
              <w:spacing w:after="0" w:line="276" w:lineRule="auto"/>
              <w:jc w:val="center"/>
              <w:rPr>
                <w:rFonts w:ascii="Verdana" w:hAnsi="Verdana"/>
                <w:b/>
                <w:color w:val="548DD4"/>
                <w:sz w:val="20"/>
                <w:szCs w:val="20"/>
              </w:rPr>
            </w:pPr>
            <w:r w:rsidRPr="005B6074">
              <w:rPr>
                <w:rFonts w:ascii="Verdana" w:hAnsi="Verdana"/>
                <w:b/>
                <w:color w:val="548DD4"/>
                <w:sz w:val="20"/>
              </w:rPr>
              <w:t>?</w:t>
            </w:r>
          </w:p>
        </w:tc>
        <w:tc>
          <w:tcPr>
            <w:tcW w:w="8494" w:type="dxa"/>
            <w:tcBorders>
              <w:top w:val="single" w:sz="4" w:space="0" w:color="auto"/>
              <w:bottom w:val="single" w:sz="4" w:space="0" w:color="auto"/>
              <w:right w:val="single" w:sz="4" w:space="0" w:color="auto"/>
            </w:tcBorders>
            <w:shd w:val="clear" w:color="auto" w:fill="B8CCE4"/>
          </w:tcPr>
          <w:p w:rsidR="00F24971" w:rsidRPr="005B6074" w:rsidRDefault="00A35E98" w:rsidP="00F24971">
            <w:pPr>
              <w:pStyle w:val="ListParagraph"/>
              <w:numPr>
                <w:ilvl w:val="0"/>
                <w:numId w:val="7"/>
              </w:numPr>
              <w:autoSpaceDE w:val="0"/>
              <w:autoSpaceDN w:val="0"/>
              <w:adjustRightInd w:val="0"/>
              <w:spacing w:before="120" w:after="120" w:line="240" w:lineRule="auto"/>
              <w:ind w:left="473"/>
              <w:rPr>
                <w:rFonts w:ascii="Verdana" w:hAnsi="Verdana"/>
                <w:sz w:val="20"/>
                <w:szCs w:val="20"/>
              </w:rPr>
            </w:pPr>
            <w:r w:rsidRPr="005B6074">
              <w:rPr>
                <w:rFonts w:ascii="Verdana" w:hAnsi="Verdana"/>
                <w:sz w:val="20"/>
              </w:rPr>
              <w:t>Adequacy of the eligible beneficiaries and target groups identified</w:t>
            </w:r>
          </w:p>
        </w:tc>
      </w:tr>
    </w:tbl>
    <w:p w:rsidR="00F24971" w:rsidRPr="005B6074" w:rsidRDefault="00A35E98" w:rsidP="00F24971">
      <w:pPr>
        <w:spacing w:before="240" w:after="360"/>
        <w:jc w:val="both"/>
        <w:rPr>
          <w:rFonts w:ascii="Verdana" w:eastAsia="Times New Roman" w:hAnsi="Verdana"/>
          <w:color w:val="000000"/>
          <w:sz w:val="20"/>
          <w:szCs w:val="20"/>
        </w:rPr>
      </w:pPr>
      <w:r w:rsidRPr="005B6074">
        <w:rPr>
          <w:rFonts w:ascii="Verdana" w:hAnsi="Verdana"/>
          <w:color w:val="000000"/>
          <w:sz w:val="20"/>
        </w:rPr>
        <w:t>The beneficiaries and the target groups have generally been adequately identified and qualify for the measures and activities set. The exception is the Ministry of Education and Science which is included as a beneficiary under Priority Axis 1 without pointing out clearly its role in the measures for support of scientific research and technological development.</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420"/>
        <w:gridCol w:w="8494"/>
      </w:tblGrid>
      <w:tr w:rsidR="00F24971" w:rsidRPr="005B6074" w:rsidTr="00F24971">
        <w:trPr>
          <w:trHeight w:val="563"/>
        </w:trPr>
        <w:tc>
          <w:tcPr>
            <w:tcW w:w="420" w:type="dxa"/>
            <w:vAlign w:val="center"/>
          </w:tcPr>
          <w:p w:rsidR="00F24971" w:rsidRPr="005B6074" w:rsidRDefault="00A35E98" w:rsidP="00F24971">
            <w:pPr>
              <w:pStyle w:val="BodyText"/>
              <w:spacing w:after="0" w:line="276" w:lineRule="auto"/>
              <w:jc w:val="center"/>
              <w:rPr>
                <w:rFonts w:ascii="Verdana" w:hAnsi="Verdana"/>
                <w:color w:val="548DD4"/>
                <w:sz w:val="36"/>
                <w:szCs w:val="36"/>
              </w:rPr>
            </w:pPr>
            <w:r w:rsidRPr="005B6074">
              <w:rPr>
                <w:rFonts w:ascii="Verdana" w:hAnsi="Verdana"/>
                <w:color w:val="548DD4"/>
                <w:sz w:val="36"/>
              </w:rPr>
              <w:t>?</w:t>
            </w:r>
          </w:p>
        </w:tc>
        <w:tc>
          <w:tcPr>
            <w:tcW w:w="8494" w:type="dxa"/>
            <w:shd w:val="clear" w:color="auto" w:fill="B8CCE4"/>
            <w:vAlign w:val="center"/>
          </w:tcPr>
          <w:p w:rsidR="00F24971" w:rsidRPr="005B6074" w:rsidRDefault="00A35E98" w:rsidP="00F24971">
            <w:pPr>
              <w:autoSpaceDE w:val="0"/>
              <w:autoSpaceDN w:val="0"/>
              <w:adjustRightInd w:val="0"/>
              <w:spacing w:before="120" w:after="120" w:line="240" w:lineRule="auto"/>
              <w:ind w:left="115"/>
              <w:rPr>
                <w:rFonts w:ascii="Verdana" w:hAnsi="Verdana"/>
                <w:sz w:val="20"/>
                <w:szCs w:val="20"/>
              </w:rPr>
            </w:pPr>
            <w:r w:rsidRPr="005B6074">
              <w:rPr>
                <w:rFonts w:ascii="Verdana" w:hAnsi="Verdana"/>
                <w:sz w:val="20"/>
              </w:rPr>
              <w:t>Relevance of the proposed forms of support;</w:t>
            </w:r>
          </w:p>
        </w:tc>
      </w:tr>
    </w:tbl>
    <w:p w:rsidR="00F24971" w:rsidRPr="005B6074" w:rsidRDefault="00A35E98" w:rsidP="00F24971">
      <w:pPr>
        <w:spacing w:before="240" w:after="120"/>
        <w:jc w:val="both"/>
        <w:rPr>
          <w:rFonts w:ascii="Verdana" w:eastAsia="Times New Roman" w:hAnsi="Verdana"/>
          <w:color w:val="000000"/>
          <w:sz w:val="20"/>
          <w:szCs w:val="20"/>
        </w:rPr>
      </w:pPr>
      <w:r w:rsidRPr="005B6074">
        <w:rPr>
          <w:rFonts w:ascii="Verdana" w:hAnsi="Verdana"/>
          <w:color w:val="000000"/>
          <w:sz w:val="20"/>
        </w:rPr>
        <w:t>The Programme does not envisage any specific forms of support and it is expected that the support will be provided by both direct grant contracts and in a competitive way. The proposed principles for selection of operations are generally appropriate. Two of them, i.e. the thematic concentration and the application of the horizontal principles, are too general and mandatory for all operations and do not therefore add value to the selection of operations.</w:t>
      </w:r>
    </w:p>
    <w:p w:rsidR="00F24971" w:rsidRPr="005B6074" w:rsidRDefault="00A35E98" w:rsidP="005A221F">
      <w:pPr>
        <w:spacing w:before="120" w:after="240"/>
        <w:jc w:val="both"/>
        <w:rPr>
          <w:rFonts w:ascii="Verdana" w:eastAsia="Times New Roman" w:hAnsi="Verdana"/>
          <w:color w:val="000000"/>
          <w:sz w:val="20"/>
          <w:szCs w:val="20"/>
        </w:rPr>
      </w:pPr>
      <w:r w:rsidRPr="005B6074">
        <w:rPr>
          <w:rFonts w:ascii="Verdana" w:hAnsi="Verdana"/>
          <w:color w:val="000000"/>
          <w:sz w:val="20"/>
        </w:rPr>
        <w:t xml:space="preserve">No financial instruments are planned to be used. Given that there are activities with a potential for the application of such instruments (scholarships, joint science-business </w:t>
      </w:r>
      <w:r w:rsidRPr="005B6074">
        <w:rPr>
          <w:rFonts w:ascii="Verdana" w:hAnsi="Verdana"/>
          <w:color w:val="000000"/>
          <w:sz w:val="20"/>
        </w:rPr>
        <w:lastRenderedPageBreak/>
        <w:t>initiatives), it is advisory to explore the possibilities to apply financial instruments in some of the measures.</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709"/>
        <w:gridCol w:w="8210"/>
      </w:tblGrid>
      <w:tr w:rsidR="00F24971" w:rsidRPr="005B6074" w:rsidTr="005A221F">
        <w:tc>
          <w:tcPr>
            <w:tcW w:w="709" w:type="dxa"/>
            <w:vAlign w:val="center"/>
          </w:tcPr>
          <w:p w:rsidR="00F24971" w:rsidRPr="005B6074" w:rsidRDefault="00A35E98" w:rsidP="00F24971">
            <w:pPr>
              <w:pStyle w:val="BodyText"/>
              <w:keepNext/>
              <w:spacing w:after="0" w:line="276" w:lineRule="auto"/>
              <w:jc w:val="center"/>
              <w:rPr>
                <w:rFonts w:ascii="Verdana" w:hAnsi="Verdana"/>
                <w:color w:val="548DD4"/>
                <w:sz w:val="36"/>
                <w:szCs w:val="36"/>
              </w:rPr>
            </w:pPr>
            <w:r w:rsidRPr="005B6074">
              <w:rPr>
                <w:rFonts w:ascii="Verdana" w:hAnsi="Verdana"/>
                <w:b/>
                <w:color w:val="548DD4"/>
                <w:sz w:val="36"/>
              </w:rPr>
              <w:t>?</w:t>
            </w:r>
          </w:p>
        </w:tc>
        <w:tc>
          <w:tcPr>
            <w:tcW w:w="8210" w:type="dxa"/>
            <w:shd w:val="clear" w:color="auto" w:fill="B8CCE4"/>
          </w:tcPr>
          <w:p w:rsidR="00F24971" w:rsidRPr="005B6074" w:rsidRDefault="00A35E98" w:rsidP="00F24971">
            <w:pPr>
              <w:keepNext/>
              <w:autoSpaceDE w:val="0"/>
              <w:autoSpaceDN w:val="0"/>
              <w:adjustRightInd w:val="0"/>
              <w:spacing w:after="120" w:line="240" w:lineRule="auto"/>
              <w:ind w:left="72"/>
              <w:rPr>
                <w:rFonts w:ascii="Verdana" w:hAnsi="Verdana"/>
                <w:sz w:val="20"/>
                <w:szCs w:val="20"/>
              </w:rPr>
            </w:pPr>
            <w:r w:rsidRPr="005B6074">
              <w:rPr>
                <w:rFonts w:ascii="Verdana" w:hAnsi="Verdana"/>
                <w:sz w:val="20"/>
              </w:rPr>
              <w:t xml:space="preserve">Assessment of the integration of the horizontal principles </w:t>
            </w:r>
          </w:p>
          <w:p w:rsidR="00F24971" w:rsidRPr="005B6074" w:rsidRDefault="00A35E98" w:rsidP="00181A22">
            <w:pPr>
              <w:pStyle w:val="ListParagraph"/>
              <w:keepNext/>
              <w:numPr>
                <w:ilvl w:val="0"/>
                <w:numId w:val="53"/>
              </w:numPr>
              <w:autoSpaceDE w:val="0"/>
              <w:autoSpaceDN w:val="0"/>
              <w:adjustRightInd w:val="0"/>
              <w:spacing w:before="120" w:after="120" w:line="240" w:lineRule="auto"/>
              <w:ind w:left="522"/>
              <w:rPr>
                <w:rFonts w:ascii="Verdana" w:hAnsi="Verdana"/>
                <w:sz w:val="20"/>
                <w:szCs w:val="20"/>
              </w:rPr>
            </w:pPr>
            <w:r w:rsidRPr="005B6074">
              <w:rPr>
                <w:rFonts w:ascii="Verdana" w:hAnsi="Verdana"/>
                <w:sz w:val="20"/>
              </w:rPr>
              <w:t>Analysis of the extent to which the principle of equality and non-discrimination has been included in the programming document and the extent to which it is present in the various parts of the Programme;</w:t>
            </w:r>
          </w:p>
          <w:p w:rsidR="00F24971" w:rsidRPr="005B6074" w:rsidRDefault="00A35E98" w:rsidP="00181A22">
            <w:pPr>
              <w:pStyle w:val="ListParagraph"/>
              <w:keepNext/>
              <w:numPr>
                <w:ilvl w:val="0"/>
                <w:numId w:val="53"/>
              </w:numPr>
              <w:autoSpaceDE w:val="0"/>
              <w:autoSpaceDN w:val="0"/>
              <w:adjustRightInd w:val="0"/>
              <w:spacing w:before="120" w:after="120" w:line="240" w:lineRule="auto"/>
              <w:ind w:left="522"/>
              <w:rPr>
                <w:rFonts w:ascii="Verdana" w:hAnsi="Verdana"/>
                <w:sz w:val="18"/>
                <w:szCs w:val="18"/>
              </w:rPr>
            </w:pPr>
            <w:r w:rsidRPr="005B6074">
              <w:rPr>
                <w:rFonts w:ascii="Verdana" w:hAnsi="Verdana"/>
                <w:sz w:val="20"/>
              </w:rPr>
              <w:t>Assessment of the potential contribution of the Programme to the promotion of gender equality and non-discrimination;</w:t>
            </w:r>
          </w:p>
        </w:tc>
      </w:tr>
    </w:tbl>
    <w:p w:rsidR="00F24971" w:rsidRPr="005B6074" w:rsidRDefault="00A35E98" w:rsidP="00F24971">
      <w:pPr>
        <w:spacing w:before="240" w:after="360"/>
        <w:jc w:val="both"/>
        <w:rPr>
          <w:rFonts w:ascii="Verdana" w:eastAsia="Times New Roman" w:hAnsi="Verdana"/>
          <w:color w:val="000000"/>
          <w:sz w:val="20"/>
          <w:szCs w:val="20"/>
        </w:rPr>
      </w:pPr>
      <w:r w:rsidRPr="005B6074">
        <w:rPr>
          <w:rFonts w:ascii="Verdana" w:hAnsi="Verdana"/>
          <w:color w:val="000000"/>
          <w:sz w:val="20"/>
        </w:rPr>
        <w:t>The Programme is grounded on the basic horizontal principles of partnership, equality and non-discrimination, sustainable development, gender equality, social innovations and transnational cooperation. These principles are envisaged to be integrated in the Programme by both specific measures and through giving advantage in the selection of projects. There are no mechanisms for monitoring of the principles of sustainable development and gender equality. The planned ad hoc monitoring inspections of the application of the principle of equality and non-discrimination could possibly lead to a greater administrative burden for both the Managing Authority and the beneficiaries.</w:t>
      </w:r>
    </w:p>
    <w:p w:rsidR="00F24971" w:rsidRPr="005B6074" w:rsidRDefault="00897407" w:rsidP="00F24971">
      <w:pPr>
        <w:jc w:val="both"/>
        <w:rPr>
          <w:rFonts w:ascii="Verdana" w:hAnsi="Verdana"/>
          <w:color w:val="548DD4"/>
        </w:rPr>
      </w:pPr>
      <w:r>
        <w:rPr>
          <w:rFonts w:ascii="Verdana" w:hAnsi="Verdana"/>
          <w:color w:val="548DD4"/>
        </w:rPr>
        <w:t xml:space="preserve">Evaluation </w:t>
      </w:r>
      <w:r w:rsidR="00A35E98" w:rsidRPr="005B6074">
        <w:rPr>
          <w:rFonts w:ascii="Verdana" w:hAnsi="Verdana"/>
          <w:color w:val="548DD4"/>
        </w:rPr>
        <w:t>of the System of Indicators</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67"/>
        <w:gridCol w:w="8352"/>
      </w:tblGrid>
      <w:tr w:rsidR="00F24971" w:rsidRPr="005B6074" w:rsidTr="00F24971">
        <w:tc>
          <w:tcPr>
            <w:tcW w:w="567" w:type="dxa"/>
            <w:vAlign w:val="center"/>
          </w:tcPr>
          <w:p w:rsidR="00F24971" w:rsidRPr="005B6074" w:rsidRDefault="00A35E98" w:rsidP="00F24971">
            <w:pPr>
              <w:spacing w:after="0"/>
              <w:jc w:val="center"/>
              <w:rPr>
                <w:rFonts w:ascii="Verdana" w:eastAsia="Times New Roman" w:hAnsi="Verdana"/>
                <w:color w:val="548DD4"/>
                <w:sz w:val="36"/>
                <w:szCs w:val="36"/>
              </w:rPr>
            </w:pPr>
            <w:r w:rsidRPr="005B6074">
              <w:rPr>
                <w:rFonts w:ascii="Verdana" w:hAnsi="Verdana"/>
                <w:color w:val="548DD4"/>
                <w:sz w:val="36"/>
              </w:rPr>
              <w:t>?</w:t>
            </w:r>
          </w:p>
        </w:tc>
        <w:tc>
          <w:tcPr>
            <w:tcW w:w="8366" w:type="dxa"/>
            <w:shd w:val="clear" w:color="auto" w:fill="B8CCE4"/>
          </w:tcPr>
          <w:p w:rsidR="00F24971" w:rsidRPr="005B6074" w:rsidRDefault="00A35E98" w:rsidP="00F24971">
            <w:pPr>
              <w:autoSpaceDE w:val="0"/>
              <w:autoSpaceDN w:val="0"/>
              <w:adjustRightInd w:val="0"/>
              <w:spacing w:before="120" w:after="120"/>
              <w:ind w:left="113"/>
              <w:rPr>
                <w:rFonts w:ascii="Verdana" w:eastAsia="Times New Roman" w:hAnsi="Verdana"/>
                <w:sz w:val="20"/>
                <w:szCs w:val="20"/>
              </w:rPr>
            </w:pPr>
            <w:r w:rsidRPr="005B6074">
              <w:rPr>
                <w:rFonts w:ascii="Verdana" w:hAnsi="Verdana"/>
                <w:sz w:val="20"/>
              </w:rPr>
              <w:t>Assessment of the relevance and the clarity of the system of indicators</w:t>
            </w:r>
          </w:p>
        </w:tc>
      </w:tr>
    </w:tbl>
    <w:p w:rsidR="00C601FD" w:rsidRPr="005B6074" w:rsidRDefault="00A35E98" w:rsidP="00C601FD">
      <w:pPr>
        <w:spacing w:before="240" w:after="360"/>
        <w:jc w:val="both"/>
        <w:rPr>
          <w:rFonts w:ascii="Verdana" w:eastAsia="Times New Roman" w:hAnsi="Verdana"/>
          <w:color w:val="000000"/>
          <w:sz w:val="20"/>
          <w:szCs w:val="20"/>
          <w:lang w:eastAsia="bg-BG"/>
        </w:rPr>
      </w:pPr>
      <w:r w:rsidRPr="005B6074">
        <w:rPr>
          <w:rFonts w:ascii="Verdana" w:hAnsi="Verdana"/>
          <w:color w:val="000000"/>
          <w:sz w:val="20"/>
        </w:rPr>
        <w:t xml:space="preserve">The system of indicators </w:t>
      </w:r>
      <w:r w:rsidR="00C601FD" w:rsidRPr="005B6074">
        <w:rPr>
          <w:rFonts w:ascii="Verdana" w:hAnsi="Verdana"/>
          <w:color w:val="000000"/>
          <w:sz w:val="20"/>
        </w:rPr>
        <w:t>was improved and further elaborated and in August 2014 General Directorate “Structural Funds and International Educational Programmes” proposed baseline and target values for most of the indicators. Still the system needs improvement as far as it concerns reduction of the number of result indicators and their better coherence with the specific objectives. Notes have been made with this regard.</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67"/>
        <w:gridCol w:w="8352"/>
      </w:tblGrid>
      <w:tr w:rsidR="00F24971" w:rsidRPr="005B6074" w:rsidTr="00F24971">
        <w:tc>
          <w:tcPr>
            <w:tcW w:w="567" w:type="dxa"/>
            <w:vAlign w:val="center"/>
          </w:tcPr>
          <w:p w:rsidR="00F24971" w:rsidRPr="005B6074" w:rsidRDefault="00A35E98" w:rsidP="00F24971">
            <w:pPr>
              <w:spacing w:after="0"/>
              <w:jc w:val="center"/>
              <w:rPr>
                <w:rFonts w:ascii="Verdana" w:eastAsia="Times New Roman" w:hAnsi="Verdana"/>
                <w:color w:val="548DD4"/>
                <w:sz w:val="36"/>
                <w:szCs w:val="36"/>
              </w:rPr>
            </w:pPr>
            <w:r w:rsidRPr="005B6074">
              <w:rPr>
                <w:rFonts w:ascii="Verdana" w:hAnsi="Verdana"/>
                <w:color w:val="548DD4"/>
                <w:sz w:val="36"/>
              </w:rPr>
              <w:t>?</w:t>
            </w:r>
          </w:p>
        </w:tc>
        <w:tc>
          <w:tcPr>
            <w:tcW w:w="8364" w:type="dxa"/>
            <w:shd w:val="clear" w:color="auto" w:fill="B8CCE4"/>
          </w:tcPr>
          <w:p w:rsidR="00F24971" w:rsidRPr="005B6074" w:rsidRDefault="00A35E98" w:rsidP="00F24971">
            <w:pPr>
              <w:autoSpaceDE w:val="0"/>
              <w:autoSpaceDN w:val="0"/>
              <w:adjustRightInd w:val="0"/>
              <w:spacing w:before="120" w:after="120"/>
              <w:ind w:left="113"/>
              <w:rPr>
                <w:rFonts w:ascii="Verdana" w:eastAsia="Times New Roman" w:hAnsi="Verdana"/>
                <w:sz w:val="20"/>
                <w:szCs w:val="20"/>
              </w:rPr>
            </w:pPr>
            <w:r w:rsidRPr="005B6074">
              <w:rPr>
                <w:rFonts w:ascii="Verdana" w:hAnsi="Verdana"/>
                <w:sz w:val="20"/>
              </w:rPr>
              <w:t>Assessment of the realism in the quantitative expression of the baseline and target values of the indicators</w:t>
            </w:r>
          </w:p>
        </w:tc>
      </w:tr>
    </w:tbl>
    <w:p w:rsidR="00C601FD" w:rsidRPr="005B6074" w:rsidRDefault="00C601FD" w:rsidP="00F24971">
      <w:pPr>
        <w:widowControl w:val="0"/>
        <w:tabs>
          <w:tab w:val="left" w:pos="0"/>
          <w:tab w:val="right" w:pos="9214"/>
        </w:tabs>
        <w:spacing w:before="240" w:after="360"/>
        <w:jc w:val="both"/>
        <w:rPr>
          <w:rFonts w:ascii="Verdana" w:eastAsia="Times New Roman" w:hAnsi="Verdana"/>
          <w:bCs/>
          <w:color w:val="000000"/>
          <w:sz w:val="20"/>
          <w:szCs w:val="20"/>
        </w:rPr>
      </w:pPr>
      <w:r w:rsidRPr="005B6074">
        <w:rPr>
          <w:rFonts w:ascii="Verdana" w:hAnsi="Verdana"/>
          <w:color w:val="000000"/>
          <w:sz w:val="20"/>
        </w:rPr>
        <w:t>In August 2014 General Directorate “Structural Funds and International Educational Programmes” proposed a new system of indicators with baseline</w:t>
      </w:r>
      <w:r w:rsidR="00F176FD" w:rsidRPr="005B6074">
        <w:rPr>
          <w:rFonts w:ascii="Verdana" w:hAnsi="Verdana"/>
          <w:color w:val="000000"/>
          <w:sz w:val="20"/>
        </w:rPr>
        <w:t xml:space="preserve"> and target values which is not yet incorporated in the text of the programme. The new system has been commented as well as the indicators’ values. As the methodology for calculation of the values have not been presented the evaluation of the realism of the values set is based on data from the previous experience in similar measures under </w:t>
      </w:r>
      <w:r w:rsidR="00F176FD" w:rsidRPr="005B6074">
        <w:rPr>
          <w:rFonts w:ascii="Verdana" w:hAnsi="Verdana"/>
          <w:sz w:val="20"/>
          <w:szCs w:val="20"/>
        </w:rPr>
        <w:t>Operational Programme Human Resources Development 2007-2013, the budget allocated, available administrative capacity and information presented in the programme on the activities and objectives which the indicators measure. Not all of the result indicators have baseline values. Most of the values set seem realistic judging on the available information.</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67"/>
        <w:gridCol w:w="8352"/>
      </w:tblGrid>
      <w:tr w:rsidR="00F24971" w:rsidRPr="005B6074" w:rsidTr="00F24971">
        <w:tc>
          <w:tcPr>
            <w:tcW w:w="567" w:type="dxa"/>
            <w:vAlign w:val="center"/>
          </w:tcPr>
          <w:p w:rsidR="00F24971" w:rsidRPr="005B6074" w:rsidRDefault="00A35E98" w:rsidP="005A221F">
            <w:pPr>
              <w:keepNext/>
              <w:spacing w:after="120"/>
              <w:jc w:val="center"/>
              <w:rPr>
                <w:rFonts w:ascii="Verdana" w:eastAsia="Times New Roman" w:hAnsi="Verdana"/>
                <w:color w:val="548DD4"/>
                <w:sz w:val="36"/>
                <w:szCs w:val="36"/>
              </w:rPr>
            </w:pPr>
            <w:r w:rsidRPr="005B6074">
              <w:rPr>
                <w:rFonts w:ascii="Verdana" w:hAnsi="Verdana"/>
                <w:color w:val="548DD4"/>
                <w:sz w:val="36"/>
              </w:rPr>
              <w:lastRenderedPageBreak/>
              <w:t>?</w:t>
            </w:r>
          </w:p>
        </w:tc>
        <w:tc>
          <w:tcPr>
            <w:tcW w:w="8352" w:type="dxa"/>
            <w:shd w:val="clear" w:color="auto" w:fill="B8CCE4"/>
          </w:tcPr>
          <w:p w:rsidR="00F24971" w:rsidRPr="005B6074" w:rsidRDefault="00A35E98" w:rsidP="005A221F">
            <w:pPr>
              <w:keepNext/>
              <w:autoSpaceDE w:val="0"/>
              <w:autoSpaceDN w:val="0"/>
              <w:adjustRightInd w:val="0"/>
              <w:spacing w:before="120" w:after="120"/>
              <w:ind w:left="113"/>
              <w:rPr>
                <w:rFonts w:ascii="Verdana" w:eastAsia="Times New Roman" w:hAnsi="Verdana"/>
                <w:sz w:val="20"/>
                <w:szCs w:val="20"/>
              </w:rPr>
            </w:pPr>
            <w:r w:rsidRPr="005B6074">
              <w:rPr>
                <w:rFonts w:ascii="Verdana" w:hAnsi="Verdana"/>
                <w:sz w:val="20"/>
              </w:rPr>
              <w:t>Relevance of the milestones defined</w:t>
            </w:r>
          </w:p>
        </w:tc>
      </w:tr>
    </w:tbl>
    <w:p w:rsidR="00F24971" w:rsidRPr="005B6074" w:rsidRDefault="00A35E98" w:rsidP="00F24971">
      <w:pPr>
        <w:widowControl w:val="0"/>
        <w:tabs>
          <w:tab w:val="left" w:pos="0"/>
          <w:tab w:val="right" w:pos="9214"/>
        </w:tabs>
        <w:spacing w:before="240" w:after="360"/>
        <w:jc w:val="both"/>
        <w:rPr>
          <w:rFonts w:ascii="Verdana" w:eastAsia="Times New Roman" w:hAnsi="Verdana"/>
          <w:bCs/>
          <w:color w:val="000000"/>
          <w:sz w:val="20"/>
          <w:szCs w:val="20"/>
        </w:rPr>
      </w:pPr>
      <w:r w:rsidRPr="005B6074">
        <w:rPr>
          <w:rFonts w:ascii="Verdana" w:hAnsi="Verdana"/>
          <w:color w:val="000000"/>
          <w:sz w:val="20"/>
        </w:rPr>
        <w:t>This section could not be drafted as the Programme's latest version of May 2014 does not identify any milestones for most of the indicators.</w:t>
      </w:r>
    </w:p>
    <w:p w:rsidR="00F24971" w:rsidRPr="005B6074" w:rsidRDefault="00897407" w:rsidP="00F24971">
      <w:pPr>
        <w:keepNext/>
        <w:tabs>
          <w:tab w:val="left" w:pos="0"/>
          <w:tab w:val="right" w:pos="9214"/>
        </w:tabs>
        <w:spacing w:after="120"/>
        <w:jc w:val="both"/>
        <w:rPr>
          <w:rFonts w:ascii="Verdana" w:hAnsi="Verdana"/>
          <w:color w:val="548DD4"/>
        </w:rPr>
      </w:pPr>
      <w:r>
        <w:rPr>
          <w:rFonts w:ascii="Verdana" w:hAnsi="Verdana"/>
          <w:color w:val="548DD4"/>
        </w:rPr>
        <w:t>Evaluation</w:t>
      </w:r>
      <w:r w:rsidR="00A35E98" w:rsidRPr="005B6074">
        <w:rPr>
          <w:rFonts w:ascii="Verdana" w:hAnsi="Verdana"/>
          <w:color w:val="548DD4"/>
        </w:rPr>
        <w:t xml:space="preserve"> of Budget Allocation</w:t>
      </w:r>
    </w:p>
    <w:tbl>
      <w:tblPr>
        <w:tblW w:w="9072" w:type="dxa"/>
        <w:tblInd w:w="108" w:type="dxa"/>
        <w:tblBorders>
          <w:top w:val="single" w:sz="4" w:space="0" w:color="auto"/>
          <w:bottom w:val="single" w:sz="4" w:space="0" w:color="auto"/>
        </w:tblBorders>
        <w:tblLook w:val="04A0" w:firstRow="1" w:lastRow="0" w:firstColumn="1" w:lastColumn="0" w:noHBand="0" w:noVBand="1"/>
      </w:tblPr>
      <w:tblGrid>
        <w:gridCol w:w="567"/>
        <w:gridCol w:w="8505"/>
      </w:tblGrid>
      <w:tr w:rsidR="00F24971" w:rsidRPr="005B6074" w:rsidTr="00F24971">
        <w:tc>
          <w:tcPr>
            <w:tcW w:w="567" w:type="dxa"/>
            <w:vAlign w:val="center"/>
          </w:tcPr>
          <w:p w:rsidR="00F24971" w:rsidRPr="005B6074" w:rsidRDefault="00A35E98" w:rsidP="00F24971">
            <w:pPr>
              <w:spacing w:after="0"/>
              <w:jc w:val="center"/>
              <w:rPr>
                <w:rFonts w:ascii="Verdana" w:eastAsia="Times New Roman" w:hAnsi="Verdana"/>
                <w:color w:val="548DD4"/>
                <w:sz w:val="36"/>
                <w:szCs w:val="36"/>
              </w:rPr>
            </w:pPr>
            <w:r w:rsidRPr="005B6074">
              <w:rPr>
                <w:rFonts w:ascii="Verdana" w:hAnsi="Verdana"/>
                <w:color w:val="548DD4"/>
                <w:sz w:val="36"/>
              </w:rPr>
              <w:t>?</w:t>
            </w:r>
          </w:p>
        </w:tc>
        <w:tc>
          <w:tcPr>
            <w:tcW w:w="8505" w:type="dxa"/>
            <w:shd w:val="clear" w:color="auto" w:fill="B8CCE4"/>
          </w:tcPr>
          <w:p w:rsidR="00F24971" w:rsidRPr="005B6074" w:rsidRDefault="00A35E98" w:rsidP="00F24971">
            <w:pPr>
              <w:autoSpaceDE w:val="0"/>
              <w:autoSpaceDN w:val="0"/>
              <w:adjustRightInd w:val="0"/>
              <w:spacing w:before="120" w:after="120" w:line="240" w:lineRule="auto"/>
              <w:ind w:left="135"/>
              <w:rPr>
                <w:rFonts w:ascii="Verdana" w:eastAsia="Times New Roman" w:hAnsi="Verdana" w:cs="TimesNewRomanPSMT"/>
                <w:sz w:val="20"/>
                <w:szCs w:val="20"/>
              </w:rPr>
            </w:pPr>
            <w:r w:rsidRPr="005B6074">
              <w:rPr>
                <w:rFonts w:ascii="Verdana" w:hAnsi="Verdana"/>
                <w:sz w:val="20"/>
              </w:rPr>
              <w:t>Consistency and justification of budgetary allocation against the Programme objectives</w:t>
            </w:r>
          </w:p>
        </w:tc>
      </w:tr>
    </w:tbl>
    <w:p w:rsidR="00F24971" w:rsidRPr="005B6074" w:rsidRDefault="00A35E98" w:rsidP="00F24971">
      <w:pPr>
        <w:tabs>
          <w:tab w:val="left" w:pos="0"/>
          <w:tab w:val="right" w:pos="9214"/>
        </w:tabs>
        <w:spacing w:before="240" w:after="120"/>
        <w:jc w:val="both"/>
        <w:rPr>
          <w:rFonts w:ascii="Verdana" w:eastAsia="Calibri" w:hAnsi="Verdana"/>
          <w:sz w:val="20"/>
          <w:szCs w:val="20"/>
        </w:rPr>
      </w:pPr>
      <w:r w:rsidRPr="005B6074">
        <w:rPr>
          <w:rFonts w:ascii="Verdana" w:hAnsi="Verdana"/>
          <w:sz w:val="20"/>
        </w:rPr>
        <w:t>The budget of the operational programme is allocated between education and lifelong learning (36.</w:t>
      </w:r>
      <w:r w:rsidR="00F176FD" w:rsidRPr="005B6074">
        <w:rPr>
          <w:rFonts w:ascii="Verdana" w:hAnsi="Verdana"/>
          <w:sz w:val="20"/>
        </w:rPr>
        <w:t>8</w:t>
      </w:r>
      <w:r w:rsidRPr="005B6074">
        <w:rPr>
          <w:rFonts w:ascii="Verdana" w:hAnsi="Verdana"/>
          <w:sz w:val="20"/>
        </w:rPr>
        <w:t xml:space="preserve"> for Priority Axis 2 and 1</w:t>
      </w:r>
      <w:r w:rsidR="00F176FD" w:rsidRPr="005B6074">
        <w:rPr>
          <w:rFonts w:ascii="Verdana" w:hAnsi="Verdana"/>
          <w:sz w:val="20"/>
        </w:rPr>
        <w:t>9</w:t>
      </w:r>
      <w:r w:rsidRPr="005B6074">
        <w:rPr>
          <w:rFonts w:ascii="Verdana" w:hAnsi="Verdana"/>
          <w:sz w:val="20"/>
        </w:rPr>
        <w:t>.</w:t>
      </w:r>
      <w:r w:rsidR="00F176FD" w:rsidRPr="005B6074">
        <w:rPr>
          <w:rFonts w:ascii="Verdana" w:hAnsi="Verdana"/>
          <w:sz w:val="20"/>
        </w:rPr>
        <w:t>4</w:t>
      </w:r>
      <w:r w:rsidRPr="005B6074">
        <w:rPr>
          <w:rFonts w:ascii="Verdana" w:hAnsi="Verdana"/>
          <w:sz w:val="20"/>
        </w:rPr>
        <w:t xml:space="preserve">% for Priority Axis 3 respectively) and research and technological development (Priority Axis 1 </w:t>
      </w:r>
      <w:r w:rsidR="00F176FD" w:rsidRPr="005B6074">
        <w:rPr>
          <w:rFonts w:ascii="Verdana" w:hAnsi="Verdana"/>
          <w:sz w:val="20"/>
        </w:rPr>
        <w:t>–</w:t>
      </w:r>
      <w:r w:rsidRPr="005B6074">
        <w:rPr>
          <w:rFonts w:ascii="Verdana" w:hAnsi="Verdana"/>
          <w:sz w:val="20"/>
        </w:rPr>
        <w:t xml:space="preserve"> </w:t>
      </w:r>
      <w:r w:rsidR="00F176FD" w:rsidRPr="005B6074">
        <w:rPr>
          <w:rFonts w:ascii="Verdana" w:hAnsi="Verdana"/>
          <w:sz w:val="20"/>
        </w:rPr>
        <w:t>39q8</w:t>
      </w:r>
      <w:r w:rsidRPr="005B6074">
        <w:rPr>
          <w:rFonts w:ascii="Verdana" w:hAnsi="Verdana"/>
          <w:sz w:val="20"/>
        </w:rPr>
        <w:t xml:space="preserve">.5). </w:t>
      </w:r>
      <w:r w:rsidR="00F176FD" w:rsidRPr="005B6074">
        <w:rPr>
          <w:rFonts w:ascii="Verdana" w:hAnsi="Verdana"/>
          <w:sz w:val="20"/>
        </w:rPr>
        <w:t>4</w:t>
      </w:r>
      <w:r w:rsidRPr="005B6074">
        <w:rPr>
          <w:rFonts w:ascii="Verdana" w:hAnsi="Verdana"/>
          <w:sz w:val="20"/>
        </w:rPr>
        <w:t xml:space="preserve">% of the programme's funds are allocated for technical assistance. </w:t>
      </w:r>
    </w:p>
    <w:p w:rsidR="00F24971" w:rsidRPr="005B6074" w:rsidRDefault="00A35E98" w:rsidP="00F24971">
      <w:pPr>
        <w:tabs>
          <w:tab w:val="left" w:pos="0"/>
          <w:tab w:val="right" w:pos="9214"/>
        </w:tabs>
        <w:spacing w:after="120"/>
        <w:jc w:val="both"/>
        <w:rPr>
          <w:rFonts w:ascii="Verdana" w:eastAsia="Calibri" w:hAnsi="Verdana"/>
          <w:sz w:val="20"/>
          <w:szCs w:val="20"/>
        </w:rPr>
      </w:pPr>
      <w:r w:rsidRPr="005B6074">
        <w:rPr>
          <w:rFonts w:ascii="Verdana" w:hAnsi="Verdana"/>
          <w:sz w:val="20"/>
        </w:rPr>
        <w:t xml:space="preserve">In order to improve </w:t>
      </w:r>
      <w:r w:rsidRPr="005B6074">
        <w:rPr>
          <w:rFonts w:ascii="Verdana" w:hAnsi="Verdana"/>
          <w:i/>
          <w:sz w:val="20"/>
        </w:rPr>
        <w:t xml:space="preserve">education and lifelong learning (Priority Axis 2) </w:t>
      </w:r>
      <w:r w:rsidRPr="005B6074">
        <w:rPr>
          <w:rFonts w:ascii="Verdana" w:hAnsi="Verdana"/>
          <w:sz w:val="20"/>
        </w:rPr>
        <w:t xml:space="preserve">with the EUR 200 million of EU funds planned given the high priority of education in the achievement of smart growth in the long run, the </w:t>
      </w:r>
      <w:r w:rsidR="00F176FD" w:rsidRPr="005B6074">
        <w:rPr>
          <w:rFonts w:ascii="Verdana" w:hAnsi="Verdana"/>
          <w:sz w:val="20"/>
        </w:rPr>
        <w:t>9</w:t>
      </w:r>
      <w:r w:rsidRPr="005B6074">
        <w:rPr>
          <w:rFonts w:ascii="Verdana" w:hAnsi="Verdana"/>
          <w:sz w:val="20"/>
        </w:rPr>
        <w:t xml:space="preserve">% increase, which is in fact a </w:t>
      </w:r>
      <w:r w:rsidR="00F176FD" w:rsidRPr="005B6074">
        <w:rPr>
          <w:rFonts w:ascii="Verdana" w:hAnsi="Verdana"/>
          <w:sz w:val="20"/>
        </w:rPr>
        <w:t>one percent increase</w:t>
      </w:r>
      <w:r w:rsidRPr="005B6074">
        <w:rPr>
          <w:rFonts w:ascii="Verdana" w:hAnsi="Verdana"/>
          <w:sz w:val="20"/>
        </w:rPr>
        <w:t xml:space="preserve"> in real terms, seems insufficient. Another important issue is also connected to the allocation of funds among the variety of activities covered by this priority axis, for which there is no information at this stage. </w:t>
      </w:r>
      <w:r w:rsidR="00F176FD" w:rsidRPr="005B6074">
        <w:rPr>
          <w:rFonts w:ascii="Verdana" w:hAnsi="Verdana"/>
          <w:sz w:val="20"/>
        </w:rPr>
        <w:t>I</w:t>
      </w:r>
      <w:r w:rsidRPr="005B6074">
        <w:rPr>
          <w:rFonts w:ascii="Verdana" w:hAnsi="Verdana"/>
          <w:sz w:val="20"/>
        </w:rPr>
        <w:t>nformation is also needed about the manner in which the requirement for focusing of at least 60% of all ESF funds on 5 investment priorities at the most will be met.</w:t>
      </w:r>
    </w:p>
    <w:p w:rsidR="00F24971" w:rsidRPr="005B6074" w:rsidRDefault="00A35E98" w:rsidP="00F24971">
      <w:pPr>
        <w:tabs>
          <w:tab w:val="left" w:pos="0"/>
          <w:tab w:val="right" w:pos="9214"/>
        </w:tabs>
        <w:spacing w:after="120"/>
        <w:jc w:val="both"/>
        <w:rPr>
          <w:rFonts w:ascii="Verdana" w:eastAsia="Calibri" w:hAnsi="Verdana"/>
          <w:sz w:val="20"/>
          <w:szCs w:val="20"/>
        </w:rPr>
      </w:pPr>
      <w:r w:rsidRPr="005B6074">
        <w:rPr>
          <w:rFonts w:ascii="Verdana" w:hAnsi="Verdana"/>
          <w:sz w:val="20"/>
        </w:rPr>
        <w:t xml:space="preserve">In order to achieve the targets connected to </w:t>
      </w:r>
      <w:r w:rsidRPr="005B6074">
        <w:rPr>
          <w:rFonts w:ascii="Verdana" w:hAnsi="Verdana"/>
          <w:i/>
          <w:sz w:val="20"/>
        </w:rPr>
        <w:t>integration in education</w:t>
      </w:r>
      <w:r w:rsidRPr="005B6074">
        <w:rPr>
          <w:rFonts w:ascii="Verdana" w:hAnsi="Verdana"/>
          <w:sz w:val="20"/>
        </w:rPr>
        <w:t xml:space="preserve"> (Priority Axis 3), EUR 1</w:t>
      </w:r>
      <w:r w:rsidR="00F176FD" w:rsidRPr="005B6074">
        <w:rPr>
          <w:rFonts w:ascii="Verdana" w:hAnsi="Verdana"/>
          <w:sz w:val="20"/>
        </w:rPr>
        <w:t>16</w:t>
      </w:r>
      <w:r w:rsidRPr="005B6074">
        <w:rPr>
          <w:rFonts w:ascii="Verdana" w:hAnsi="Verdana"/>
          <w:sz w:val="20"/>
        </w:rPr>
        <w:t xml:space="preserve"> million of EU funds have been earmarked. These resources are considerably smaller than the financing of similar activities in the 2007-2013 period under the Operational Programme Human Resources Development.</w:t>
      </w:r>
    </w:p>
    <w:p w:rsidR="00F24971" w:rsidRPr="005B6074" w:rsidRDefault="00A35E98" w:rsidP="00F24971">
      <w:pPr>
        <w:tabs>
          <w:tab w:val="left" w:pos="0"/>
          <w:tab w:val="right" w:pos="9214"/>
        </w:tabs>
        <w:spacing w:after="360"/>
        <w:jc w:val="both"/>
        <w:rPr>
          <w:rFonts w:ascii="Verdana" w:hAnsi="Verdana"/>
          <w:sz w:val="20"/>
        </w:rPr>
      </w:pPr>
      <w:r w:rsidRPr="005B6074">
        <w:rPr>
          <w:rFonts w:ascii="Verdana" w:hAnsi="Verdana"/>
          <w:sz w:val="20"/>
        </w:rPr>
        <w:t xml:space="preserve">With the budgetary commitment profile </w:t>
      </w:r>
      <w:r w:rsidR="00F176FD" w:rsidRPr="005B6074">
        <w:rPr>
          <w:rFonts w:ascii="Verdana" w:hAnsi="Verdana"/>
          <w:sz w:val="20"/>
        </w:rPr>
        <w:t xml:space="preserve">by years </w:t>
      </w:r>
      <w:r w:rsidRPr="005B6074">
        <w:rPr>
          <w:rFonts w:ascii="Verdana" w:hAnsi="Verdana"/>
          <w:sz w:val="20"/>
        </w:rPr>
        <w:t xml:space="preserve">defined in the up-to-date version of the operational programme and assuming that Programme implementation will generally follow that of Priority Axes 3 and 4 of the Operational Programme Human Resources </w:t>
      </w:r>
      <w:r w:rsidR="000D4E29" w:rsidRPr="005B6074">
        <w:rPr>
          <w:rFonts w:ascii="Verdana" w:hAnsi="Verdana"/>
          <w:sz w:val="20"/>
        </w:rPr>
        <w:t xml:space="preserve">Development, there is a risk of automatic </w:t>
      </w:r>
      <w:proofErr w:type="spellStart"/>
      <w:r w:rsidR="000D4E29" w:rsidRPr="005B6074">
        <w:rPr>
          <w:rFonts w:ascii="Verdana" w:hAnsi="Verdana"/>
          <w:sz w:val="20"/>
        </w:rPr>
        <w:t>decommitment</w:t>
      </w:r>
      <w:proofErr w:type="spellEnd"/>
      <w:r w:rsidR="000D4E29" w:rsidRPr="005B6074">
        <w:rPr>
          <w:rFonts w:ascii="Verdana" w:hAnsi="Verdana"/>
          <w:sz w:val="20"/>
        </w:rPr>
        <w:t xml:space="preserve"> of</w:t>
      </w:r>
      <w:r w:rsidRPr="005B6074">
        <w:rPr>
          <w:rFonts w:ascii="Verdana" w:hAnsi="Verdana"/>
          <w:sz w:val="20"/>
        </w:rPr>
        <w:t xml:space="preserve"> funds as early as in </w:t>
      </w:r>
      <w:r w:rsidR="00F176FD" w:rsidRPr="005B6074">
        <w:rPr>
          <w:rFonts w:ascii="Verdana" w:hAnsi="Verdana"/>
          <w:sz w:val="20"/>
        </w:rPr>
        <w:t>201</w:t>
      </w:r>
      <w:r w:rsidR="000D4E29" w:rsidRPr="005B6074">
        <w:rPr>
          <w:rFonts w:ascii="Verdana" w:hAnsi="Verdana"/>
          <w:sz w:val="20"/>
        </w:rPr>
        <w:t>8-2019</w:t>
      </w:r>
      <w:r w:rsidRPr="005B6074">
        <w:rPr>
          <w:rFonts w:ascii="Verdana" w:hAnsi="Verdana"/>
          <w:sz w:val="20"/>
        </w:rPr>
        <w:t>. It</w:t>
      </w:r>
      <w:r w:rsidRPr="005B6074">
        <w:rPr>
          <w:rFonts w:ascii="Verdana" w:hAnsi="Verdana"/>
          <w:color w:val="000000"/>
          <w:sz w:val="20"/>
        </w:rPr>
        <w:t xml:space="preserve"> is therefore advisable to plan lower budgetary commitments in </w:t>
      </w:r>
      <w:r w:rsidRPr="005B6074">
        <w:rPr>
          <w:rFonts w:ascii="Verdana" w:hAnsi="Verdana"/>
          <w:sz w:val="20"/>
        </w:rPr>
        <w:t>the first three years of Programme implementation on account of the following years when certification is expected to speed up.</w:t>
      </w:r>
    </w:p>
    <w:tbl>
      <w:tblPr>
        <w:tblW w:w="9090" w:type="dxa"/>
        <w:tblInd w:w="108" w:type="dxa"/>
        <w:tblBorders>
          <w:top w:val="single" w:sz="4" w:space="0" w:color="auto"/>
          <w:bottom w:val="single" w:sz="4" w:space="0" w:color="auto"/>
        </w:tblBorders>
        <w:tblLook w:val="04A0" w:firstRow="1" w:lastRow="0" w:firstColumn="1" w:lastColumn="0" w:noHBand="0" w:noVBand="1"/>
      </w:tblPr>
      <w:tblGrid>
        <w:gridCol w:w="567"/>
        <w:gridCol w:w="8523"/>
      </w:tblGrid>
      <w:tr w:rsidR="00F24971" w:rsidRPr="005B6074" w:rsidTr="00F24971">
        <w:tc>
          <w:tcPr>
            <w:tcW w:w="567" w:type="dxa"/>
            <w:vAlign w:val="center"/>
          </w:tcPr>
          <w:p w:rsidR="00F24971" w:rsidRPr="005B6074" w:rsidRDefault="00A35E98" w:rsidP="00F24971">
            <w:pPr>
              <w:spacing w:after="0"/>
              <w:jc w:val="center"/>
              <w:rPr>
                <w:rFonts w:ascii="Verdana" w:eastAsia="Times New Roman" w:hAnsi="Verdana"/>
                <w:color w:val="548DD4"/>
                <w:sz w:val="36"/>
                <w:szCs w:val="36"/>
              </w:rPr>
            </w:pPr>
            <w:r w:rsidRPr="005B6074">
              <w:rPr>
                <w:rFonts w:ascii="Verdana" w:hAnsi="Verdana"/>
                <w:color w:val="548DD4"/>
                <w:sz w:val="36"/>
              </w:rPr>
              <w:t>?</w:t>
            </w:r>
          </w:p>
        </w:tc>
        <w:tc>
          <w:tcPr>
            <w:tcW w:w="8523" w:type="dxa"/>
            <w:shd w:val="clear" w:color="auto" w:fill="B8CCE4"/>
          </w:tcPr>
          <w:p w:rsidR="00F24971" w:rsidRPr="005B6074" w:rsidRDefault="00A35E98" w:rsidP="00F24971">
            <w:pPr>
              <w:autoSpaceDE w:val="0"/>
              <w:autoSpaceDN w:val="0"/>
              <w:adjustRightInd w:val="0"/>
              <w:spacing w:before="120" w:after="120" w:line="240" w:lineRule="auto"/>
              <w:ind w:left="135"/>
              <w:rPr>
                <w:rFonts w:ascii="Verdana" w:eastAsia="Times New Roman" w:hAnsi="Verdana" w:cs="TimesNewRomanPSMT"/>
                <w:sz w:val="20"/>
                <w:szCs w:val="20"/>
              </w:rPr>
            </w:pPr>
            <w:r w:rsidRPr="005B6074">
              <w:rPr>
                <w:rFonts w:ascii="Verdana" w:hAnsi="Verdana"/>
                <w:sz w:val="20"/>
              </w:rPr>
              <w:t>Consistency and justification of budgetary allocation against regulation requirements (integrated approach, focus of interventions, financial engineering, etc.)</w:t>
            </w:r>
          </w:p>
        </w:tc>
      </w:tr>
    </w:tbl>
    <w:p w:rsidR="00F24971" w:rsidRPr="005B6074" w:rsidRDefault="00A35E98" w:rsidP="00F24971">
      <w:pPr>
        <w:widowControl w:val="0"/>
        <w:tabs>
          <w:tab w:val="left" w:pos="0"/>
          <w:tab w:val="right" w:pos="9214"/>
        </w:tabs>
        <w:spacing w:before="240" w:after="120"/>
        <w:jc w:val="both"/>
        <w:rPr>
          <w:rFonts w:ascii="Verdana" w:hAnsi="Verdana"/>
          <w:color w:val="000000"/>
          <w:sz w:val="20"/>
        </w:rPr>
      </w:pPr>
      <w:r w:rsidRPr="005B6074">
        <w:rPr>
          <w:rFonts w:ascii="Verdana" w:hAnsi="Verdana"/>
          <w:color w:val="000000"/>
          <w:sz w:val="20"/>
        </w:rPr>
        <w:t xml:space="preserve">The allocation of budgetary commitments by year </w:t>
      </w:r>
      <w:r w:rsidR="001F5B8C" w:rsidRPr="005B6074">
        <w:rPr>
          <w:rFonts w:ascii="Verdana" w:hAnsi="Verdana"/>
          <w:color w:val="000000"/>
          <w:sz w:val="20"/>
        </w:rPr>
        <w:t xml:space="preserve">is ambitious and </w:t>
      </w:r>
      <w:r w:rsidRPr="005B6074">
        <w:rPr>
          <w:rFonts w:ascii="Verdana" w:hAnsi="Verdana"/>
          <w:color w:val="000000"/>
          <w:sz w:val="20"/>
        </w:rPr>
        <w:t>runs the risk of an automatic loss of funds</w:t>
      </w:r>
      <w:r w:rsidR="001F5B8C" w:rsidRPr="005B6074">
        <w:rPr>
          <w:rFonts w:ascii="Verdana" w:hAnsi="Verdana"/>
          <w:color w:val="000000"/>
          <w:sz w:val="20"/>
        </w:rPr>
        <w:t xml:space="preserve"> in the first years of implementation if the profile of absorption of funds will be similar to those of similar activities under Operational Programme Human Resources development 2007-2013. T</w:t>
      </w:r>
      <w:r w:rsidRPr="005B6074">
        <w:rPr>
          <w:rFonts w:ascii="Verdana" w:hAnsi="Verdana"/>
          <w:color w:val="000000"/>
          <w:sz w:val="20"/>
        </w:rPr>
        <w:t>he evaluator has therefore proposed an alternative allocation.</w:t>
      </w:r>
    </w:p>
    <w:p w:rsidR="00F24971" w:rsidRPr="005B6074" w:rsidRDefault="00A35E98" w:rsidP="00F24971">
      <w:pPr>
        <w:pStyle w:val="ListParagraph1"/>
        <w:widowControl w:val="0"/>
        <w:tabs>
          <w:tab w:val="left" w:pos="0"/>
          <w:tab w:val="right" w:pos="9214"/>
        </w:tabs>
        <w:spacing w:before="120" w:after="360" w:line="276" w:lineRule="auto"/>
        <w:ind w:left="0"/>
        <w:rPr>
          <w:rFonts w:ascii="Verdana" w:hAnsi="Verdana"/>
          <w:color w:val="000000"/>
          <w:sz w:val="20"/>
        </w:rPr>
      </w:pPr>
      <w:r w:rsidRPr="005B6074">
        <w:rPr>
          <w:rFonts w:ascii="Verdana" w:hAnsi="Verdana"/>
          <w:sz w:val="20"/>
        </w:rPr>
        <w:lastRenderedPageBreak/>
        <w:t xml:space="preserve">The version of May 2014 does not include a financial justification, </w:t>
      </w:r>
      <w:r w:rsidRPr="005B6074">
        <w:rPr>
          <w:rFonts w:ascii="Verdana" w:hAnsi="Verdana"/>
          <w:color w:val="000000"/>
          <w:sz w:val="20"/>
        </w:rPr>
        <w:t>which does not allow assessing whether the requirement of thematic concentration has been met.</w:t>
      </w:r>
    </w:p>
    <w:tbl>
      <w:tblPr>
        <w:tblW w:w="9090" w:type="dxa"/>
        <w:tblInd w:w="108" w:type="dxa"/>
        <w:tblBorders>
          <w:top w:val="single" w:sz="4" w:space="0" w:color="auto"/>
          <w:bottom w:val="single" w:sz="4" w:space="0" w:color="auto"/>
        </w:tblBorders>
        <w:tblLook w:val="04A0" w:firstRow="1" w:lastRow="0" w:firstColumn="1" w:lastColumn="0" w:noHBand="0" w:noVBand="1"/>
      </w:tblPr>
      <w:tblGrid>
        <w:gridCol w:w="567"/>
        <w:gridCol w:w="8523"/>
      </w:tblGrid>
      <w:tr w:rsidR="00F24971" w:rsidRPr="005B6074" w:rsidTr="00F24971">
        <w:tc>
          <w:tcPr>
            <w:tcW w:w="567" w:type="dxa"/>
            <w:vAlign w:val="center"/>
          </w:tcPr>
          <w:p w:rsidR="00F24971" w:rsidRPr="005B6074" w:rsidRDefault="00A35E98" w:rsidP="00F24971">
            <w:pPr>
              <w:spacing w:after="0"/>
              <w:jc w:val="center"/>
              <w:rPr>
                <w:rFonts w:ascii="Verdana" w:eastAsia="Times New Roman" w:hAnsi="Verdana"/>
                <w:color w:val="548DD4"/>
                <w:sz w:val="36"/>
                <w:szCs w:val="36"/>
              </w:rPr>
            </w:pPr>
            <w:r w:rsidRPr="005B6074">
              <w:rPr>
                <w:rFonts w:ascii="Verdana" w:hAnsi="Verdana"/>
                <w:color w:val="548DD4"/>
                <w:sz w:val="36"/>
              </w:rPr>
              <w:t>?</w:t>
            </w:r>
          </w:p>
        </w:tc>
        <w:tc>
          <w:tcPr>
            <w:tcW w:w="8523" w:type="dxa"/>
            <w:shd w:val="clear" w:color="auto" w:fill="B8CCE4"/>
          </w:tcPr>
          <w:p w:rsidR="00F24971" w:rsidRPr="005B6074" w:rsidRDefault="00A35E98" w:rsidP="00F24971">
            <w:pPr>
              <w:autoSpaceDE w:val="0"/>
              <w:autoSpaceDN w:val="0"/>
              <w:adjustRightInd w:val="0"/>
              <w:spacing w:before="120" w:after="120" w:line="240" w:lineRule="auto"/>
              <w:ind w:left="135"/>
              <w:rPr>
                <w:rFonts w:ascii="Verdana" w:eastAsia="Times New Roman" w:hAnsi="Verdana" w:cs="TimesNewRomanPSMT"/>
                <w:sz w:val="20"/>
                <w:szCs w:val="20"/>
              </w:rPr>
            </w:pPr>
            <w:r w:rsidRPr="005B6074">
              <w:rPr>
                <w:rFonts w:ascii="Verdana" w:hAnsi="Verdana"/>
                <w:sz w:val="20"/>
              </w:rPr>
              <w:t>Analysis of the share of financial resources targeted at areas of strategic importance and of the extent to which funds are directly targeted at the needs and challenges identified in the socio-economic analysis</w:t>
            </w:r>
          </w:p>
        </w:tc>
      </w:tr>
    </w:tbl>
    <w:p w:rsidR="00F24971" w:rsidRPr="005B6074" w:rsidRDefault="00A35E98" w:rsidP="00F24971">
      <w:pPr>
        <w:widowControl w:val="0"/>
        <w:tabs>
          <w:tab w:val="left" w:pos="0"/>
          <w:tab w:val="right" w:pos="9214"/>
        </w:tabs>
        <w:spacing w:before="240" w:after="0"/>
        <w:jc w:val="both"/>
        <w:rPr>
          <w:rFonts w:ascii="Verdana" w:eastAsia="Times New Roman" w:hAnsi="Verdana"/>
          <w:bCs/>
          <w:color w:val="000000"/>
          <w:sz w:val="20"/>
          <w:szCs w:val="20"/>
        </w:rPr>
      </w:pPr>
      <w:r w:rsidRPr="005B6074">
        <w:rPr>
          <w:rFonts w:ascii="Verdana" w:hAnsi="Verdana"/>
          <w:color w:val="000000"/>
          <w:sz w:val="20"/>
        </w:rPr>
        <w:t>The operational programme will be conducive to the achievement of the following priorities of the National Development Programme:</w:t>
      </w:r>
    </w:p>
    <w:p w:rsidR="00F24971" w:rsidRPr="005B6074" w:rsidRDefault="00A35E98" w:rsidP="00F24971">
      <w:pPr>
        <w:widowControl w:val="0"/>
        <w:tabs>
          <w:tab w:val="left" w:pos="360"/>
          <w:tab w:val="right" w:pos="9214"/>
        </w:tabs>
        <w:spacing w:before="120" w:after="0"/>
        <w:ind w:left="360"/>
        <w:jc w:val="both"/>
        <w:rPr>
          <w:rFonts w:ascii="Verdana" w:eastAsia="Times New Roman" w:hAnsi="Verdana"/>
          <w:bCs/>
          <w:color w:val="000000"/>
          <w:sz w:val="20"/>
          <w:szCs w:val="20"/>
        </w:rPr>
      </w:pPr>
      <w:r w:rsidRPr="005B6074">
        <w:rPr>
          <w:rFonts w:ascii="Verdana" w:hAnsi="Verdana"/>
          <w:color w:val="000000"/>
          <w:sz w:val="20"/>
        </w:rPr>
        <w:t>1. Improving the access to and enhancing the quality of education and training and the quality characteristics of the workforce.</w:t>
      </w:r>
    </w:p>
    <w:p w:rsidR="00F24971" w:rsidRPr="005B6074" w:rsidRDefault="00A35E98" w:rsidP="00F24971">
      <w:pPr>
        <w:widowControl w:val="0"/>
        <w:tabs>
          <w:tab w:val="left" w:pos="360"/>
          <w:tab w:val="right" w:pos="9214"/>
        </w:tabs>
        <w:spacing w:before="120" w:after="0"/>
        <w:ind w:left="360"/>
        <w:jc w:val="both"/>
        <w:rPr>
          <w:rFonts w:ascii="Verdana" w:eastAsia="Times New Roman" w:hAnsi="Verdana"/>
          <w:bCs/>
          <w:color w:val="000000"/>
          <w:sz w:val="20"/>
          <w:szCs w:val="20"/>
        </w:rPr>
      </w:pPr>
      <w:r w:rsidRPr="005B6074">
        <w:rPr>
          <w:rFonts w:ascii="Verdana" w:hAnsi="Verdana"/>
          <w:color w:val="000000"/>
          <w:sz w:val="20"/>
        </w:rPr>
        <w:t>2. Reducing poverty and promoting social inclusion.</w:t>
      </w:r>
    </w:p>
    <w:p w:rsidR="00F24971" w:rsidRPr="005B6074" w:rsidRDefault="00A35E98" w:rsidP="00F24971">
      <w:pPr>
        <w:widowControl w:val="0"/>
        <w:tabs>
          <w:tab w:val="left" w:pos="360"/>
          <w:tab w:val="right" w:pos="9214"/>
        </w:tabs>
        <w:spacing w:before="120" w:after="0"/>
        <w:ind w:left="360"/>
        <w:jc w:val="both"/>
        <w:rPr>
          <w:rFonts w:ascii="Verdana" w:eastAsia="Times New Roman" w:hAnsi="Verdana"/>
          <w:bCs/>
          <w:color w:val="000000"/>
          <w:sz w:val="20"/>
          <w:szCs w:val="20"/>
        </w:rPr>
      </w:pPr>
      <w:r w:rsidRPr="005B6074">
        <w:rPr>
          <w:rFonts w:ascii="Verdana" w:hAnsi="Verdana"/>
          <w:color w:val="000000"/>
          <w:sz w:val="20"/>
        </w:rPr>
        <w:t>5. Support of innovation and investment activities to increase the competitiveness of the economy.</w:t>
      </w:r>
    </w:p>
    <w:p w:rsidR="00F24971" w:rsidRPr="005B6074" w:rsidRDefault="00A35E98" w:rsidP="00F24971">
      <w:pPr>
        <w:widowControl w:val="0"/>
        <w:tabs>
          <w:tab w:val="left" w:pos="0"/>
          <w:tab w:val="right" w:pos="9214"/>
        </w:tabs>
        <w:spacing w:before="120" w:after="360"/>
        <w:jc w:val="both"/>
        <w:rPr>
          <w:rFonts w:ascii="Verdana" w:eastAsia="Times New Roman" w:hAnsi="Verdana"/>
          <w:bCs/>
          <w:color w:val="000000"/>
          <w:sz w:val="20"/>
          <w:szCs w:val="20"/>
        </w:rPr>
      </w:pPr>
      <w:r w:rsidRPr="005B6074">
        <w:rPr>
          <w:rFonts w:ascii="Verdana" w:hAnsi="Verdana"/>
          <w:color w:val="000000"/>
          <w:sz w:val="20"/>
        </w:rPr>
        <w:t>The financial allocation of the Partnership Agreement suggests that a total of 23% of all EU funds</w:t>
      </w:r>
      <w:r w:rsidRPr="005B6074">
        <w:rPr>
          <w:rStyle w:val="FootnoteReference"/>
          <w:rFonts w:ascii="Verdana" w:hAnsi="Verdana"/>
          <w:color w:val="000000"/>
          <w:sz w:val="20"/>
        </w:rPr>
        <w:footnoteReference w:id="1"/>
      </w:r>
      <w:r w:rsidRPr="005B6074">
        <w:rPr>
          <w:rFonts w:ascii="Verdana" w:hAnsi="Verdana"/>
          <w:color w:val="000000"/>
          <w:sz w:val="20"/>
        </w:rPr>
        <w:t xml:space="preserve"> will be spent for thematic objectives 9 and 10</w:t>
      </w:r>
      <w:proofErr w:type="gramStart"/>
      <w:r w:rsidRPr="005B6074">
        <w:rPr>
          <w:rFonts w:ascii="Verdana" w:hAnsi="Verdana"/>
          <w:color w:val="000000"/>
          <w:sz w:val="20"/>
        </w:rPr>
        <w:t>,</w:t>
      </w:r>
      <w:proofErr w:type="gramEnd"/>
      <w:r w:rsidRPr="005B6074">
        <w:rPr>
          <w:rStyle w:val="FootnoteReference"/>
          <w:rFonts w:ascii="Verdana" w:hAnsi="Verdana"/>
          <w:color w:val="000000"/>
          <w:sz w:val="20"/>
        </w:rPr>
        <w:footnoteReference w:id="2"/>
      </w:r>
      <w:r w:rsidRPr="005B6074">
        <w:rPr>
          <w:rFonts w:ascii="Verdana" w:hAnsi="Verdana"/>
          <w:color w:val="000000"/>
          <w:sz w:val="20"/>
        </w:rPr>
        <w:t>which is lower but comparable to the 28% planned for analogous priorities of the National Development Programme.</w:t>
      </w:r>
    </w:p>
    <w:p w:rsidR="00F24971" w:rsidRPr="005B6074" w:rsidRDefault="00897407" w:rsidP="00F24971">
      <w:pPr>
        <w:keepNext/>
        <w:tabs>
          <w:tab w:val="left" w:pos="0"/>
          <w:tab w:val="right" w:pos="9214"/>
        </w:tabs>
        <w:spacing w:after="120"/>
        <w:jc w:val="both"/>
        <w:rPr>
          <w:rFonts w:ascii="Verdana" w:hAnsi="Verdana"/>
          <w:color w:val="548DD4"/>
        </w:rPr>
      </w:pPr>
      <w:r>
        <w:rPr>
          <w:rFonts w:ascii="Verdana" w:hAnsi="Verdana"/>
          <w:color w:val="548DD4"/>
        </w:rPr>
        <w:t>Evaluation</w:t>
      </w:r>
      <w:r w:rsidR="00A35E98" w:rsidRPr="005B6074">
        <w:rPr>
          <w:rFonts w:ascii="Verdana" w:hAnsi="Verdana"/>
          <w:color w:val="548DD4"/>
        </w:rPr>
        <w:t xml:space="preserve"> of the Administrative Capacity, Programme Management, Monitoring and Evaluation</w:t>
      </w:r>
    </w:p>
    <w:tbl>
      <w:tblPr>
        <w:tblW w:w="9090" w:type="dxa"/>
        <w:tblInd w:w="108" w:type="dxa"/>
        <w:tblBorders>
          <w:top w:val="single" w:sz="4" w:space="0" w:color="auto"/>
          <w:bottom w:val="single" w:sz="4" w:space="0" w:color="auto"/>
        </w:tblBorders>
        <w:tblLook w:val="04A0" w:firstRow="1" w:lastRow="0" w:firstColumn="1" w:lastColumn="0" w:noHBand="0" w:noVBand="1"/>
      </w:tblPr>
      <w:tblGrid>
        <w:gridCol w:w="531"/>
        <w:gridCol w:w="8559"/>
      </w:tblGrid>
      <w:tr w:rsidR="00F24971" w:rsidRPr="005B6074" w:rsidTr="00F24971">
        <w:trPr>
          <w:trHeight w:val="452"/>
        </w:trPr>
        <w:tc>
          <w:tcPr>
            <w:tcW w:w="531" w:type="dxa"/>
            <w:vAlign w:val="center"/>
          </w:tcPr>
          <w:p w:rsidR="00F24971" w:rsidRPr="005B6074" w:rsidRDefault="00A35E98" w:rsidP="00F24971">
            <w:pPr>
              <w:pStyle w:val="BodyText"/>
              <w:spacing w:before="120"/>
              <w:jc w:val="center"/>
              <w:rPr>
                <w:rFonts w:ascii="Verdana" w:hAnsi="Verdana"/>
                <w:color w:val="548DD4"/>
                <w:sz w:val="36"/>
                <w:szCs w:val="36"/>
              </w:rPr>
            </w:pPr>
            <w:r w:rsidRPr="005B6074">
              <w:rPr>
                <w:rFonts w:ascii="Verdana" w:hAnsi="Verdana"/>
                <w:color w:val="548DD4"/>
                <w:sz w:val="36"/>
              </w:rPr>
              <w:t>?</w:t>
            </w:r>
          </w:p>
        </w:tc>
        <w:tc>
          <w:tcPr>
            <w:tcW w:w="8559" w:type="dxa"/>
            <w:shd w:val="clear" w:color="auto" w:fill="B8CCE4"/>
            <w:vAlign w:val="center"/>
          </w:tcPr>
          <w:p w:rsidR="00F24971" w:rsidRPr="005B6074" w:rsidRDefault="00A35E98" w:rsidP="00F24971">
            <w:pPr>
              <w:autoSpaceDE w:val="0"/>
              <w:autoSpaceDN w:val="0"/>
              <w:adjustRightInd w:val="0"/>
              <w:spacing w:before="120" w:after="120"/>
              <w:rPr>
                <w:rFonts w:ascii="Verdana" w:hAnsi="Verdana"/>
                <w:sz w:val="20"/>
                <w:szCs w:val="20"/>
              </w:rPr>
            </w:pPr>
            <w:r w:rsidRPr="005B6074">
              <w:rPr>
                <w:rFonts w:ascii="Verdana" w:hAnsi="Verdana"/>
                <w:sz w:val="20"/>
              </w:rPr>
              <w:t>Adequacy of the management structure</w:t>
            </w:r>
          </w:p>
        </w:tc>
      </w:tr>
    </w:tbl>
    <w:p w:rsidR="00F24971" w:rsidRPr="005B6074" w:rsidRDefault="00A35E98" w:rsidP="00F24971">
      <w:pPr>
        <w:spacing w:before="240" w:after="120"/>
        <w:jc w:val="both"/>
        <w:rPr>
          <w:rFonts w:ascii="Verdana" w:hAnsi="Verdana"/>
          <w:sz w:val="20"/>
          <w:szCs w:val="20"/>
        </w:rPr>
      </w:pPr>
      <w:r w:rsidRPr="005B6074">
        <w:rPr>
          <w:rFonts w:ascii="Verdana" w:hAnsi="Verdana"/>
          <w:sz w:val="20"/>
        </w:rPr>
        <w:t>In June 2014, General Directorate "Structural Funds and International Educational Programmes" of the Ministry of Education and Science was restructured by setting up new units in connection to the functions to be assumed by the Directorate as the Managing Authority of the operational programme.</w:t>
      </w:r>
    </w:p>
    <w:p w:rsidR="00F24971" w:rsidRPr="005B6074" w:rsidRDefault="00A35E98" w:rsidP="00F24971">
      <w:pPr>
        <w:jc w:val="both"/>
        <w:rPr>
          <w:rFonts w:ascii="Verdana" w:hAnsi="Verdana"/>
          <w:sz w:val="20"/>
          <w:szCs w:val="20"/>
        </w:rPr>
      </w:pPr>
      <w:r w:rsidRPr="005B6074">
        <w:rPr>
          <w:rFonts w:ascii="Verdana" w:hAnsi="Verdana"/>
          <w:sz w:val="20"/>
        </w:rPr>
        <w:t xml:space="preserve">The structure is adequate to the Directorate's new responsibilities. Risk Management and Control </w:t>
      </w:r>
      <w:r w:rsidR="00F52AAA">
        <w:rPr>
          <w:rFonts w:ascii="Verdana" w:hAnsi="Verdana"/>
          <w:sz w:val="20"/>
        </w:rPr>
        <w:t>Department</w:t>
      </w:r>
      <w:r w:rsidRPr="005B6074">
        <w:rPr>
          <w:rFonts w:ascii="Verdana" w:hAnsi="Verdana"/>
          <w:sz w:val="20"/>
        </w:rPr>
        <w:t xml:space="preserve"> should be directly subordinate to the general director in order to ensure the independence of the irregularities officer.</w:t>
      </w:r>
    </w:p>
    <w:tbl>
      <w:tblPr>
        <w:tblW w:w="9090" w:type="dxa"/>
        <w:tblInd w:w="108" w:type="dxa"/>
        <w:tblBorders>
          <w:top w:val="single" w:sz="4" w:space="0" w:color="auto"/>
          <w:bottom w:val="single" w:sz="4" w:space="0" w:color="auto"/>
        </w:tblBorders>
        <w:tblLook w:val="04A0" w:firstRow="1" w:lastRow="0" w:firstColumn="1" w:lastColumn="0" w:noHBand="0" w:noVBand="1"/>
      </w:tblPr>
      <w:tblGrid>
        <w:gridCol w:w="531"/>
        <w:gridCol w:w="8559"/>
      </w:tblGrid>
      <w:tr w:rsidR="00F24971" w:rsidRPr="005B6074" w:rsidTr="00F24971">
        <w:tc>
          <w:tcPr>
            <w:tcW w:w="531" w:type="dxa"/>
            <w:vAlign w:val="center"/>
          </w:tcPr>
          <w:p w:rsidR="00F24971" w:rsidRPr="005B6074" w:rsidRDefault="00A35E98" w:rsidP="00F24971">
            <w:pPr>
              <w:pStyle w:val="BodyText"/>
              <w:spacing w:before="120" w:line="276" w:lineRule="auto"/>
              <w:jc w:val="center"/>
              <w:rPr>
                <w:rFonts w:ascii="Verdana" w:hAnsi="Verdana"/>
                <w:color w:val="548DD4"/>
                <w:sz w:val="36"/>
                <w:szCs w:val="36"/>
              </w:rPr>
            </w:pPr>
            <w:r w:rsidRPr="005B6074">
              <w:rPr>
                <w:rFonts w:ascii="Verdana" w:hAnsi="Verdana"/>
                <w:color w:val="548DD4"/>
                <w:sz w:val="36"/>
              </w:rPr>
              <w:t>?</w:t>
            </w:r>
          </w:p>
        </w:tc>
        <w:tc>
          <w:tcPr>
            <w:tcW w:w="8559" w:type="dxa"/>
            <w:shd w:val="clear" w:color="auto" w:fill="B8CCE4"/>
          </w:tcPr>
          <w:p w:rsidR="00F24971" w:rsidRPr="005B6074" w:rsidRDefault="00A35E98" w:rsidP="00F24971">
            <w:pPr>
              <w:autoSpaceDE w:val="0"/>
              <w:autoSpaceDN w:val="0"/>
              <w:adjustRightInd w:val="0"/>
              <w:spacing w:before="120" w:after="120"/>
              <w:rPr>
                <w:rFonts w:ascii="Verdana" w:hAnsi="Verdana"/>
                <w:sz w:val="20"/>
                <w:szCs w:val="20"/>
              </w:rPr>
            </w:pPr>
            <w:r w:rsidRPr="005B6074">
              <w:rPr>
                <w:rFonts w:ascii="Verdana" w:hAnsi="Verdana"/>
                <w:sz w:val="20"/>
              </w:rPr>
              <w:t>Adequacy of the human resources and administrative capacity for Programme management</w:t>
            </w:r>
          </w:p>
        </w:tc>
      </w:tr>
    </w:tbl>
    <w:p w:rsidR="00F24971" w:rsidRPr="005B6074" w:rsidRDefault="00A35E98" w:rsidP="00F24971">
      <w:pPr>
        <w:autoSpaceDE w:val="0"/>
        <w:autoSpaceDN w:val="0"/>
        <w:adjustRightInd w:val="0"/>
        <w:spacing w:before="240" w:after="120"/>
        <w:jc w:val="both"/>
        <w:rPr>
          <w:rFonts w:ascii="Verdana" w:hAnsi="Verdana"/>
          <w:sz w:val="20"/>
          <w:szCs w:val="20"/>
        </w:rPr>
      </w:pPr>
      <w:r w:rsidRPr="005B6074">
        <w:rPr>
          <w:rFonts w:ascii="Verdana" w:hAnsi="Verdana"/>
          <w:sz w:val="20"/>
        </w:rPr>
        <w:t>The Managing Authority is planned to be operational with 87 experts. Analyses show that the human resources planned are not adequate to the responsibilities of the following d</w:t>
      </w:r>
      <w:r w:rsidR="00F52AAA">
        <w:rPr>
          <w:rFonts w:ascii="Verdana" w:hAnsi="Verdana"/>
          <w:sz w:val="20"/>
        </w:rPr>
        <w:t>epartment</w:t>
      </w:r>
      <w:r w:rsidRPr="005B6074">
        <w:rPr>
          <w:rFonts w:ascii="Verdana" w:hAnsi="Verdana"/>
          <w:sz w:val="20"/>
        </w:rPr>
        <w:t xml:space="preserve">s: Programming and Contracting </w:t>
      </w:r>
      <w:r w:rsidR="00F52AAA">
        <w:rPr>
          <w:rFonts w:ascii="Verdana" w:hAnsi="Verdana"/>
          <w:sz w:val="20"/>
        </w:rPr>
        <w:t>Department</w:t>
      </w:r>
      <w:r w:rsidRPr="005B6074">
        <w:rPr>
          <w:rFonts w:ascii="Verdana" w:hAnsi="Verdana"/>
          <w:sz w:val="20"/>
        </w:rPr>
        <w:t xml:space="preserve">, Financial Planning, Accounting and Payments </w:t>
      </w:r>
      <w:r w:rsidR="00F52AAA">
        <w:rPr>
          <w:rFonts w:ascii="Verdana" w:hAnsi="Verdana"/>
          <w:sz w:val="20"/>
        </w:rPr>
        <w:t>Department</w:t>
      </w:r>
      <w:r w:rsidRPr="005B6074">
        <w:rPr>
          <w:rFonts w:ascii="Verdana" w:hAnsi="Verdana"/>
          <w:sz w:val="20"/>
        </w:rPr>
        <w:t xml:space="preserve"> and Risk Management and Control </w:t>
      </w:r>
      <w:r w:rsidR="00F52AAA">
        <w:rPr>
          <w:rFonts w:ascii="Verdana" w:hAnsi="Verdana"/>
          <w:sz w:val="20"/>
        </w:rPr>
        <w:t>Department</w:t>
      </w:r>
      <w:r w:rsidRPr="005B6074">
        <w:rPr>
          <w:rFonts w:ascii="Verdana" w:hAnsi="Verdana"/>
          <w:sz w:val="20"/>
        </w:rPr>
        <w:t xml:space="preserve">. The first two </w:t>
      </w:r>
      <w:r w:rsidR="00F52AAA">
        <w:rPr>
          <w:rFonts w:ascii="Verdana" w:hAnsi="Verdana"/>
          <w:sz w:val="20"/>
        </w:rPr>
        <w:t xml:space="preserve">departments </w:t>
      </w:r>
      <w:r w:rsidRPr="005B6074">
        <w:rPr>
          <w:rFonts w:ascii="Verdana" w:hAnsi="Verdana"/>
          <w:sz w:val="20"/>
        </w:rPr>
        <w:t xml:space="preserve">need additional human resources. In order to reduce the workload of Risk </w:t>
      </w:r>
      <w:r w:rsidRPr="005B6074">
        <w:rPr>
          <w:rFonts w:ascii="Verdana" w:hAnsi="Verdana"/>
          <w:sz w:val="20"/>
        </w:rPr>
        <w:lastRenderedPageBreak/>
        <w:t xml:space="preserve">Management and Control </w:t>
      </w:r>
      <w:r w:rsidR="00F52AAA">
        <w:rPr>
          <w:rFonts w:ascii="Verdana" w:hAnsi="Verdana"/>
          <w:sz w:val="20"/>
        </w:rPr>
        <w:t>Department</w:t>
      </w:r>
      <w:r w:rsidRPr="005B6074">
        <w:rPr>
          <w:rFonts w:ascii="Verdana" w:hAnsi="Verdana"/>
          <w:sz w:val="20"/>
        </w:rPr>
        <w:t>, it is advisable to abolish the ex-ante control of beneficiaries' procurement procedures or to introduce a threshold above which to exercise such control.</w:t>
      </w:r>
    </w:p>
    <w:p w:rsidR="00F24971" w:rsidRPr="005B6074" w:rsidRDefault="00A35E98" w:rsidP="00F24971">
      <w:pPr>
        <w:spacing w:after="120"/>
        <w:jc w:val="both"/>
        <w:rPr>
          <w:rFonts w:ascii="Verdana" w:hAnsi="Verdana"/>
          <w:sz w:val="20"/>
          <w:szCs w:val="20"/>
        </w:rPr>
      </w:pPr>
      <w:r w:rsidRPr="005B6074">
        <w:rPr>
          <w:rFonts w:ascii="Verdana" w:hAnsi="Verdana"/>
          <w:sz w:val="20"/>
        </w:rPr>
        <w:t>The officers have experience in EU funds management and have possibilities for training. There is some experience in the elaboration of procedures and manuals. The work on the elaboration of the management and control systems has already started.</w:t>
      </w:r>
    </w:p>
    <w:p w:rsidR="00F24971" w:rsidRPr="005B6074" w:rsidRDefault="00A35E98" w:rsidP="00F24971">
      <w:pPr>
        <w:widowControl w:val="0"/>
        <w:tabs>
          <w:tab w:val="left" w:pos="0"/>
          <w:tab w:val="right" w:pos="9214"/>
        </w:tabs>
        <w:spacing w:before="120" w:after="120"/>
        <w:jc w:val="both"/>
        <w:rPr>
          <w:rFonts w:ascii="Verdana" w:hAnsi="Verdana"/>
          <w:bCs/>
          <w:color w:val="000000"/>
          <w:sz w:val="20"/>
          <w:szCs w:val="20"/>
        </w:rPr>
      </w:pPr>
      <w:r w:rsidRPr="005B6074">
        <w:rPr>
          <w:rFonts w:ascii="Verdana" w:hAnsi="Verdana"/>
          <w:color w:val="000000"/>
          <w:sz w:val="20"/>
        </w:rPr>
        <w:t>The turnover of staff in this directorate is small and the experts are generally satisfied with working for the General Directorate but their better motivation will improve the Directorate's administrative capacity.</w:t>
      </w:r>
    </w:p>
    <w:p w:rsidR="00F24971" w:rsidRPr="005B6074" w:rsidRDefault="00A35E98" w:rsidP="00F24971">
      <w:pPr>
        <w:spacing w:after="360"/>
        <w:jc w:val="both"/>
        <w:rPr>
          <w:rFonts w:ascii="Verdana" w:hAnsi="Verdana"/>
          <w:sz w:val="20"/>
          <w:szCs w:val="20"/>
        </w:rPr>
      </w:pPr>
      <w:r w:rsidRPr="005B6074">
        <w:rPr>
          <w:rFonts w:ascii="Verdana" w:hAnsi="Verdana"/>
          <w:sz w:val="20"/>
        </w:rPr>
        <w:t>The insufficient technical resources of the Directorate turn out to be a key impediment to Programme implementation. An equipment supply procurement has already been launched.</w:t>
      </w:r>
    </w:p>
    <w:tbl>
      <w:tblPr>
        <w:tblW w:w="9090" w:type="dxa"/>
        <w:tblInd w:w="108" w:type="dxa"/>
        <w:tblBorders>
          <w:top w:val="single" w:sz="4" w:space="0" w:color="auto"/>
          <w:bottom w:val="single" w:sz="4" w:space="0" w:color="auto"/>
        </w:tblBorders>
        <w:tblLook w:val="04A0" w:firstRow="1" w:lastRow="0" w:firstColumn="1" w:lastColumn="0" w:noHBand="0" w:noVBand="1"/>
      </w:tblPr>
      <w:tblGrid>
        <w:gridCol w:w="531"/>
        <w:gridCol w:w="8559"/>
      </w:tblGrid>
      <w:tr w:rsidR="00F24971" w:rsidRPr="005B6074" w:rsidTr="00F24971">
        <w:tc>
          <w:tcPr>
            <w:tcW w:w="531" w:type="dxa"/>
            <w:vAlign w:val="center"/>
          </w:tcPr>
          <w:p w:rsidR="00F24971" w:rsidRPr="005B6074" w:rsidRDefault="00A35E98" w:rsidP="00F24971">
            <w:pPr>
              <w:pStyle w:val="BodyText"/>
              <w:spacing w:before="120" w:line="276" w:lineRule="auto"/>
              <w:jc w:val="center"/>
              <w:rPr>
                <w:rFonts w:ascii="Verdana" w:hAnsi="Verdana"/>
                <w:color w:val="548DD4"/>
                <w:sz w:val="36"/>
                <w:szCs w:val="36"/>
              </w:rPr>
            </w:pPr>
            <w:r w:rsidRPr="005B6074">
              <w:rPr>
                <w:rFonts w:ascii="Verdana" w:hAnsi="Verdana"/>
                <w:color w:val="548DD4"/>
                <w:sz w:val="36"/>
              </w:rPr>
              <w:t>?</w:t>
            </w:r>
          </w:p>
        </w:tc>
        <w:tc>
          <w:tcPr>
            <w:tcW w:w="8559" w:type="dxa"/>
            <w:shd w:val="clear" w:color="auto" w:fill="B8CCE4"/>
          </w:tcPr>
          <w:p w:rsidR="00F24971" w:rsidRPr="005B6074" w:rsidRDefault="00A35E98" w:rsidP="00F24971">
            <w:pPr>
              <w:autoSpaceDE w:val="0"/>
              <w:autoSpaceDN w:val="0"/>
              <w:adjustRightInd w:val="0"/>
              <w:spacing w:before="120" w:after="120"/>
              <w:rPr>
                <w:rFonts w:ascii="Verdana" w:hAnsi="Verdana"/>
                <w:sz w:val="20"/>
                <w:szCs w:val="20"/>
              </w:rPr>
            </w:pPr>
            <w:r w:rsidRPr="005B6074">
              <w:rPr>
                <w:rFonts w:ascii="Verdana" w:hAnsi="Verdana"/>
                <w:sz w:val="20"/>
              </w:rPr>
              <w:t>Capacity of Programme beneficiaries and measures aimed to strengthen it</w:t>
            </w:r>
          </w:p>
        </w:tc>
      </w:tr>
    </w:tbl>
    <w:p w:rsidR="00F24971" w:rsidRPr="005B6074" w:rsidRDefault="00A35E98" w:rsidP="00F24971">
      <w:pPr>
        <w:pStyle w:val="BodyText"/>
        <w:widowControl w:val="0"/>
        <w:tabs>
          <w:tab w:val="left" w:pos="0"/>
          <w:tab w:val="right" w:pos="9214"/>
        </w:tabs>
        <w:spacing w:before="240" w:after="360" w:line="276" w:lineRule="auto"/>
        <w:jc w:val="both"/>
        <w:rPr>
          <w:rFonts w:ascii="Verdana" w:hAnsi="Verdana"/>
          <w:bCs/>
          <w:color w:val="000000"/>
          <w:sz w:val="20"/>
          <w:szCs w:val="20"/>
        </w:rPr>
      </w:pPr>
      <w:r w:rsidRPr="005B6074">
        <w:rPr>
          <w:rFonts w:ascii="Verdana" w:hAnsi="Verdana"/>
          <w:color w:val="000000"/>
          <w:sz w:val="20"/>
        </w:rPr>
        <w:t>A significant number of potential Programme beneficiaries have already built up a capacity on the basis of the projects implemented in the present programming period. Nevertheless, both the Managing Authority and the beneficiaries are of the opinion that they need support in the current programming period as well. This support will be in the form of training and meetings, information campaigns and furnishing accessible, clear and timely information. The reduction of the administrative burden for beneficiaries is also expected to contribute to effective Programme implementation.</w:t>
      </w:r>
    </w:p>
    <w:tbl>
      <w:tblPr>
        <w:tblW w:w="9072" w:type="dxa"/>
        <w:tblInd w:w="108" w:type="dxa"/>
        <w:tblBorders>
          <w:top w:val="single" w:sz="4" w:space="0" w:color="auto"/>
          <w:bottom w:val="single" w:sz="4" w:space="0" w:color="auto"/>
        </w:tblBorders>
        <w:tblLook w:val="04A0" w:firstRow="1" w:lastRow="0" w:firstColumn="1" w:lastColumn="0" w:noHBand="0" w:noVBand="1"/>
      </w:tblPr>
      <w:tblGrid>
        <w:gridCol w:w="531"/>
        <w:gridCol w:w="8541"/>
      </w:tblGrid>
      <w:tr w:rsidR="00F24971" w:rsidRPr="005B6074" w:rsidTr="00F24971">
        <w:tc>
          <w:tcPr>
            <w:tcW w:w="531" w:type="dxa"/>
            <w:vAlign w:val="center"/>
          </w:tcPr>
          <w:p w:rsidR="00F24971" w:rsidRPr="005B6074" w:rsidRDefault="00A35E98" w:rsidP="00F24971">
            <w:pPr>
              <w:pStyle w:val="BodyText"/>
              <w:keepNext/>
              <w:spacing w:before="120" w:line="276" w:lineRule="auto"/>
              <w:jc w:val="center"/>
              <w:rPr>
                <w:rFonts w:ascii="Verdana" w:hAnsi="Verdana"/>
                <w:color w:val="548DD4"/>
                <w:sz w:val="36"/>
                <w:szCs w:val="36"/>
              </w:rPr>
            </w:pPr>
            <w:r w:rsidRPr="005B6074">
              <w:rPr>
                <w:rFonts w:ascii="Verdana" w:hAnsi="Verdana"/>
                <w:color w:val="548DD4"/>
                <w:sz w:val="36"/>
              </w:rPr>
              <w:t>?</w:t>
            </w:r>
          </w:p>
        </w:tc>
        <w:tc>
          <w:tcPr>
            <w:tcW w:w="8541" w:type="dxa"/>
            <w:shd w:val="clear" w:color="auto" w:fill="B8CCE4"/>
          </w:tcPr>
          <w:p w:rsidR="00F24971" w:rsidRPr="005B6074" w:rsidRDefault="00A35E98" w:rsidP="00F24971">
            <w:pPr>
              <w:keepNext/>
              <w:autoSpaceDE w:val="0"/>
              <w:autoSpaceDN w:val="0"/>
              <w:adjustRightInd w:val="0"/>
              <w:spacing w:before="120" w:after="120"/>
              <w:rPr>
                <w:rFonts w:ascii="Verdana" w:hAnsi="Verdana"/>
                <w:sz w:val="20"/>
                <w:szCs w:val="20"/>
              </w:rPr>
            </w:pPr>
            <w:r w:rsidRPr="005B6074">
              <w:rPr>
                <w:rFonts w:ascii="Verdana" w:hAnsi="Verdana"/>
                <w:sz w:val="20"/>
              </w:rPr>
              <w:t>Suitability of milestones from the point of view of administrative capacity (by making connection to the analysis of the milestones planned)</w:t>
            </w:r>
          </w:p>
        </w:tc>
      </w:tr>
    </w:tbl>
    <w:p w:rsidR="00F24971" w:rsidRPr="005B6074" w:rsidRDefault="00A35E98" w:rsidP="00F24971">
      <w:pPr>
        <w:spacing w:before="240" w:after="360"/>
        <w:jc w:val="both"/>
        <w:rPr>
          <w:rFonts w:ascii="Verdana" w:hAnsi="Verdana"/>
          <w:sz w:val="20"/>
          <w:szCs w:val="20"/>
        </w:rPr>
      </w:pPr>
      <w:r w:rsidRPr="005B6074">
        <w:rPr>
          <w:rFonts w:ascii="Verdana" w:hAnsi="Verdana"/>
          <w:color w:val="000000"/>
          <w:sz w:val="20"/>
        </w:rPr>
        <w:t>The Programme's milestones are being elaborated at present. For the purposes of the analysis, the possible risks for successful Programme implementation that are linked to administrative capacity are considered and this is used as the basis for defining the possible approaches to avoiding risks.</w:t>
      </w:r>
    </w:p>
    <w:tbl>
      <w:tblPr>
        <w:tblW w:w="9090" w:type="dxa"/>
        <w:tblInd w:w="108" w:type="dxa"/>
        <w:tblBorders>
          <w:top w:val="single" w:sz="4" w:space="0" w:color="auto"/>
          <w:bottom w:val="single" w:sz="4" w:space="0" w:color="auto"/>
        </w:tblBorders>
        <w:tblLook w:val="04A0" w:firstRow="1" w:lastRow="0" w:firstColumn="1" w:lastColumn="0" w:noHBand="0" w:noVBand="1"/>
      </w:tblPr>
      <w:tblGrid>
        <w:gridCol w:w="531"/>
        <w:gridCol w:w="8559"/>
      </w:tblGrid>
      <w:tr w:rsidR="00F24971" w:rsidRPr="005B6074" w:rsidTr="00F24971">
        <w:tc>
          <w:tcPr>
            <w:tcW w:w="531" w:type="dxa"/>
            <w:vAlign w:val="center"/>
          </w:tcPr>
          <w:p w:rsidR="00F24971" w:rsidRPr="005B6074" w:rsidRDefault="00A35E98" w:rsidP="00F24971">
            <w:pPr>
              <w:pStyle w:val="BodyText"/>
              <w:spacing w:before="120" w:line="276" w:lineRule="auto"/>
              <w:jc w:val="center"/>
              <w:rPr>
                <w:rFonts w:ascii="Verdana" w:hAnsi="Verdana"/>
                <w:color w:val="548DD4"/>
                <w:sz w:val="36"/>
                <w:szCs w:val="36"/>
              </w:rPr>
            </w:pPr>
            <w:r w:rsidRPr="005B6074">
              <w:rPr>
                <w:rFonts w:ascii="Verdana" w:hAnsi="Verdana"/>
                <w:color w:val="548DD4"/>
                <w:sz w:val="36"/>
              </w:rPr>
              <w:t>?</w:t>
            </w:r>
          </w:p>
        </w:tc>
        <w:tc>
          <w:tcPr>
            <w:tcW w:w="8559" w:type="dxa"/>
            <w:shd w:val="clear" w:color="auto" w:fill="B8CCE4"/>
          </w:tcPr>
          <w:p w:rsidR="00F24971" w:rsidRPr="005B6074" w:rsidRDefault="00A35E98" w:rsidP="00AF68FE">
            <w:pPr>
              <w:autoSpaceDE w:val="0"/>
              <w:autoSpaceDN w:val="0"/>
              <w:adjustRightInd w:val="0"/>
              <w:spacing w:before="120" w:after="120"/>
              <w:rPr>
                <w:rFonts w:ascii="Verdana" w:hAnsi="Verdana"/>
                <w:sz w:val="20"/>
                <w:szCs w:val="20"/>
              </w:rPr>
            </w:pPr>
            <w:r w:rsidRPr="005B6074">
              <w:rPr>
                <w:rFonts w:ascii="Verdana" w:hAnsi="Verdana"/>
                <w:sz w:val="20"/>
              </w:rPr>
              <w:t>Suitability of the procedures for Programme management, monitoring and evaluation and for data collection on Programme implementation.</w:t>
            </w:r>
          </w:p>
        </w:tc>
      </w:tr>
    </w:tbl>
    <w:p w:rsidR="00F24971" w:rsidRPr="005B6074" w:rsidRDefault="00A35E98" w:rsidP="00F24971">
      <w:pPr>
        <w:spacing w:before="240" w:after="120"/>
        <w:jc w:val="both"/>
        <w:rPr>
          <w:rFonts w:ascii="Verdana" w:eastAsia="Malgun Gothic" w:hAnsi="Verdana"/>
          <w:bCs/>
          <w:sz w:val="20"/>
          <w:szCs w:val="20"/>
        </w:rPr>
      </w:pPr>
      <w:r w:rsidRPr="005B6074">
        <w:rPr>
          <w:rFonts w:ascii="Verdana" w:hAnsi="Verdana"/>
          <w:sz w:val="20"/>
        </w:rPr>
        <w:t>Based on the experience gained thus far as an Intermediate Body of the Operational Programme Human Resources Development, the experts of the Managing Authority of the new Operational Programme Science and Education for Smart Growth envisage that the major problems concerning the monitoring system will be connected with the quality of the information submitted at project level, the quality of the information processed at scheme/priority axis level (possibility for aggregation of data), the use of the data collected from the system of monitoring to prepare analyses on Programme implementation and effective use of indicators for the purposes of monitoring and evaluation.</w:t>
      </w:r>
    </w:p>
    <w:p w:rsidR="00F24971" w:rsidRPr="005B6074" w:rsidRDefault="00A35E98" w:rsidP="00F24971">
      <w:pPr>
        <w:spacing w:before="120" w:after="360"/>
        <w:jc w:val="both"/>
        <w:rPr>
          <w:rFonts w:ascii="Verdana" w:hAnsi="Verdana"/>
          <w:sz w:val="20"/>
          <w:szCs w:val="20"/>
        </w:rPr>
      </w:pPr>
      <w:r w:rsidRPr="005B6074">
        <w:rPr>
          <w:rFonts w:ascii="Verdana" w:hAnsi="Verdana"/>
          <w:sz w:val="20"/>
        </w:rPr>
        <w:lastRenderedPageBreak/>
        <w:t>In order to tackle the above issues, the Managing Authority is expected to lay down in the management and control systems an orderly monitoring system. To facilitate the processes of monitoring, the upgrading of the centralised Information System for Management and Monitoring is mostly relied on. In addition, an indicator fiche format has been elaborated as part of this assessment to facilitate the broad understanding of the meaning of the indicators and the ways of measuring them (Annex 6).</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24"/>
        <w:gridCol w:w="8395"/>
      </w:tblGrid>
      <w:tr w:rsidR="00F24971" w:rsidRPr="005B6074" w:rsidTr="00F24971">
        <w:tc>
          <w:tcPr>
            <w:tcW w:w="524" w:type="dxa"/>
            <w:vAlign w:val="center"/>
          </w:tcPr>
          <w:p w:rsidR="00F24971" w:rsidRPr="005B6074" w:rsidRDefault="00A35E98" w:rsidP="00F24971">
            <w:pPr>
              <w:pStyle w:val="BodyText"/>
              <w:spacing w:before="120" w:line="276" w:lineRule="auto"/>
              <w:jc w:val="center"/>
              <w:rPr>
                <w:rFonts w:ascii="Verdana" w:hAnsi="Verdana"/>
                <w:color w:val="548DD4"/>
                <w:sz w:val="36"/>
                <w:szCs w:val="36"/>
              </w:rPr>
            </w:pPr>
            <w:r w:rsidRPr="005B6074">
              <w:rPr>
                <w:rFonts w:ascii="Verdana" w:hAnsi="Verdana"/>
                <w:color w:val="548DD4"/>
                <w:sz w:val="36"/>
              </w:rPr>
              <w:t>?</w:t>
            </w:r>
          </w:p>
        </w:tc>
        <w:tc>
          <w:tcPr>
            <w:tcW w:w="8395" w:type="dxa"/>
            <w:shd w:val="clear" w:color="auto" w:fill="B8CCE4"/>
          </w:tcPr>
          <w:p w:rsidR="00F24971" w:rsidRPr="005B6074" w:rsidRDefault="00A35E98" w:rsidP="00AF68FE">
            <w:pPr>
              <w:autoSpaceDE w:val="0"/>
              <w:autoSpaceDN w:val="0"/>
              <w:adjustRightInd w:val="0"/>
              <w:spacing w:before="120" w:after="120"/>
              <w:rPr>
                <w:rFonts w:ascii="Verdana" w:hAnsi="Verdana"/>
                <w:sz w:val="20"/>
                <w:szCs w:val="20"/>
              </w:rPr>
            </w:pPr>
            <w:r w:rsidRPr="005B6074">
              <w:rPr>
                <w:rFonts w:ascii="Verdana" w:hAnsi="Verdana"/>
                <w:sz w:val="20"/>
              </w:rPr>
              <w:t>Adequacy of the Evaluation Plan and recommendations</w:t>
            </w:r>
          </w:p>
        </w:tc>
      </w:tr>
    </w:tbl>
    <w:p w:rsidR="00F24971" w:rsidRPr="005B6074" w:rsidRDefault="00A35E98" w:rsidP="00F24971">
      <w:pPr>
        <w:pStyle w:val="BodyText"/>
        <w:widowControl w:val="0"/>
        <w:tabs>
          <w:tab w:val="left" w:pos="0"/>
          <w:tab w:val="right" w:pos="9214"/>
        </w:tabs>
        <w:spacing w:before="240" w:after="0" w:line="276" w:lineRule="auto"/>
        <w:jc w:val="both"/>
        <w:rPr>
          <w:rFonts w:ascii="Verdana" w:hAnsi="Verdana" w:cs="TimesNewRomanPSMT"/>
          <w:sz w:val="20"/>
          <w:szCs w:val="20"/>
        </w:rPr>
      </w:pPr>
      <w:r w:rsidRPr="005B6074">
        <w:rPr>
          <w:rFonts w:ascii="Verdana" w:hAnsi="Verdana"/>
          <w:sz w:val="20"/>
        </w:rPr>
        <w:t xml:space="preserve">The Evaluation Plan of the operational programme has not yet been prepared. Therefore, it was not possible for it to be reviewed within the ex-ante </w:t>
      </w:r>
      <w:r w:rsidR="00AF2745">
        <w:rPr>
          <w:rFonts w:ascii="Verdana" w:hAnsi="Verdana"/>
          <w:sz w:val="20"/>
        </w:rPr>
        <w:t>evaluation</w:t>
      </w:r>
      <w:r w:rsidRPr="005B6074">
        <w:rPr>
          <w:rFonts w:ascii="Verdana" w:hAnsi="Verdana"/>
          <w:sz w:val="20"/>
        </w:rPr>
        <w:t>.</w:t>
      </w:r>
    </w:p>
    <w:p w:rsidR="00F24971" w:rsidRPr="005B6074" w:rsidRDefault="00A35E98" w:rsidP="00F24971">
      <w:pPr>
        <w:pStyle w:val="BodyText"/>
        <w:widowControl w:val="0"/>
        <w:tabs>
          <w:tab w:val="left" w:pos="0"/>
          <w:tab w:val="right" w:pos="9214"/>
        </w:tabs>
        <w:spacing w:before="120" w:after="0" w:line="276" w:lineRule="auto"/>
        <w:jc w:val="both"/>
        <w:rPr>
          <w:rFonts w:ascii="Verdana" w:hAnsi="Verdana" w:cs="TimesNewRomanPSMT"/>
          <w:sz w:val="20"/>
          <w:szCs w:val="20"/>
        </w:rPr>
      </w:pPr>
      <w:r w:rsidRPr="005B6074">
        <w:rPr>
          <w:rFonts w:ascii="Verdana" w:hAnsi="Verdana"/>
          <w:sz w:val="20"/>
        </w:rPr>
        <w:t xml:space="preserve">In order to respond to the technical specification of the Contracting Authority and in order to make the ex-ante </w:t>
      </w:r>
      <w:r w:rsidR="00AF2745">
        <w:rPr>
          <w:rFonts w:ascii="Verdana" w:hAnsi="Verdana"/>
          <w:sz w:val="20"/>
        </w:rPr>
        <w:t>evaluation</w:t>
      </w:r>
      <w:r w:rsidRPr="005B6074">
        <w:rPr>
          <w:rFonts w:ascii="Verdana" w:hAnsi="Verdana"/>
          <w:sz w:val="20"/>
        </w:rPr>
        <w:t xml:space="preserve"> useful in the process of preparation of the Programme's Evaluation Plan, some guidelines on its preparation have been given on the basis of the requirements of the regulations for the 2014–2020 period and the Commission's guidelines on monitoring and evaluation and elaboration of evaluation plans. </w:t>
      </w:r>
    </w:p>
    <w:p w:rsidR="00F24971" w:rsidRPr="005B6074" w:rsidRDefault="00A35E98" w:rsidP="00F24971">
      <w:pPr>
        <w:spacing w:before="240" w:after="120"/>
        <w:jc w:val="both"/>
        <w:rPr>
          <w:rFonts w:ascii="Verdana" w:hAnsi="Verdana"/>
          <w:color w:val="548DD4"/>
        </w:rPr>
      </w:pPr>
      <w:r w:rsidRPr="005B6074">
        <w:rPr>
          <w:rFonts w:ascii="Verdana" w:hAnsi="Verdana"/>
          <w:color w:val="548DD4"/>
        </w:rPr>
        <w:t>Conclusions and Recommendations</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Operational Programme Science and Education for Smart Growth for the 2014–2020 Period to a great extent reflects the objectives and priorities of the key EU and national strategic documents in the area of science and education, including the main targets of the Europe 2020 Strategy.</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It is possible for the Programme to lay down more clearly the objectives of the Partnership Agreement relating to partnerships among higher education, enterprises and research and strengthening of the management capacity of scientific institutes.</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Demarcation and complementarity with some of the other operational programmes, specifically Operational Programme Innovation and Competitiveness, is to be specified.</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The Programme does not yet reflect to a sufficient degree the territorial aspects related to quality of education in small and big settlements.</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Some of the national strategic and legislative papers are being prepared or updated, which to a certain degree impedes focusing of the support planned under the operational programme.</w:t>
      </w:r>
    </w:p>
    <w:p w:rsidR="00F24971" w:rsidRPr="005B6074" w:rsidRDefault="00A35E98" w:rsidP="00F24971">
      <w:pPr>
        <w:autoSpaceDE w:val="0"/>
        <w:autoSpaceDN w:val="0"/>
        <w:adjustRightInd w:val="0"/>
        <w:spacing w:after="120"/>
        <w:jc w:val="both"/>
        <w:rPr>
          <w:rFonts w:ascii="Verdana" w:hAnsi="Verdana"/>
          <w:sz w:val="20"/>
          <w:szCs w:val="20"/>
        </w:rPr>
      </w:pPr>
      <w:r w:rsidRPr="005B6074">
        <w:rPr>
          <w:rFonts w:ascii="Verdana" w:hAnsi="Verdana"/>
          <w:sz w:val="20"/>
        </w:rPr>
        <w:t>The analyses of the Programme strategy show the major problems in three key areas, i.e. science, higher education and school education. The inclusion of supplementary information would improve the depth of the analyses and would be conducive to the formulation of more targeted measures. Not all of the identified problems are addressed by specific approaches to solving them.</w:t>
      </w:r>
    </w:p>
    <w:p w:rsidR="00F24971" w:rsidRPr="005B6074" w:rsidRDefault="00A35E98" w:rsidP="00F24971">
      <w:pPr>
        <w:autoSpaceDE w:val="0"/>
        <w:autoSpaceDN w:val="0"/>
        <w:adjustRightInd w:val="0"/>
        <w:spacing w:after="120"/>
        <w:jc w:val="both"/>
        <w:rPr>
          <w:rFonts w:ascii="Verdana" w:hAnsi="Verdana"/>
          <w:sz w:val="20"/>
          <w:szCs w:val="20"/>
        </w:rPr>
      </w:pPr>
      <w:r w:rsidRPr="005B6074">
        <w:rPr>
          <w:rFonts w:ascii="Verdana" w:hAnsi="Verdana"/>
          <w:sz w:val="20"/>
        </w:rPr>
        <w:t>The Programme's intervention logic covers 3 main priority axes, i.e. science and technological development, school and higher education and social inclusion of vulnerable groups in education.</w:t>
      </w:r>
    </w:p>
    <w:p w:rsidR="00F24971" w:rsidRPr="005B6074" w:rsidRDefault="00A35E98" w:rsidP="00F24971">
      <w:pPr>
        <w:autoSpaceDE w:val="0"/>
        <w:autoSpaceDN w:val="0"/>
        <w:adjustRightInd w:val="0"/>
        <w:spacing w:after="120"/>
        <w:jc w:val="both"/>
        <w:rPr>
          <w:rFonts w:ascii="Verdana" w:hAnsi="Verdana"/>
          <w:sz w:val="20"/>
          <w:szCs w:val="20"/>
        </w:rPr>
      </w:pPr>
      <w:r w:rsidRPr="005B6074">
        <w:rPr>
          <w:rFonts w:ascii="Verdana" w:hAnsi="Verdana"/>
          <w:sz w:val="20"/>
        </w:rPr>
        <w:t xml:space="preserve">The investment priorities defined are selected adequately and are generally well focused through the specific objectives. The analyses and the presentation of the needs especially </w:t>
      </w:r>
      <w:r w:rsidRPr="005B6074">
        <w:rPr>
          <w:rFonts w:ascii="Verdana" w:hAnsi="Verdana"/>
          <w:sz w:val="20"/>
        </w:rPr>
        <w:lastRenderedPageBreak/>
        <w:t>concerning the specific objectives referring to the link between science, education and business (Investment Priority 2 of Priority Axis 1, Investment Priority 4 of Priority Axis 2) may be improved.</w:t>
      </w:r>
    </w:p>
    <w:p w:rsidR="00F24971" w:rsidRPr="005B6074" w:rsidRDefault="00A35E98" w:rsidP="00F24971">
      <w:pPr>
        <w:spacing w:before="120" w:after="120"/>
        <w:jc w:val="both"/>
        <w:rPr>
          <w:rFonts w:ascii="Verdana" w:eastAsia="Times New Roman" w:hAnsi="Verdana"/>
          <w:color w:val="000000"/>
          <w:sz w:val="20"/>
          <w:szCs w:val="20"/>
        </w:rPr>
      </w:pPr>
      <w:r w:rsidRPr="005B6074">
        <w:rPr>
          <w:rFonts w:ascii="Verdana" w:hAnsi="Verdana"/>
          <w:sz w:val="20"/>
        </w:rPr>
        <w:t>The activities under most of the priorities are relevant. No sufficiently adequate activities have been laid down to address the needs for better cooperation between science and business and for better possibilities for realisation of graduates. Activities under Priority Axis 2 are too numerous and may be summarised.</w:t>
      </w:r>
    </w:p>
    <w:p w:rsidR="00F24971" w:rsidRPr="005B6074" w:rsidRDefault="00A35E98" w:rsidP="00F24971">
      <w:pPr>
        <w:autoSpaceDE w:val="0"/>
        <w:autoSpaceDN w:val="0"/>
        <w:adjustRightInd w:val="0"/>
        <w:spacing w:after="120"/>
        <w:jc w:val="both"/>
        <w:rPr>
          <w:rFonts w:ascii="Verdana" w:hAnsi="Verdana"/>
          <w:sz w:val="20"/>
          <w:szCs w:val="20"/>
        </w:rPr>
      </w:pPr>
      <w:r w:rsidRPr="005B6074">
        <w:rPr>
          <w:rFonts w:ascii="Verdana" w:hAnsi="Verdana"/>
          <w:sz w:val="20"/>
        </w:rPr>
        <w:t>The beneficiaries and the target groups are generally adequate and qualify for the objectives and activities set.</w:t>
      </w:r>
    </w:p>
    <w:p w:rsidR="00F24971" w:rsidRPr="005B6074" w:rsidRDefault="00A35E98" w:rsidP="00F24971">
      <w:pPr>
        <w:autoSpaceDE w:val="0"/>
        <w:autoSpaceDN w:val="0"/>
        <w:adjustRightInd w:val="0"/>
        <w:spacing w:after="120"/>
        <w:jc w:val="both"/>
        <w:rPr>
          <w:rFonts w:ascii="Verdana" w:hAnsi="Verdana"/>
          <w:sz w:val="20"/>
          <w:szCs w:val="20"/>
        </w:rPr>
      </w:pPr>
      <w:r w:rsidRPr="005B6074">
        <w:rPr>
          <w:rFonts w:ascii="Verdana" w:hAnsi="Verdana"/>
          <w:sz w:val="20"/>
        </w:rPr>
        <w:t>The basic horizontal principles are included in the Programme. Information has to be added about the monitoring of application of the principles of sustainable development and gender equality. The monitoring of application of the principle of equal opportunities and prevention of discrimination through additional checks would result in increasing of the administrative burden.</w:t>
      </w:r>
    </w:p>
    <w:p w:rsidR="00F24971" w:rsidRPr="005B6074" w:rsidRDefault="00A35E98" w:rsidP="00F24971">
      <w:pPr>
        <w:autoSpaceDE w:val="0"/>
        <w:autoSpaceDN w:val="0"/>
        <w:adjustRightInd w:val="0"/>
        <w:spacing w:after="120"/>
        <w:jc w:val="both"/>
        <w:rPr>
          <w:rFonts w:ascii="Verdana" w:hAnsi="Verdana"/>
          <w:sz w:val="20"/>
          <w:szCs w:val="20"/>
        </w:rPr>
      </w:pPr>
      <w:r w:rsidRPr="005B6074">
        <w:rPr>
          <w:rFonts w:ascii="Verdana" w:hAnsi="Verdana"/>
          <w:sz w:val="20"/>
        </w:rPr>
        <w:t>The amount of allocated funds is generally insufficient. The funds allocated for education, integration into education and lifelong learning in real terms</w:t>
      </w:r>
      <w:r w:rsidRPr="005B6074">
        <w:rPr>
          <w:rFonts w:ascii="Verdana" w:hAnsi="Verdana"/>
          <w:color w:val="000000"/>
          <w:sz w:val="20"/>
        </w:rPr>
        <w:t xml:space="preserve"> are less than those in the previous programming period. The funds for technical assistance will probably turn out to be insufficient to </w:t>
      </w:r>
      <w:r w:rsidRPr="005B6074">
        <w:rPr>
          <w:rFonts w:ascii="Verdana" w:hAnsi="Verdana"/>
          <w:sz w:val="20"/>
        </w:rPr>
        <w:t xml:space="preserve">ensure the Programme's successful management and implementation. </w:t>
      </w:r>
      <w:r w:rsidRPr="005B6074">
        <w:rPr>
          <w:rFonts w:ascii="Verdana" w:hAnsi="Verdana"/>
          <w:color w:val="000000"/>
          <w:sz w:val="20"/>
        </w:rPr>
        <w:t xml:space="preserve">The allocation of budgetary commitments by year runs the risk of an automatic loss of funds and needs to be revised. </w:t>
      </w:r>
      <w:r w:rsidRPr="005B6074">
        <w:rPr>
          <w:rFonts w:ascii="Verdana" w:hAnsi="Verdana"/>
          <w:sz w:val="20"/>
        </w:rPr>
        <w:t xml:space="preserve">The version of May 2014 does not include a financial justification, which does not allow assessing whether the requirement of thematic concentration has been met. </w:t>
      </w:r>
    </w:p>
    <w:p w:rsidR="00F24971" w:rsidRPr="005B6074" w:rsidRDefault="00A35E98" w:rsidP="00F24971">
      <w:pPr>
        <w:widowControl w:val="0"/>
        <w:tabs>
          <w:tab w:val="left" w:pos="0"/>
          <w:tab w:val="right" w:pos="9214"/>
        </w:tabs>
        <w:spacing w:after="120"/>
        <w:jc w:val="both"/>
        <w:rPr>
          <w:rFonts w:ascii="Verdana" w:eastAsia="Times New Roman" w:hAnsi="Verdana"/>
          <w:bCs/>
          <w:color w:val="000000"/>
          <w:sz w:val="20"/>
          <w:szCs w:val="20"/>
        </w:rPr>
      </w:pPr>
      <w:r w:rsidRPr="005B6074">
        <w:rPr>
          <w:rFonts w:ascii="Verdana" w:hAnsi="Verdana"/>
          <w:color w:val="000000"/>
          <w:sz w:val="20"/>
        </w:rPr>
        <w:t>The system of indicators has been made precise and has been considerably improved compared to its initial version. Nevertheless, revision of some of the indicators is expected. A great part of the indicators do not yet have baseline, milestone or target values, which hinders the assessment of the degree of realism of the baseline and target values are and the degree of relevance of the milestones. Specific recommendations have been made concerning the indicators for each priority axis.</w:t>
      </w:r>
    </w:p>
    <w:p w:rsidR="00F24971" w:rsidRPr="005B6074" w:rsidRDefault="00A35E98" w:rsidP="00F24971">
      <w:pPr>
        <w:spacing w:after="120"/>
        <w:jc w:val="both"/>
        <w:rPr>
          <w:rFonts w:ascii="Verdana" w:hAnsi="Verdana"/>
          <w:sz w:val="20"/>
          <w:szCs w:val="20"/>
        </w:rPr>
      </w:pPr>
      <w:r w:rsidRPr="005B6074">
        <w:rPr>
          <w:rFonts w:ascii="Verdana" w:hAnsi="Verdana"/>
          <w:sz w:val="20"/>
        </w:rPr>
        <w:t xml:space="preserve">As a whole, the available human resources and the structure of the Managing Authority are adequate to the responsibilities related to Programme management. Three of the </w:t>
      </w:r>
      <w:r w:rsidR="00F52AAA">
        <w:rPr>
          <w:rFonts w:ascii="Verdana" w:hAnsi="Verdana"/>
          <w:sz w:val="20"/>
        </w:rPr>
        <w:t>department</w:t>
      </w:r>
      <w:r w:rsidRPr="005B6074">
        <w:rPr>
          <w:rFonts w:ascii="Verdana" w:hAnsi="Verdana"/>
          <w:sz w:val="20"/>
        </w:rPr>
        <w:t>s could experience some difficulties due to the shortage of experts. Overcoming these difficulties will require additional resources or a reduction in the workload.</w:t>
      </w:r>
    </w:p>
    <w:p w:rsidR="00F24971" w:rsidRPr="005B6074" w:rsidRDefault="00A35E98" w:rsidP="00F24971">
      <w:pPr>
        <w:autoSpaceDE w:val="0"/>
        <w:autoSpaceDN w:val="0"/>
        <w:adjustRightInd w:val="0"/>
        <w:spacing w:before="120" w:after="120"/>
        <w:jc w:val="both"/>
        <w:rPr>
          <w:rFonts w:ascii="Verdana" w:hAnsi="Verdana"/>
          <w:sz w:val="20"/>
          <w:szCs w:val="20"/>
        </w:rPr>
      </w:pPr>
      <w:r w:rsidRPr="005B6074">
        <w:rPr>
          <w:rFonts w:ascii="Verdana" w:hAnsi="Verdana"/>
          <w:sz w:val="20"/>
        </w:rPr>
        <w:t>The officers have experience in EU funds management and have possibilities for training. There is some experience in the elaboration of procedures and manuals. Currently there are difficulties due to the shortage of technical resources. This problem is however expected to be solved by the supply of equipment which has already been launched.</w:t>
      </w:r>
    </w:p>
    <w:p w:rsidR="00F24971" w:rsidRPr="005B6074" w:rsidRDefault="00A35E98" w:rsidP="00F24971">
      <w:pPr>
        <w:autoSpaceDE w:val="0"/>
        <w:autoSpaceDN w:val="0"/>
        <w:adjustRightInd w:val="0"/>
        <w:spacing w:before="120" w:after="120"/>
        <w:jc w:val="both"/>
        <w:rPr>
          <w:rFonts w:ascii="Verdana" w:hAnsi="Verdana"/>
          <w:sz w:val="20"/>
          <w:szCs w:val="20"/>
        </w:rPr>
      </w:pPr>
      <w:r w:rsidRPr="005B6074">
        <w:rPr>
          <w:rFonts w:ascii="Verdana" w:hAnsi="Verdana"/>
          <w:sz w:val="20"/>
        </w:rPr>
        <w:t>Significant number of potential Programme beneficiaries have already built up a capacity on the basis of projects implemented in the present programming period. Nevertheless, some support is needed in the programming period 2014-2020 as well.</w:t>
      </w:r>
    </w:p>
    <w:p w:rsidR="00F24971" w:rsidRPr="005B6074" w:rsidRDefault="00A35E98" w:rsidP="00F24971">
      <w:pPr>
        <w:autoSpaceDE w:val="0"/>
        <w:autoSpaceDN w:val="0"/>
        <w:adjustRightInd w:val="0"/>
        <w:spacing w:before="120" w:after="120"/>
        <w:jc w:val="both"/>
        <w:rPr>
          <w:rFonts w:ascii="Verdana" w:hAnsi="Verdana"/>
          <w:sz w:val="20"/>
          <w:szCs w:val="20"/>
        </w:rPr>
      </w:pPr>
      <w:r w:rsidRPr="005B6074">
        <w:rPr>
          <w:rFonts w:ascii="Verdana" w:hAnsi="Verdana"/>
          <w:sz w:val="20"/>
        </w:rPr>
        <w:t xml:space="preserve">The major problems concerning the </w:t>
      </w:r>
      <w:r w:rsidR="00B13D4D" w:rsidRPr="005B6074">
        <w:rPr>
          <w:rFonts w:ascii="Verdana" w:hAnsi="Verdana"/>
          <w:sz w:val="20"/>
        </w:rPr>
        <w:t xml:space="preserve">monitoring </w:t>
      </w:r>
      <w:r w:rsidRPr="005B6074">
        <w:rPr>
          <w:rFonts w:ascii="Verdana" w:hAnsi="Verdana"/>
          <w:sz w:val="20"/>
        </w:rPr>
        <w:t xml:space="preserve">system are expected to be linked to the quality of the information submitted at project level, the quality of the information processed at scheme/priority axis level (possibility for aggregation of data), the use of the </w:t>
      </w:r>
      <w:r w:rsidRPr="005B6074">
        <w:rPr>
          <w:rFonts w:ascii="Verdana" w:hAnsi="Verdana"/>
          <w:sz w:val="20"/>
        </w:rPr>
        <w:lastRenderedPageBreak/>
        <w:t>data collected from the monitoring system to prepare analyses on Programme implementation and effective use of indicators for the purposes of monitoring and evaluation. These problems are expected to be taken into account in the elaboration of the monitoring system and in the preparation of the evaluation plan.</w:t>
      </w:r>
    </w:p>
    <w:p w:rsidR="00F24971" w:rsidRPr="005B6074" w:rsidRDefault="00A35E98" w:rsidP="00F24971">
      <w:pPr>
        <w:rPr>
          <w:rFonts w:ascii="Verdana" w:hAnsi="Verdana"/>
          <w:sz w:val="20"/>
          <w:szCs w:val="20"/>
        </w:rPr>
      </w:pPr>
      <w:r w:rsidRPr="005B6074">
        <w:rPr>
          <w:rFonts w:ascii="Verdana" w:hAnsi="Verdana"/>
          <w:sz w:val="20"/>
        </w:rPr>
        <w:t xml:space="preserve">The key </w:t>
      </w:r>
      <w:r w:rsidRPr="005B6074">
        <w:rPr>
          <w:rFonts w:ascii="Verdana" w:hAnsi="Verdana"/>
          <w:color w:val="548DD4"/>
          <w:sz w:val="20"/>
        </w:rPr>
        <w:t xml:space="preserve">recommendations </w:t>
      </w:r>
      <w:r w:rsidRPr="005B6074">
        <w:rPr>
          <w:rFonts w:ascii="Verdana" w:hAnsi="Verdana"/>
          <w:sz w:val="20"/>
        </w:rPr>
        <w:t xml:space="preserve">made are as follows: </w:t>
      </w:r>
    </w:p>
    <w:p w:rsidR="00F24971" w:rsidRPr="005B6074" w:rsidRDefault="00A35E98" w:rsidP="00181A22">
      <w:pPr>
        <w:pStyle w:val="ListParagraph"/>
        <w:numPr>
          <w:ilvl w:val="0"/>
          <w:numId w:val="61"/>
        </w:numPr>
        <w:jc w:val="both"/>
        <w:rPr>
          <w:rFonts w:ascii="Verdana" w:eastAsia="Calibri" w:hAnsi="Verdana"/>
          <w:sz w:val="20"/>
          <w:szCs w:val="20"/>
        </w:rPr>
      </w:pPr>
      <w:r w:rsidRPr="005B6074">
        <w:rPr>
          <w:rFonts w:ascii="Verdana" w:hAnsi="Verdana"/>
          <w:sz w:val="20"/>
        </w:rPr>
        <w:t>To explore possibilities for greater Programme contribution with respect to territorial cohesion;</w:t>
      </w:r>
    </w:p>
    <w:p w:rsidR="00F24971" w:rsidRPr="005B6074" w:rsidRDefault="00A35E98" w:rsidP="00181A22">
      <w:pPr>
        <w:pStyle w:val="ListParagraph"/>
        <w:numPr>
          <w:ilvl w:val="0"/>
          <w:numId w:val="61"/>
        </w:numPr>
        <w:jc w:val="both"/>
      </w:pPr>
      <w:r w:rsidRPr="005B6074">
        <w:rPr>
          <w:rFonts w:ascii="Verdana" w:hAnsi="Verdana"/>
          <w:sz w:val="20"/>
        </w:rPr>
        <w:t>To search for options to reflect more fully some of the measures of the Partnership Agreement that are related to enhancing the link between science and business and improving of the management of scientific institutes;</w:t>
      </w:r>
    </w:p>
    <w:p w:rsidR="00F24971" w:rsidRPr="005B6074" w:rsidRDefault="00A35E98" w:rsidP="00181A22">
      <w:pPr>
        <w:pStyle w:val="ListParagraph"/>
        <w:numPr>
          <w:ilvl w:val="0"/>
          <w:numId w:val="61"/>
        </w:numPr>
        <w:jc w:val="both"/>
      </w:pPr>
      <w:r w:rsidRPr="005B6074">
        <w:rPr>
          <w:rFonts w:ascii="Verdana" w:hAnsi="Verdana"/>
          <w:sz w:val="20"/>
        </w:rPr>
        <w:t>To clarify the outstanding issues concerning the demarcation and complementarity with some of the other operational programmes, specifically Operational Programme Innovation and Competitiveness;</w:t>
      </w:r>
    </w:p>
    <w:p w:rsidR="00F24971" w:rsidRPr="005B6074" w:rsidRDefault="00A35E98" w:rsidP="00181A22">
      <w:pPr>
        <w:pStyle w:val="ListParagraph"/>
        <w:numPr>
          <w:ilvl w:val="0"/>
          <w:numId w:val="61"/>
        </w:numPr>
        <w:jc w:val="both"/>
        <w:rPr>
          <w:rFonts w:ascii="Verdana" w:eastAsia="Calibri" w:hAnsi="Verdana"/>
          <w:sz w:val="20"/>
          <w:szCs w:val="20"/>
        </w:rPr>
      </w:pPr>
      <w:r w:rsidRPr="005B6074">
        <w:rPr>
          <w:rFonts w:ascii="Verdana" w:hAnsi="Verdana"/>
          <w:sz w:val="20"/>
        </w:rPr>
        <w:t>To broaden the analysis of some aspects of the strategic part and of some of the justifications of the specific objectives;</w:t>
      </w:r>
    </w:p>
    <w:p w:rsidR="00F24971" w:rsidRPr="005B6074" w:rsidRDefault="00A35E98" w:rsidP="00181A22">
      <w:pPr>
        <w:pStyle w:val="ListParagraph"/>
        <w:numPr>
          <w:ilvl w:val="0"/>
          <w:numId w:val="61"/>
        </w:numPr>
        <w:jc w:val="both"/>
        <w:rPr>
          <w:rFonts w:ascii="Verdana" w:eastAsia="Calibri" w:hAnsi="Verdana"/>
          <w:sz w:val="20"/>
          <w:szCs w:val="20"/>
        </w:rPr>
      </w:pPr>
      <w:r w:rsidRPr="005B6074">
        <w:rPr>
          <w:rFonts w:ascii="Verdana" w:hAnsi="Verdana"/>
          <w:sz w:val="20"/>
        </w:rPr>
        <w:t>To combine some of the activities and to make the wording of others more precise;</w:t>
      </w:r>
    </w:p>
    <w:p w:rsidR="00F24971" w:rsidRPr="005B6074" w:rsidRDefault="00A35E98" w:rsidP="00181A22">
      <w:pPr>
        <w:pStyle w:val="ListParagraph"/>
        <w:numPr>
          <w:ilvl w:val="0"/>
          <w:numId w:val="61"/>
        </w:numPr>
        <w:jc w:val="both"/>
      </w:pPr>
      <w:r w:rsidRPr="005B6074">
        <w:rPr>
          <w:rFonts w:ascii="Verdana" w:hAnsi="Verdana"/>
          <w:sz w:val="20"/>
        </w:rPr>
        <w:t>Given the lending activities for higher education and the possibilities for joint business–science and business–higher education initiatives, it is advisable to analyse the possibilities for and the advantages of using financial instruments;</w:t>
      </w:r>
    </w:p>
    <w:p w:rsidR="00F24971" w:rsidRPr="005B6074" w:rsidRDefault="00A35E98" w:rsidP="00181A22">
      <w:pPr>
        <w:pStyle w:val="ListParagraph"/>
        <w:numPr>
          <w:ilvl w:val="0"/>
          <w:numId w:val="61"/>
        </w:numPr>
        <w:jc w:val="both"/>
      </w:pPr>
      <w:r w:rsidRPr="005B6074">
        <w:rPr>
          <w:rFonts w:ascii="Verdana" w:hAnsi="Verdana"/>
          <w:sz w:val="20"/>
        </w:rPr>
        <w:t>To add information about the way in which the application of the principles of sustainable development and gender equality will be monitored and to reconsider the relevance of the approach to monitoring of the principle of equality and non-discrimination;</w:t>
      </w:r>
    </w:p>
    <w:p w:rsidR="00F24971" w:rsidRPr="005B6074" w:rsidRDefault="00A35E98" w:rsidP="00181A22">
      <w:pPr>
        <w:pStyle w:val="ListParagraph"/>
        <w:numPr>
          <w:ilvl w:val="0"/>
          <w:numId w:val="61"/>
        </w:numPr>
        <w:jc w:val="both"/>
        <w:rPr>
          <w:rFonts w:ascii="Verdana" w:hAnsi="Verdana"/>
          <w:sz w:val="20"/>
          <w:szCs w:val="20"/>
        </w:rPr>
      </w:pPr>
      <w:r w:rsidRPr="005B6074">
        <w:rPr>
          <w:rFonts w:ascii="Verdana" w:hAnsi="Verdana"/>
          <w:sz w:val="20"/>
        </w:rPr>
        <w:t>To envisage a more conservative budget allocation by year in order to minimise the risk of an automatic loss of funds in the following programming period;</w:t>
      </w:r>
    </w:p>
    <w:p w:rsidR="00F24971" w:rsidRPr="005B6074" w:rsidRDefault="00A35E98" w:rsidP="00181A22">
      <w:pPr>
        <w:pStyle w:val="ListParagraph"/>
        <w:numPr>
          <w:ilvl w:val="0"/>
          <w:numId w:val="61"/>
        </w:numPr>
        <w:jc w:val="both"/>
        <w:rPr>
          <w:rFonts w:ascii="Verdana" w:hAnsi="Verdana"/>
          <w:sz w:val="20"/>
          <w:szCs w:val="20"/>
        </w:rPr>
      </w:pPr>
      <w:r w:rsidRPr="005B6074">
        <w:rPr>
          <w:rFonts w:ascii="Verdana" w:hAnsi="Verdana"/>
          <w:sz w:val="20"/>
        </w:rPr>
        <w:t>To analyse the possibility for allocating funds for technical assistance from the European Regional Development Fund as well;</w:t>
      </w:r>
    </w:p>
    <w:p w:rsidR="00F24971" w:rsidRPr="005B6074" w:rsidRDefault="00A35E98" w:rsidP="00181A22">
      <w:pPr>
        <w:pStyle w:val="ListParagraph"/>
        <w:numPr>
          <w:ilvl w:val="0"/>
          <w:numId w:val="61"/>
        </w:numPr>
        <w:jc w:val="both"/>
        <w:rPr>
          <w:rFonts w:ascii="Verdana" w:hAnsi="Verdana"/>
          <w:sz w:val="20"/>
          <w:szCs w:val="20"/>
        </w:rPr>
      </w:pPr>
      <w:r w:rsidRPr="005B6074">
        <w:rPr>
          <w:rFonts w:ascii="Verdana" w:hAnsi="Verdana"/>
          <w:sz w:val="20"/>
        </w:rPr>
        <w:t>To supplement information about meeting the requirement for concentration of at least 60% of the Programme budget on 5 investment priorities at the most;</w:t>
      </w:r>
    </w:p>
    <w:p w:rsidR="00F24971" w:rsidRPr="005B6074" w:rsidRDefault="00A35E98" w:rsidP="00181A22">
      <w:pPr>
        <w:pStyle w:val="ListParagraph"/>
        <w:numPr>
          <w:ilvl w:val="0"/>
          <w:numId w:val="61"/>
        </w:numPr>
        <w:jc w:val="both"/>
        <w:rPr>
          <w:rFonts w:ascii="Verdana" w:hAnsi="Verdana"/>
          <w:sz w:val="20"/>
          <w:szCs w:val="20"/>
        </w:rPr>
      </w:pPr>
      <w:r w:rsidRPr="005B6074">
        <w:rPr>
          <w:rFonts w:ascii="Verdana" w:hAnsi="Verdana"/>
          <w:sz w:val="20"/>
        </w:rPr>
        <w:t>To revise the result indicators under the priority axes by following the prescriptions of the European Commission with regard to the indicators of the European Regional Development Fund and the European Social Fund;</w:t>
      </w:r>
    </w:p>
    <w:p w:rsidR="00F24971" w:rsidRPr="005B6074" w:rsidRDefault="00A35E98" w:rsidP="00181A22">
      <w:pPr>
        <w:pStyle w:val="ListParagraph"/>
        <w:numPr>
          <w:ilvl w:val="0"/>
          <w:numId w:val="61"/>
        </w:numPr>
        <w:jc w:val="both"/>
        <w:rPr>
          <w:rFonts w:ascii="Verdana" w:hAnsi="Verdana"/>
          <w:sz w:val="20"/>
          <w:szCs w:val="20"/>
        </w:rPr>
      </w:pPr>
      <w:r w:rsidRPr="005B6074">
        <w:rPr>
          <w:rFonts w:ascii="Verdana" w:hAnsi="Verdana"/>
          <w:sz w:val="20"/>
        </w:rPr>
        <w:t>To use the common indicators of the European Social Fund Regulation for all relevant activities;</w:t>
      </w:r>
    </w:p>
    <w:p w:rsidR="00F24971" w:rsidRPr="005B6074" w:rsidRDefault="00A35E98" w:rsidP="00181A22">
      <w:pPr>
        <w:pStyle w:val="ListParagraph"/>
        <w:numPr>
          <w:ilvl w:val="0"/>
          <w:numId w:val="61"/>
        </w:numPr>
        <w:jc w:val="both"/>
        <w:rPr>
          <w:rFonts w:ascii="Verdana" w:hAnsi="Verdana"/>
          <w:sz w:val="20"/>
          <w:szCs w:val="20"/>
        </w:rPr>
      </w:pPr>
      <w:r w:rsidRPr="005B6074">
        <w:rPr>
          <w:rFonts w:ascii="Verdana" w:hAnsi="Verdana"/>
          <w:sz w:val="20"/>
        </w:rPr>
        <w:t>To revise/remove some of the indicators and to make the necessary clarifications in the fiches of indicators with regard to their meaning and way of measuring;</w:t>
      </w:r>
    </w:p>
    <w:p w:rsidR="00F24971" w:rsidRPr="005B6074" w:rsidRDefault="00A35E98" w:rsidP="00F24971">
      <w:pPr>
        <w:jc w:val="both"/>
        <w:rPr>
          <w:rFonts w:ascii="Verdana" w:hAnsi="Verdana"/>
          <w:sz w:val="20"/>
          <w:szCs w:val="20"/>
        </w:rPr>
      </w:pPr>
      <w:r w:rsidRPr="005B6074">
        <w:rPr>
          <w:rFonts w:ascii="Verdana" w:hAnsi="Verdana"/>
          <w:sz w:val="20"/>
        </w:rPr>
        <w:lastRenderedPageBreak/>
        <w:t>The recommendations on the administrative capacity do not concern the wording of the Programme but its implementation and management. The key ones include:</w:t>
      </w:r>
    </w:p>
    <w:p w:rsidR="00F24971" w:rsidRPr="005B6074" w:rsidRDefault="00A35E98" w:rsidP="00181A22">
      <w:pPr>
        <w:pStyle w:val="ListParagraph"/>
        <w:numPr>
          <w:ilvl w:val="0"/>
          <w:numId w:val="61"/>
        </w:numPr>
        <w:jc w:val="both"/>
        <w:rPr>
          <w:rFonts w:ascii="Verdana" w:hAnsi="Verdana"/>
          <w:sz w:val="20"/>
          <w:szCs w:val="20"/>
        </w:rPr>
      </w:pPr>
      <w:r w:rsidRPr="005B6074">
        <w:rPr>
          <w:rFonts w:ascii="Verdana" w:hAnsi="Verdana"/>
          <w:sz w:val="20"/>
        </w:rPr>
        <w:t xml:space="preserve">The Risk Management and Control </w:t>
      </w:r>
      <w:r w:rsidR="00F52AAA">
        <w:rPr>
          <w:rFonts w:ascii="Verdana" w:hAnsi="Verdana"/>
          <w:sz w:val="20"/>
        </w:rPr>
        <w:t>Department</w:t>
      </w:r>
      <w:r w:rsidRPr="005B6074">
        <w:rPr>
          <w:rFonts w:ascii="Verdana" w:hAnsi="Verdana"/>
          <w:sz w:val="20"/>
        </w:rPr>
        <w:t xml:space="preserve"> which also includes the irregularity officer should be directly subordinate to the general director rather than to the deputy director.</w:t>
      </w:r>
    </w:p>
    <w:p w:rsidR="00F24971" w:rsidRPr="005B6074" w:rsidRDefault="00A35E98" w:rsidP="00181A22">
      <w:pPr>
        <w:pStyle w:val="ListParagraph"/>
        <w:numPr>
          <w:ilvl w:val="0"/>
          <w:numId w:val="61"/>
        </w:numPr>
        <w:jc w:val="both"/>
        <w:rPr>
          <w:rFonts w:ascii="Verdana" w:hAnsi="Verdana"/>
          <w:sz w:val="20"/>
          <w:szCs w:val="20"/>
        </w:rPr>
      </w:pPr>
      <w:r w:rsidRPr="005B6074">
        <w:rPr>
          <w:rFonts w:ascii="Verdana" w:hAnsi="Verdana"/>
          <w:sz w:val="20"/>
        </w:rPr>
        <w:t xml:space="preserve">Provision of adequate resources with regard to the responsibilities of the following </w:t>
      </w:r>
      <w:r w:rsidR="00F52AAA">
        <w:rPr>
          <w:rFonts w:ascii="Verdana" w:hAnsi="Verdana"/>
          <w:sz w:val="20"/>
        </w:rPr>
        <w:t>department</w:t>
      </w:r>
      <w:r w:rsidRPr="005B6074">
        <w:rPr>
          <w:rFonts w:ascii="Verdana" w:hAnsi="Verdana"/>
          <w:sz w:val="20"/>
        </w:rPr>
        <w:t xml:space="preserve">s: Programming and Contracting </w:t>
      </w:r>
      <w:r w:rsidR="00F52AAA">
        <w:rPr>
          <w:rFonts w:ascii="Verdana" w:hAnsi="Verdana"/>
          <w:sz w:val="20"/>
        </w:rPr>
        <w:t>Department</w:t>
      </w:r>
      <w:r w:rsidRPr="005B6074">
        <w:rPr>
          <w:rFonts w:ascii="Verdana" w:hAnsi="Verdana"/>
          <w:sz w:val="20"/>
        </w:rPr>
        <w:t xml:space="preserve">, Financial Planning, Accounting and Payments </w:t>
      </w:r>
      <w:r w:rsidR="00F52AAA">
        <w:rPr>
          <w:rFonts w:ascii="Verdana" w:hAnsi="Verdana"/>
          <w:sz w:val="20"/>
        </w:rPr>
        <w:t>Department</w:t>
      </w:r>
      <w:r w:rsidRPr="005B6074">
        <w:rPr>
          <w:rFonts w:ascii="Verdana" w:hAnsi="Verdana"/>
          <w:sz w:val="20"/>
        </w:rPr>
        <w:t xml:space="preserve"> and Risk Management and Control </w:t>
      </w:r>
      <w:r w:rsidR="00F52AAA">
        <w:rPr>
          <w:rFonts w:ascii="Verdana" w:hAnsi="Verdana"/>
          <w:sz w:val="20"/>
        </w:rPr>
        <w:t>Department</w:t>
      </w:r>
      <w:r w:rsidRPr="005B6074">
        <w:rPr>
          <w:rFonts w:ascii="Verdana" w:hAnsi="Verdana"/>
          <w:sz w:val="20"/>
        </w:rPr>
        <w:t xml:space="preserve">. </w:t>
      </w:r>
    </w:p>
    <w:p w:rsidR="00F24971" w:rsidRPr="005B6074" w:rsidRDefault="00A35E98" w:rsidP="00181A22">
      <w:pPr>
        <w:pStyle w:val="ListParagraph"/>
        <w:numPr>
          <w:ilvl w:val="0"/>
          <w:numId w:val="61"/>
        </w:numPr>
        <w:jc w:val="both"/>
        <w:rPr>
          <w:rFonts w:ascii="Verdana" w:hAnsi="Verdana"/>
          <w:sz w:val="20"/>
          <w:szCs w:val="20"/>
        </w:rPr>
      </w:pPr>
      <w:r w:rsidRPr="005B6074">
        <w:rPr>
          <w:rFonts w:ascii="Verdana" w:hAnsi="Verdana"/>
          <w:sz w:val="20"/>
        </w:rPr>
        <w:t xml:space="preserve">Provision of the necessary technical resources for Programme management and implementation. </w:t>
      </w:r>
    </w:p>
    <w:p w:rsidR="00F24971" w:rsidRPr="005B6074" w:rsidRDefault="00A35E98" w:rsidP="00181A22">
      <w:pPr>
        <w:pStyle w:val="ListParagraph"/>
        <w:numPr>
          <w:ilvl w:val="0"/>
          <w:numId w:val="61"/>
        </w:numPr>
        <w:jc w:val="both"/>
        <w:rPr>
          <w:rFonts w:ascii="Verdana" w:hAnsi="Verdana"/>
          <w:sz w:val="20"/>
          <w:szCs w:val="20"/>
        </w:rPr>
      </w:pPr>
      <w:r w:rsidRPr="005B6074">
        <w:rPr>
          <w:rFonts w:ascii="Verdana" w:hAnsi="Verdana"/>
          <w:sz w:val="20"/>
        </w:rPr>
        <w:t>Organisation, as soon as possible, of training courses in relation to the new responsibilities as Managing authority.</w:t>
      </w:r>
    </w:p>
    <w:p w:rsidR="00F24971" w:rsidRPr="005B6074" w:rsidRDefault="00A35E98" w:rsidP="00181A22">
      <w:pPr>
        <w:pStyle w:val="ListParagraph"/>
        <w:numPr>
          <w:ilvl w:val="0"/>
          <w:numId w:val="61"/>
        </w:numPr>
        <w:jc w:val="both"/>
        <w:rPr>
          <w:rFonts w:ascii="Verdana" w:hAnsi="Verdana"/>
          <w:sz w:val="20"/>
          <w:szCs w:val="20"/>
        </w:rPr>
      </w:pPr>
      <w:r w:rsidRPr="005B6074">
        <w:rPr>
          <w:rFonts w:ascii="Verdana" w:hAnsi="Verdana"/>
          <w:sz w:val="20"/>
        </w:rPr>
        <w:t>Development of an attractive package of bonuses and remuneration for the staff in order to increase their motivation.</w:t>
      </w:r>
    </w:p>
    <w:p w:rsidR="00F24971" w:rsidRPr="005B6074" w:rsidRDefault="00A35E98" w:rsidP="00181A22">
      <w:pPr>
        <w:pStyle w:val="ListParagraph"/>
        <w:numPr>
          <w:ilvl w:val="0"/>
          <w:numId w:val="61"/>
        </w:numPr>
        <w:jc w:val="both"/>
        <w:rPr>
          <w:rFonts w:ascii="Verdana" w:hAnsi="Verdana"/>
          <w:sz w:val="20"/>
          <w:szCs w:val="20"/>
        </w:rPr>
      </w:pPr>
      <w:r w:rsidRPr="005B6074">
        <w:rPr>
          <w:rFonts w:ascii="Verdana" w:hAnsi="Verdana"/>
          <w:sz w:val="20"/>
        </w:rPr>
        <w:t>Introduction in the Project Implementation Manual of a contact point for beneficiaries with clearly defined persons, responsibilities and deadlines for answering beneficiaries’ questions.</w:t>
      </w:r>
    </w:p>
    <w:p w:rsidR="00F24971" w:rsidRPr="005B6074" w:rsidRDefault="00A35E98" w:rsidP="00181A22">
      <w:pPr>
        <w:pStyle w:val="ListParagraph"/>
        <w:numPr>
          <w:ilvl w:val="0"/>
          <w:numId w:val="61"/>
        </w:numPr>
        <w:jc w:val="both"/>
        <w:rPr>
          <w:rFonts w:ascii="Verdana" w:hAnsi="Verdana"/>
          <w:sz w:val="20"/>
          <w:szCs w:val="20"/>
        </w:rPr>
      </w:pPr>
      <w:r w:rsidRPr="005B6074">
        <w:rPr>
          <w:rFonts w:ascii="Verdana" w:hAnsi="Verdana"/>
          <w:sz w:val="20"/>
        </w:rPr>
        <w:t xml:space="preserve">Development of a system for collection and aggregation of indicators </w:t>
      </w:r>
      <w:r w:rsidR="00A01A26" w:rsidRPr="005B6074">
        <w:rPr>
          <w:rFonts w:ascii="Verdana" w:hAnsi="Verdana"/>
          <w:sz w:val="20"/>
        </w:rPr>
        <w:t xml:space="preserve">data, </w:t>
      </w:r>
      <w:r w:rsidRPr="005B6074">
        <w:rPr>
          <w:rFonts w:ascii="Verdana" w:hAnsi="Verdana"/>
          <w:sz w:val="20"/>
        </w:rPr>
        <w:t xml:space="preserve">which identifies the tasks and the deadlines at all levels of monitoring (beneficiary, specific beneficiary, </w:t>
      </w:r>
      <w:r w:rsidR="00F52AAA">
        <w:rPr>
          <w:rFonts w:ascii="Verdana" w:hAnsi="Verdana"/>
          <w:sz w:val="20"/>
        </w:rPr>
        <w:t>department</w:t>
      </w:r>
      <w:r w:rsidRPr="005B6074">
        <w:rPr>
          <w:rFonts w:ascii="Verdana" w:hAnsi="Verdana"/>
          <w:sz w:val="20"/>
        </w:rPr>
        <w:t>s within the Managing Authority).</w:t>
      </w:r>
    </w:p>
    <w:p w:rsidR="00F24971" w:rsidRPr="005B6074" w:rsidRDefault="00F24971" w:rsidP="00F24971"/>
    <w:p w:rsidR="003D506F" w:rsidRPr="005B6074" w:rsidRDefault="003D506F" w:rsidP="00F24971">
      <w:pPr>
        <w:spacing w:after="0" w:line="240" w:lineRule="auto"/>
        <w:ind w:left="1170" w:hanging="1170"/>
        <w:jc w:val="both"/>
        <w:sectPr w:rsidR="003D506F" w:rsidRPr="005B6074" w:rsidSect="00F24971">
          <w:pgSz w:w="11907" w:h="16839" w:code="9"/>
          <w:pgMar w:top="2077" w:right="1440" w:bottom="1440" w:left="1440" w:header="720" w:footer="244" w:gutter="0"/>
          <w:cols w:space="720"/>
          <w:docGrid w:linePitch="360"/>
        </w:sectPr>
      </w:pPr>
    </w:p>
    <w:p w:rsidR="00F24971" w:rsidRPr="005B6074" w:rsidRDefault="00A35E98" w:rsidP="00F24971">
      <w:pPr>
        <w:pStyle w:val="Heading1"/>
        <w:shd w:val="clear" w:color="auto" w:fill="0063B8"/>
        <w:tabs>
          <w:tab w:val="num" w:pos="720"/>
        </w:tabs>
        <w:spacing w:before="120" w:after="120" w:line="276" w:lineRule="auto"/>
        <w:ind w:left="720" w:hanging="720"/>
        <w:rPr>
          <w:rFonts w:ascii="Verdana" w:hAnsi="Verdana"/>
          <w:b w:val="0"/>
          <w:caps/>
          <w:color w:val="FFFFFF"/>
        </w:rPr>
      </w:pPr>
      <w:bookmarkStart w:id="29" w:name="_Toc390262433"/>
      <w:bookmarkStart w:id="30" w:name="_Toc396225548"/>
      <w:r w:rsidRPr="005B6074">
        <w:rPr>
          <w:rFonts w:ascii="Verdana" w:hAnsi="Verdana"/>
          <w:b w:val="0"/>
          <w:caps/>
          <w:color w:val="FFFFFF"/>
        </w:rPr>
        <w:lastRenderedPageBreak/>
        <w:t>I.</w:t>
      </w:r>
      <w:r w:rsidRPr="005B6074">
        <w:rPr>
          <w:rFonts w:ascii="Verdana" w:hAnsi="Verdana"/>
          <w:b w:val="0"/>
          <w:caps/>
          <w:color w:val="FFFFFF"/>
        </w:rPr>
        <w:tab/>
        <w:t>Introduction</w:t>
      </w:r>
      <w:bookmarkEnd w:id="29"/>
      <w:bookmarkEnd w:id="30"/>
    </w:p>
    <w:p w:rsidR="00F24971" w:rsidRPr="005B6074" w:rsidRDefault="00F24971" w:rsidP="00F24971">
      <w:pPr>
        <w:spacing w:after="0"/>
        <w:rPr>
          <w:rFonts w:ascii="Verdana" w:hAnsi="Verdana"/>
        </w:rPr>
      </w:pPr>
    </w:p>
    <w:p w:rsidR="00F24971" w:rsidRPr="005B6074" w:rsidRDefault="00A35E98" w:rsidP="00F24971">
      <w:pPr>
        <w:jc w:val="both"/>
        <w:rPr>
          <w:rFonts w:ascii="Verdana" w:hAnsi="Verdana"/>
          <w:sz w:val="20"/>
          <w:szCs w:val="20"/>
        </w:rPr>
      </w:pPr>
      <w:r w:rsidRPr="005B6074">
        <w:rPr>
          <w:rFonts w:ascii="Verdana" w:hAnsi="Verdana"/>
          <w:sz w:val="20"/>
        </w:rPr>
        <w:t xml:space="preserve">The ex-ante </w:t>
      </w:r>
      <w:r w:rsidR="00897407">
        <w:rPr>
          <w:rFonts w:ascii="Verdana" w:hAnsi="Verdana"/>
          <w:sz w:val="20"/>
        </w:rPr>
        <w:t>evaluation</w:t>
      </w:r>
      <w:r w:rsidRPr="005B6074">
        <w:rPr>
          <w:rFonts w:ascii="Verdana" w:hAnsi="Verdana"/>
          <w:sz w:val="20"/>
        </w:rPr>
        <w:t xml:space="preserve"> of Operational Programme Science and Education for Smart Growth for the 2014–2020 Period (OPSESG) was made in the period February-March 2014 by a team of Ecorys South East Europe Ltd. experts in accordance with a contract signed with Ministry of Education and Science (MES).</w:t>
      </w:r>
    </w:p>
    <w:p w:rsidR="00F24971" w:rsidRPr="005B6074" w:rsidRDefault="00A35E98" w:rsidP="00F24971">
      <w:pPr>
        <w:jc w:val="both"/>
        <w:rPr>
          <w:rFonts w:ascii="Verdana" w:hAnsi="Verdana"/>
          <w:sz w:val="20"/>
          <w:szCs w:val="20"/>
        </w:rPr>
      </w:pPr>
      <w:r w:rsidRPr="005B6074">
        <w:rPr>
          <w:rFonts w:ascii="Verdana" w:hAnsi="Verdana"/>
          <w:sz w:val="20"/>
        </w:rPr>
        <w:t xml:space="preserve">This report is a final </w:t>
      </w:r>
      <w:r w:rsidR="00897407">
        <w:rPr>
          <w:rFonts w:ascii="Verdana" w:hAnsi="Verdana"/>
          <w:sz w:val="20"/>
        </w:rPr>
        <w:t>evaluation</w:t>
      </w:r>
      <w:r w:rsidRPr="005B6074">
        <w:rPr>
          <w:rFonts w:ascii="Verdana" w:hAnsi="Verdana"/>
          <w:sz w:val="20"/>
        </w:rPr>
        <w:t xml:space="preserve"> report and reflects the Consultant's opinion and recommendations on the latest version of the </w:t>
      </w:r>
      <w:r w:rsidR="005B35A7">
        <w:rPr>
          <w:rFonts w:ascii="Verdana" w:hAnsi="Verdana"/>
          <w:sz w:val="20"/>
        </w:rPr>
        <w:t>OPSESG</w:t>
      </w:r>
      <w:r w:rsidRPr="005B6074">
        <w:rPr>
          <w:rFonts w:ascii="Verdana" w:hAnsi="Verdana"/>
          <w:sz w:val="20"/>
        </w:rPr>
        <w:t xml:space="preserve"> 2014–2020 from May 2014.</w:t>
      </w:r>
    </w:p>
    <w:p w:rsidR="00F24971" w:rsidRPr="005B6074" w:rsidRDefault="00A35E98" w:rsidP="00F24971">
      <w:pPr>
        <w:jc w:val="both"/>
        <w:rPr>
          <w:rFonts w:ascii="Verdana" w:hAnsi="Verdana"/>
          <w:sz w:val="20"/>
          <w:szCs w:val="20"/>
        </w:rPr>
      </w:pPr>
      <w:r w:rsidRPr="005B6074">
        <w:rPr>
          <w:rFonts w:ascii="Verdana" w:hAnsi="Verdana"/>
          <w:sz w:val="20"/>
        </w:rPr>
        <w:t>The analysis are structured in accordance with the Terms of Reference of the Contracting Authority and according to the evaluation questions in the following chapters/</w:t>
      </w:r>
      <w:r w:rsidR="00897407">
        <w:rPr>
          <w:rFonts w:ascii="Verdana" w:hAnsi="Verdana"/>
          <w:sz w:val="20"/>
        </w:rPr>
        <w:t>evaluations</w:t>
      </w:r>
      <w:r w:rsidRPr="005B6074">
        <w:rPr>
          <w:rFonts w:ascii="Verdana" w:hAnsi="Verdana"/>
          <w:sz w:val="20"/>
        </w:rPr>
        <w:t>:</w:t>
      </w:r>
    </w:p>
    <w:p w:rsidR="00F24971" w:rsidRPr="005B6074" w:rsidRDefault="00897407" w:rsidP="00181A22">
      <w:pPr>
        <w:pStyle w:val="ListParagraph"/>
        <w:numPr>
          <w:ilvl w:val="0"/>
          <w:numId w:val="59"/>
        </w:numPr>
        <w:jc w:val="both"/>
        <w:rPr>
          <w:rFonts w:ascii="Verdana" w:hAnsi="Verdana"/>
          <w:sz w:val="20"/>
          <w:szCs w:val="20"/>
        </w:rPr>
      </w:pPr>
      <w:r>
        <w:rPr>
          <w:rFonts w:ascii="Verdana" w:hAnsi="Verdana"/>
          <w:sz w:val="20"/>
        </w:rPr>
        <w:t>Evaluation</w:t>
      </w:r>
      <w:r w:rsidR="00A35E98" w:rsidRPr="005B6074">
        <w:rPr>
          <w:rFonts w:ascii="Verdana" w:hAnsi="Verdana"/>
          <w:sz w:val="20"/>
        </w:rPr>
        <w:t xml:space="preserve"> of external coherence;</w:t>
      </w:r>
    </w:p>
    <w:p w:rsidR="00F24971" w:rsidRPr="005B6074" w:rsidRDefault="00897407" w:rsidP="00181A22">
      <w:pPr>
        <w:pStyle w:val="ListParagraph"/>
        <w:numPr>
          <w:ilvl w:val="0"/>
          <w:numId w:val="59"/>
        </w:numPr>
        <w:jc w:val="both"/>
        <w:rPr>
          <w:rFonts w:ascii="Verdana" w:hAnsi="Verdana"/>
          <w:sz w:val="20"/>
          <w:szCs w:val="20"/>
        </w:rPr>
      </w:pPr>
      <w:r>
        <w:rPr>
          <w:rFonts w:ascii="Verdana" w:hAnsi="Verdana"/>
          <w:sz w:val="20"/>
        </w:rPr>
        <w:t>Evaluation</w:t>
      </w:r>
      <w:r w:rsidRPr="005B6074">
        <w:rPr>
          <w:rFonts w:ascii="Verdana" w:hAnsi="Verdana"/>
          <w:sz w:val="20"/>
        </w:rPr>
        <w:t xml:space="preserve"> </w:t>
      </w:r>
      <w:r w:rsidR="00A35E98" w:rsidRPr="005B6074">
        <w:rPr>
          <w:rFonts w:ascii="Verdana" w:hAnsi="Verdana"/>
          <w:sz w:val="20"/>
        </w:rPr>
        <w:t>of internal coherence;</w:t>
      </w:r>
    </w:p>
    <w:p w:rsidR="00F24971" w:rsidRPr="005B6074" w:rsidRDefault="00897407" w:rsidP="00181A22">
      <w:pPr>
        <w:pStyle w:val="ListParagraph"/>
        <w:numPr>
          <w:ilvl w:val="0"/>
          <w:numId w:val="59"/>
        </w:numPr>
        <w:jc w:val="both"/>
        <w:rPr>
          <w:rFonts w:ascii="Verdana" w:hAnsi="Verdana"/>
          <w:sz w:val="20"/>
          <w:szCs w:val="20"/>
        </w:rPr>
      </w:pPr>
      <w:r>
        <w:rPr>
          <w:rFonts w:ascii="Verdana" w:hAnsi="Verdana"/>
          <w:sz w:val="20"/>
        </w:rPr>
        <w:t>Evaluation</w:t>
      </w:r>
      <w:r w:rsidR="00A35E98" w:rsidRPr="005B6074">
        <w:rPr>
          <w:rFonts w:ascii="Verdana" w:hAnsi="Verdana"/>
          <w:sz w:val="20"/>
        </w:rPr>
        <w:t xml:space="preserve"> of the system of indicators;</w:t>
      </w:r>
    </w:p>
    <w:p w:rsidR="00F24971" w:rsidRPr="005B6074" w:rsidRDefault="00897407" w:rsidP="00181A22">
      <w:pPr>
        <w:pStyle w:val="ListParagraph"/>
        <w:numPr>
          <w:ilvl w:val="0"/>
          <w:numId w:val="59"/>
        </w:numPr>
        <w:jc w:val="both"/>
        <w:rPr>
          <w:rFonts w:ascii="Verdana" w:hAnsi="Verdana"/>
          <w:sz w:val="20"/>
          <w:szCs w:val="20"/>
        </w:rPr>
      </w:pPr>
      <w:r>
        <w:rPr>
          <w:rFonts w:ascii="Verdana" w:hAnsi="Verdana"/>
          <w:sz w:val="20"/>
        </w:rPr>
        <w:t>Evaluation</w:t>
      </w:r>
      <w:r w:rsidR="00A35E98" w:rsidRPr="005B6074">
        <w:rPr>
          <w:rFonts w:ascii="Verdana" w:hAnsi="Verdana"/>
          <w:sz w:val="20"/>
        </w:rPr>
        <w:t xml:space="preserve"> of the Programme's budget;</w:t>
      </w:r>
    </w:p>
    <w:p w:rsidR="00F24971" w:rsidRPr="005B6074" w:rsidRDefault="00897407" w:rsidP="00181A22">
      <w:pPr>
        <w:pStyle w:val="ListParagraph"/>
        <w:numPr>
          <w:ilvl w:val="0"/>
          <w:numId w:val="59"/>
        </w:numPr>
        <w:jc w:val="both"/>
        <w:rPr>
          <w:rFonts w:ascii="Verdana" w:hAnsi="Verdana"/>
          <w:sz w:val="20"/>
          <w:szCs w:val="20"/>
        </w:rPr>
      </w:pPr>
      <w:r>
        <w:rPr>
          <w:rFonts w:ascii="Verdana" w:hAnsi="Verdana"/>
          <w:sz w:val="20"/>
        </w:rPr>
        <w:t>Evaluation</w:t>
      </w:r>
      <w:r w:rsidR="00A35E98" w:rsidRPr="005B6074">
        <w:rPr>
          <w:rFonts w:ascii="Verdana" w:hAnsi="Verdana"/>
          <w:sz w:val="20"/>
        </w:rPr>
        <w:t xml:space="preserve"> of the administrative capacity, the Programme management, monitoring and evaluation.</w:t>
      </w:r>
    </w:p>
    <w:p w:rsidR="00F24971" w:rsidRPr="005B6074" w:rsidRDefault="00A35E98" w:rsidP="00F24971">
      <w:pPr>
        <w:jc w:val="both"/>
        <w:rPr>
          <w:rFonts w:ascii="Verdana" w:hAnsi="Verdana"/>
          <w:sz w:val="20"/>
          <w:szCs w:val="20"/>
        </w:rPr>
      </w:pPr>
      <w:r w:rsidRPr="005B6074">
        <w:rPr>
          <w:rFonts w:ascii="Verdana" w:hAnsi="Verdana"/>
          <w:sz w:val="20"/>
        </w:rPr>
        <w:t>The annexes contain some additional information about the sources of information used (Annex 1), meetings held and focus groups (Annex 2), on-line survey (Annexes 3 and 4), Programme's intervention logic (Annex 5) and indicator fiches (Annex 6).</w:t>
      </w:r>
    </w:p>
    <w:p w:rsidR="003D506F" w:rsidRPr="005B6074" w:rsidRDefault="003D506F" w:rsidP="00F24971">
      <w:pPr>
        <w:jc w:val="both"/>
        <w:sectPr w:rsidR="003D506F" w:rsidRPr="005B6074" w:rsidSect="00F24971">
          <w:pgSz w:w="11907" w:h="16839" w:code="9"/>
          <w:pgMar w:top="2128" w:right="1377" w:bottom="1440" w:left="1440" w:header="720" w:footer="252" w:gutter="0"/>
          <w:cols w:space="720"/>
          <w:docGrid w:linePitch="360"/>
        </w:sectPr>
      </w:pPr>
    </w:p>
    <w:p w:rsidR="00F24971" w:rsidRPr="005B6074" w:rsidRDefault="00A35E98" w:rsidP="00F24971">
      <w:pPr>
        <w:pStyle w:val="Heading1"/>
        <w:shd w:val="clear" w:color="auto" w:fill="0063B8"/>
        <w:tabs>
          <w:tab w:val="num" w:pos="720"/>
        </w:tabs>
        <w:spacing w:before="120" w:after="120" w:line="276" w:lineRule="auto"/>
        <w:ind w:left="720" w:hanging="720"/>
        <w:rPr>
          <w:rFonts w:ascii="Verdana" w:hAnsi="Verdana"/>
          <w:b w:val="0"/>
          <w:caps/>
          <w:color w:val="FFFFFF"/>
        </w:rPr>
      </w:pPr>
      <w:bookmarkStart w:id="31" w:name="_Toc390262434"/>
      <w:bookmarkStart w:id="32" w:name="_Toc396225549"/>
      <w:r w:rsidRPr="005B6074">
        <w:rPr>
          <w:rFonts w:ascii="Verdana" w:hAnsi="Verdana"/>
          <w:b w:val="0"/>
          <w:caps/>
          <w:color w:val="FFFFFF"/>
        </w:rPr>
        <w:lastRenderedPageBreak/>
        <w:t>II.</w:t>
      </w:r>
      <w:r w:rsidRPr="005B6074">
        <w:rPr>
          <w:rFonts w:ascii="Verdana" w:hAnsi="Verdana"/>
          <w:b w:val="0"/>
          <w:caps/>
          <w:color w:val="FFFFFF"/>
        </w:rPr>
        <w:tab/>
      </w:r>
      <w:r w:rsidR="00897407">
        <w:rPr>
          <w:rFonts w:ascii="Verdana" w:hAnsi="Verdana"/>
          <w:b w:val="0"/>
          <w:caps/>
          <w:color w:val="FFFFFF"/>
        </w:rPr>
        <w:t>Objectives</w:t>
      </w:r>
      <w:r w:rsidRPr="005B6074">
        <w:rPr>
          <w:rFonts w:ascii="Verdana" w:hAnsi="Verdana"/>
          <w:b w:val="0"/>
          <w:caps/>
          <w:color w:val="FFFFFF"/>
        </w:rPr>
        <w:t xml:space="preserve"> and Scope of the </w:t>
      </w:r>
      <w:bookmarkEnd w:id="31"/>
      <w:r w:rsidRPr="005B6074">
        <w:rPr>
          <w:rFonts w:ascii="Verdana" w:hAnsi="Verdana"/>
          <w:b w:val="0"/>
          <w:caps/>
          <w:color w:val="FFFFFF"/>
        </w:rPr>
        <w:t>EVALUATION</w:t>
      </w:r>
      <w:bookmarkEnd w:id="32"/>
    </w:p>
    <w:p w:rsidR="00F24971" w:rsidRPr="005B6074" w:rsidRDefault="00F24971" w:rsidP="00F24971">
      <w:pPr>
        <w:spacing w:after="0"/>
        <w:rPr>
          <w:rFonts w:ascii="Verdana" w:hAnsi="Verdana"/>
        </w:rPr>
      </w:pPr>
    </w:p>
    <w:p w:rsidR="00F24971" w:rsidRPr="005B6074" w:rsidRDefault="00897407" w:rsidP="00181A22">
      <w:pPr>
        <w:pStyle w:val="Heading2"/>
        <w:numPr>
          <w:ilvl w:val="0"/>
          <w:numId w:val="60"/>
        </w:numPr>
        <w:shd w:val="clear" w:color="auto" w:fill="FFCC99"/>
        <w:spacing w:line="276" w:lineRule="auto"/>
        <w:ind w:hanging="720"/>
        <w:rPr>
          <w:rFonts w:ascii="Verdana" w:hAnsi="Verdana"/>
          <w:i w:val="0"/>
          <w:iCs/>
          <w:color w:val="0063B8"/>
          <w:sz w:val="26"/>
          <w:szCs w:val="26"/>
        </w:rPr>
      </w:pPr>
      <w:bookmarkStart w:id="33" w:name="_Toc390262435"/>
      <w:bookmarkStart w:id="34" w:name="_Toc396225550"/>
      <w:r>
        <w:rPr>
          <w:rFonts w:ascii="Verdana" w:hAnsi="Verdana"/>
          <w:i w:val="0"/>
          <w:color w:val="0063B8"/>
          <w:sz w:val="26"/>
        </w:rPr>
        <w:t>Objectives</w:t>
      </w:r>
      <w:r w:rsidR="00A35E98" w:rsidRPr="005B6074">
        <w:rPr>
          <w:rFonts w:ascii="Verdana" w:hAnsi="Verdana"/>
          <w:i w:val="0"/>
          <w:color w:val="0063B8"/>
          <w:sz w:val="26"/>
        </w:rPr>
        <w:t xml:space="preserve"> of </w:t>
      </w:r>
      <w:bookmarkEnd w:id="33"/>
      <w:r w:rsidR="00A35E98" w:rsidRPr="005B6074">
        <w:rPr>
          <w:rFonts w:ascii="Verdana" w:hAnsi="Verdana"/>
          <w:i w:val="0"/>
          <w:color w:val="0063B8"/>
          <w:sz w:val="26"/>
        </w:rPr>
        <w:t>the evaluation</w:t>
      </w:r>
      <w:bookmarkEnd w:id="34"/>
    </w:p>
    <w:p w:rsidR="00F24971" w:rsidRPr="005B6074" w:rsidRDefault="00F24971" w:rsidP="00F24971">
      <w:pPr>
        <w:spacing w:after="0"/>
        <w:rPr>
          <w:rFonts w:ascii="Verdana" w:hAnsi="Verdana"/>
        </w:rPr>
      </w:pPr>
    </w:p>
    <w:p w:rsidR="00F24971" w:rsidRPr="005B6074" w:rsidRDefault="00A35E98" w:rsidP="00F24971">
      <w:pPr>
        <w:pStyle w:val="BodyText"/>
        <w:widowControl w:val="0"/>
        <w:tabs>
          <w:tab w:val="left" w:pos="0"/>
          <w:tab w:val="left" w:pos="1418"/>
          <w:tab w:val="right" w:pos="9214"/>
        </w:tabs>
        <w:spacing w:line="276" w:lineRule="auto"/>
        <w:jc w:val="both"/>
        <w:rPr>
          <w:rFonts w:ascii="Verdana" w:hAnsi="Verdana"/>
          <w:sz w:val="20"/>
          <w:szCs w:val="20"/>
        </w:rPr>
      </w:pPr>
      <w:r w:rsidRPr="005B6074">
        <w:rPr>
          <w:rFonts w:ascii="Verdana" w:hAnsi="Verdana"/>
          <w:sz w:val="20"/>
        </w:rPr>
        <w:t xml:space="preserve">The </w:t>
      </w:r>
      <w:r w:rsidR="00897407">
        <w:rPr>
          <w:rFonts w:ascii="Verdana" w:hAnsi="Verdana"/>
          <w:sz w:val="20"/>
        </w:rPr>
        <w:t>objectives</w:t>
      </w:r>
      <w:r w:rsidRPr="005B6074">
        <w:rPr>
          <w:rFonts w:ascii="Verdana" w:hAnsi="Verdana"/>
          <w:sz w:val="20"/>
        </w:rPr>
        <w:t xml:space="preserve"> of the procurement procedure as specified in the technical specification of the Contracting Authority are as follows:</w:t>
      </w:r>
    </w:p>
    <w:tbl>
      <w:tblPr>
        <w:tblW w:w="9090" w:type="dxa"/>
        <w:tblInd w:w="68"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CellMar>
          <w:left w:w="68" w:type="dxa"/>
          <w:right w:w="68" w:type="dxa"/>
        </w:tblCellMar>
        <w:tblLook w:val="01E0" w:firstRow="1" w:lastRow="1" w:firstColumn="1" w:lastColumn="1" w:noHBand="0" w:noVBand="0"/>
      </w:tblPr>
      <w:tblGrid>
        <w:gridCol w:w="1800"/>
        <w:gridCol w:w="7290"/>
      </w:tblGrid>
      <w:tr w:rsidR="00F24971" w:rsidRPr="005B6074" w:rsidTr="00F24971">
        <w:tc>
          <w:tcPr>
            <w:tcW w:w="1800" w:type="dxa"/>
            <w:shd w:val="clear" w:color="auto" w:fill="548DD4"/>
          </w:tcPr>
          <w:p w:rsidR="00F24971" w:rsidRPr="005B6074" w:rsidRDefault="00897407" w:rsidP="00897407">
            <w:pPr>
              <w:pStyle w:val="BodyText"/>
              <w:keepLines/>
              <w:tabs>
                <w:tab w:val="left" w:pos="553"/>
                <w:tab w:val="left" w:pos="1418"/>
                <w:tab w:val="left" w:pos="2093"/>
              </w:tabs>
              <w:spacing w:before="120" w:line="276" w:lineRule="auto"/>
              <w:rPr>
                <w:rFonts w:ascii="Verdana" w:hAnsi="Verdana"/>
                <w:b/>
                <w:color w:val="FFFFFF"/>
                <w:sz w:val="20"/>
                <w:szCs w:val="20"/>
              </w:rPr>
            </w:pPr>
            <w:r>
              <w:rPr>
                <w:rFonts w:ascii="Verdana" w:hAnsi="Verdana"/>
                <w:b/>
                <w:color w:val="FFFFFF"/>
                <w:sz w:val="20"/>
              </w:rPr>
              <w:t>Overall Objective</w:t>
            </w:r>
          </w:p>
        </w:tc>
        <w:tc>
          <w:tcPr>
            <w:tcW w:w="7290" w:type="dxa"/>
          </w:tcPr>
          <w:p w:rsidR="00F24971" w:rsidRPr="005B6074" w:rsidRDefault="00A35E98" w:rsidP="00F24971">
            <w:pPr>
              <w:suppressAutoHyphens/>
              <w:spacing w:before="60" w:after="60"/>
              <w:jc w:val="both"/>
              <w:rPr>
                <w:rFonts w:ascii="Verdana" w:hAnsi="Verdana"/>
                <w:sz w:val="20"/>
                <w:szCs w:val="20"/>
              </w:rPr>
            </w:pPr>
            <w:r w:rsidRPr="005B6074">
              <w:rPr>
                <w:rFonts w:ascii="Verdana" w:hAnsi="Verdana"/>
                <w:sz w:val="20"/>
              </w:rPr>
              <w:t>Support and improvement in the quality of the process of programming of Operational Programme Science and Education for Smart Growth for the 2014–2020 Period (</w:t>
            </w:r>
            <w:r w:rsidR="005B35A7">
              <w:rPr>
                <w:rFonts w:ascii="Verdana" w:hAnsi="Verdana"/>
                <w:sz w:val="20"/>
              </w:rPr>
              <w:t>OPSESG</w:t>
            </w:r>
            <w:r w:rsidRPr="005B6074">
              <w:rPr>
                <w:rFonts w:ascii="Verdana" w:hAnsi="Verdana"/>
                <w:sz w:val="20"/>
              </w:rPr>
              <w:t>) in accordance with the requirements of the proposal for a Regulation on Common Provisions for the Funds from the Common Strategic Framework (Regulation (EU) No 1303/2013).</w:t>
            </w:r>
          </w:p>
        </w:tc>
      </w:tr>
      <w:tr w:rsidR="00F24971" w:rsidRPr="005B6074" w:rsidTr="00F24971">
        <w:tc>
          <w:tcPr>
            <w:tcW w:w="1800" w:type="dxa"/>
            <w:shd w:val="clear" w:color="auto" w:fill="548DD4"/>
          </w:tcPr>
          <w:p w:rsidR="00F24971" w:rsidRPr="005B6074" w:rsidRDefault="00A35E98" w:rsidP="00897407">
            <w:pPr>
              <w:pStyle w:val="BodyText"/>
              <w:keepLines/>
              <w:tabs>
                <w:tab w:val="left" w:pos="553"/>
                <w:tab w:val="left" w:pos="1418"/>
                <w:tab w:val="left" w:pos="2093"/>
              </w:tabs>
              <w:spacing w:before="120" w:line="276" w:lineRule="auto"/>
              <w:rPr>
                <w:rFonts w:ascii="Verdana" w:hAnsi="Verdana"/>
                <w:b/>
                <w:color w:val="FFFFFF"/>
                <w:sz w:val="20"/>
                <w:szCs w:val="20"/>
              </w:rPr>
            </w:pPr>
            <w:r w:rsidRPr="005B6074">
              <w:rPr>
                <w:rFonts w:ascii="Verdana" w:hAnsi="Verdana"/>
                <w:b/>
                <w:color w:val="FFFFFF"/>
                <w:sz w:val="20"/>
              </w:rPr>
              <w:t xml:space="preserve">Specific </w:t>
            </w:r>
            <w:r w:rsidR="00897407">
              <w:rPr>
                <w:rFonts w:ascii="Verdana" w:hAnsi="Verdana"/>
                <w:b/>
                <w:color w:val="FFFFFF"/>
                <w:sz w:val="20"/>
              </w:rPr>
              <w:t>Objectives</w:t>
            </w:r>
          </w:p>
        </w:tc>
        <w:tc>
          <w:tcPr>
            <w:tcW w:w="7290" w:type="dxa"/>
          </w:tcPr>
          <w:p w:rsidR="00F24971" w:rsidRPr="005B6074" w:rsidRDefault="00A35E98" w:rsidP="00F24971">
            <w:pPr>
              <w:pStyle w:val="BodyText"/>
              <w:keepLines/>
              <w:numPr>
                <w:ilvl w:val="0"/>
                <w:numId w:val="5"/>
              </w:numPr>
              <w:spacing w:line="276" w:lineRule="auto"/>
              <w:jc w:val="both"/>
              <w:rPr>
                <w:rFonts w:ascii="Verdana" w:hAnsi="Verdana"/>
                <w:sz w:val="20"/>
                <w:szCs w:val="20"/>
              </w:rPr>
            </w:pPr>
            <w:r w:rsidRPr="005B6074">
              <w:rPr>
                <w:rFonts w:ascii="Verdana" w:hAnsi="Verdana"/>
                <w:sz w:val="20"/>
              </w:rPr>
              <w:t>Provision of a result-oriented and well-structured programming document</w:t>
            </w:r>
          </w:p>
          <w:p w:rsidR="00F24971" w:rsidRPr="005B6074" w:rsidRDefault="00A35E98" w:rsidP="00F24971">
            <w:pPr>
              <w:pStyle w:val="BodyText"/>
              <w:keepLines/>
              <w:numPr>
                <w:ilvl w:val="0"/>
                <w:numId w:val="5"/>
              </w:numPr>
              <w:spacing w:line="276" w:lineRule="auto"/>
              <w:jc w:val="both"/>
              <w:rPr>
                <w:rFonts w:ascii="Verdana" w:hAnsi="Verdana"/>
                <w:sz w:val="20"/>
                <w:szCs w:val="20"/>
              </w:rPr>
            </w:pPr>
            <w:r w:rsidRPr="005B6074">
              <w:rPr>
                <w:rFonts w:ascii="Verdana" w:hAnsi="Verdana"/>
                <w:sz w:val="20"/>
              </w:rPr>
              <w:t xml:space="preserve">Ensuring compliance of the strategy and the objectives of </w:t>
            </w:r>
            <w:r w:rsidR="005B35A7">
              <w:rPr>
                <w:rFonts w:ascii="Verdana" w:hAnsi="Verdana"/>
                <w:sz w:val="20"/>
              </w:rPr>
              <w:t>OPSESG</w:t>
            </w:r>
            <w:r w:rsidRPr="005B6074">
              <w:rPr>
                <w:rFonts w:ascii="Verdana" w:hAnsi="Verdana"/>
                <w:sz w:val="20"/>
              </w:rPr>
              <w:t xml:space="preserve"> with the national needs identified</w:t>
            </w:r>
          </w:p>
          <w:p w:rsidR="00F24971" w:rsidRPr="005B6074" w:rsidRDefault="00A35E98" w:rsidP="00F24971">
            <w:pPr>
              <w:pStyle w:val="BodyText"/>
              <w:keepLines/>
              <w:numPr>
                <w:ilvl w:val="0"/>
                <w:numId w:val="5"/>
              </w:numPr>
              <w:spacing w:line="276" w:lineRule="auto"/>
              <w:jc w:val="both"/>
              <w:rPr>
                <w:rFonts w:ascii="Verdana" w:hAnsi="Verdana"/>
                <w:sz w:val="20"/>
                <w:szCs w:val="20"/>
              </w:rPr>
            </w:pPr>
            <w:r w:rsidRPr="005B6074">
              <w:rPr>
                <w:rFonts w:ascii="Verdana" w:hAnsi="Verdana"/>
                <w:sz w:val="20"/>
              </w:rPr>
              <w:t xml:space="preserve">Assessment of the coherence of </w:t>
            </w:r>
            <w:r w:rsidR="005B35A7">
              <w:rPr>
                <w:rFonts w:ascii="Verdana" w:hAnsi="Verdana"/>
                <w:sz w:val="20"/>
              </w:rPr>
              <w:t>OPSESG</w:t>
            </w:r>
            <w:r w:rsidRPr="005B6074">
              <w:rPr>
                <w:rFonts w:ascii="Verdana" w:hAnsi="Verdana"/>
                <w:sz w:val="20"/>
              </w:rPr>
              <w:t xml:space="preserve"> with the other national and European policies and instruments</w:t>
            </w:r>
          </w:p>
          <w:p w:rsidR="00F24971" w:rsidRPr="005B6074" w:rsidRDefault="00A35E98" w:rsidP="00F24971">
            <w:pPr>
              <w:pStyle w:val="BodyText"/>
              <w:keepLines/>
              <w:numPr>
                <w:ilvl w:val="0"/>
                <w:numId w:val="5"/>
              </w:numPr>
              <w:spacing w:line="276" w:lineRule="auto"/>
              <w:jc w:val="both"/>
              <w:rPr>
                <w:rFonts w:ascii="Verdana" w:hAnsi="Verdana"/>
                <w:sz w:val="20"/>
                <w:szCs w:val="20"/>
              </w:rPr>
            </w:pPr>
            <w:r w:rsidRPr="005B6074">
              <w:rPr>
                <w:rFonts w:ascii="Verdana" w:hAnsi="Verdana"/>
                <w:sz w:val="20"/>
              </w:rPr>
              <w:t>Studying the ratio between expected results and available resources</w:t>
            </w:r>
          </w:p>
          <w:p w:rsidR="00F24971" w:rsidRPr="005B6074" w:rsidRDefault="00A35E98" w:rsidP="00F24971">
            <w:pPr>
              <w:pStyle w:val="BodyText"/>
              <w:keepLines/>
              <w:numPr>
                <w:ilvl w:val="0"/>
                <w:numId w:val="5"/>
              </w:numPr>
              <w:spacing w:line="276" w:lineRule="auto"/>
              <w:jc w:val="both"/>
              <w:rPr>
                <w:rFonts w:ascii="Verdana" w:hAnsi="Verdana"/>
                <w:sz w:val="20"/>
                <w:szCs w:val="20"/>
              </w:rPr>
            </w:pPr>
            <w:r w:rsidRPr="005B6074">
              <w:rPr>
                <w:rFonts w:ascii="Verdana" w:hAnsi="Verdana"/>
                <w:sz w:val="20"/>
              </w:rPr>
              <w:t xml:space="preserve">Formulation of recommendations for improving the quality and the design of </w:t>
            </w:r>
            <w:r w:rsidR="005B35A7">
              <w:rPr>
                <w:rFonts w:ascii="Verdana" w:hAnsi="Verdana"/>
                <w:sz w:val="20"/>
              </w:rPr>
              <w:t>OPSESG</w:t>
            </w:r>
          </w:p>
          <w:p w:rsidR="00F24971" w:rsidRPr="005B6074" w:rsidRDefault="00A35E98" w:rsidP="0006438D">
            <w:pPr>
              <w:pStyle w:val="BodyText"/>
              <w:keepLines/>
              <w:numPr>
                <w:ilvl w:val="0"/>
                <w:numId w:val="5"/>
              </w:numPr>
              <w:spacing w:line="276" w:lineRule="auto"/>
              <w:jc w:val="both"/>
              <w:rPr>
                <w:rFonts w:ascii="Verdana" w:hAnsi="Verdana"/>
                <w:sz w:val="20"/>
                <w:szCs w:val="20"/>
              </w:rPr>
            </w:pPr>
            <w:r w:rsidRPr="005B6074">
              <w:rPr>
                <w:rFonts w:ascii="Verdana" w:hAnsi="Verdana"/>
                <w:sz w:val="20"/>
              </w:rPr>
              <w:t>Ensuring the proper implementation of the EU horizontal principles of equality, equal access, non-discrimination, sustainable development, including the requirements for Strategic Environmental Impact Assessment of plans and programmes.</w:t>
            </w:r>
          </w:p>
        </w:tc>
      </w:tr>
    </w:tbl>
    <w:p w:rsidR="00F24971" w:rsidRPr="005B6074" w:rsidRDefault="00F24971" w:rsidP="00F24971">
      <w:pPr>
        <w:pStyle w:val="BodyText"/>
        <w:widowControl w:val="0"/>
        <w:tabs>
          <w:tab w:val="left" w:pos="0"/>
          <w:tab w:val="left" w:pos="1418"/>
          <w:tab w:val="right" w:pos="9214"/>
        </w:tabs>
        <w:spacing w:line="276" w:lineRule="auto"/>
        <w:jc w:val="both"/>
        <w:rPr>
          <w:rFonts w:ascii="Verdana" w:hAnsi="Verdana"/>
          <w:sz w:val="20"/>
          <w:szCs w:val="20"/>
        </w:rPr>
      </w:pPr>
    </w:p>
    <w:p w:rsidR="00F24971" w:rsidRPr="005B6074" w:rsidRDefault="00A35E98" w:rsidP="00F24971">
      <w:pPr>
        <w:spacing w:before="120" w:after="120"/>
        <w:jc w:val="both"/>
        <w:rPr>
          <w:rFonts w:ascii="Verdana" w:hAnsi="Verdana"/>
          <w:sz w:val="20"/>
          <w:szCs w:val="20"/>
        </w:rPr>
      </w:pPr>
      <w:r w:rsidRPr="005B6074">
        <w:rPr>
          <w:rFonts w:ascii="Verdana" w:hAnsi="Verdana"/>
          <w:sz w:val="20"/>
        </w:rPr>
        <w:t xml:space="preserve">The evaluation has been made as part of the mandatory activities of </w:t>
      </w:r>
      <w:r w:rsidR="005B35A7">
        <w:rPr>
          <w:rFonts w:ascii="Verdana" w:hAnsi="Verdana"/>
          <w:sz w:val="20"/>
        </w:rPr>
        <w:t>OPSESG</w:t>
      </w:r>
      <w:r w:rsidRPr="005B6074">
        <w:rPr>
          <w:rFonts w:ascii="Verdana" w:hAnsi="Verdana"/>
          <w:sz w:val="20"/>
        </w:rPr>
        <w:t xml:space="preserve"> 2014-2020 programming and is an integral part of the draft operational programme.</w:t>
      </w:r>
    </w:p>
    <w:p w:rsidR="00F24971" w:rsidRPr="005B6074" w:rsidRDefault="00A35E98" w:rsidP="00181A22">
      <w:pPr>
        <w:pStyle w:val="Heading2"/>
        <w:numPr>
          <w:ilvl w:val="0"/>
          <w:numId w:val="60"/>
        </w:numPr>
        <w:shd w:val="clear" w:color="auto" w:fill="FFCC99"/>
        <w:spacing w:line="276" w:lineRule="auto"/>
        <w:ind w:hanging="720"/>
        <w:rPr>
          <w:rFonts w:ascii="Verdana" w:hAnsi="Verdana"/>
          <w:i w:val="0"/>
          <w:iCs/>
          <w:color w:val="0063B8"/>
          <w:sz w:val="26"/>
          <w:szCs w:val="26"/>
        </w:rPr>
      </w:pPr>
      <w:bookmarkStart w:id="35" w:name="_Toc319072909"/>
      <w:bookmarkStart w:id="36" w:name="_Toc362617884"/>
      <w:bookmarkStart w:id="37" w:name="_Toc379372145"/>
      <w:bookmarkStart w:id="38" w:name="_Toc390262436"/>
      <w:bookmarkStart w:id="39" w:name="_Toc396225551"/>
      <w:r w:rsidRPr="005B6074">
        <w:rPr>
          <w:rFonts w:ascii="Verdana" w:hAnsi="Verdana"/>
          <w:i w:val="0"/>
          <w:color w:val="0063B8"/>
          <w:sz w:val="26"/>
        </w:rPr>
        <w:t xml:space="preserve">Scope of </w:t>
      </w:r>
      <w:bookmarkEnd w:id="35"/>
      <w:r w:rsidR="00897407">
        <w:rPr>
          <w:rFonts w:ascii="Verdana" w:hAnsi="Verdana"/>
          <w:i w:val="0"/>
          <w:color w:val="0063B8"/>
          <w:sz w:val="26"/>
        </w:rPr>
        <w:t>Evaluation</w:t>
      </w:r>
      <w:r w:rsidRPr="005B6074">
        <w:rPr>
          <w:rFonts w:ascii="Verdana" w:hAnsi="Verdana"/>
          <w:i w:val="0"/>
          <w:color w:val="0063B8"/>
          <w:sz w:val="26"/>
        </w:rPr>
        <w:t xml:space="preserve"> and Key Questions</w:t>
      </w:r>
      <w:bookmarkEnd w:id="36"/>
      <w:bookmarkEnd w:id="37"/>
      <w:bookmarkEnd w:id="38"/>
      <w:bookmarkEnd w:id="39"/>
    </w:p>
    <w:p w:rsidR="00F24971" w:rsidRPr="005B6074" w:rsidRDefault="00F24971" w:rsidP="00F24971">
      <w:pPr>
        <w:spacing w:before="120" w:after="120"/>
        <w:jc w:val="both"/>
        <w:rPr>
          <w:rFonts w:ascii="Verdana" w:hAnsi="Verdana"/>
          <w:sz w:val="20"/>
          <w:szCs w:val="20"/>
        </w:rPr>
      </w:pPr>
    </w:p>
    <w:p w:rsidR="00F24971" w:rsidRPr="005B6074" w:rsidRDefault="00897407" w:rsidP="00F24971">
      <w:pPr>
        <w:pStyle w:val="BodyText"/>
        <w:widowControl w:val="0"/>
        <w:tabs>
          <w:tab w:val="left" w:pos="0"/>
          <w:tab w:val="left" w:pos="1418"/>
          <w:tab w:val="right" w:pos="9214"/>
        </w:tabs>
        <w:spacing w:line="276" w:lineRule="auto"/>
        <w:jc w:val="both"/>
        <w:rPr>
          <w:rFonts w:ascii="Verdana" w:hAnsi="Verdana"/>
          <w:sz w:val="20"/>
          <w:szCs w:val="20"/>
        </w:rPr>
      </w:pPr>
      <w:r>
        <w:rPr>
          <w:rFonts w:ascii="Verdana" w:hAnsi="Verdana"/>
          <w:sz w:val="20"/>
        </w:rPr>
        <w:t>In order to achieve the objectives</w:t>
      </w:r>
      <w:r w:rsidR="00A35E98" w:rsidRPr="005B6074">
        <w:rPr>
          <w:rFonts w:ascii="Verdana" w:hAnsi="Verdana"/>
          <w:sz w:val="20"/>
        </w:rPr>
        <w:t xml:space="preserve">, some specific activities covering the groups of subjects specified in Figure 1 have been carried out. </w:t>
      </w:r>
    </w:p>
    <w:p w:rsidR="00F24971" w:rsidRPr="005B6074" w:rsidRDefault="00F24971" w:rsidP="00F24971">
      <w:pPr>
        <w:spacing w:before="120" w:after="120"/>
        <w:jc w:val="both"/>
        <w:rPr>
          <w:rFonts w:ascii="Verdana" w:hAnsi="Verdana"/>
          <w:sz w:val="20"/>
          <w:szCs w:val="20"/>
        </w:rPr>
      </w:pPr>
    </w:p>
    <w:p w:rsidR="00F24971" w:rsidRPr="005B6074" w:rsidRDefault="000B7FF2" w:rsidP="00F24971">
      <w:pPr>
        <w:pStyle w:val="BodyText"/>
        <w:widowControl w:val="0"/>
        <w:tabs>
          <w:tab w:val="left" w:pos="0"/>
          <w:tab w:val="left" w:pos="1418"/>
          <w:tab w:val="right" w:pos="9214"/>
        </w:tabs>
        <w:spacing w:after="0"/>
        <w:rPr>
          <w:sz w:val="16"/>
          <w:szCs w:val="16"/>
        </w:rPr>
      </w:pPr>
      <w:r w:rsidRPr="005B6074">
        <w:object w:dxaOrig="15296" w:dyaOrig="115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453.75pt;height:352.5pt" o:ole="">
            <v:imagedata r:id="rId16" o:title=""/>
          </v:shape>
          <o:OLEObject Type="Embed" ProgID="Visio.Drawing.11" ShapeID="_x0000_i1111" DrawAspect="Content" ObjectID="_1469971866" r:id="rId17"/>
        </w:object>
      </w:r>
    </w:p>
    <w:p w:rsidR="00F24971" w:rsidRPr="005B6074" w:rsidRDefault="00A35E98" w:rsidP="00F24971">
      <w:pPr>
        <w:pStyle w:val="Caption"/>
        <w:jc w:val="center"/>
        <w:rPr>
          <w:rFonts w:ascii="Verdana" w:hAnsi="Verdana"/>
          <w:color w:val="006CB6"/>
        </w:rPr>
      </w:pPr>
      <w:bookmarkStart w:id="40" w:name="_Toc352237163"/>
      <w:bookmarkStart w:id="41" w:name="_Toc390257326"/>
      <w:bookmarkStart w:id="42" w:name="_Toc396225637"/>
      <w:r w:rsidRPr="005B6074">
        <w:rPr>
          <w:rFonts w:ascii="Verdana" w:hAnsi="Verdana"/>
          <w:color w:val="006CB6"/>
        </w:rPr>
        <w:t xml:space="preserve">Figure </w:t>
      </w:r>
      <w:r w:rsidRPr="005B6074">
        <w:rPr>
          <w:rFonts w:ascii="Verdana" w:hAnsi="Verdana"/>
          <w:color w:val="006CB6"/>
        </w:rPr>
        <w:fldChar w:fldCharType="begin"/>
      </w:r>
      <w:r w:rsidRPr="005B6074">
        <w:rPr>
          <w:rFonts w:ascii="Verdana" w:hAnsi="Verdana"/>
          <w:color w:val="006CB6"/>
        </w:rPr>
        <w:instrText xml:space="preserve"> SEQ Фигура \* ARABIC </w:instrText>
      </w:r>
      <w:r w:rsidRPr="005B6074">
        <w:rPr>
          <w:rFonts w:ascii="Verdana" w:hAnsi="Verdana"/>
          <w:color w:val="006CB6"/>
        </w:rPr>
        <w:fldChar w:fldCharType="separate"/>
      </w:r>
      <w:r w:rsidR="009330F5">
        <w:rPr>
          <w:rFonts w:ascii="Verdana" w:hAnsi="Verdana"/>
          <w:noProof/>
          <w:color w:val="006CB6"/>
        </w:rPr>
        <w:t>1</w:t>
      </w:r>
      <w:r w:rsidRPr="005B6074">
        <w:rPr>
          <w:rFonts w:ascii="Verdana" w:hAnsi="Verdana"/>
          <w:color w:val="006CB6"/>
        </w:rPr>
        <w:fldChar w:fldCharType="end"/>
      </w:r>
      <w:r w:rsidRPr="005B6074">
        <w:rPr>
          <w:rFonts w:ascii="Verdana" w:hAnsi="Verdana"/>
          <w:color w:val="006CB6"/>
        </w:rPr>
        <w:t xml:space="preserve">: Defining the Scope of </w:t>
      </w:r>
      <w:bookmarkEnd w:id="40"/>
      <w:bookmarkEnd w:id="41"/>
      <w:r w:rsidR="00897407">
        <w:rPr>
          <w:rFonts w:ascii="Verdana" w:hAnsi="Verdana"/>
          <w:color w:val="006CB6"/>
        </w:rPr>
        <w:t>Evaluation</w:t>
      </w:r>
      <w:bookmarkEnd w:id="42"/>
    </w:p>
    <w:p w:rsidR="00F24971" w:rsidRPr="005B6074" w:rsidRDefault="00F24971" w:rsidP="00F24971">
      <w:pPr>
        <w:pStyle w:val="BodyText"/>
        <w:widowControl w:val="0"/>
        <w:tabs>
          <w:tab w:val="left" w:pos="0"/>
          <w:tab w:val="left" w:pos="1418"/>
          <w:tab w:val="right" w:pos="9214"/>
        </w:tabs>
        <w:spacing w:line="276" w:lineRule="auto"/>
        <w:jc w:val="both"/>
        <w:rPr>
          <w:rFonts w:ascii="Verdana" w:hAnsi="Verdana"/>
          <w:sz w:val="20"/>
          <w:szCs w:val="20"/>
        </w:rPr>
      </w:pPr>
    </w:p>
    <w:p w:rsidR="00F24971" w:rsidRPr="005B6074" w:rsidRDefault="00A35E98" w:rsidP="00F24971">
      <w:pPr>
        <w:pStyle w:val="BodyText"/>
        <w:widowControl w:val="0"/>
        <w:tabs>
          <w:tab w:val="left" w:pos="0"/>
          <w:tab w:val="left" w:pos="1418"/>
          <w:tab w:val="right" w:pos="9214"/>
        </w:tabs>
        <w:spacing w:line="276" w:lineRule="auto"/>
        <w:jc w:val="both"/>
        <w:rPr>
          <w:rFonts w:ascii="Verdana" w:hAnsi="Verdana"/>
          <w:sz w:val="20"/>
          <w:szCs w:val="20"/>
        </w:rPr>
      </w:pPr>
      <w:r w:rsidRPr="005B6074">
        <w:rPr>
          <w:rFonts w:ascii="Verdana" w:hAnsi="Verdana"/>
          <w:sz w:val="20"/>
        </w:rPr>
        <w:t>The relevant groups of subjects have been assessed by using evaluation questions defined for each group. The table below presents the evaluation questions.</w:t>
      </w:r>
    </w:p>
    <w:tbl>
      <w:tblPr>
        <w:tblW w:w="9090" w:type="dxa"/>
        <w:tblInd w:w="108"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2430"/>
        <w:gridCol w:w="6660"/>
      </w:tblGrid>
      <w:tr w:rsidR="00F24971" w:rsidRPr="005B6074" w:rsidTr="00F24971">
        <w:tc>
          <w:tcPr>
            <w:tcW w:w="2430" w:type="dxa"/>
            <w:shd w:val="clear" w:color="auto" w:fill="548DD4"/>
            <w:vAlign w:val="center"/>
          </w:tcPr>
          <w:p w:rsidR="00F24971" w:rsidRPr="005B6074" w:rsidRDefault="00A35E98" w:rsidP="00F24971">
            <w:pPr>
              <w:pStyle w:val="BodyText"/>
              <w:widowControl w:val="0"/>
              <w:tabs>
                <w:tab w:val="left" w:pos="1276"/>
                <w:tab w:val="left" w:pos="9356"/>
              </w:tabs>
              <w:spacing w:before="120" w:line="276" w:lineRule="auto"/>
              <w:jc w:val="center"/>
              <w:rPr>
                <w:rFonts w:ascii="Verdana" w:hAnsi="Verdana"/>
                <w:b/>
                <w:color w:val="FFFFFF"/>
                <w:sz w:val="20"/>
                <w:szCs w:val="20"/>
              </w:rPr>
            </w:pPr>
            <w:r w:rsidRPr="005B6074">
              <w:rPr>
                <w:rFonts w:ascii="Verdana" w:hAnsi="Verdana"/>
                <w:b/>
                <w:color w:val="FFFFFF"/>
                <w:sz w:val="20"/>
              </w:rPr>
              <w:t>Subject Area</w:t>
            </w:r>
          </w:p>
        </w:tc>
        <w:tc>
          <w:tcPr>
            <w:tcW w:w="6660" w:type="dxa"/>
            <w:shd w:val="clear" w:color="auto" w:fill="548DD4"/>
            <w:vAlign w:val="center"/>
          </w:tcPr>
          <w:p w:rsidR="00F24971" w:rsidRPr="005B6074" w:rsidRDefault="00A35E98" w:rsidP="00F24971">
            <w:pPr>
              <w:pStyle w:val="BodyText"/>
              <w:widowControl w:val="0"/>
              <w:tabs>
                <w:tab w:val="left" w:pos="1276"/>
                <w:tab w:val="left" w:pos="9356"/>
              </w:tabs>
              <w:spacing w:before="120" w:line="276" w:lineRule="auto"/>
              <w:jc w:val="center"/>
              <w:rPr>
                <w:rFonts w:ascii="Verdana" w:hAnsi="Verdana"/>
                <w:b/>
                <w:color w:val="FFFFFF"/>
                <w:sz w:val="20"/>
                <w:szCs w:val="20"/>
              </w:rPr>
            </w:pPr>
            <w:r w:rsidRPr="005B6074">
              <w:rPr>
                <w:rFonts w:ascii="Verdana" w:hAnsi="Verdana"/>
                <w:b/>
                <w:color w:val="FFFFFF"/>
                <w:sz w:val="20"/>
              </w:rPr>
              <w:t>Key Questions</w:t>
            </w:r>
          </w:p>
        </w:tc>
      </w:tr>
      <w:tr w:rsidR="00F24971" w:rsidRPr="005B6074" w:rsidTr="00F24971">
        <w:tc>
          <w:tcPr>
            <w:tcW w:w="2430" w:type="dxa"/>
            <w:shd w:val="clear" w:color="auto" w:fill="FDE9D9"/>
          </w:tcPr>
          <w:p w:rsidR="00F24971" w:rsidRPr="005B6074" w:rsidRDefault="00A35E98" w:rsidP="00F24971">
            <w:pPr>
              <w:pStyle w:val="BodyText"/>
              <w:widowControl w:val="0"/>
              <w:tabs>
                <w:tab w:val="left" w:pos="1276"/>
                <w:tab w:val="left" w:pos="9356"/>
              </w:tabs>
              <w:spacing w:line="276" w:lineRule="auto"/>
              <w:ind w:right="4"/>
              <w:rPr>
                <w:rFonts w:ascii="Verdana" w:hAnsi="Verdana"/>
                <w:b/>
                <w:color w:val="548DD4"/>
                <w:sz w:val="20"/>
                <w:szCs w:val="20"/>
              </w:rPr>
            </w:pPr>
            <w:r w:rsidRPr="005B6074">
              <w:rPr>
                <w:rFonts w:ascii="Verdana" w:hAnsi="Verdana"/>
                <w:b/>
                <w:sz w:val="20"/>
              </w:rPr>
              <w:t>Analysis of the Programme's External Coherence;</w:t>
            </w:r>
          </w:p>
        </w:tc>
        <w:tc>
          <w:tcPr>
            <w:tcW w:w="6660" w:type="dxa"/>
          </w:tcPr>
          <w:p w:rsidR="00F24971" w:rsidRPr="005B6074" w:rsidRDefault="00A35E98" w:rsidP="00F24971">
            <w:pPr>
              <w:pStyle w:val="ListParagraph"/>
              <w:numPr>
                <w:ilvl w:val="0"/>
                <w:numId w:val="7"/>
              </w:numPr>
              <w:autoSpaceDE w:val="0"/>
              <w:autoSpaceDN w:val="0"/>
              <w:adjustRightInd w:val="0"/>
              <w:spacing w:after="120" w:line="240" w:lineRule="auto"/>
              <w:ind w:left="473"/>
              <w:rPr>
                <w:rFonts w:ascii="Verdana" w:hAnsi="Verdana" w:cs="TimesNewRomanPSMT"/>
                <w:sz w:val="20"/>
                <w:szCs w:val="20"/>
              </w:rPr>
            </w:pPr>
            <w:r w:rsidRPr="005B6074">
              <w:rPr>
                <w:rFonts w:ascii="Verdana" w:hAnsi="Verdana"/>
                <w:sz w:val="20"/>
              </w:rPr>
              <w:t>Coherence with the European strategic framework – contribution to the Union's Strategy for Smart, Sustainable and Inclusive Growth.</w:t>
            </w:r>
          </w:p>
          <w:p w:rsidR="00F24971" w:rsidRPr="005B6074" w:rsidRDefault="00A35E98" w:rsidP="00F24971">
            <w:pPr>
              <w:numPr>
                <w:ilvl w:val="0"/>
                <w:numId w:val="7"/>
              </w:numPr>
              <w:suppressAutoHyphens/>
              <w:spacing w:before="60" w:after="60" w:line="240" w:lineRule="auto"/>
              <w:ind w:left="473"/>
              <w:jc w:val="both"/>
              <w:rPr>
                <w:rFonts w:ascii="Verdana" w:hAnsi="Verdana"/>
                <w:sz w:val="20"/>
                <w:szCs w:val="20"/>
              </w:rPr>
            </w:pPr>
            <w:r w:rsidRPr="005B6074">
              <w:rPr>
                <w:rFonts w:ascii="Verdana" w:hAnsi="Verdana"/>
                <w:sz w:val="20"/>
              </w:rPr>
              <w:t>Coherence with the National Strategic Framework – National Development Programme Bulgaria 2020, National Reform Programme.</w:t>
            </w:r>
          </w:p>
          <w:p w:rsidR="00F24971" w:rsidRPr="005B6074" w:rsidRDefault="00A35E98" w:rsidP="00F24971">
            <w:pPr>
              <w:numPr>
                <w:ilvl w:val="0"/>
                <w:numId w:val="7"/>
              </w:numPr>
              <w:suppressAutoHyphens/>
              <w:spacing w:before="60" w:after="60" w:line="240" w:lineRule="auto"/>
              <w:ind w:left="473"/>
              <w:jc w:val="both"/>
              <w:rPr>
                <w:rFonts w:ascii="Verdana" w:hAnsi="Verdana"/>
                <w:sz w:val="20"/>
                <w:szCs w:val="20"/>
              </w:rPr>
            </w:pPr>
            <w:r w:rsidRPr="005B6074">
              <w:rPr>
                <w:rFonts w:ascii="Verdana" w:hAnsi="Verdana"/>
                <w:sz w:val="20"/>
              </w:rPr>
              <w:t>Coherence with the EU legislative framework;</w:t>
            </w:r>
          </w:p>
          <w:p w:rsidR="00F24971" w:rsidRPr="005B6074" w:rsidRDefault="00A35E98" w:rsidP="00F24971">
            <w:pPr>
              <w:numPr>
                <w:ilvl w:val="0"/>
                <w:numId w:val="7"/>
              </w:numPr>
              <w:suppressAutoHyphens/>
              <w:spacing w:before="60" w:after="60" w:line="240" w:lineRule="auto"/>
              <w:ind w:left="473"/>
              <w:jc w:val="both"/>
              <w:rPr>
                <w:rFonts w:ascii="Verdana" w:hAnsi="Verdana"/>
                <w:sz w:val="20"/>
                <w:szCs w:val="20"/>
              </w:rPr>
            </w:pPr>
            <w:r w:rsidRPr="005B6074">
              <w:rPr>
                <w:rFonts w:ascii="Verdana" w:hAnsi="Verdana"/>
                <w:sz w:val="20"/>
              </w:rPr>
              <w:t>Coherence with the national legislative framework;</w:t>
            </w:r>
          </w:p>
          <w:p w:rsidR="00F24971" w:rsidRPr="005B6074" w:rsidRDefault="00A35E98" w:rsidP="00F24971">
            <w:pPr>
              <w:numPr>
                <w:ilvl w:val="0"/>
                <w:numId w:val="7"/>
              </w:numPr>
              <w:suppressAutoHyphens/>
              <w:spacing w:before="60" w:after="60" w:line="240" w:lineRule="auto"/>
              <w:ind w:left="473"/>
              <w:jc w:val="both"/>
              <w:rPr>
                <w:rFonts w:ascii="Verdana" w:hAnsi="Verdana"/>
                <w:sz w:val="20"/>
                <w:szCs w:val="20"/>
              </w:rPr>
            </w:pPr>
            <w:r w:rsidRPr="005B6074">
              <w:rPr>
                <w:rFonts w:ascii="Verdana" w:hAnsi="Verdana"/>
                <w:sz w:val="20"/>
              </w:rPr>
              <w:t>Coherence with other operational programmes;</w:t>
            </w:r>
          </w:p>
          <w:p w:rsidR="00F24971" w:rsidRPr="005B6074" w:rsidRDefault="00A35E98" w:rsidP="00F24971">
            <w:pPr>
              <w:numPr>
                <w:ilvl w:val="0"/>
                <w:numId w:val="7"/>
              </w:numPr>
              <w:suppressAutoHyphens/>
              <w:spacing w:before="60" w:after="60" w:line="240" w:lineRule="auto"/>
              <w:ind w:left="473"/>
              <w:jc w:val="both"/>
              <w:rPr>
                <w:rFonts w:ascii="Verdana" w:hAnsi="Verdana"/>
                <w:sz w:val="20"/>
                <w:szCs w:val="20"/>
              </w:rPr>
            </w:pPr>
            <w:r w:rsidRPr="005B6074">
              <w:rPr>
                <w:rFonts w:ascii="Verdana" w:hAnsi="Verdana"/>
                <w:sz w:val="20"/>
              </w:rPr>
              <w:t xml:space="preserve">Coherence with other </w:t>
            </w:r>
            <w:proofErr w:type="spellStart"/>
            <w:r w:rsidRPr="005B6074">
              <w:rPr>
                <w:rFonts w:ascii="Verdana" w:hAnsi="Verdana"/>
                <w:sz w:val="20"/>
              </w:rPr>
              <w:t>sectoral</w:t>
            </w:r>
            <w:proofErr w:type="spellEnd"/>
            <w:r w:rsidRPr="005B6074">
              <w:rPr>
                <w:rFonts w:ascii="Verdana" w:hAnsi="Verdana"/>
                <w:sz w:val="20"/>
              </w:rPr>
              <w:t xml:space="preserve"> programmes;</w:t>
            </w:r>
          </w:p>
          <w:p w:rsidR="00F24971" w:rsidRPr="005B6074" w:rsidRDefault="00A35E98" w:rsidP="00F24971">
            <w:pPr>
              <w:numPr>
                <w:ilvl w:val="0"/>
                <w:numId w:val="7"/>
              </w:numPr>
              <w:suppressAutoHyphens/>
              <w:spacing w:before="60" w:after="60" w:line="240" w:lineRule="auto"/>
              <w:ind w:left="473"/>
              <w:jc w:val="both"/>
              <w:rPr>
                <w:rFonts w:ascii="Verdana" w:hAnsi="Verdana"/>
                <w:sz w:val="20"/>
                <w:szCs w:val="20"/>
              </w:rPr>
            </w:pPr>
            <w:r w:rsidRPr="005B6074">
              <w:rPr>
                <w:rFonts w:ascii="Verdana" w:hAnsi="Verdana"/>
                <w:sz w:val="20"/>
              </w:rPr>
              <w:t>Coherence with the Partnership Agreement.</w:t>
            </w:r>
          </w:p>
          <w:p w:rsidR="00F24971" w:rsidRPr="005B6074" w:rsidRDefault="00A35E98" w:rsidP="0006438D">
            <w:pPr>
              <w:numPr>
                <w:ilvl w:val="0"/>
                <w:numId w:val="7"/>
              </w:numPr>
              <w:suppressAutoHyphens/>
              <w:spacing w:before="60" w:after="60" w:line="240" w:lineRule="auto"/>
              <w:ind w:left="473"/>
              <w:jc w:val="both"/>
              <w:rPr>
                <w:rFonts w:ascii="Verdana" w:hAnsi="Verdana"/>
                <w:i/>
                <w:color w:val="4F81BD"/>
                <w:sz w:val="20"/>
                <w:szCs w:val="20"/>
              </w:rPr>
            </w:pPr>
            <w:r w:rsidRPr="005B6074">
              <w:rPr>
                <w:rFonts w:ascii="Verdana" w:hAnsi="Verdana"/>
                <w:sz w:val="20"/>
              </w:rPr>
              <w:t xml:space="preserve">Meeting the </w:t>
            </w:r>
            <w:proofErr w:type="spellStart"/>
            <w:r w:rsidRPr="005B6074">
              <w:rPr>
                <w:rFonts w:ascii="Verdana" w:hAnsi="Verdana"/>
                <w:sz w:val="20"/>
              </w:rPr>
              <w:t>conditionalities</w:t>
            </w:r>
            <w:proofErr w:type="spellEnd"/>
            <w:r w:rsidRPr="005B6074">
              <w:rPr>
                <w:rFonts w:ascii="Verdana" w:hAnsi="Verdana"/>
                <w:sz w:val="20"/>
              </w:rPr>
              <w:t xml:space="preserve"> set in Annex 4 to the General Regulation concerning the funds under the common strategic framework (CSF);</w:t>
            </w:r>
          </w:p>
        </w:tc>
      </w:tr>
      <w:tr w:rsidR="00F24971" w:rsidRPr="005B6074" w:rsidTr="00F24971">
        <w:tc>
          <w:tcPr>
            <w:tcW w:w="2430" w:type="dxa"/>
            <w:shd w:val="clear" w:color="auto" w:fill="FDE9D9"/>
          </w:tcPr>
          <w:p w:rsidR="00F24971" w:rsidRPr="005B6074" w:rsidRDefault="00A35E98" w:rsidP="00F24971">
            <w:pPr>
              <w:pStyle w:val="BodyText"/>
              <w:widowControl w:val="0"/>
              <w:tabs>
                <w:tab w:val="left" w:pos="1276"/>
                <w:tab w:val="left" w:pos="9356"/>
              </w:tabs>
              <w:spacing w:after="0" w:line="276" w:lineRule="auto"/>
              <w:ind w:right="4"/>
              <w:rPr>
                <w:rFonts w:ascii="Verdana" w:hAnsi="Verdana"/>
                <w:b/>
                <w:color w:val="548DD4"/>
                <w:sz w:val="20"/>
                <w:szCs w:val="20"/>
              </w:rPr>
            </w:pPr>
            <w:r w:rsidRPr="005B6074">
              <w:rPr>
                <w:rFonts w:ascii="Verdana" w:hAnsi="Verdana"/>
                <w:b/>
                <w:sz w:val="20"/>
              </w:rPr>
              <w:lastRenderedPageBreak/>
              <w:t>Analysis of the Programme's Internal Coherence</w:t>
            </w:r>
          </w:p>
        </w:tc>
        <w:tc>
          <w:tcPr>
            <w:tcW w:w="6660" w:type="dxa"/>
          </w:tcPr>
          <w:p w:rsidR="00F24971" w:rsidRPr="005B6074" w:rsidRDefault="00A35E98" w:rsidP="00F24971">
            <w:pPr>
              <w:pStyle w:val="ListParagraph"/>
              <w:numPr>
                <w:ilvl w:val="0"/>
                <w:numId w:val="7"/>
              </w:numPr>
              <w:autoSpaceDE w:val="0"/>
              <w:autoSpaceDN w:val="0"/>
              <w:adjustRightInd w:val="0"/>
              <w:spacing w:after="120" w:line="240" w:lineRule="auto"/>
              <w:ind w:left="473"/>
              <w:rPr>
                <w:rFonts w:ascii="Verdana" w:hAnsi="Verdana"/>
                <w:sz w:val="20"/>
                <w:szCs w:val="20"/>
              </w:rPr>
            </w:pPr>
            <w:r w:rsidRPr="005B6074">
              <w:rPr>
                <w:rFonts w:ascii="Verdana" w:hAnsi="Verdana"/>
                <w:sz w:val="20"/>
              </w:rPr>
              <w:t>Relevance of the OPSESG strategy;</w:t>
            </w:r>
          </w:p>
          <w:p w:rsidR="00F24971" w:rsidRPr="005B6074" w:rsidRDefault="00A35E98" w:rsidP="00F24971">
            <w:pPr>
              <w:pStyle w:val="ListParagraph"/>
              <w:numPr>
                <w:ilvl w:val="0"/>
                <w:numId w:val="7"/>
              </w:numPr>
              <w:autoSpaceDE w:val="0"/>
              <w:autoSpaceDN w:val="0"/>
              <w:adjustRightInd w:val="0"/>
              <w:spacing w:after="120" w:line="240" w:lineRule="auto"/>
              <w:ind w:left="473"/>
              <w:rPr>
                <w:rFonts w:ascii="Verdana" w:hAnsi="Verdana"/>
                <w:sz w:val="20"/>
                <w:szCs w:val="20"/>
              </w:rPr>
            </w:pPr>
            <w:r w:rsidRPr="005B6074">
              <w:rPr>
                <w:rFonts w:ascii="Verdana" w:hAnsi="Verdana"/>
                <w:sz w:val="20"/>
              </w:rPr>
              <w:t>Relevance of the proposed forms of support;</w:t>
            </w:r>
          </w:p>
          <w:p w:rsidR="00F24971" w:rsidRPr="005B6074" w:rsidRDefault="00A35E98" w:rsidP="00F24971">
            <w:pPr>
              <w:pStyle w:val="ListParagraph"/>
              <w:numPr>
                <w:ilvl w:val="0"/>
                <w:numId w:val="7"/>
              </w:numPr>
              <w:autoSpaceDE w:val="0"/>
              <w:autoSpaceDN w:val="0"/>
              <w:adjustRightInd w:val="0"/>
              <w:spacing w:after="120" w:line="240" w:lineRule="auto"/>
              <w:ind w:left="473"/>
              <w:rPr>
                <w:rFonts w:ascii="Verdana" w:hAnsi="Verdana"/>
                <w:sz w:val="20"/>
                <w:szCs w:val="20"/>
              </w:rPr>
            </w:pPr>
            <w:r w:rsidRPr="005B6074">
              <w:rPr>
                <w:rFonts w:ascii="Verdana" w:hAnsi="Verdana"/>
                <w:sz w:val="20"/>
              </w:rPr>
              <w:t>Adequacy of the measures set forth in the Programme and the degree to which they will contribute to achieving its objectives;</w:t>
            </w:r>
          </w:p>
          <w:p w:rsidR="00F24971" w:rsidRPr="005B6074" w:rsidRDefault="00A35E98" w:rsidP="00F24971">
            <w:pPr>
              <w:pStyle w:val="ListParagraph"/>
              <w:numPr>
                <w:ilvl w:val="0"/>
                <w:numId w:val="7"/>
              </w:numPr>
              <w:autoSpaceDE w:val="0"/>
              <w:autoSpaceDN w:val="0"/>
              <w:adjustRightInd w:val="0"/>
              <w:spacing w:after="120" w:line="240" w:lineRule="auto"/>
              <w:ind w:left="473"/>
              <w:rPr>
                <w:rFonts w:ascii="Verdana" w:hAnsi="Verdana"/>
                <w:sz w:val="20"/>
                <w:szCs w:val="20"/>
              </w:rPr>
            </w:pPr>
            <w:r w:rsidRPr="005B6074">
              <w:rPr>
                <w:rFonts w:ascii="Verdana" w:hAnsi="Verdana"/>
                <w:sz w:val="20"/>
              </w:rPr>
              <w:t>Adequacy of the eligible beneficiaries and target groups identified;</w:t>
            </w:r>
          </w:p>
          <w:p w:rsidR="00F24971" w:rsidRPr="005B6074" w:rsidRDefault="00A35E98" w:rsidP="00F24971">
            <w:pPr>
              <w:pStyle w:val="ListParagraph"/>
              <w:numPr>
                <w:ilvl w:val="0"/>
                <w:numId w:val="7"/>
              </w:numPr>
              <w:autoSpaceDE w:val="0"/>
              <w:autoSpaceDN w:val="0"/>
              <w:adjustRightInd w:val="0"/>
              <w:spacing w:after="120" w:line="240" w:lineRule="auto"/>
              <w:ind w:left="473"/>
              <w:rPr>
                <w:rFonts w:ascii="Verdana" w:hAnsi="Verdana" w:cs="TimesNewRomanPSMT"/>
                <w:i/>
                <w:color w:val="4F81BD"/>
                <w:sz w:val="20"/>
                <w:szCs w:val="20"/>
              </w:rPr>
            </w:pPr>
            <w:r w:rsidRPr="005B6074">
              <w:rPr>
                <w:rFonts w:ascii="Verdana" w:hAnsi="Verdana"/>
                <w:sz w:val="20"/>
              </w:rPr>
              <w:t>Assessment of the integration of the horizontal principles.</w:t>
            </w:r>
          </w:p>
        </w:tc>
      </w:tr>
      <w:tr w:rsidR="00F24971" w:rsidRPr="005B6074" w:rsidTr="00F24971">
        <w:tc>
          <w:tcPr>
            <w:tcW w:w="2430" w:type="dxa"/>
            <w:shd w:val="clear" w:color="auto" w:fill="FDE9D9"/>
          </w:tcPr>
          <w:p w:rsidR="00F24971" w:rsidRPr="005B6074" w:rsidRDefault="00A35E98" w:rsidP="00F24971">
            <w:pPr>
              <w:autoSpaceDE w:val="0"/>
              <w:autoSpaceDN w:val="0"/>
              <w:adjustRightInd w:val="0"/>
              <w:spacing w:after="0"/>
              <w:rPr>
                <w:rFonts w:ascii="Verdana" w:hAnsi="Verdana"/>
                <w:b/>
                <w:bCs/>
                <w:sz w:val="20"/>
                <w:szCs w:val="20"/>
              </w:rPr>
            </w:pPr>
            <w:r w:rsidRPr="005B6074">
              <w:rPr>
                <w:rFonts w:ascii="Verdana" w:hAnsi="Verdana"/>
                <w:b/>
                <w:sz w:val="20"/>
              </w:rPr>
              <w:t xml:space="preserve">Analysis of the System of Indicators and of the Programme's Budget </w:t>
            </w:r>
          </w:p>
        </w:tc>
        <w:tc>
          <w:tcPr>
            <w:tcW w:w="6660" w:type="dxa"/>
          </w:tcPr>
          <w:p w:rsidR="00F24971" w:rsidRPr="005B6074" w:rsidRDefault="00A35E98" w:rsidP="00F24971">
            <w:pPr>
              <w:pStyle w:val="ListParagraph"/>
              <w:numPr>
                <w:ilvl w:val="0"/>
                <w:numId w:val="7"/>
              </w:numPr>
              <w:autoSpaceDE w:val="0"/>
              <w:autoSpaceDN w:val="0"/>
              <w:adjustRightInd w:val="0"/>
              <w:spacing w:after="120" w:line="240" w:lineRule="auto"/>
              <w:ind w:left="473"/>
              <w:rPr>
                <w:rFonts w:ascii="Verdana" w:hAnsi="Verdana"/>
                <w:sz w:val="20"/>
                <w:szCs w:val="20"/>
              </w:rPr>
            </w:pPr>
            <w:r w:rsidRPr="005B6074">
              <w:rPr>
                <w:rFonts w:ascii="Verdana" w:hAnsi="Verdana"/>
                <w:sz w:val="20"/>
              </w:rPr>
              <w:t>Assessment of the relevance and the clarity of the system of indicators;</w:t>
            </w:r>
          </w:p>
          <w:p w:rsidR="00F24971" w:rsidRPr="005B6074" w:rsidRDefault="00A35E98" w:rsidP="00F24971">
            <w:pPr>
              <w:pStyle w:val="ListParagraph"/>
              <w:numPr>
                <w:ilvl w:val="0"/>
                <w:numId w:val="7"/>
              </w:numPr>
              <w:autoSpaceDE w:val="0"/>
              <w:autoSpaceDN w:val="0"/>
              <w:adjustRightInd w:val="0"/>
              <w:spacing w:after="120" w:line="240" w:lineRule="auto"/>
              <w:ind w:left="473"/>
              <w:rPr>
                <w:rFonts w:ascii="Verdana" w:hAnsi="Verdana"/>
                <w:sz w:val="20"/>
                <w:szCs w:val="20"/>
              </w:rPr>
            </w:pPr>
            <w:r w:rsidRPr="005B6074">
              <w:rPr>
                <w:rFonts w:ascii="Verdana" w:hAnsi="Verdana"/>
                <w:sz w:val="20"/>
              </w:rPr>
              <w:t>Assessment of the realism in the quantitative expression of the baseline and target values of the indicators;</w:t>
            </w:r>
          </w:p>
          <w:p w:rsidR="00F24971" w:rsidRPr="005B6074" w:rsidRDefault="00A35E98" w:rsidP="00F24971">
            <w:pPr>
              <w:pStyle w:val="ListParagraph"/>
              <w:numPr>
                <w:ilvl w:val="0"/>
                <w:numId w:val="7"/>
              </w:numPr>
              <w:autoSpaceDE w:val="0"/>
              <w:autoSpaceDN w:val="0"/>
              <w:adjustRightInd w:val="0"/>
              <w:spacing w:after="120" w:line="240" w:lineRule="auto"/>
              <w:ind w:left="473"/>
              <w:rPr>
                <w:rFonts w:ascii="Verdana" w:hAnsi="Verdana"/>
                <w:sz w:val="20"/>
                <w:szCs w:val="20"/>
              </w:rPr>
            </w:pPr>
            <w:r w:rsidRPr="005B6074">
              <w:rPr>
                <w:rFonts w:ascii="Verdana" w:hAnsi="Verdana"/>
                <w:sz w:val="20"/>
              </w:rPr>
              <w:t>Relevance of the milestones defined;</w:t>
            </w:r>
          </w:p>
          <w:p w:rsidR="00F24971" w:rsidRPr="005B6074" w:rsidRDefault="00A35E98" w:rsidP="00F24971">
            <w:pPr>
              <w:pStyle w:val="ListParagraph"/>
              <w:numPr>
                <w:ilvl w:val="0"/>
                <w:numId w:val="7"/>
              </w:numPr>
              <w:autoSpaceDE w:val="0"/>
              <w:autoSpaceDN w:val="0"/>
              <w:adjustRightInd w:val="0"/>
              <w:spacing w:after="120" w:line="240" w:lineRule="auto"/>
              <w:ind w:left="473"/>
              <w:rPr>
                <w:rFonts w:ascii="Verdana" w:hAnsi="Verdana"/>
                <w:sz w:val="20"/>
                <w:szCs w:val="20"/>
              </w:rPr>
            </w:pPr>
            <w:r w:rsidRPr="005B6074">
              <w:rPr>
                <w:rFonts w:ascii="Verdana" w:hAnsi="Verdana"/>
                <w:sz w:val="20"/>
              </w:rPr>
              <w:t>Assessment of the Programme's budget:</w:t>
            </w:r>
          </w:p>
          <w:p w:rsidR="00F24971" w:rsidRPr="005B6074" w:rsidRDefault="00A35E98" w:rsidP="00F24971">
            <w:pPr>
              <w:numPr>
                <w:ilvl w:val="0"/>
                <w:numId w:val="6"/>
              </w:numPr>
              <w:tabs>
                <w:tab w:val="left" w:pos="875"/>
              </w:tabs>
              <w:spacing w:before="120" w:after="120" w:line="240" w:lineRule="auto"/>
              <w:ind w:left="875"/>
              <w:jc w:val="both"/>
              <w:rPr>
                <w:rFonts w:ascii="Verdana" w:hAnsi="Verdana"/>
                <w:sz w:val="20"/>
                <w:szCs w:val="20"/>
              </w:rPr>
            </w:pPr>
            <w:r w:rsidRPr="005B6074">
              <w:rPr>
                <w:rFonts w:ascii="Verdana" w:hAnsi="Verdana"/>
                <w:sz w:val="20"/>
              </w:rPr>
              <w:t>Consistency and justification of budgetary allocation against the Programme's objectives;</w:t>
            </w:r>
          </w:p>
          <w:p w:rsidR="00F24971" w:rsidRPr="005B6074" w:rsidRDefault="00A35E98" w:rsidP="00F24971">
            <w:pPr>
              <w:numPr>
                <w:ilvl w:val="0"/>
                <w:numId w:val="6"/>
              </w:numPr>
              <w:tabs>
                <w:tab w:val="left" w:pos="875"/>
              </w:tabs>
              <w:spacing w:before="120" w:after="120" w:line="240" w:lineRule="auto"/>
              <w:ind w:left="875"/>
              <w:jc w:val="both"/>
              <w:rPr>
                <w:rFonts w:ascii="Verdana" w:hAnsi="Verdana"/>
                <w:sz w:val="20"/>
                <w:szCs w:val="20"/>
              </w:rPr>
            </w:pPr>
            <w:r w:rsidRPr="005B6074">
              <w:rPr>
                <w:rFonts w:ascii="Verdana" w:hAnsi="Verdana"/>
                <w:sz w:val="20"/>
              </w:rPr>
              <w:t>Consistency and justification of budgetary allocation against regulation requirements (integrated approach, focus of interventions, financial engineering, etc.);</w:t>
            </w:r>
          </w:p>
          <w:p w:rsidR="00F24971" w:rsidRPr="005B6074" w:rsidRDefault="00A35E98" w:rsidP="00F24971">
            <w:pPr>
              <w:numPr>
                <w:ilvl w:val="0"/>
                <w:numId w:val="6"/>
              </w:numPr>
              <w:tabs>
                <w:tab w:val="left" w:pos="875"/>
              </w:tabs>
              <w:spacing w:before="120" w:after="120" w:line="240" w:lineRule="auto"/>
              <w:ind w:left="875"/>
              <w:jc w:val="both"/>
              <w:rPr>
                <w:rFonts w:ascii="Verdana" w:hAnsi="Verdana"/>
                <w:sz w:val="20"/>
                <w:szCs w:val="20"/>
              </w:rPr>
            </w:pPr>
            <w:r w:rsidRPr="005B6074">
              <w:rPr>
                <w:rFonts w:ascii="Verdana" w:hAnsi="Verdana"/>
                <w:sz w:val="20"/>
              </w:rPr>
              <w:t>Analysis of the extent to which funds are directly targeted at the needs and challenges identified in the socio-economic analysis;</w:t>
            </w:r>
          </w:p>
          <w:p w:rsidR="00F24971" w:rsidRPr="005B6074" w:rsidRDefault="00A35E98" w:rsidP="00F24971">
            <w:pPr>
              <w:numPr>
                <w:ilvl w:val="0"/>
                <w:numId w:val="6"/>
              </w:numPr>
              <w:tabs>
                <w:tab w:val="left" w:pos="875"/>
              </w:tabs>
              <w:spacing w:before="120" w:after="120" w:line="240" w:lineRule="auto"/>
              <w:ind w:left="875"/>
              <w:jc w:val="both"/>
              <w:rPr>
                <w:rFonts w:ascii="Verdana" w:hAnsi="Verdana"/>
                <w:sz w:val="20"/>
                <w:szCs w:val="20"/>
              </w:rPr>
            </w:pPr>
            <w:r w:rsidRPr="005B6074">
              <w:rPr>
                <w:rFonts w:ascii="Verdana" w:hAnsi="Verdana"/>
                <w:sz w:val="20"/>
              </w:rPr>
              <w:t>Analysis of the share of financial resources targeted at areas of strategic importance.</w:t>
            </w:r>
          </w:p>
        </w:tc>
      </w:tr>
      <w:tr w:rsidR="00F24971" w:rsidRPr="005B6074" w:rsidTr="00F24971">
        <w:tc>
          <w:tcPr>
            <w:tcW w:w="2430" w:type="dxa"/>
            <w:shd w:val="clear" w:color="auto" w:fill="FDE9D9"/>
          </w:tcPr>
          <w:p w:rsidR="00F24971" w:rsidRPr="005B6074" w:rsidRDefault="00A35E98" w:rsidP="00F24971">
            <w:pPr>
              <w:autoSpaceDE w:val="0"/>
              <w:autoSpaceDN w:val="0"/>
              <w:adjustRightInd w:val="0"/>
              <w:spacing w:after="0"/>
              <w:rPr>
                <w:rFonts w:ascii="Verdana" w:hAnsi="Verdana"/>
                <w:b/>
                <w:bCs/>
                <w:sz w:val="20"/>
                <w:szCs w:val="20"/>
              </w:rPr>
            </w:pPr>
            <w:r w:rsidRPr="005B6074">
              <w:rPr>
                <w:rFonts w:ascii="Verdana" w:hAnsi="Verdana"/>
                <w:b/>
                <w:sz w:val="20"/>
              </w:rPr>
              <w:t>Analysis of the Administrative Capacity, Programme Management, Monitoring and Evaluation</w:t>
            </w:r>
          </w:p>
        </w:tc>
        <w:tc>
          <w:tcPr>
            <w:tcW w:w="6660" w:type="dxa"/>
          </w:tcPr>
          <w:p w:rsidR="00F24971" w:rsidRPr="005B6074" w:rsidRDefault="00A35E98" w:rsidP="00F24971">
            <w:pPr>
              <w:pStyle w:val="ListParagraph"/>
              <w:numPr>
                <w:ilvl w:val="0"/>
                <w:numId w:val="7"/>
              </w:numPr>
              <w:autoSpaceDE w:val="0"/>
              <w:autoSpaceDN w:val="0"/>
              <w:adjustRightInd w:val="0"/>
              <w:spacing w:after="120" w:line="240" w:lineRule="auto"/>
              <w:ind w:left="473"/>
              <w:rPr>
                <w:rFonts w:ascii="Verdana" w:hAnsi="Verdana"/>
                <w:sz w:val="20"/>
                <w:szCs w:val="20"/>
              </w:rPr>
            </w:pPr>
            <w:r w:rsidRPr="005B6074">
              <w:rPr>
                <w:rFonts w:ascii="Verdana" w:hAnsi="Verdana"/>
                <w:sz w:val="20"/>
              </w:rPr>
              <w:t>Adequacy of the management structure;</w:t>
            </w:r>
          </w:p>
          <w:p w:rsidR="00F24971" w:rsidRPr="005B6074" w:rsidRDefault="00A35E98" w:rsidP="00F24971">
            <w:pPr>
              <w:pStyle w:val="ListParagraph"/>
              <w:numPr>
                <w:ilvl w:val="0"/>
                <w:numId w:val="7"/>
              </w:numPr>
              <w:autoSpaceDE w:val="0"/>
              <w:autoSpaceDN w:val="0"/>
              <w:adjustRightInd w:val="0"/>
              <w:spacing w:after="120" w:line="240" w:lineRule="auto"/>
              <w:ind w:left="473"/>
              <w:rPr>
                <w:rFonts w:ascii="Verdana" w:hAnsi="Verdana"/>
                <w:sz w:val="20"/>
                <w:szCs w:val="20"/>
              </w:rPr>
            </w:pPr>
            <w:r w:rsidRPr="005B6074">
              <w:rPr>
                <w:rFonts w:ascii="Verdana" w:hAnsi="Verdana"/>
                <w:sz w:val="20"/>
              </w:rPr>
              <w:t>Adequacy of the human resources and the administrative capacity for Programme management;</w:t>
            </w:r>
          </w:p>
          <w:p w:rsidR="00F24971" w:rsidRPr="005B6074" w:rsidRDefault="00A35E98" w:rsidP="00F24971">
            <w:pPr>
              <w:pStyle w:val="ListParagraph"/>
              <w:numPr>
                <w:ilvl w:val="0"/>
                <w:numId w:val="7"/>
              </w:numPr>
              <w:autoSpaceDE w:val="0"/>
              <w:autoSpaceDN w:val="0"/>
              <w:adjustRightInd w:val="0"/>
              <w:spacing w:after="120" w:line="240" w:lineRule="auto"/>
              <w:ind w:left="473"/>
              <w:rPr>
                <w:rFonts w:ascii="Verdana" w:hAnsi="Verdana"/>
                <w:sz w:val="20"/>
                <w:szCs w:val="20"/>
              </w:rPr>
            </w:pPr>
            <w:r w:rsidRPr="005B6074">
              <w:rPr>
                <w:rFonts w:ascii="Verdana" w:hAnsi="Verdana"/>
                <w:sz w:val="20"/>
              </w:rPr>
              <w:t>Capacity of Programme beneficiaries and measures aimed to strengthen it;</w:t>
            </w:r>
          </w:p>
          <w:p w:rsidR="00F24971" w:rsidRPr="005B6074" w:rsidRDefault="00A35E98" w:rsidP="00F24971">
            <w:pPr>
              <w:pStyle w:val="ListParagraph"/>
              <w:numPr>
                <w:ilvl w:val="0"/>
                <w:numId w:val="7"/>
              </w:numPr>
              <w:autoSpaceDE w:val="0"/>
              <w:autoSpaceDN w:val="0"/>
              <w:adjustRightInd w:val="0"/>
              <w:spacing w:after="120" w:line="240" w:lineRule="auto"/>
              <w:ind w:left="473"/>
              <w:rPr>
                <w:rFonts w:ascii="Verdana" w:hAnsi="Verdana"/>
                <w:sz w:val="20"/>
                <w:szCs w:val="20"/>
              </w:rPr>
            </w:pPr>
            <w:r w:rsidRPr="005B6074">
              <w:rPr>
                <w:rFonts w:ascii="Verdana" w:hAnsi="Verdana"/>
                <w:sz w:val="20"/>
              </w:rPr>
              <w:t>Suitability of milestones from the point of view of administrative capacity (by making connection to the analysis of the milestones planned);</w:t>
            </w:r>
          </w:p>
          <w:p w:rsidR="00F24971" w:rsidRPr="005B6074" w:rsidRDefault="00A35E98" w:rsidP="00F24971">
            <w:pPr>
              <w:pStyle w:val="ListParagraph"/>
              <w:numPr>
                <w:ilvl w:val="0"/>
                <w:numId w:val="7"/>
              </w:numPr>
              <w:autoSpaceDE w:val="0"/>
              <w:autoSpaceDN w:val="0"/>
              <w:adjustRightInd w:val="0"/>
              <w:spacing w:after="120" w:line="240" w:lineRule="auto"/>
              <w:ind w:left="473"/>
              <w:rPr>
                <w:rFonts w:ascii="Verdana" w:hAnsi="Verdana"/>
                <w:sz w:val="20"/>
                <w:szCs w:val="20"/>
              </w:rPr>
            </w:pPr>
            <w:r w:rsidRPr="005B6074">
              <w:rPr>
                <w:rFonts w:ascii="Verdana" w:hAnsi="Verdana"/>
                <w:sz w:val="20"/>
              </w:rPr>
              <w:t>Suitability of the procedures for Programme management, monitoring and evaluation and for Programme implementation data collection;</w:t>
            </w:r>
          </w:p>
          <w:p w:rsidR="00F24971" w:rsidRPr="005B6074" w:rsidRDefault="00A35E98" w:rsidP="0006438D">
            <w:pPr>
              <w:pStyle w:val="ListParagraph"/>
              <w:numPr>
                <w:ilvl w:val="0"/>
                <w:numId w:val="7"/>
              </w:numPr>
              <w:autoSpaceDE w:val="0"/>
              <w:autoSpaceDN w:val="0"/>
              <w:adjustRightInd w:val="0"/>
              <w:spacing w:after="120" w:line="240" w:lineRule="auto"/>
              <w:ind w:left="473"/>
              <w:rPr>
                <w:rFonts w:ascii="Verdana" w:hAnsi="Verdana"/>
                <w:sz w:val="20"/>
                <w:szCs w:val="20"/>
              </w:rPr>
            </w:pPr>
            <w:r w:rsidRPr="005B6074">
              <w:rPr>
                <w:rFonts w:ascii="Verdana" w:hAnsi="Verdana"/>
                <w:sz w:val="20"/>
              </w:rPr>
              <w:t>Adequacy of the Evaluation Plan and recommendations (where necessary).</w:t>
            </w:r>
          </w:p>
        </w:tc>
      </w:tr>
    </w:tbl>
    <w:p w:rsidR="00F24971" w:rsidRPr="005B6074" w:rsidRDefault="00F24971" w:rsidP="00F24971">
      <w:pPr>
        <w:pStyle w:val="BodyText"/>
        <w:widowControl w:val="0"/>
        <w:tabs>
          <w:tab w:val="left" w:pos="0"/>
          <w:tab w:val="left" w:pos="1418"/>
          <w:tab w:val="right" w:pos="9214"/>
        </w:tabs>
        <w:spacing w:line="276" w:lineRule="auto"/>
        <w:jc w:val="both"/>
        <w:rPr>
          <w:rFonts w:ascii="Verdana" w:hAnsi="Verdana"/>
          <w:sz w:val="20"/>
          <w:szCs w:val="20"/>
        </w:rPr>
      </w:pPr>
    </w:p>
    <w:p w:rsidR="003D506F" w:rsidRPr="005B6074" w:rsidRDefault="003D506F" w:rsidP="00F24971">
      <w:pPr>
        <w:spacing w:after="120"/>
        <w:jc w:val="both"/>
        <w:sectPr w:rsidR="003D506F" w:rsidRPr="005B6074" w:rsidSect="00F24971">
          <w:pgSz w:w="11907" w:h="16839" w:code="9"/>
          <w:pgMar w:top="2128" w:right="1377" w:bottom="1440" w:left="1440" w:header="720" w:footer="252" w:gutter="0"/>
          <w:cols w:space="720"/>
          <w:docGrid w:linePitch="360"/>
        </w:sectPr>
      </w:pPr>
    </w:p>
    <w:p w:rsidR="00F24971" w:rsidRPr="005B6074" w:rsidRDefault="00A35E98" w:rsidP="00F24971">
      <w:pPr>
        <w:pStyle w:val="Heading1"/>
        <w:shd w:val="clear" w:color="auto" w:fill="0063B8"/>
        <w:tabs>
          <w:tab w:val="num" w:pos="720"/>
        </w:tabs>
        <w:spacing w:before="0"/>
        <w:ind w:left="720" w:hanging="720"/>
        <w:rPr>
          <w:rFonts w:ascii="Verdana" w:hAnsi="Verdana"/>
          <w:b w:val="0"/>
          <w:color w:val="FFFFFF"/>
        </w:rPr>
      </w:pPr>
      <w:bookmarkStart w:id="43" w:name="_Toc362617885"/>
      <w:bookmarkStart w:id="44" w:name="_Toc379372146"/>
      <w:bookmarkStart w:id="45" w:name="_Toc390262437"/>
      <w:bookmarkStart w:id="46" w:name="_Toc396225552"/>
      <w:r w:rsidRPr="005B6074">
        <w:rPr>
          <w:rFonts w:ascii="Verdana" w:hAnsi="Verdana"/>
          <w:b w:val="0"/>
          <w:color w:val="FFFFFF"/>
        </w:rPr>
        <w:lastRenderedPageBreak/>
        <w:t>III.</w:t>
      </w:r>
      <w:r w:rsidRPr="005B6074">
        <w:rPr>
          <w:rFonts w:ascii="Verdana" w:hAnsi="Verdana"/>
          <w:b w:val="0"/>
          <w:color w:val="FFFFFF"/>
        </w:rPr>
        <w:tab/>
        <w:t>Approach and Methodology</w:t>
      </w:r>
      <w:bookmarkEnd w:id="43"/>
      <w:bookmarkEnd w:id="44"/>
      <w:bookmarkEnd w:id="45"/>
      <w:bookmarkEnd w:id="46"/>
    </w:p>
    <w:p w:rsidR="00F24971" w:rsidRPr="005B6074" w:rsidRDefault="00F24971" w:rsidP="00F24971">
      <w:pPr>
        <w:spacing w:before="120" w:after="120"/>
        <w:jc w:val="both"/>
        <w:rPr>
          <w:rFonts w:ascii="Verdana" w:hAnsi="Verdana"/>
          <w:sz w:val="20"/>
          <w:szCs w:val="20"/>
        </w:rPr>
      </w:pPr>
    </w:p>
    <w:p w:rsidR="00F24971" w:rsidRPr="005B6074" w:rsidRDefault="00A35E98" w:rsidP="00F24971">
      <w:pPr>
        <w:spacing w:before="120" w:after="120"/>
        <w:jc w:val="both"/>
        <w:rPr>
          <w:rFonts w:ascii="Verdana" w:hAnsi="Verdana"/>
          <w:sz w:val="20"/>
          <w:szCs w:val="20"/>
        </w:rPr>
      </w:pPr>
      <w:r w:rsidRPr="005B6074">
        <w:rPr>
          <w:rFonts w:ascii="Verdana" w:hAnsi="Verdana"/>
          <w:sz w:val="20"/>
        </w:rPr>
        <w:t xml:space="preserve">This evaluation has been made in close cooperation with the Contracting Authority, General Directorate "Structural Funds and International Educational Programmes" </w:t>
      </w:r>
      <w:r w:rsidR="00897407">
        <w:rPr>
          <w:rFonts w:ascii="Verdana" w:hAnsi="Verdana"/>
          <w:sz w:val="20"/>
        </w:rPr>
        <w:t>(GD SFIEP)</w:t>
      </w:r>
      <w:r w:rsidRPr="005B6074">
        <w:rPr>
          <w:rFonts w:ascii="Verdana" w:hAnsi="Verdana"/>
          <w:sz w:val="20"/>
        </w:rPr>
        <w:t xml:space="preserve">of the Ministry of Education and Science, which is the Intermediate Body of OPHRD 2007–2013. Council of Ministers' Decision No 792 of 17 December 2013 appoints the same </w:t>
      </w:r>
      <w:proofErr w:type="gramStart"/>
      <w:r w:rsidRPr="005B6074">
        <w:rPr>
          <w:rFonts w:ascii="Verdana" w:hAnsi="Verdana"/>
          <w:sz w:val="20"/>
        </w:rPr>
        <w:t>directorate  as</w:t>
      </w:r>
      <w:proofErr w:type="gramEnd"/>
      <w:r w:rsidRPr="005B6074">
        <w:rPr>
          <w:rFonts w:ascii="Verdana" w:hAnsi="Verdana"/>
          <w:sz w:val="20"/>
        </w:rPr>
        <w:t xml:space="preserve"> a Managing Authority (MA) of </w:t>
      </w:r>
      <w:r w:rsidR="005B35A7">
        <w:rPr>
          <w:rFonts w:ascii="Verdana" w:hAnsi="Verdana"/>
          <w:sz w:val="20"/>
        </w:rPr>
        <w:t>OPSESG</w:t>
      </w:r>
      <w:r w:rsidRPr="005B6074">
        <w:rPr>
          <w:rFonts w:ascii="Verdana" w:hAnsi="Verdana"/>
          <w:sz w:val="20"/>
        </w:rPr>
        <w:t xml:space="preserve"> 2014-2020. </w:t>
      </w:r>
    </w:p>
    <w:p w:rsidR="00F24971" w:rsidRPr="005B6074" w:rsidRDefault="00A35E98" w:rsidP="00F24971">
      <w:pPr>
        <w:spacing w:before="120" w:after="120"/>
        <w:jc w:val="both"/>
        <w:rPr>
          <w:rFonts w:ascii="Verdana" w:hAnsi="Verdana"/>
          <w:sz w:val="20"/>
        </w:rPr>
      </w:pPr>
      <w:r w:rsidRPr="005B6074">
        <w:rPr>
          <w:rFonts w:ascii="Verdana" w:hAnsi="Verdana"/>
          <w:sz w:val="20"/>
        </w:rPr>
        <w:t>The figure below illustrates the approach used.</w:t>
      </w:r>
    </w:p>
    <w:p w:rsidR="00F24971" w:rsidRPr="005B6074" w:rsidRDefault="008E6270" w:rsidP="0006438D">
      <w:pPr>
        <w:spacing w:before="120" w:after="120"/>
        <w:jc w:val="both"/>
        <w:rPr>
          <w:rFonts w:ascii="Verdana" w:hAnsi="Verdana"/>
          <w:sz w:val="20"/>
          <w:szCs w:val="20"/>
        </w:rPr>
      </w:pPr>
      <w:r w:rsidRPr="005B6074">
        <w:object w:dxaOrig="15687" w:dyaOrig="11436">
          <v:shape id="_x0000_i1112" type="#_x0000_t75" style="width:460.5pt;height:324pt" o:ole="">
            <v:imagedata r:id="rId18" o:title=""/>
          </v:shape>
          <o:OLEObject Type="Embed" ProgID="Visio.Drawing.11" ShapeID="_x0000_i1112" DrawAspect="Content" ObjectID="_1469971867" r:id="rId19"/>
        </w:object>
      </w:r>
    </w:p>
    <w:p w:rsidR="00F24971" w:rsidRPr="005B6074" w:rsidRDefault="00A35E98" w:rsidP="00F24971">
      <w:pPr>
        <w:pStyle w:val="Caption"/>
        <w:spacing w:before="120"/>
        <w:jc w:val="center"/>
        <w:rPr>
          <w:rFonts w:ascii="Verdana" w:hAnsi="Verdana"/>
          <w:color w:val="006CB6"/>
        </w:rPr>
      </w:pPr>
      <w:bookmarkStart w:id="47" w:name="_Toc381712229"/>
      <w:bookmarkStart w:id="48" w:name="_Toc390257327"/>
      <w:bookmarkStart w:id="49" w:name="_Toc396225638"/>
      <w:r w:rsidRPr="005B6074">
        <w:rPr>
          <w:rFonts w:ascii="Verdana" w:hAnsi="Verdana"/>
          <w:color w:val="006CB6"/>
        </w:rPr>
        <w:t xml:space="preserve">Figure </w:t>
      </w:r>
      <w:r w:rsidRPr="005B6074">
        <w:rPr>
          <w:rFonts w:ascii="Verdana" w:hAnsi="Verdana"/>
          <w:color w:val="006CB6"/>
        </w:rPr>
        <w:fldChar w:fldCharType="begin"/>
      </w:r>
      <w:r w:rsidRPr="005B6074">
        <w:rPr>
          <w:rFonts w:ascii="Verdana" w:hAnsi="Verdana"/>
          <w:color w:val="006CB6"/>
        </w:rPr>
        <w:instrText xml:space="preserve"> SEQ Фигура \* ARABIC </w:instrText>
      </w:r>
      <w:r w:rsidRPr="005B6074">
        <w:rPr>
          <w:rFonts w:ascii="Verdana" w:hAnsi="Verdana"/>
          <w:color w:val="006CB6"/>
        </w:rPr>
        <w:fldChar w:fldCharType="separate"/>
      </w:r>
      <w:r w:rsidR="009330F5">
        <w:rPr>
          <w:rFonts w:ascii="Verdana" w:hAnsi="Verdana"/>
          <w:noProof/>
          <w:color w:val="006CB6"/>
        </w:rPr>
        <w:t>2</w:t>
      </w:r>
      <w:r w:rsidRPr="005B6074">
        <w:rPr>
          <w:rFonts w:ascii="Verdana" w:hAnsi="Verdana"/>
          <w:color w:val="006CB6"/>
        </w:rPr>
        <w:fldChar w:fldCharType="end"/>
      </w:r>
      <w:r w:rsidRPr="005B6074">
        <w:rPr>
          <w:rFonts w:ascii="Verdana" w:hAnsi="Verdana"/>
          <w:color w:val="006CB6"/>
        </w:rPr>
        <w:t xml:space="preserve">: </w:t>
      </w:r>
      <w:r w:rsidR="00AF2745">
        <w:rPr>
          <w:rFonts w:ascii="Verdana" w:hAnsi="Verdana"/>
          <w:color w:val="006CB6"/>
        </w:rPr>
        <w:t>Evaluation</w:t>
      </w:r>
      <w:r w:rsidRPr="005B6074">
        <w:rPr>
          <w:rFonts w:ascii="Verdana" w:hAnsi="Verdana"/>
          <w:color w:val="006CB6"/>
        </w:rPr>
        <w:t xml:space="preserve"> Approach</w:t>
      </w:r>
      <w:bookmarkEnd w:id="47"/>
      <w:bookmarkEnd w:id="48"/>
      <w:bookmarkEnd w:id="49"/>
    </w:p>
    <w:p w:rsidR="00A511E7" w:rsidRPr="005B6074" w:rsidRDefault="00A35E98" w:rsidP="005B6074">
      <w:pPr>
        <w:spacing w:before="240" w:after="120"/>
        <w:jc w:val="both"/>
        <w:rPr>
          <w:rFonts w:ascii="Verdana" w:hAnsi="Verdana"/>
          <w:sz w:val="20"/>
          <w:szCs w:val="20"/>
        </w:rPr>
      </w:pPr>
      <w:r w:rsidRPr="005B6074">
        <w:rPr>
          <w:rFonts w:ascii="Verdana" w:hAnsi="Verdana"/>
          <w:sz w:val="20"/>
        </w:rPr>
        <w:t xml:space="preserve">The approach to the evaluation used presupposes the concurrent gathering of information for the various elements of the </w:t>
      </w:r>
      <w:r w:rsidR="00AF2745">
        <w:rPr>
          <w:rFonts w:ascii="Verdana" w:hAnsi="Verdana"/>
          <w:sz w:val="20"/>
        </w:rPr>
        <w:t>evaluation</w:t>
      </w:r>
      <w:r w:rsidRPr="005B6074">
        <w:rPr>
          <w:rFonts w:ascii="Verdana" w:hAnsi="Verdana"/>
          <w:sz w:val="20"/>
        </w:rPr>
        <w:t>. Thus, for instance, the interviews, the on-line survey and the focus groups involved several assessment themes.</w:t>
      </w:r>
    </w:p>
    <w:p w:rsidR="00F24971" w:rsidRPr="005B6074" w:rsidRDefault="00A35E98" w:rsidP="00F24971">
      <w:pPr>
        <w:spacing w:before="120" w:after="120"/>
        <w:rPr>
          <w:rFonts w:ascii="Verdana" w:hAnsi="Verdana"/>
          <w:sz w:val="20"/>
          <w:szCs w:val="20"/>
        </w:rPr>
      </w:pPr>
      <w:r w:rsidRPr="005B6074">
        <w:rPr>
          <w:rFonts w:ascii="Verdana" w:hAnsi="Verdana"/>
          <w:sz w:val="20"/>
        </w:rPr>
        <w:t xml:space="preserve">The following </w:t>
      </w:r>
      <w:r w:rsidRPr="005B6074">
        <w:rPr>
          <w:rFonts w:ascii="Verdana" w:hAnsi="Verdana"/>
          <w:color w:val="548DD4"/>
          <w:sz w:val="20"/>
        </w:rPr>
        <w:t xml:space="preserve">methods of gathering and analysis </w:t>
      </w:r>
      <w:r w:rsidRPr="005B6074">
        <w:rPr>
          <w:rFonts w:ascii="Verdana" w:hAnsi="Verdana"/>
          <w:sz w:val="20"/>
        </w:rPr>
        <w:t>of information have been used:</w:t>
      </w:r>
    </w:p>
    <w:p w:rsidR="00F24971" w:rsidRPr="005B6074" w:rsidRDefault="00A35E98" w:rsidP="00F24971">
      <w:pPr>
        <w:spacing w:before="120" w:after="120"/>
        <w:jc w:val="both"/>
        <w:rPr>
          <w:rFonts w:ascii="Verdana" w:hAnsi="Verdana"/>
          <w:sz w:val="20"/>
          <w:szCs w:val="20"/>
        </w:rPr>
      </w:pPr>
      <w:r w:rsidRPr="005B6074">
        <w:rPr>
          <w:rFonts w:ascii="Verdana" w:hAnsi="Verdana"/>
          <w:color w:val="548DD4"/>
          <w:sz w:val="20"/>
        </w:rPr>
        <w:t xml:space="preserve">Study </w:t>
      </w:r>
      <w:r w:rsidRPr="005B6074">
        <w:rPr>
          <w:rFonts w:ascii="Verdana" w:hAnsi="Verdana"/>
          <w:sz w:val="20"/>
        </w:rPr>
        <w:t>of national and EU strategic and legislative papers, annual implementation reports of other programmes in the period 2007-2013 which finance measures similar to those planned in OPSESG 2014-2020, assessment reports, Commission guidelines concerning the new programming period, etc. Annex 1 to this report contains a list of the documents used.</w:t>
      </w:r>
    </w:p>
    <w:p w:rsidR="00F24971" w:rsidRPr="005B6074" w:rsidRDefault="00A35E98" w:rsidP="00F24971">
      <w:pPr>
        <w:spacing w:before="120" w:after="120"/>
        <w:jc w:val="both"/>
        <w:rPr>
          <w:rFonts w:ascii="Verdana" w:hAnsi="Verdana"/>
          <w:sz w:val="20"/>
          <w:szCs w:val="20"/>
        </w:rPr>
      </w:pPr>
      <w:r w:rsidRPr="005B6074">
        <w:rPr>
          <w:rFonts w:ascii="Verdana" w:hAnsi="Verdana"/>
          <w:color w:val="548DD4"/>
          <w:sz w:val="20"/>
        </w:rPr>
        <w:lastRenderedPageBreak/>
        <w:t>Stakeholder analysis</w:t>
      </w:r>
      <w:r w:rsidRPr="005B6074">
        <w:rPr>
          <w:rFonts w:ascii="Verdana" w:hAnsi="Verdana"/>
          <w:sz w:val="20"/>
        </w:rPr>
        <w:t xml:space="preserve"> - it was implemented with the launch of the evaluation and included in the Inception report so as to ensure that the key stakeholders would be consulted and their opinion would be taken into account in the assessment.</w:t>
      </w:r>
    </w:p>
    <w:p w:rsidR="00F24971" w:rsidRPr="005B6074" w:rsidRDefault="00A35E98" w:rsidP="00F24971">
      <w:pPr>
        <w:spacing w:before="120" w:after="120"/>
        <w:jc w:val="both"/>
        <w:rPr>
          <w:rFonts w:ascii="Verdana" w:hAnsi="Verdana"/>
          <w:sz w:val="20"/>
          <w:szCs w:val="20"/>
        </w:rPr>
      </w:pPr>
      <w:r w:rsidRPr="005B6074">
        <w:rPr>
          <w:rFonts w:ascii="Verdana" w:hAnsi="Verdana"/>
          <w:color w:val="548DD4"/>
          <w:sz w:val="20"/>
        </w:rPr>
        <w:t>Interviews</w:t>
      </w:r>
      <w:r w:rsidRPr="005B6074">
        <w:rPr>
          <w:rFonts w:ascii="Verdana" w:hAnsi="Verdana"/>
          <w:sz w:val="20"/>
        </w:rPr>
        <w:t xml:space="preserve"> with experts from GD SFIEP, other directorates and </w:t>
      </w:r>
      <w:r w:rsidR="00F52AAA">
        <w:rPr>
          <w:rFonts w:ascii="Verdana" w:hAnsi="Verdana"/>
          <w:sz w:val="20"/>
        </w:rPr>
        <w:t>departments</w:t>
      </w:r>
      <w:r w:rsidRPr="005B6074">
        <w:rPr>
          <w:rFonts w:ascii="Verdana" w:hAnsi="Verdana"/>
          <w:sz w:val="20"/>
        </w:rPr>
        <w:t xml:space="preserve"> of MES, members of the working group set up in connection to Programme elaboration. Annex 2 to this report includes a list of the meetings held.</w:t>
      </w:r>
    </w:p>
    <w:p w:rsidR="00F24971" w:rsidRPr="005B6074" w:rsidRDefault="00A35E98" w:rsidP="00F24971">
      <w:pPr>
        <w:spacing w:before="120" w:after="120"/>
        <w:jc w:val="both"/>
        <w:rPr>
          <w:rFonts w:ascii="Verdana" w:hAnsi="Verdana"/>
          <w:sz w:val="20"/>
          <w:szCs w:val="20"/>
        </w:rPr>
      </w:pPr>
      <w:r w:rsidRPr="005B6074">
        <w:rPr>
          <w:rFonts w:ascii="Verdana" w:hAnsi="Verdana"/>
          <w:color w:val="548DD4"/>
          <w:sz w:val="20"/>
        </w:rPr>
        <w:t xml:space="preserve">On-line questionnaire </w:t>
      </w:r>
      <w:r w:rsidRPr="005B6074">
        <w:rPr>
          <w:rFonts w:ascii="Verdana" w:hAnsi="Verdana"/>
          <w:sz w:val="20"/>
        </w:rPr>
        <w:t xml:space="preserve">to current beneficiaries under OPHRD 2007-2013 which carry out projects under educational measures with MES as Intermediate Body, potential beneficiaries under OPSESG 2014-2020 (including scientific institutes, universities, schools, kindergartens, employers, branch organisations, municipalities, community centres, NGOs), members of the working group set up in connection to Programme preparation and members of GD EUFIPP. The questionnaire via the web-based </w:t>
      </w:r>
      <w:proofErr w:type="gramStart"/>
      <w:r w:rsidRPr="005B6074">
        <w:rPr>
          <w:rFonts w:ascii="Verdana" w:hAnsi="Verdana"/>
          <w:sz w:val="20"/>
        </w:rPr>
        <w:t xml:space="preserve">platform  </w:t>
      </w:r>
      <w:proofErr w:type="gramEnd"/>
      <w:r w:rsidR="007A2B7B">
        <w:fldChar w:fldCharType="begin"/>
      </w:r>
      <w:r w:rsidR="007A2B7B">
        <w:instrText xml:space="preserve"> HYPERLINK "http://www.checkmarket.com" </w:instrText>
      </w:r>
      <w:r w:rsidR="007A2B7B">
        <w:fldChar w:fldCharType="separate"/>
      </w:r>
      <w:r w:rsidRPr="005B6074">
        <w:rPr>
          <w:rStyle w:val="Hyperlink"/>
          <w:rFonts w:ascii="Verdana" w:hAnsi="Verdana"/>
          <w:sz w:val="20"/>
        </w:rPr>
        <w:t>www.checkmarket.com</w:t>
      </w:r>
      <w:r w:rsidR="007A2B7B">
        <w:rPr>
          <w:rStyle w:val="Hyperlink"/>
          <w:rFonts w:ascii="Verdana" w:hAnsi="Verdana"/>
          <w:sz w:val="20"/>
        </w:rPr>
        <w:fldChar w:fldCharType="end"/>
      </w:r>
      <w:r w:rsidRPr="005B6074">
        <w:rPr>
          <w:rStyle w:val="Hyperlink"/>
          <w:rFonts w:ascii="Verdana" w:hAnsi="Verdana"/>
          <w:sz w:val="20"/>
        </w:rPr>
        <w:t>,</w:t>
      </w:r>
      <w:r w:rsidRPr="005B6074">
        <w:rPr>
          <w:rFonts w:ascii="Verdana" w:hAnsi="Verdana"/>
          <w:sz w:val="20"/>
        </w:rPr>
        <w:t xml:space="preserve"> was sent to 1 206 respondents. 190 responses were received (15.8%).  58% of the respondents are potential Programme beneficiaries, 22% are from GD SFIEP and 20% are members of the working group set up in connection to Programme preparation, as presented in the table below.</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1269"/>
        <w:gridCol w:w="2416"/>
        <w:gridCol w:w="1005"/>
      </w:tblGrid>
      <w:tr w:rsidR="00F24971" w:rsidRPr="003753FE" w:rsidTr="003753FE">
        <w:trPr>
          <w:cantSplit/>
          <w:trHeight w:val="397"/>
          <w:tblHeader/>
          <w:jc w:val="center"/>
        </w:trPr>
        <w:tc>
          <w:tcPr>
            <w:tcW w:w="4390" w:type="dxa"/>
            <w:shd w:val="clear" w:color="auto" w:fill="E0E0E0"/>
            <w:vAlign w:val="center"/>
          </w:tcPr>
          <w:p w:rsidR="00F24971" w:rsidRPr="003753FE" w:rsidRDefault="00A35E98" w:rsidP="003753FE">
            <w:pPr>
              <w:rPr>
                <w:rFonts w:ascii="Arial" w:hAnsi="Arial" w:cs="Arial"/>
                <w:b/>
                <w:sz w:val="20"/>
                <w:szCs w:val="20"/>
              </w:rPr>
            </w:pPr>
            <w:r w:rsidRPr="003753FE">
              <w:rPr>
                <w:rFonts w:ascii="Arial" w:hAnsi="Arial" w:cs="Arial"/>
                <w:b/>
                <w:sz w:val="20"/>
                <w:szCs w:val="20"/>
              </w:rPr>
              <w:t>Respondents</w:t>
            </w:r>
          </w:p>
        </w:tc>
        <w:tc>
          <w:tcPr>
            <w:tcW w:w="1269" w:type="dxa"/>
            <w:shd w:val="clear" w:color="auto" w:fill="E0E0E0"/>
            <w:vAlign w:val="center"/>
          </w:tcPr>
          <w:p w:rsidR="00F24971" w:rsidRPr="003753FE" w:rsidRDefault="00A35E98" w:rsidP="003753FE">
            <w:pPr>
              <w:rPr>
                <w:rFonts w:ascii="Arial" w:hAnsi="Arial" w:cs="Arial"/>
                <w:b/>
                <w:sz w:val="20"/>
                <w:szCs w:val="20"/>
              </w:rPr>
            </w:pPr>
            <w:r w:rsidRPr="003753FE">
              <w:rPr>
                <w:rFonts w:ascii="Arial" w:hAnsi="Arial" w:cs="Arial"/>
                <w:b/>
                <w:sz w:val="20"/>
                <w:szCs w:val="20"/>
              </w:rPr>
              <w:t>Total</w:t>
            </w:r>
          </w:p>
        </w:tc>
        <w:tc>
          <w:tcPr>
            <w:tcW w:w="2416" w:type="dxa"/>
            <w:shd w:val="clear" w:color="auto" w:fill="E0E0E0"/>
            <w:vAlign w:val="center"/>
          </w:tcPr>
          <w:p w:rsidR="00F24971" w:rsidRPr="003753FE" w:rsidRDefault="00A35E98" w:rsidP="003753FE">
            <w:pPr>
              <w:rPr>
                <w:rFonts w:ascii="Arial" w:hAnsi="Arial" w:cs="Arial"/>
                <w:b/>
                <w:sz w:val="20"/>
                <w:szCs w:val="20"/>
              </w:rPr>
            </w:pPr>
            <w:r w:rsidRPr="003753FE">
              <w:rPr>
                <w:rFonts w:ascii="Arial" w:hAnsi="Arial" w:cs="Arial"/>
                <w:b/>
                <w:sz w:val="20"/>
                <w:szCs w:val="20"/>
              </w:rPr>
              <w:t>% of responses</w:t>
            </w:r>
          </w:p>
        </w:tc>
        <w:tc>
          <w:tcPr>
            <w:tcW w:w="1005" w:type="dxa"/>
            <w:shd w:val="clear" w:color="auto" w:fill="E0E0E0"/>
            <w:vAlign w:val="center"/>
          </w:tcPr>
          <w:p w:rsidR="00F24971" w:rsidRPr="003753FE" w:rsidRDefault="00A35E98" w:rsidP="003753FE">
            <w:pPr>
              <w:rPr>
                <w:rFonts w:ascii="Arial" w:hAnsi="Arial" w:cs="Arial"/>
                <w:b/>
              </w:rPr>
            </w:pPr>
            <w:r w:rsidRPr="003753FE">
              <w:rPr>
                <w:rFonts w:ascii="Arial" w:hAnsi="Arial" w:cs="Arial"/>
                <w:b/>
              </w:rPr>
              <w:t>%</w:t>
            </w:r>
          </w:p>
        </w:tc>
      </w:tr>
      <w:tr w:rsidR="00F24971" w:rsidRPr="005B6074" w:rsidTr="003753FE">
        <w:trPr>
          <w:trHeight w:val="594"/>
          <w:jc w:val="center"/>
        </w:trPr>
        <w:tc>
          <w:tcPr>
            <w:tcW w:w="4390"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line="240" w:lineRule="auto"/>
              <w:rPr>
                <w:rFonts w:ascii="Arial" w:hAnsi="Arial" w:cs="Arial"/>
                <w:i/>
                <w:sz w:val="20"/>
                <w:szCs w:val="20"/>
              </w:rPr>
            </w:pPr>
            <w:r w:rsidRPr="003753FE">
              <w:rPr>
                <w:rFonts w:ascii="Arial" w:hAnsi="Arial" w:cs="Arial"/>
                <w:i/>
                <w:sz w:val="20"/>
                <w:szCs w:val="20"/>
              </w:rPr>
              <w:t xml:space="preserve">1 Potential beneficiary of </w:t>
            </w:r>
            <w:r w:rsidR="005B35A7">
              <w:rPr>
                <w:rFonts w:ascii="Arial" w:hAnsi="Arial" w:cs="Arial"/>
                <w:i/>
                <w:sz w:val="20"/>
                <w:szCs w:val="20"/>
              </w:rPr>
              <w:t>OPSESG</w:t>
            </w:r>
            <w:r w:rsidRPr="003753FE">
              <w:rPr>
                <w:rFonts w:ascii="Arial" w:hAnsi="Arial" w:cs="Arial"/>
                <w:i/>
                <w:sz w:val="20"/>
                <w:szCs w:val="20"/>
              </w:rPr>
              <w:t xml:space="preserve"> 2014 -2020</w:t>
            </w:r>
          </w:p>
        </w:tc>
        <w:tc>
          <w:tcPr>
            <w:tcW w:w="1269"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line="240" w:lineRule="auto"/>
              <w:rPr>
                <w:rFonts w:ascii="Arial" w:hAnsi="Arial" w:cs="Arial"/>
                <w:i/>
                <w:sz w:val="20"/>
                <w:szCs w:val="20"/>
              </w:rPr>
            </w:pPr>
            <w:r w:rsidRPr="003753FE">
              <w:rPr>
                <w:rFonts w:ascii="Arial" w:hAnsi="Arial" w:cs="Arial"/>
                <w:i/>
                <w:sz w:val="20"/>
                <w:szCs w:val="20"/>
              </w:rPr>
              <w:t>111</w:t>
            </w:r>
          </w:p>
        </w:tc>
        <w:tc>
          <w:tcPr>
            <w:tcW w:w="2416" w:type="dxa"/>
            <w:tcBorders>
              <w:bottom w:val="single" w:sz="4" w:space="0" w:color="auto"/>
            </w:tcBorders>
            <w:shd w:val="clear" w:color="auto" w:fill="auto"/>
            <w:tcMar>
              <w:top w:w="28" w:type="dxa"/>
              <w:bottom w:w="28" w:type="dxa"/>
            </w:tcMar>
            <w:vAlign w:val="center"/>
          </w:tcPr>
          <w:p w:rsidR="00F24971" w:rsidRPr="003753FE" w:rsidRDefault="00AB7A0D" w:rsidP="003753FE">
            <w:pPr>
              <w:spacing w:after="0" w:line="240" w:lineRule="auto"/>
              <w:rPr>
                <w:rFonts w:ascii="Arial" w:hAnsi="Arial" w:cs="Arial"/>
                <w:i/>
                <w:sz w:val="20"/>
                <w:szCs w:val="20"/>
              </w:rPr>
            </w:pPr>
            <w:r w:rsidRPr="003753FE">
              <w:rPr>
                <w:rFonts w:ascii="Arial" w:hAnsi="Arial" w:cs="Arial"/>
                <w:i/>
                <w:noProof/>
                <w:sz w:val="20"/>
                <w:szCs w:val="20"/>
                <w:lang w:val="bg-BG" w:eastAsia="bg-BG"/>
              </w:rPr>
              <w:drawing>
                <wp:inline distT="0" distB="0" distL="0" distR="0" wp14:anchorId="22A40DE3" wp14:editId="0AB57C7C">
                  <wp:extent cx="88900" cy="184150"/>
                  <wp:effectExtent l="0" t="0" r="6350" b="6350"/>
                  <wp:docPr id="16" name="Picture 45" descr="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3753FE">
              <w:rPr>
                <w:rFonts w:ascii="Arial" w:hAnsi="Arial" w:cs="Arial"/>
                <w:i/>
                <w:noProof/>
                <w:sz w:val="20"/>
                <w:szCs w:val="20"/>
                <w:lang w:val="bg-BG" w:eastAsia="bg-BG"/>
              </w:rPr>
              <w:drawing>
                <wp:inline distT="0" distB="0" distL="0" distR="0" wp14:anchorId="6F754B4E" wp14:editId="01D6DA43">
                  <wp:extent cx="1003300" cy="184150"/>
                  <wp:effectExtent l="0" t="0" r="6350" b="6350"/>
                  <wp:docPr id="15" name="Picture 44" descr="1_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1_word"/>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3300" cy="184150"/>
                          </a:xfrm>
                          <a:prstGeom prst="rect">
                            <a:avLst/>
                          </a:prstGeom>
                          <a:noFill/>
                          <a:ln>
                            <a:noFill/>
                          </a:ln>
                        </pic:spPr>
                      </pic:pic>
                    </a:graphicData>
                  </a:graphic>
                </wp:inline>
              </w:drawing>
            </w:r>
            <w:r w:rsidRPr="003753FE">
              <w:rPr>
                <w:rFonts w:ascii="Arial" w:hAnsi="Arial" w:cs="Arial"/>
                <w:i/>
                <w:noProof/>
                <w:sz w:val="20"/>
                <w:szCs w:val="20"/>
                <w:lang w:val="bg-BG" w:eastAsia="bg-BG"/>
              </w:rPr>
              <w:drawing>
                <wp:inline distT="0" distB="0" distL="0" distR="0" wp14:anchorId="2A7FF79C" wp14:editId="0A4AE927">
                  <wp:extent cx="88900" cy="184150"/>
                  <wp:effectExtent l="0" t="0" r="6350" b="6350"/>
                  <wp:docPr id="14" name="Picture 43" descr="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p>
        </w:tc>
        <w:tc>
          <w:tcPr>
            <w:tcW w:w="1005"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i/>
                <w:sz w:val="20"/>
                <w:szCs w:val="20"/>
              </w:rPr>
            </w:pPr>
            <w:r w:rsidRPr="003753FE">
              <w:rPr>
                <w:rFonts w:ascii="Arial" w:hAnsi="Arial" w:cs="Arial"/>
                <w:i/>
                <w:sz w:val="20"/>
                <w:szCs w:val="20"/>
              </w:rPr>
              <w:t>58 %</w:t>
            </w:r>
          </w:p>
        </w:tc>
      </w:tr>
      <w:tr w:rsidR="00F24971" w:rsidRPr="005B6074" w:rsidTr="003753FE">
        <w:trPr>
          <w:trHeight w:val="397"/>
          <w:jc w:val="center"/>
        </w:trPr>
        <w:tc>
          <w:tcPr>
            <w:tcW w:w="4390"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line="240" w:lineRule="auto"/>
              <w:rPr>
                <w:rFonts w:ascii="Arial" w:hAnsi="Arial" w:cs="Arial"/>
                <w:i/>
                <w:sz w:val="20"/>
                <w:szCs w:val="20"/>
              </w:rPr>
            </w:pPr>
            <w:r w:rsidRPr="003753FE">
              <w:rPr>
                <w:rFonts w:ascii="Arial" w:hAnsi="Arial" w:cs="Arial"/>
                <w:i/>
                <w:sz w:val="20"/>
                <w:szCs w:val="20"/>
              </w:rPr>
              <w:t xml:space="preserve">2 Managing Authority of </w:t>
            </w:r>
            <w:r w:rsidR="005B35A7">
              <w:rPr>
                <w:rFonts w:ascii="Arial" w:hAnsi="Arial" w:cs="Arial"/>
                <w:i/>
                <w:sz w:val="20"/>
                <w:szCs w:val="20"/>
              </w:rPr>
              <w:t>OPSESG</w:t>
            </w:r>
            <w:r w:rsidRPr="003753FE">
              <w:rPr>
                <w:rFonts w:ascii="Arial" w:hAnsi="Arial" w:cs="Arial"/>
                <w:i/>
                <w:sz w:val="20"/>
                <w:szCs w:val="20"/>
              </w:rPr>
              <w:t xml:space="preserve"> 2014 -2020</w:t>
            </w:r>
          </w:p>
        </w:tc>
        <w:tc>
          <w:tcPr>
            <w:tcW w:w="1269"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line="240" w:lineRule="auto"/>
              <w:rPr>
                <w:rFonts w:ascii="Arial" w:hAnsi="Arial" w:cs="Arial"/>
                <w:i/>
                <w:sz w:val="20"/>
                <w:szCs w:val="20"/>
              </w:rPr>
            </w:pPr>
            <w:r w:rsidRPr="003753FE">
              <w:rPr>
                <w:rFonts w:ascii="Arial" w:hAnsi="Arial" w:cs="Arial"/>
                <w:i/>
                <w:sz w:val="20"/>
                <w:szCs w:val="20"/>
              </w:rPr>
              <w:t>41</w:t>
            </w:r>
          </w:p>
        </w:tc>
        <w:tc>
          <w:tcPr>
            <w:tcW w:w="2416" w:type="dxa"/>
            <w:tcBorders>
              <w:bottom w:val="single" w:sz="4" w:space="0" w:color="auto"/>
            </w:tcBorders>
            <w:shd w:val="clear" w:color="auto" w:fill="auto"/>
            <w:tcMar>
              <w:top w:w="28" w:type="dxa"/>
              <w:bottom w:w="28" w:type="dxa"/>
            </w:tcMar>
            <w:vAlign w:val="center"/>
          </w:tcPr>
          <w:p w:rsidR="00F24971" w:rsidRPr="003753FE" w:rsidRDefault="00AB7A0D" w:rsidP="003753FE">
            <w:pPr>
              <w:spacing w:after="0" w:line="240" w:lineRule="auto"/>
              <w:rPr>
                <w:rFonts w:ascii="Arial" w:hAnsi="Arial" w:cs="Arial"/>
                <w:i/>
                <w:sz w:val="20"/>
                <w:szCs w:val="20"/>
              </w:rPr>
            </w:pPr>
            <w:r w:rsidRPr="003753FE">
              <w:rPr>
                <w:rFonts w:ascii="Arial" w:hAnsi="Arial" w:cs="Arial"/>
                <w:i/>
                <w:noProof/>
                <w:sz w:val="20"/>
                <w:szCs w:val="20"/>
                <w:lang w:val="bg-BG" w:eastAsia="bg-BG"/>
              </w:rPr>
              <w:drawing>
                <wp:inline distT="0" distB="0" distL="0" distR="0" wp14:anchorId="2F5BAB0A" wp14:editId="6ABD5ED8">
                  <wp:extent cx="88900" cy="184150"/>
                  <wp:effectExtent l="0" t="0" r="6350" b="6350"/>
                  <wp:docPr id="6" name="Picture 42" descr="2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3753FE">
              <w:rPr>
                <w:rFonts w:ascii="Arial" w:hAnsi="Arial" w:cs="Arial"/>
                <w:i/>
                <w:noProof/>
                <w:sz w:val="20"/>
                <w:szCs w:val="20"/>
                <w:lang w:val="bg-BG" w:eastAsia="bg-BG"/>
              </w:rPr>
              <w:drawing>
                <wp:inline distT="0" distB="0" distL="0" distR="0" wp14:anchorId="7DEC77DB" wp14:editId="73BF0245">
                  <wp:extent cx="368300" cy="184150"/>
                  <wp:effectExtent l="0" t="0" r="0" b="6350"/>
                  <wp:docPr id="7" name="Picture 41" descr="2_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2_word"/>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r w:rsidRPr="003753FE">
              <w:rPr>
                <w:rFonts w:ascii="Arial" w:hAnsi="Arial" w:cs="Arial"/>
                <w:i/>
                <w:noProof/>
                <w:sz w:val="20"/>
                <w:szCs w:val="20"/>
                <w:lang w:val="bg-BG" w:eastAsia="bg-BG"/>
              </w:rPr>
              <w:drawing>
                <wp:inline distT="0" distB="0" distL="0" distR="0" wp14:anchorId="01C6F8B2" wp14:editId="493F803B">
                  <wp:extent cx="88900" cy="184150"/>
                  <wp:effectExtent l="0" t="0" r="6350" b="6350"/>
                  <wp:docPr id="8" name="Picture 40" descr="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p>
        </w:tc>
        <w:tc>
          <w:tcPr>
            <w:tcW w:w="1005"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i/>
                <w:sz w:val="20"/>
                <w:szCs w:val="20"/>
              </w:rPr>
            </w:pPr>
            <w:r w:rsidRPr="003753FE">
              <w:rPr>
                <w:rFonts w:ascii="Arial" w:hAnsi="Arial" w:cs="Arial"/>
                <w:i/>
                <w:sz w:val="20"/>
                <w:szCs w:val="20"/>
              </w:rPr>
              <w:t>21 %</w:t>
            </w:r>
          </w:p>
        </w:tc>
      </w:tr>
      <w:tr w:rsidR="00F24971" w:rsidRPr="005B6074" w:rsidTr="003753FE">
        <w:trPr>
          <w:trHeight w:val="397"/>
          <w:jc w:val="center"/>
        </w:trPr>
        <w:tc>
          <w:tcPr>
            <w:tcW w:w="4390"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line="240" w:lineRule="auto"/>
              <w:rPr>
                <w:rFonts w:ascii="Arial" w:hAnsi="Arial" w:cs="Arial"/>
                <w:i/>
                <w:sz w:val="20"/>
                <w:szCs w:val="20"/>
              </w:rPr>
            </w:pPr>
            <w:r w:rsidRPr="003753FE">
              <w:rPr>
                <w:rFonts w:ascii="Arial" w:hAnsi="Arial" w:cs="Arial"/>
                <w:i/>
                <w:sz w:val="20"/>
                <w:szCs w:val="20"/>
              </w:rPr>
              <w:t xml:space="preserve">3 Member of the working group for elaboration of </w:t>
            </w:r>
            <w:r w:rsidR="005B35A7">
              <w:rPr>
                <w:rFonts w:ascii="Arial" w:hAnsi="Arial" w:cs="Arial"/>
                <w:i/>
                <w:sz w:val="20"/>
                <w:szCs w:val="20"/>
              </w:rPr>
              <w:t>OPSESG</w:t>
            </w:r>
            <w:r w:rsidRPr="003753FE">
              <w:rPr>
                <w:rFonts w:ascii="Arial" w:hAnsi="Arial" w:cs="Arial"/>
                <w:i/>
                <w:sz w:val="20"/>
                <w:szCs w:val="20"/>
              </w:rPr>
              <w:t xml:space="preserve"> 2014-2020 (other than the mentioned above)</w:t>
            </w:r>
          </w:p>
        </w:tc>
        <w:tc>
          <w:tcPr>
            <w:tcW w:w="1269"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line="240" w:lineRule="auto"/>
              <w:rPr>
                <w:rFonts w:ascii="Arial" w:hAnsi="Arial" w:cs="Arial"/>
                <w:i/>
                <w:sz w:val="20"/>
                <w:szCs w:val="20"/>
              </w:rPr>
            </w:pPr>
            <w:r w:rsidRPr="003753FE">
              <w:rPr>
                <w:rFonts w:ascii="Arial" w:hAnsi="Arial" w:cs="Arial"/>
                <w:i/>
                <w:sz w:val="20"/>
                <w:szCs w:val="20"/>
              </w:rPr>
              <w:t>39</w:t>
            </w:r>
          </w:p>
        </w:tc>
        <w:tc>
          <w:tcPr>
            <w:tcW w:w="2416" w:type="dxa"/>
            <w:tcBorders>
              <w:bottom w:val="single" w:sz="4" w:space="0" w:color="auto"/>
            </w:tcBorders>
            <w:shd w:val="clear" w:color="auto" w:fill="auto"/>
            <w:tcMar>
              <w:top w:w="28" w:type="dxa"/>
              <w:bottom w:w="28" w:type="dxa"/>
            </w:tcMar>
            <w:vAlign w:val="center"/>
          </w:tcPr>
          <w:p w:rsidR="00F24971" w:rsidRPr="003753FE" w:rsidRDefault="00AB7A0D" w:rsidP="003753FE">
            <w:pPr>
              <w:spacing w:after="0" w:line="240" w:lineRule="auto"/>
              <w:rPr>
                <w:rFonts w:ascii="Arial" w:hAnsi="Arial" w:cs="Arial"/>
                <w:i/>
                <w:sz w:val="20"/>
                <w:szCs w:val="20"/>
              </w:rPr>
            </w:pPr>
            <w:r w:rsidRPr="003753FE">
              <w:rPr>
                <w:rFonts w:ascii="Arial" w:hAnsi="Arial" w:cs="Arial"/>
                <w:i/>
                <w:noProof/>
                <w:sz w:val="20"/>
                <w:szCs w:val="20"/>
                <w:lang w:val="bg-BG" w:eastAsia="bg-BG"/>
              </w:rPr>
              <w:drawing>
                <wp:inline distT="0" distB="0" distL="0" distR="0" wp14:anchorId="242740CA" wp14:editId="10ED3856">
                  <wp:extent cx="88900" cy="184150"/>
                  <wp:effectExtent l="0" t="0" r="6350" b="6350"/>
                  <wp:docPr id="5" name="Picture 39" descr="3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3753FE">
              <w:rPr>
                <w:rFonts w:ascii="Arial" w:hAnsi="Arial" w:cs="Arial"/>
                <w:i/>
                <w:noProof/>
                <w:sz w:val="20"/>
                <w:szCs w:val="20"/>
                <w:lang w:val="bg-BG" w:eastAsia="bg-BG"/>
              </w:rPr>
              <w:drawing>
                <wp:inline distT="0" distB="0" distL="0" distR="0" wp14:anchorId="7797027F" wp14:editId="7747B85F">
                  <wp:extent cx="368300" cy="184150"/>
                  <wp:effectExtent l="0" t="0" r="0" b="6350"/>
                  <wp:docPr id="4" name="Picture 38" descr="3_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3_word"/>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8300" cy="184150"/>
                          </a:xfrm>
                          <a:prstGeom prst="rect">
                            <a:avLst/>
                          </a:prstGeom>
                          <a:noFill/>
                          <a:ln>
                            <a:noFill/>
                          </a:ln>
                        </pic:spPr>
                      </pic:pic>
                    </a:graphicData>
                  </a:graphic>
                </wp:inline>
              </w:drawing>
            </w:r>
            <w:r w:rsidRPr="003753FE">
              <w:rPr>
                <w:rFonts w:ascii="Arial" w:hAnsi="Arial" w:cs="Arial"/>
                <w:i/>
                <w:noProof/>
                <w:sz w:val="20"/>
                <w:szCs w:val="20"/>
                <w:lang w:val="bg-BG" w:eastAsia="bg-BG"/>
              </w:rPr>
              <w:drawing>
                <wp:inline distT="0" distB="0" distL="0" distR="0" wp14:anchorId="157906A1" wp14:editId="5F001A8A">
                  <wp:extent cx="88900" cy="184150"/>
                  <wp:effectExtent l="0" t="0" r="6350" b="6350"/>
                  <wp:docPr id="11" name="Picture 37" descr="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p>
        </w:tc>
        <w:tc>
          <w:tcPr>
            <w:tcW w:w="1005"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i/>
                <w:sz w:val="20"/>
                <w:szCs w:val="20"/>
              </w:rPr>
            </w:pPr>
            <w:r w:rsidRPr="003753FE">
              <w:rPr>
                <w:rFonts w:ascii="Arial" w:hAnsi="Arial" w:cs="Arial"/>
                <w:i/>
                <w:sz w:val="20"/>
                <w:szCs w:val="20"/>
              </w:rPr>
              <w:t>20 %</w:t>
            </w:r>
          </w:p>
        </w:tc>
      </w:tr>
      <w:tr w:rsidR="00F24971" w:rsidRPr="005B6074" w:rsidTr="003753FE">
        <w:trPr>
          <w:cantSplit/>
          <w:trHeight w:val="397"/>
          <w:jc w:val="center"/>
        </w:trPr>
        <w:tc>
          <w:tcPr>
            <w:tcW w:w="5659" w:type="dxa"/>
            <w:gridSpan w:val="2"/>
            <w:shd w:val="clear" w:color="auto" w:fill="E0E0E0"/>
            <w:tcMar>
              <w:right w:w="198" w:type="dxa"/>
            </w:tcMar>
            <w:vAlign w:val="center"/>
          </w:tcPr>
          <w:p w:rsidR="00F24971" w:rsidRPr="003753FE" w:rsidRDefault="00A35E98" w:rsidP="003753FE">
            <w:pPr>
              <w:spacing w:after="0"/>
              <w:jc w:val="right"/>
              <w:rPr>
                <w:rFonts w:ascii="Arial" w:hAnsi="Arial" w:cs="Arial"/>
                <w:b/>
                <w:sz w:val="20"/>
                <w:szCs w:val="20"/>
              </w:rPr>
            </w:pPr>
            <w:r w:rsidRPr="003753FE">
              <w:rPr>
                <w:rFonts w:ascii="Arial" w:hAnsi="Arial" w:cs="Arial"/>
                <w:b/>
                <w:sz w:val="20"/>
                <w:szCs w:val="20"/>
              </w:rPr>
              <w:t>Total respondents: 191</w:t>
            </w:r>
          </w:p>
          <w:p w:rsidR="00F24971" w:rsidRPr="005B6074" w:rsidRDefault="00A35E98" w:rsidP="003753FE">
            <w:pPr>
              <w:spacing w:after="0"/>
              <w:jc w:val="right"/>
            </w:pPr>
            <w:r w:rsidRPr="003753FE">
              <w:rPr>
                <w:rFonts w:ascii="Arial" w:hAnsi="Arial" w:cs="Arial"/>
                <w:b/>
                <w:sz w:val="20"/>
                <w:szCs w:val="20"/>
              </w:rPr>
              <w:t>Skipped question: 0</w:t>
            </w:r>
          </w:p>
        </w:tc>
        <w:tc>
          <w:tcPr>
            <w:tcW w:w="2416" w:type="dxa"/>
            <w:tcBorders>
              <w:right w:val="nil"/>
            </w:tcBorders>
            <w:shd w:val="clear" w:color="auto" w:fill="E0E0E0"/>
            <w:vAlign w:val="center"/>
          </w:tcPr>
          <w:tbl>
            <w:tblPr>
              <w:tblW w:w="2722" w:type="dxa"/>
              <w:jc w:val="righ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shd w:val="clear" w:color="auto" w:fill="F3F3F3"/>
              <w:tblLayout w:type="fixed"/>
              <w:tblLook w:val="01E0" w:firstRow="1" w:lastRow="1" w:firstColumn="1" w:lastColumn="1" w:noHBand="0" w:noVBand="0"/>
            </w:tblPr>
            <w:tblGrid>
              <w:gridCol w:w="545"/>
              <w:gridCol w:w="545"/>
              <w:gridCol w:w="544"/>
              <w:gridCol w:w="544"/>
              <w:gridCol w:w="544"/>
            </w:tblGrid>
            <w:tr w:rsidR="00F24971" w:rsidRPr="005B6074" w:rsidTr="003753FE">
              <w:trPr>
                <w:jc w:val="right"/>
              </w:trPr>
              <w:tc>
                <w:tcPr>
                  <w:tcW w:w="999" w:type="pct"/>
                  <w:shd w:val="clear" w:color="auto" w:fill="F3F3F3"/>
                  <w:tcMar>
                    <w:left w:w="57" w:type="dxa"/>
                    <w:right w:w="28" w:type="dxa"/>
                  </w:tcMar>
                  <w:vAlign w:val="center"/>
                </w:tcPr>
                <w:p w:rsidR="00F24971" w:rsidRPr="005B6074" w:rsidRDefault="00A35E98" w:rsidP="00F24971">
                  <w:pPr>
                    <w:pStyle w:val="ChartTableFooter"/>
                    <w:keepNext/>
                    <w:keepLines/>
                    <w:jc w:val="left"/>
                    <w:rPr>
                      <w:noProof w:val="0"/>
                      <w:color w:val="999999"/>
                      <w:sz w:val="16"/>
                      <w:szCs w:val="16"/>
                    </w:rPr>
                  </w:pPr>
                  <w:r w:rsidRPr="005B6074">
                    <w:rPr>
                      <w:noProof w:val="0"/>
                      <w:color w:val="999999"/>
                      <w:sz w:val="16"/>
                    </w:rPr>
                    <w:t>0%</w:t>
                  </w:r>
                </w:p>
              </w:tc>
              <w:tc>
                <w:tcPr>
                  <w:tcW w:w="1000" w:type="pct"/>
                  <w:shd w:val="clear" w:color="auto" w:fill="F3F3F3"/>
                  <w:tcMar>
                    <w:left w:w="57" w:type="dxa"/>
                    <w:right w:w="28" w:type="dxa"/>
                  </w:tcMar>
                  <w:vAlign w:val="center"/>
                </w:tcPr>
                <w:p w:rsidR="00F24971" w:rsidRPr="005B6074" w:rsidRDefault="00A35E98" w:rsidP="00F24971">
                  <w:pPr>
                    <w:pStyle w:val="ChartTableFooter"/>
                    <w:keepNext/>
                    <w:keepLines/>
                    <w:jc w:val="left"/>
                    <w:rPr>
                      <w:noProof w:val="0"/>
                      <w:color w:val="999999"/>
                      <w:sz w:val="16"/>
                      <w:szCs w:val="16"/>
                    </w:rPr>
                  </w:pPr>
                  <w:r w:rsidRPr="005B6074">
                    <w:rPr>
                      <w:noProof w:val="0"/>
                      <w:color w:val="999999"/>
                      <w:sz w:val="16"/>
                    </w:rPr>
                    <w:t>20%</w:t>
                  </w:r>
                </w:p>
              </w:tc>
              <w:tc>
                <w:tcPr>
                  <w:tcW w:w="1000" w:type="pct"/>
                  <w:shd w:val="clear" w:color="auto" w:fill="F3F3F3"/>
                  <w:tcMar>
                    <w:left w:w="57" w:type="dxa"/>
                    <w:right w:w="28" w:type="dxa"/>
                  </w:tcMar>
                  <w:vAlign w:val="center"/>
                </w:tcPr>
                <w:p w:rsidR="00F24971" w:rsidRPr="005B6074" w:rsidRDefault="00A35E98" w:rsidP="00F24971">
                  <w:pPr>
                    <w:pStyle w:val="ChartTableFooter"/>
                    <w:keepNext/>
                    <w:keepLines/>
                    <w:jc w:val="left"/>
                    <w:rPr>
                      <w:noProof w:val="0"/>
                      <w:color w:val="999999"/>
                      <w:sz w:val="16"/>
                      <w:szCs w:val="16"/>
                    </w:rPr>
                  </w:pPr>
                  <w:r w:rsidRPr="005B6074">
                    <w:rPr>
                      <w:noProof w:val="0"/>
                      <w:color w:val="999999"/>
                      <w:sz w:val="16"/>
                    </w:rPr>
                    <w:t>40%</w:t>
                  </w:r>
                </w:p>
              </w:tc>
              <w:tc>
                <w:tcPr>
                  <w:tcW w:w="1000" w:type="pct"/>
                  <w:shd w:val="clear" w:color="auto" w:fill="F3F3F3"/>
                  <w:tcMar>
                    <w:left w:w="57" w:type="dxa"/>
                    <w:right w:w="28" w:type="dxa"/>
                  </w:tcMar>
                  <w:vAlign w:val="center"/>
                </w:tcPr>
                <w:p w:rsidR="00F24971" w:rsidRPr="005B6074" w:rsidRDefault="00A35E98" w:rsidP="00F24971">
                  <w:pPr>
                    <w:pStyle w:val="ChartTableFooter"/>
                    <w:keepNext/>
                    <w:keepLines/>
                    <w:jc w:val="left"/>
                    <w:rPr>
                      <w:noProof w:val="0"/>
                      <w:color w:val="999999"/>
                      <w:sz w:val="16"/>
                      <w:szCs w:val="16"/>
                    </w:rPr>
                  </w:pPr>
                  <w:r w:rsidRPr="005B6074">
                    <w:rPr>
                      <w:noProof w:val="0"/>
                      <w:color w:val="999999"/>
                      <w:sz w:val="16"/>
                    </w:rPr>
                    <w:t>60%</w:t>
                  </w:r>
                </w:p>
              </w:tc>
              <w:tc>
                <w:tcPr>
                  <w:tcW w:w="1000" w:type="pct"/>
                  <w:shd w:val="clear" w:color="auto" w:fill="F3F3F3"/>
                  <w:tcMar>
                    <w:left w:w="57" w:type="dxa"/>
                    <w:right w:w="28" w:type="dxa"/>
                  </w:tcMar>
                  <w:vAlign w:val="center"/>
                </w:tcPr>
                <w:p w:rsidR="00F24971" w:rsidRPr="005B6074" w:rsidRDefault="00A35E98" w:rsidP="00F24971">
                  <w:pPr>
                    <w:pStyle w:val="ChartTableFooter"/>
                    <w:keepNext/>
                    <w:keepLines/>
                    <w:jc w:val="left"/>
                    <w:rPr>
                      <w:noProof w:val="0"/>
                      <w:color w:val="999999"/>
                      <w:sz w:val="16"/>
                      <w:szCs w:val="16"/>
                    </w:rPr>
                  </w:pPr>
                  <w:r w:rsidRPr="005B6074">
                    <w:rPr>
                      <w:noProof w:val="0"/>
                      <w:color w:val="999999"/>
                      <w:sz w:val="16"/>
                    </w:rPr>
                    <w:t>80%</w:t>
                  </w:r>
                </w:p>
              </w:tc>
            </w:tr>
          </w:tbl>
          <w:p w:rsidR="00F24971" w:rsidRPr="005B6074" w:rsidRDefault="00F24971" w:rsidP="00F24971">
            <w:pPr>
              <w:pStyle w:val="ChartTableFooter"/>
              <w:keepNext/>
              <w:keepLines/>
              <w:rPr>
                <w:noProof w:val="0"/>
                <w:sz w:val="18"/>
              </w:rPr>
            </w:pPr>
          </w:p>
        </w:tc>
        <w:tc>
          <w:tcPr>
            <w:tcW w:w="1005" w:type="dxa"/>
            <w:tcBorders>
              <w:left w:val="nil"/>
            </w:tcBorders>
            <w:shd w:val="clear" w:color="auto" w:fill="E0E0E0"/>
            <w:vAlign w:val="center"/>
          </w:tcPr>
          <w:p w:rsidR="00F24971" w:rsidRPr="005B6074" w:rsidRDefault="00F24971" w:rsidP="00F24971">
            <w:pPr>
              <w:pStyle w:val="ChartTableFooter"/>
              <w:keepNext/>
              <w:keepLines/>
              <w:rPr>
                <w:noProof w:val="0"/>
                <w:sz w:val="18"/>
              </w:rPr>
            </w:pPr>
          </w:p>
        </w:tc>
      </w:tr>
    </w:tbl>
    <w:p w:rsidR="00F24971" w:rsidRPr="005B6074" w:rsidRDefault="00F24971" w:rsidP="00F24971">
      <w:pPr>
        <w:spacing w:after="120"/>
        <w:jc w:val="both"/>
        <w:rPr>
          <w:rFonts w:ascii="Verdana" w:hAnsi="Verdana"/>
          <w:sz w:val="20"/>
          <w:szCs w:val="20"/>
        </w:rPr>
      </w:pPr>
    </w:p>
    <w:p w:rsidR="00F24971" w:rsidRPr="005B6074" w:rsidRDefault="00A35E98" w:rsidP="00F24971">
      <w:pPr>
        <w:spacing w:after="120"/>
        <w:jc w:val="both"/>
        <w:rPr>
          <w:rFonts w:ascii="Verdana" w:hAnsi="Verdana"/>
          <w:sz w:val="20"/>
          <w:szCs w:val="20"/>
        </w:rPr>
      </w:pPr>
      <w:r w:rsidRPr="005B6074">
        <w:rPr>
          <w:rFonts w:ascii="Verdana" w:hAnsi="Verdana"/>
          <w:sz w:val="20"/>
        </w:rPr>
        <w:t>The results from the questionnaire have been used as information complementing the analysis, where appropriate, and have been included in Annex 3 to this report.</w:t>
      </w:r>
    </w:p>
    <w:p w:rsidR="00F24971" w:rsidRPr="005B6074" w:rsidRDefault="00A35E98" w:rsidP="00F24971">
      <w:pPr>
        <w:spacing w:before="120" w:after="120"/>
        <w:jc w:val="both"/>
        <w:rPr>
          <w:rFonts w:ascii="Verdana" w:hAnsi="Verdana"/>
          <w:bCs/>
          <w:color w:val="000000"/>
          <w:sz w:val="20"/>
          <w:szCs w:val="20"/>
        </w:rPr>
      </w:pPr>
      <w:r w:rsidRPr="005B6074">
        <w:rPr>
          <w:rFonts w:ascii="Verdana" w:hAnsi="Verdana"/>
          <w:color w:val="548DD4"/>
          <w:sz w:val="20"/>
        </w:rPr>
        <w:t xml:space="preserve">On-line questionnaire </w:t>
      </w:r>
      <w:r w:rsidRPr="005B6074">
        <w:rPr>
          <w:rFonts w:ascii="Verdana" w:hAnsi="Verdana"/>
          <w:sz w:val="20"/>
        </w:rPr>
        <w:t xml:space="preserve">to GD SFIEP. The questionnaire via the web-based </w:t>
      </w:r>
      <w:proofErr w:type="gramStart"/>
      <w:r w:rsidRPr="005B6074">
        <w:rPr>
          <w:rFonts w:ascii="Verdana" w:hAnsi="Verdana"/>
          <w:sz w:val="20"/>
        </w:rPr>
        <w:t xml:space="preserve">platform  </w:t>
      </w:r>
      <w:proofErr w:type="gramEnd"/>
      <w:r w:rsidR="007A2B7B">
        <w:fldChar w:fldCharType="begin"/>
      </w:r>
      <w:r w:rsidR="007A2B7B">
        <w:instrText xml:space="preserve"> HYPERLINK "http://www.checkmarket.com" </w:instrText>
      </w:r>
      <w:r w:rsidR="007A2B7B">
        <w:fldChar w:fldCharType="separate"/>
      </w:r>
      <w:r w:rsidRPr="005B6074">
        <w:rPr>
          <w:rStyle w:val="Hyperlink"/>
          <w:rFonts w:ascii="Verdana" w:hAnsi="Verdana"/>
          <w:sz w:val="20"/>
        </w:rPr>
        <w:t>www.checkmarket.com</w:t>
      </w:r>
      <w:r w:rsidR="007A2B7B">
        <w:rPr>
          <w:rStyle w:val="Hyperlink"/>
          <w:rFonts w:ascii="Verdana" w:hAnsi="Verdana"/>
          <w:sz w:val="20"/>
        </w:rPr>
        <w:fldChar w:fldCharType="end"/>
      </w:r>
      <w:r w:rsidRPr="005B6074">
        <w:rPr>
          <w:rStyle w:val="Hyperlink"/>
          <w:rFonts w:ascii="Verdana" w:hAnsi="Verdana"/>
          <w:sz w:val="20"/>
        </w:rPr>
        <w:t>,</w:t>
      </w:r>
      <w:r w:rsidRPr="005B6074">
        <w:rPr>
          <w:rFonts w:ascii="Verdana" w:hAnsi="Verdana"/>
          <w:sz w:val="20"/>
        </w:rPr>
        <w:t xml:space="preserve"> was sent to all the staff of GD SFIEP (80 experts) and was aimed to collect information supporting the analyses and the assessment of the administrative capacity for management and implementation of OPSESG 2014-2020. 56 </w:t>
      </w:r>
      <w:r w:rsidRPr="005B6074">
        <w:rPr>
          <w:rFonts w:ascii="Verdana" w:hAnsi="Verdana"/>
          <w:color w:val="000000"/>
          <w:sz w:val="20"/>
        </w:rPr>
        <w:t xml:space="preserve">experts (68%) responded to the questionnaire. The table below gives an account of the respondents by </w:t>
      </w:r>
      <w:r w:rsidR="00F52AAA">
        <w:rPr>
          <w:rFonts w:ascii="Verdana" w:hAnsi="Verdana"/>
          <w:color w:val="000000"/>
          <w:sz w:val="20"/>
        </w:rPr>
        <w:t>department</w:t>
      </w:r>
      <w:r w:rsidRPr="005B6074">
        <w:rPr>
          <w:rFonts w:ascii="Verdana" w:hAnsi="Verdana"/>
          <w:color w:val="000000"/>
          <w:sz w:val="20"/>
        </w:rPr>
        <w:t>.</w:t>
      </w:r>
    </w:p>
    <w:tbl>
      <w:tblPr>
        <w:tblW w:w="9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3"/>
        <w:gridCol w:w="1564"/>
        <w:gridCol w:w="1559"/>
        <w:gridCol w:w="1284"/>
      </w:tblGrid>
      <w:tr w:rsidR="00F24971" w:rsidRPr="003753FE" w:rsidTr="003753FE">
        <w:trPr>
          <w:cantSplit/>
          <w:trHeight w:val="397"/>
          <w:jc w:val="center"/>
        </w:trPr>
        <w:tc>
          <w:tcPr>
            <w:tcW w:w="4673" w:type="dxa"/>
            <w:shd w:val="clear" w:color="auto" w:fill="E0E0E0"/>
            <w:vAlign w:val="center"/>
          </w:tcPr>
          <w:p w:rsidR="00F24971" w:rsidRPr="003753FE" w:rsidRDefault="00F52AAA" w:rsidP="003753FE">
            <w:pPr>
              <w:spacing w:after="0"/>
              <w:rPr>
                <w:rFonts w:ascii="Arial" w:hAnsi="Arial" w:cs="Arial"/>
                <w:b/>
                <w:sz w:val="20"/>
                <w:szCs w:val="20"/>
              </w:rPr>
            </w:pPr>
            <w:r w:rsidRPr="003753FE">
              <w:rPr>
                <w:rFonts w:ascii="Arial" w:hAnsi="Arial" w:cs="Arial"/>
                <w:b/>
                <w:sz w:val="20"/>
                <w:szCs w:val="20"/>
              </w:rPr>
              <w:t>Department</w:t>
            </w:r>
          </w:p>
        </w:tc>
        <w:tc>
          <w:tcPr>
            <w:tcW w:w="1564" w:type="dxa"/>
            <w:shd w:val="clear" w:color="auto" w:fill="E0E0E0"/>
            <w:vAlign w:val="center"/>
          </w:tcPr>
          <w:p w:rsidR="00F24971" w:rsidRPr="003753FE" w:rsidRDefault="00F52AAA" w:rsidP="003753FE">
            <w:pPr>
              <w:spacing w:after="0"/>
              <w:rPr>
                <w:rFonts w:ascii="Arial" w:hAnsi="Arial" w:cs="Arial"/>
                <w:b/>
                <w:sz w:val="20"/>
                <w:szCs w:val="20"/>
              </w:rPr>
            </w:pPr>
            <w:r w:rsidRPr="003753FE">
              <w:rPr>
                <w:rFonts w:ascii="Arial" w:hAnsi="Arial" w:cs="Arial"/>
                <w:b/>
                <w:sz w:val="20"/>
                <w:szCs w:val="20"/>
              </w:rPr>
              <w:t>Number of experts in departments</w:t>
            </w:r>
          </w:p>
        </w:tc>
        <w:tc>
          <w:tcPr>
            <w:tcW w:w="1559" w:type="dxa"/>
            <w:shd w:val="clear" w:color="auto" w:fill="E0E0E0"/>
            <w:vAlign w:val="center"/>
          </w:tcPr>
          <w:p w:rsidR="00F24971" w:rsidRPr="003753FE" w:rsidRDefault="00A35E98" w:rsidP="003753FE">
            <w:pPr>
              <w:spacing w:after="0"/>
              <w:rPr>
                <w:rFonts w:ascii="Arial" w:hAnsi="Arial" w:cs="Arial"/>
                <w:b/>
                <w:sz w:val="20"/>
                <w:szCs w:val="20"/>
              </w:rPr>
            </w:pPr>
            <w:r w:rsidRPr="003753FE">
              <w:rPr>
                <w:rFonts w:ascii="Arial" w:hAnsi="Arial" w:cs="Arial"/>
                <w:b/>
                <w:sz w:val="20"/>
                <w:szCs w:val="20"/>
              </w:rPr>
              <w:t>Respondents (No)</w:t>
            </w:r>
          </w:p>
        </w:tc>
        <w:tc>
          <w:tcPr>
            <w:tcW w:w="1284" w:type="dxa"/>
            <w:shd w:val="clear" w:color="auto" w:fill="E0E0E0"/>
            <w:vAlign w:val="center"/>
          </w:tcPr>
          <w:p w:rsidR="00F24971" w:rsidRPr="003753FE" w:rsidRDefault="00A35E98" w:rsidP="003753FE">
            <w:pPr>
              <w:spacing w:after="0"/>
              <w:rPr>
                <w:rFonts w:ascii="Arial" w:hAnsi="Arial" w:cs="Arial"/>
                <w:b/>
                <w:sz w:val="20"/>
                <w:szCs w:val="20"/>
              </w:rPr>
            </w:pPr>
            <w:r w:rsidRPr="003753FE">
              <w:rPr>
                <w:rFonts w:ascii="Arial" w:hAnsi="Arial" w:cs="Arial"/>
                <w:b/>
                <w:sz w:val="20"/>
                <w:szCs w:val="20"/>
              </w:rPr>
              <w:t>% of responses</w:t>
            </w:r>
          </w:p>
        </w:tc>
      </w:tr>
      <w:tr w:rsidR="00F24971" w:rsidRPr="003753FE" w:rsidTr="00F24971">
        <w:trPr>
          <w:trHeight w:val="397"/>
          <w:jc w:val="center"/>
        </w:trPr>
        <w:tc>
          <w:tcPr>
            <w:tcW w:w="4673"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 xml:space="preserve">1 Analyses, Planning and Grants </w:t>
            </w:r>
          </w:p>
        </w:tc>
        <w:tc>
          <w:tcPr>
            <w:tcW w:w="1564"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9</w:t>
            </w:r>
          </w:p>
        </w:tc>
        <w:tc>
          <w:tcPr>
            <w:tcW w:w="1559"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8</w:t>
            </w:r>
          </w:p>
        </w:tc>
        <w:tc>
          <w:tcPr>
            <w:tcW w:w="1284"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89</w:t>
            </w:r>
          </w:p>
        </w:tc>
      </w:tr>
      <w:tr w:rsidR="00F24971" w:rsidRPr="003753FE" w:rsidTr="00F24971">
        <w:trPr>
          <w:trHeight w:val="397"/>
          <w:jc w:val="center"/>
        </w:trPr>
        <w:tc>
          <w:tcPr>
            <w:tcW w:w="4673"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 xml:space="preserve">2 Technical Verification </w:t>
            </w:r>
          </w:p>
        </w:tc>
        <w:tc>
          <w:tcPr>
            <w:tcW w:w="1564"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17</w:t>
            </w:r>
          </w:p>
        </w:tc>
        <w:tc>
          <w:tcPr>
            <w:tcW w:w="1559"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10</w:t>
            </w:r>
          </w:p>
        </w:tc>
        <w:tc>
          <w:tcPr>
            <w:tcW w:w="1284"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59</w:t>
            </w:r>
          </w:p>
        </w:tc>
      </w:tr>
      <w:tr w:rsidR="00F24971" w:rsidRPr="003753FE" w:rsidTr="00F24971">
        <w:trPr>
          <w:trHeight w:val="397"/>
          <w:jc w:val="center"/>
        </w:trPr>
        <w:tc>
          <w:tcPr>
            <w:tcW w:w="4673"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 xml:space="preserve">3 Financial Verification </w:t>
            </w:r>
          </w:p>
        </w:tc>
        <w:tc>
          <w:tcPr>
            <w:tcW w:w="1564"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19</w:t>
            </w:r>
          </w:p>
        </w:tc>
        <w:tc>
          <w:tcPr>
            <w:tcW w:w="1559"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13</w:t>
            </w:r>
          </w:p>
        </w:tc>
        <w:tc>
          <w:tcPr>
            <w:tcW w:w="1284"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68</w:t>
            </w:r>
          </w:p>
        </w:tc>
      </w:tr>
      <w:tr w:rsidR="00F24971" w:rsidRPr="003753FE" w:rsidTr="00F24971">
        <w:trPr>
          <w:trHeight w:val="397"/>
          <w:jc w:val="center"/>
        </w:trPr>
        <w:tc>
          <w:tcPr>
            <w:tcW w:w="4673"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lastRenderedPageBreak/>
              <w:t xml:space="preserve">4 Financial Planning, Accounting and Payments </w:t>
            </w:r>
          </w:p>
        </w:tc>
        <w:tc>
          <w:tcPr>
            <w:tcW w:w="1564"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6</w:t>
            </w:r>
          </w:p>
        </w:tc>
        <w:tc>
          <w:tcPr>
            <w:tcW w:w="1559"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2</w:t>
            </w:r>
          </w:p>
        </w:tc>
        <w:tc>
          <w:tcPr>
            <w:tcW w:w="1284"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33</w:t>
            </w:r>
          </w:p>
        </w:tc>
      </w:tr>
      <w:tr w:rsidR="00F24971" w:rsidRPr="003753FE" w:rsidTr="00F24971">
        <w:trPr>
          <w:trHeight w:val="397"/>
          <w:jc w:val="center"/>
        </w:trPr>
        <w:tc>
          <w:tcPr>
            <w:tcW w:w="4673"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 xml:space="preserve">5 Regional Management of Projects </w:t>
            </w:r>
          </w:p>
        </w:tc>
        <w:tc>
          <w:tcPr>
            <w:tcW w:w="1564"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23</w:t>
            </w:r>
          </w:p>
        </w:tc>
        <w:tc>
          <w:tcPr>
            <w:tcW w:w="1559"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19</w:t>
            </w:r>
          </w:p>
        </w:tc>
        <w:tc>
          <w:tcPr>
            <w:tcW w:w="1284"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83</w:t>
            </w:r>
          </w:p>
        </w:tc>
      </w:tr>
      <w:tr w:rsidR="00F24971" w:rsidRPr="003753FE" w:rsidTr="00F24971">
        <w:trPr>
          <w:trHeight w:val="397"/>
          <w:jc w:val="center"/>
        </w:trPr>
        <w:tc>
          <w:tcPr>
            <w:tcW w:w="4673"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 xml:space="preserve">6 Quality Management </w:t>
            </w:r>
          </w:p>
        </w:tc>
        <w:tc>
          <w:tcPr>
            <w:tcW w:w="1564"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5</w:t>
            </w:r>
          </w:p>
        </w:tc>
        <w:tc>
          <w:tcPr>
            <w:tcW w:w="1559"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2</w:t>
            </w:r>
          </w:p>
        </w:tc>
        <w:tc>
          <w:tcPr>
            <w:tcW w:w="1284"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40</w:t>
            </w:r>
          </w:p>
        </w:tc>
      </w:tr>
      <w:tr w:rsidR="00F24971" w:rsidRPr="003753FE" w:rsidTr="00F24971">
        <w:trPr>
          <w:trHeight w:val="397"/>
          <w:jc w:val="center"/>
        </w:trPr>
        <w:tc>
          <w:tcPr>
            <w:tcW w:w="4673" w:type="dxa"/>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7 Other (director, deputy director, specialist), please specify.</w:t>
            </w:r>
          </w:p>
        </w:tc>
        <w:tc>
          <w:tcPr>
            <w:tcW w:w="1564" w:type="dxa"/>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3</w:t>
            </w:r>
          </w:p>
        </w:tc>
        <w:tc>
          <w:tcPr>
            <w:tcW w:w="1559" w:type="dxa"/>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2</w:t>
            </w:r>
          </w:p>
        </w:tc>
        <w:tc>
          <w:tcPr>
            <w:tcW w:w="1284" w:type="dxa"/>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67</w:t>
            </w:r>
          </w:p>
        </w:tc>
      </w:tr>
      <w:tr w:rsidR="00F24971" w:rsidRPr="003753FE" w:rsidTr="00F24971">
        <w:trPr>
          <w:trHeight w:val="397"/>
          <w:jc w:val="center"/>
        </w:trPr>
        <w:tc>
          <w:tcPr>
            <w:tcW w:w="4673"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Total</w:t>
            </w:r>
          </w:p>
        </w:tc>
        <w:tc>
          <w:tcPr>
            <w:tcW w:w="1564"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82</w:t>
            </w:r>
          </w:p>
        </w:tc>
        <w:tc>
          <w:tcPr>
            <w:tcW w:w="1559" w:type="dxa"/>
            <w:tcBorders>
              <w:bottom w:val="single" w:sz="4" w:space="0" w:color="auto"/>
            </w:tcBorders>
            <w:shd w:val="clear" w:color="auto" w:fill="auto"/>
            <w:tcMar>
              <w:top w:w="28" w:type="dxa"/>
              <w:bottom w:w="28" w:type="dxa"/>
            </w:tcMar>
            <w:vAlign w:val="center"/>
          </w:tcPr>
          <w:p w:rsidR="00F24971" w:rsidRPr="003753FE" w:rsidRDefault="00A35E98" w:rsidP="003753FE">
            <w:pPr>
              <w:spacing w:after="0"/>
              <w:rPr>
                <w:rFonts w:ascii="Arial" w:hAnsi="Arial" w:cs="Arial"/>
                <w:sz w:val="20"/>
                <w:szCs w:val="20"/>
              </w:rPr>
            </w:pPr>
            <w:r w:rsidRPr="003753FE">
              <w:rPr>
                <w:rFonts w:ascii="Arial" w:hAnsi="Arial" w:cs="Arial"/>
                <w:sz w:val="20"/>
                <w:szCs w:val="20"/>
              </w:rPr>
              <w:t>56</w:t>
            </w:r>
          </w:p>
        </w:tc>
        <w:tc>
          <w:tcPr>
            <w:tcW w:w="1284" w:type="dxa"/>
            <w:tcBorders>
              <w:bottom w:val="single" w:sz="4" w:space="0" w:color="auto"/>
            </w:tcBorders>
            <w:shd w:val="clear" w:color="auto" w:fill="auto"/>
            <w:tcMar>
              <w:top w:w="28" w:type="dxa"/>
              <w:bottom w:w="28" w:type="dxa"/>
            </w:tcMar>
            <w:vAlign w:val="center"/>
          </w:tcPr>
          <w:p w:rsidR="00F24971" w:rsidRPr="003753FE" w:rsidRDefault="00F24971" w:rsidP="003753FE">
            <w:pPr>
              <w:spacing w:after="0"/>
              <w:rPr>
                <w:rFonts w:ascii="Arial" w:hAnsi="Arial" w:cs="Arial"/>
                <w:sz w:val="20"/>
                <w:szCs w:val="20"/>
              </w:rPr>
            </w:pPr>
          </w:p>
        </w:tc>
      </w:tr>
    </w:tbl>
    <w:p w:rsidR="00F24971" w:rsidRPr="005B6074" w:rsidRDefault="00A35E98" w:rsidP="00F24971">
      <w:pPr>
        <w:spacing w:after="0" w:line="240" w:lineRule="auto"/>
        <w:jc w:val="both"/>
        <w:rPr>
          <w:rFonts w:ascii="Verdana" w:hAnsi="Verdana"/>
          <w:bCs/>
          <w:color w:val="000000"/>
          <w:sz w:val="16"/>
          <w:szCs w:val="16"/>
        </w:rPr>
      </w:pPr>
      <w:r w:rsidRPr="005B6074">
        <w:rPr>
          <w:rFonts w:ascii="Verdana" w:hAnsi="Verdana"/>
          <w:color w:val="000000"/>
          <w:sz w:val="16"/>
        </w:rPr>
        <w:t>* Structure of the directorate during the enquiry. A new structure was adopted at end-May 2014 which is discussed in the analyses below.</w:t>
      </w:r>
    </w:p>
    <w:p w:rsidR="00F24971" w:rsidRPr="005B6074" w:rsidRDefault="00A35E98" w:rsidP="00F24971">
      <w:pPr>
        <w:spacing w:before="120" w:after="120"/>
        <w:jc w:val="both"/>
        <w:rPr>
          <w:rFonts w:ascii="Verdana" w:hAnsi="Verdana"/>
          <w:sz w:val="20"/>
          <w:szCs w:val="20"/>
        </w:rPr>
      </w:pPr>
      <w:r w:rsidRPr="005B6074">
        <w:rPr>
          <w:rFonts w:ascii="Verdana" w:hAnsi="Verdana"/>
          <w:sz w:val="20"/>
        </w:rPr>
        <w:t>The answers to the questionnaire are given in Annex 4.</w:t>
      </w:r>
    </w:p>
    <w:p w:rsidR="00F24971" w:rsidRPr="005B6074" w:rsidRDefault="00A35E98" w:rsidP="00F24971">
      <w:pPr>
        <w:spacing w:before="120" w:after="120"/>
        <w:jc w:val="both"/>
        <w:rPr>
          <w:rFonts w:ascii="Verdana" w:hAnsi="Verdana"/>
          <w:sz w:val="20"/>
          <w:szCs w:val="20"/>
        </w:rPr>
      </w:pPr>
      <w:r w:rsidRPr="005B6074">
        <w:rPr>
          <w:rFonts w:ascii="Verdana" w:hAnsi="Verdana"/>
          <w:color w:val="548DD4"/>
          <w:sz w:val="20"/>
        </w:rPr>
        <w:t xml:space="preserve">Focus group </w:t>
      </w:r>
      <w:r w:rsidRPr="005B6074">
        <w:rPr>
          <w:rFonts w:ascii="Verdana" w:hAnsi="Verdana"/>
          <w:sz w:val="20"/>
        </w:rPr>
        <w:t>of representatives of the working group for Programme preparation which discussed the focus and prioritisation of investments under Priority Axis (PA) 1, PA2 and PA3 of the Programme.</w:t>
      </w:r>
    </w:p>
    <w:p w:rsidR="00F24971" w:rsidRPr="005B6074" w:rsidRDefault="00A35E98" w:rsidP="00F24971">
      <w:pPr>
        <w:spacing w:before="120" w:after="120"/>
        <w:jc w:val="both"/>
        <w:rPr>
          <w:rFonts w:ascii="Verdana" w:hAnsi="Verdana"/>
          <w:sz w:val="20"/>
          <w:szCs w:val="20"/>
        </w:rPr>
      </w:pPr>
      <w:r w:rsidRPr="005B6074">
        <w:rPr>
          <w:rFonts w:ascii="Verdana" w:hAnsi="Verdana"/>
          <w:color w:val="548DD4"/>
          <w:sz w:val="20"/>
        </w:rPr>
        <w:t xml:space="preserve">Focus group </w:t>
      </w:r>
      <w:r w:rsidRPr="005B6074">
        <w:rPr>
          <w:rFonts w:ascii="Verdana" w:hAnsi="Verdana"/>
          <w:sz w:val="20"/>
        </w:rPr>
        <w:t>of beneficiaries under OPHRD 2007-2013 which implement projects under educational measures administered by MES as an Intermediate Body. The focus group discussed the administrative capacity and the possibilities for reduction of the administrative burden based on the project implementation experience in the current programming period.</w:t>
      </w:r>
    </w:p>
    <w:p w:rsidR="00F24971" w:rsidRPr="005B6074" w:rsidRDefault="00A35E98" w:rsidP="00F24971">
      <w:pPr>
        <w:spacing w:before="120" w:after="120"/>
        <w:jc w:val="both"/>
        <w:rPr>
          <w:rFonts w:ascii="Verdana" w:hAnsi="Verdana"/>
          <w:sz w:val="20"/>
          <w:szCs w:val="20"/>
        </w:rPr>
      </w:pPr>
      <w:r w:rsidRPr="005B6074">
        <w:rPr>
          <w:rFonts w:ascii="Verdana" w:hAnsi="Verdana"/>
          <w:sz w:val="20"/>
        </w:rPr>
        <w:t>The list of focus group participants is given in Annex 2.</w:t>
      </w:r>
    </w:p>
    <w:p w:rsidR="00F24971" w:rsidRPr="005B6074" w:rsidRDefault="00A35E98" w:rsidP="00F24971">
      <w:pPr>
        <w:spacing w:before="120" w:after="120"/>
        <w:jc w:val="both"/>
        <w:rPr>
          <w:rFonts w:ascii="Verdana" w:hAnsi="Verdana"/>
          <w:sz w:val="20"/>
          <w:szCs w:val="20"/>
        </w:rPr>
      </w:pPr>
      <w:r w:rsidRPr="005B6074">
        <w:rPr>
          <w:rFonts w:ascii="Verdana" w:hAnsi="Verdana"/>
          <w:sz w:val="20"/>
        </w:rPr>
        <w:t xml:space="preserve">Experts from the team of assessors took part in </w:t>
      </w:r>
      <w:r w:rsidRPr="005B6074">
        <w:rPr>
          <w:rFonts w:ascii="Verdana" w:hAnsi="Verdana"/>
          <w:color w:val="548DD4"/>
          <w:sz w:val="20"/>
        </w:rPr>
        <w:t xml:space="preserve">meetings of the working group </w:t>
      </w:r>
      <w:r w:rsidRPr="005B6074">
        <w:rPr>
          <w:rFonts w:ascii="Verdana" w:hAnsi="Verdana"/>
          <w:sz w:val="20"/>
        </w:rPr>
        <w:t xml:space="preserve">for elaboration of </w:t>
      </w:r>
      <w:r w:rsidR="005B35A7">
        <w:rPr>
          <w:rFonts w:ascii="Verdana" w:hAnsi="Verdana"/>
          <w:sz w:val="20"/>
        </w:rPr>
        <w:t>OPSESG</w:t>
      </w:r>
      <w:r w:rsidRPr="005B6074">
        <w:rPr>
          <w:rFonts w:ascii="Verdana" w:hAnsi="Verdana"/>
          <w:sz w:val="20"/>
        </w:rPr>
        <w:t xml:space="preserve"> 2014-2020.</w:t>
      </w:r>
    </w:p>
    <w:p w:rsidR="00F24971" w:rsidRPr="005B6074" w:rsidRDefault="00A35E98" w:rsidP="00F24971">
      <w:pPr>
        <w:spacing w:before="120" w:after="120"/>
        <w:jc w:val="both"/>
        <w:rPr>
          <w:rFonts w:ascii="Verdana" w:hAnsi="Verdana"/>
          <w:sz w:val="20"/>
          <w:szCs w:val="20"/>
        </w:rPr>
      </w:pPr>
      <w:r w:rsidRPr="005B6074">
        <w:rPr>
          <w:rFonts w:ascii="Verdana" w:hAnsi="Verdana"/>
          <w:color w:val="548DD4"/>
          <w:sz w:val="20"/>
        </w:rPr>
        <w:t xml:space="preserve">Analysis of intervention logic </w:t>
      </w:r>
      <w:r w:rsidRPr="005B6074">
        <w:rPr>
          <w:rFonts w:ascii="Verdana" w:hAnsi="Verdana"/>
          <w:sz w:val="20"/>
        </w:rPr>
        <w:t>was used to assess the Programme's external coherence with basic strategic documents and to assess the Programme's internal logic. Annex 5 presents the Programme's intervention logic by priority axis.</w:t>
      </w:r>
    </w:p>
    <w:p w:rsidR="00F24971" w:rsidRPr="005B6074" w:rsidRDefault="00A35E98" w:rsidP="00F24971">
      <w:pPr>
        <w:spacing w:before="120" w:after="120"/>
        <w:jc w:val="both"/>
        <w:rPr>
          <w:rFonts w:ascii="Verdana" w:hAnsi="Verdana"/>
          <w:sz w:val="20"/>
          <w:szCs w:val="20"/>
        </w:rPr>
      </w:pPr>
      <w:r w:rsidRPr="005B6074">
        <w:rPr>
          <w:rFonts w:ascii="Verdana" w:hAnsi="Verdana"/>
          <w:color w:val="548DD4"/>
          <w:sz w:val="20"/>
        </w:rPr>
        <w:t>The financial and legal analysis</w:t>
      </w:r>
      <w:r w:rsidRPr="005B6074">
        <w:rPr>
          <w:rFonts w:ascii="Verdana" w:hAnsi="Verdana"/>
          <w:sz w:val="20"/>
        </w:rPr>
        <w:t>, which includes elements of financial planning and analysis of legislative requirements to the budget as set in the regulations and in the Partnership Agreement for the following programming period, was used to assess the Programme's financial parameters.</w:t>
      </w:r>
    </w:p>
    <w:p w:rsidR="00F24971" w:rsidRPr="005B6074" w:rsidRDefault="00A35E98" w:rsidP="00F24971">
      <w:pPr>
        <w:spacing w:before="120" w:after="120"/>
        <w:jc w:val="both"/>
        <w:rPr>
          <w:rFonts w:ascii="Verdana" w:hAnsi="Verdana"/>
          <w:sz w:val="20"/>
          <w:szCs w:val="20"/>
        </w:rPr>
      </w:pPr>
      <w:r w:rsidRPr="005B6074">
        <w:rPr>
          <w:rFonts w:ascii="Verdana" w:hAnsi="Verdana"/>
          <w:color w:val="548DD4"/>
          <w:sz w:val="20"/>
        </w:rPr>
        <w:t xml:space="preserve">Comparative analysis (benchmarking) </w:t>
      </w:r>
      <w:r w:rsidRPr="005B6074">
        <w:rPr>
          <w:rFonts w:ascii="Verdana" w:hAnsi="Verdana"/>
          <w:sz w:val="20"/>
        </w:rPr>
        <w:t xml:space="preserve">with reference values from the current programming period has been used to assess the budget allocation of </w:t>
      </w:r>
      <w:r w:rsidR="005B35A7">
        <w:rPr>
          <w:rFonts w:ascii="Verdana" w:hAnsi="Verdana"/>
          <w:sz w:val="20"/>
        </w:rPr>
        <w:t>OPSESG</w:t>
      </w:r>
      <w:r w:rsidRPr="005B6074">
        <w:rPr>
          <w:rFonts w:ascii="Verdana" w:hAnsi="Verdana"/>
          <w:sz w:val="20"/>
        </w:rPr>
        <w:t xml:space="preserve"> 2014-2020.</w:t>
      </w:r>
    </w:p>
    <w:p w:rsidR="00F24971" w:rsidRPr="005B6074" w:rsidRDefault="00A35E98" w:rsidP="00F24971">
      <w:pPr>
        <w:spacing w:before="120" w:after="120"/>
        <w:jc w:val="both"/>
        <w:rPr>
          <w:rFonts w:ascii="Verdana" w:hAnsi="Verdana"/>
          <w:sz w:val="20"/>
          <w:szCs w:val="20"/>
        </w:rPr>
      </w:pPr>
      <w:r w:rsidRPr="005B6074">
        <w:rPr>
          <w:rFonts w:ascii="Verdana" w:hAnsi="Verdana"/>
          <w:sz w:val="20"/>
        </w:rPr>
        <w:t xml:space="preserve">When assessing the indicators, the concept of </w:t>
      </w:r>
      <w:bookmarkStart w:id="50" w:name="OLE_LINK3"/>
      <w:bookmarkStart w:id="51" w:name="OLE_LINK4"/>
      <w:r w:rsidRPr="005B6074">
        <w:rPr>
          <w:rFonts w:ascii="Verdana" w:hAnsi="Verdana"/>
          <w:sz w:val="20"/>
        </w:rPr>
        <w:t>SMART</w:t>
      </w:r>
      <w:bookmarkEnd w:id="50"/>
      <w:bookmarkEnd w:id="51"/>
      <w:r w:rsidRPr="005B6074">
        <w:rPr>
          <w:rFonts w:ascii="Verdana" w:hAnsi="Verdana"/>
          <w:sz w:val="20"/>
        </w:rPr>
        <w:t xml:space="preserve"> indicators has been used by making a </w:t>
      </w:r>
      <w:r w:rsidRPr="005B6074">
        <w:rPr>
          <w:rFonts w:ascii="Verdana" w:hAnsi="Verdana"/>
          <w:color w:val="548DD4"/>
          <w:sz w:val="20"/>
        </w:rPr>
        <w:t>SMART</w:t>
      </w:r>
      <w:r w:rsidRPr="005B6074">
        <w:rPr>
          <w:rFonts w:ascii="Verdana" w:hAnsi="Verdana"/>
          <w:sz w:val="20"/>
        </w:rPr>
        <w:t xml:space="preserve"> analysis.</w:t>
      </w:r>
    </w:p>
    <w:p w:rsidR="00F24971" w:rsidRPr="005B6074" w:rsidRDefault="00A35E98" w:rsidP="00F24971">
      <w:pPr>
        <w:spacing w:before="120" w:after="120"/>
        <w:jc w:val="both"/>
        <w:rPr>
          <w:rFonts w:ascii="Verdana" w:hAnsi="Verdana"/>
          <w:sz w:val="20"/>
          <w:szCs w:val="20"/>
        </w:rPr>
      </w:pPr>
      <w:r w:rsidRPr="005B6074">
        <w:rPr>
          <w:rFonts w:ascii="Verdana" w:hAnsi="Verdana"/>
          <w:sz w:val="20"/>
        </w:rPr>
        <w:t>In order to facilitate the use of indicators,</w:t>
      </w:r>
      <w:r w:rsidRPr="005B6074">
        <w:rPr>
          <w:rFonts w:ascii="Verdana" w:hAnsi="Verdana"/>
          <w:color w:val="548DD4"/>
          <w:sz w:val="20"/>
        </w:rPr>
        <w:t xml:space="preserve"> indicator fiche templates</w:t>
      </w:r>
      <w:r w:rsidRPr="005B6074">
        <w:rPr>
          <w:rFonts w:ascii="Verdana" w:hAnsi="Verdana"/>
          <w:sz w:val="20"/>
        </w:rPr>
        <w:t xml:space="preserve"> have been made which should be filled in with information about the type of indicator and its meaning, as well measuring methods and sources of data. The indicator fiches are given electronically in Annex 6.</w:t>
      </w:r>
    </w:p>
    <w:p w:rsidR="00F24971" w:rsidRPr="005B6074" w:rsidRDefault="00A35E98" w:rsidP="00F24971">
      <w:pPr>
        <w:spacing w:before="120" w:after="120"/>
        <w:jc w:val="both"/>
        <w:rPr>
          <w:rFonts w:ascii="Verdana" w:hAnsi="Verdana"/>
          <w:sz w:val="20"/>
          <w:szCs w:val="20"/>
        </w:rPr>
      </w:pPr>
      <w:r w:rsidRPr="005B6074">
        <w:rPr>
          <w:rFonts w:ascii="Verdana" w:hAnsi="Verdana"/>
          <w:sz w:val="20"/>
        </w:rPr>
        <w:t xml:space="preserve">When assessing the administrative capacity for management and implementation of </w:t>
      </w:r>
      <w:r w:rsidR="005B35A7">
        <w:rPr>
          <w:rFonts w:ascii="Verdana" w:hAnsi="Verdana"/>
          <w:sz w:val="20"/>
        </w:rPr>
        <w:t>OPSESG</w:t>
      </w:r>
      <w:r w:rsidRPr="005B6074">
        <w:rPr>
          <w:rFonts w:ascii="Verdana" w:hAnsi="Verdana"/>
          <w:sz w:val="20"/>
        </w:rPr>
        <w:t xml:space="preserve"> 2014-2020 </w:t>
      </w:r>
      <w:r w:rsidRPr="005B6074">
        <w:rPr>
          <w:rFonts w:ascii="Verdana" w:hAnsi="Verdana"/>
          <w:color w:val="548DD4"/>
          <w:sz w:val="20"/>
        </w:rPr>
        <w:t>workload analysis</w:t>
      </w:r>
      <w:r w:rsidRPr="005B6074">
        <w:rPr>
          <w:rFonts w:ascii="Verdana" w:hAnsi="Verdana"/>
          <w:sz w:val="20"/>
        </w:rPr>
        <w:t xml:space="preserve"> of GD SFIEP as an Intermediate Body of OPHRD 2007-2013 has been used, as well as self-assessment of capacity and needs and </w:t>
      </w:r>
      <w:r w:rsidRPr="005B6074">
        <w:rPr>
          <w:rFonts w:ascii="Verdana" w:hAnsi="Verdana"/>
          <w:color w:val="548DD4"/>
          <w:sz w:val="20"/>
        </w:rPr>
        <w:t>analysis of the risks</w:t>
      </w:r>
      <w:r w:rsidRPr="005B6074">
        <w:rPr>
          <w:rFonts w:ascii="Verdana" w:hAnsi="Verdana"/>
          <w:sz w:val="20"/>
        </w:rPr>
        <w:t xml:space="preserve"> related to administrative capacity.</w:t>
      </w:r>
    </w:p>
    <w:p w:rsidR="003D506F" w:rsidRPr="005B6074" w:rsidRDefault="003D506F" w:rsidP="00F24971">
      <w:pPr>
        <w:pStyle w:val="BodyText"/>
        <w:tabs>
          <w:tab w:val="left" w:pos="0"/>
          <w:tab w:val="right" w:pos="9214"/>
        </w:tabs>
        <w:spacing w:line="276" w:lineRule="auto"/>
        <w:jc w:val="both"/>
        <w:sectPr w:rsidR="003D506F" w:rsidRPr="005B6074" w:rsidSect="00F24971">
          <w:pgSz w:w="11907" w:h="16839" w:code="9"/>
          <w:pgMar w:top="2163" w:right="1377" w:bottom="1440" w:left="1440" w:header="720" w:footer="379" w:gutter="0"/>
          <w:cols w:space="720"/>
          <w:docGrid w:linePitch="360"/>
        </w:sectPr>
      </w:pPr>
    </w:p>
    <w:p w:rsidR="00F24971" w:rsidRPr="005B6074" w:rsidRDefault="00A35E98" w:rsidP="00F24971">
      <w:pPr>
        <w:pStyle w:val="Heading1"/>
        <w:shd w:val="clear" w:color="auto" w:fill="0063B8"/>
        <w:tabs>
          <w:tab w:val="num" w:pos="720"/>
        </w:tabs>
        <w:spacing w:before="120" w:after="120" w:line="276" w:lineRule="auto"/>
        <w:ind w:left="720" w:hanging="720"/>
        <w:rPr>
          <w:rFonts w:ascii="Verdana" w:hAnsi="Verdana"/>
          <w:b w:val="0"/>
          <w:caps/>
          <w:color w:val="FFFFFF"/>
        </w:rPr>
      </w:pPr>
      <w:bookmarkStart w:id="52" w:name="_Toc390262438"/>
      <w:bookmarkStart w:id="53" w:name="_Toc396225553"/>
      <w:r w:rsidRPr="005B6074">
        <w:rPr>
          <w:rFonts w:ascii="Verdana" w:hAnsi="Verdana"/>
          <w:b w:val="0"/>
          <w:caps/>
          <w:color w:val="FFFFFF"/>
        </w:rPr>
        <w:lastRenderedPageBreak/>
        <w:t xml:space="preserve">IV. </w:t>
      </w:r>
      <w:bookmarkEnd w:id="52"/>
      <w:r w:rsidR="00F52AAA">
        <w:rPr>
          <w:rFonts w:ascii="Verdana" w:hAnsi="Verdana"/>
          <w:b w:val="0"/>
          <w:caps/>
          <w:color w:val="FFFFFF"/>
        </w:rPr>
        <w:t>Evaluation</w:t>
      </w:r>
      <w:bookmarkEnd w:id="53"/>
    </w:p>
    <w:p w:rsidR="00F24971" w:rsidRPr="005B6074" w:rsidRDefault="00F24971" w:rsidP="00F24971">
      <w:pPr>
        <w:rPr>
          <w:rFonts w:ascii="Verdana" w:hAnsi="Verdana"/>
          <w:sz w:val="20"/>
          <w:szCs w:val="20"/>
        </w:rPr>
      </w:pPr>
    </w:p>
    <w:p w:rsidR="00F24971" w:rsidRPr="005B6074" w:rsidRDefault="00F52AAA" w:rsidP="00F24971">
      <w:pPr>
        <w:pStyle w:val="Heading2"/>
        <w:shd w:val="clear" w:color="auto" w:fill="FFCC99"/>
        <w:spacing w:line="276" w:lineRule="auto"/>
        <w:rPr>
          <w:rFonts w:ascii="Verdana" w:hAnsi="Verdana"/>
          <w:i w:val="0"/>
          <w:iCs/>
          <w:color w:val="0063B8"/>
          <w:sz w:val="26"/>
          <w:szCs w:val="26"/>
        </w:rPr>
      </w:pPr>
      <w:bookmarkStart w:id="54" w:name="_Toc390262439"/>
      <w:bookmarkStart w:id="55" w:name="_Toc396225554"/>
      <w:r>
        <w:rPr>
          <w:rFonts w:ascii="Verdana" w:hAnsi="Verdana"/>
          <w:i w:val="0"/>
          <w:color w:val="0063B8"/>
          <w:sz w:val="26"/>
        </w:rPr>
        <w:t>Evaluation</w:t>
      </w:r>
      <w:r w:rsidR="00A35E98" w:rsidRPr="005B6074">
        <w:rPr>
          <w:rFonts w:ascii="Verdana" w:hAnsi="Verdana"/>
          <w:i w:val="0"/>
          <w:color w:val="0063B8"/>
          <w:sz w:val="26"/>
        </w:rPr>
        <w:t xml:space="preserve"> of External Coherence</w:t>
      </w:r>
      <w:bookmarkEnd w:id="54"/>
      <w:bookmarkEnd w:id="55"/>
    </w:p>
    <w:p w:rsidR="00F24971" w:rsidRPr="005B6074" w:rsidRDefault="00A35E98" w:rsidP="00F24971">
      <w:pPr>
        <w:pStyle w:val="Heading3"/>
        <w:numPr>
          <w:ilvl w:val="0"/>
          <w:numId w:val="0"/>
        </w:numPr>
        <w:spacing w:before="360"/>
        <w:ind w:left="720" w:hanging="720"/>
      </w:pPr>
      <w:bookmarkStart w:id="56" w:name="_Toc362617565"/>
      <w:bookmarkStart w:id="57" w:name="_Toc390262440"/>
      <w:bookmarkStart w:id="58" w:name="_Toc396225555"/>
      <w:r w:rsidRPr="005B6074">
        <w:t>Analysis</w:t>
      </w:r>
      <w:bookmarkEnd w:id="56"/>
      <w:bookmarkEnd w:id="57"/>
      <w:bookmarkEnd w:id="58"/>
    </w:p>
    <w:p w:rsidR="00F24971" w:rsidRPr="005B6074" w:rsidRDefault="00A35E98" w:rsidP="00F24971">
      <w:pPr>
        <w:spacing w:after="360"/>
        <w:jc w:val="both"/>
        <w:rPr>
          <w:rFonts w:ascii="Verdana" w:hAnsi="Verdana"/>
          <w:sz w:val="20"/>
          <w:szCs w:val="20"/>
        </w:rPr>
      </w:pPr>
      <w:r w:rsidRPr="005B6074">
        <w:rPr>
          <w:rFonts w:ascii="Verdana" w:hAnsi="Verdana"/>
          <w:sz w:val="20"/>
        </w:rPr>
        <w:t xml:space="preserve">The analysis of external coherence </w:t>
      </w:r>
      <w:r w:rsidR="00F52AAA">
        <w:rPr>
          <w:rFonts w:ascii="Verdana" w:hAnsi="Verdana"/>
          <w:sz w:val="20"/>
        </w:rPr>
        <w:t>provides</w:t>
      </w:r>
      <w:r w:rsidRPr="005B6074">
        <w:rPr>
          <w:rFonts w:ascii="Verdana" w:hAnsi="Verdana"/>
          <w:sz w:val="20"/>
        </w:rPr>
        <w:t xml:space="preserve"> the link between OPSESG 2014-2020 and the basic EU and national strategic and legislative documents. Comments are made of the extent to which the Programme gives an appropriate account of the main objectives and requirements of the national and EU strategic and legislative framework and the extent to which the Programme will contribute to the achievement of objectives of the Europe 2020 Strategy. A review of the fulfilment of the preconditions laid down in Annex 4 to the General Regulation concerning the CSF funds has been made as part of the external coherence.</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38"/>
        <w:gridCol w:w="8444"/>
      </w:tblGrid>
      <w:tr w:rsidR="00F24971" w:rsidRPr="005B6074" w:rsidTr="00F24971">
        <w:tc>
          <w:tcPr>
            <w:tcW w:w="538" w:type="dxa"/>
            <w:vAlign w:val="center"/>
          </w:tcPr>
          <w:p w:rsidR="00F24971" w:rsidRPr="005B6074" w:rsidRDefault="00A35E98" w:rsidP="00F24971">
            <w:pPr>
              <w:pStyle w:val="BodyText"/>
              <w:spacing w:after="0" w:line="276" w:lineRule="auto"/>
              <w:jc w:val="center"/>
              <w:rPr>
                <w:rFonts w:ascii="Verdana" w:hAnsi="Verdana"/>
                <w:b/>
                <w:color w:val="548DD4"/>
                <w:sz w:val="36"/>
                <w:szCs w:val="36"/>
              </w:rPr>
            </w:pPr>
            <w:r w:rsidRPr="005B6074">
              <w:rPr>
                <w:rFonts w:ascii="Verdana" w:hAnsi="Verdana"/>
                <w:b/>
                <w:color w:val="548DD4"/>
                <w:sz w:val="36"/>
              </w:rPr>
              <w:t>?</w:t>
            </w:r>
          </w:p>
        </w:tc>
        <w:tc>
          <w:tcPr>
            <w:tcW w:w="8444" w:type="dxa"/>
            <w:shd w:val="clear" w:color="auto" w:fill="B8CCE4"/>
          </w:tcPr>
          <w:p w:rsidR="00F24971" w:rsidRPr="005B6074" w:rsidRDefault="00A35E98" w:rsidP="00F24971">
            <w:pPr>
              <w:suppressAutoHyphens/>
              <w:spacing w:before="60" w:after="60" w:line="240" w:lineRule="auto"/>
              <w:ind w:left="113"/>
              <w:jc w:val="both"/>
              <w:rPr>
                <w:rFonts w:ascii="Verdana" w:hAnsi="Verdana" w:cs="TimesNewRomanPSMT"/>
                <w:sz w:val="20"/>
                <w:szCs w:val="20"/>
              </w:rPr>
            </w:pPr>
            <w:r w:rsidRPr="005B6074">
              <w:rPr>
                <w:rFonts w:ascii="Verdana" w:hAnsi="Verdana"/>
                <w:sz w:val="20"/>
              </w:rPr>
              <w:t>Coherence with the European strategic framework – contribution to the EU Strategy for Smart, Sustainable and Inclusive Growth</w:t>
            </w:r>
          </w:p>
        </w:tc>
      </w:tr>
    </w:tbl>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Europe 2020 and the 7 Flagship Initiatives for Strategy Implementation</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 xml:space="preserve">The main contribution of </w:t>
      </w:r>
      <w:r w:rsidR="005B35A7">
        <w:rPr>
          <w:rFonts w:ascii="Verdana" w:hAnsi="Verdana"/>
          <w:sz w:val="20"/>
        </w:rPr>
        <w:t>OPSESG</w:t>
      </w:r>
      <w:r w:rsidRPr="005B6074">
        <w:rPr>
          <w:rFonts w:ascii="Verdana" w:hAnsi="Verdana"/>
          <w:sz w:val="20"/>
        </w:rPr>
        <w:t xml:space="preserve"> 2014–2020 to the Europe 2020 Strategy is expected to relate to the achievement of Targets 2 and 4 of the Strategy, namely:</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 xml:space="preserve">Target 2 - </w:t>
      </w:r>
      <w:r w:rsidRPr="005B6074">
        <w:rPr>
          <w:rFonts w:ascii="Verdana" w:hAnsi="Verdana"/>
          <w:i/>
          <w:sz w:val="20"/>
        </w:rPr>
        <w:t>Investing 3% (target of 1.5% for Bulgaria) of GDP in research and development (R&amp;D)</w:t>
      </w:r>
      <w:r w:rsidRPr="005B6074">
        <w:rPr>
          <w:rFonts w:ascii="Verdana" w:hAnsi="Verdana"/>
          <w:sz w:val="20"/>
        </w:rPr>
        <w:t xml:space="preserve">. In order to achieve this target, </w:t>
      </w:r>
      <w:r w:rsidR="005B35A7">
        <w:rPr>
          <w:rFonts w:ascii="Verdana" w:hAnsi="Verdana"/>
          <w:sz w:val="20"/>
        </w:rPr>
        <w:t>OPSESG</w:t>
      </w:r>
      <w:r w:rsidRPr="005B6074">
        <w:rPr>
          <w:rFonts w:ascii="Verdana" w:hAnsi="Verdana"/>
          <w:sz w:val="20"/>
        </w:rPr>
        <w:t xml:space="preserve"> plans to use Programme funds as a complementary investment to the budget portfolio of the Bulgarian research sector. Measures are also planned to enhance scientific infrastructure and develop the innovative potential and the connections between science and business, which will result in a synergy with respect to the development of R&amp;D in the country.</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Target 4:</w:t>
      </w:r>
    </w:p>
    <w:p w:rsidR="00F24971" w:rsidRPr="005B6074" w:rsidRDefault="00A35E98" w:rsidP="00F24971">
      <w:pPr>
        <w:pStyle w:val="BodyText"/>
        <w:widowControl w:val="0"/>
        <w:numPr>
          <w:ilvl w:val="0"/>
          <w:numId w:val="12"/>
        </w:numPr>
        <w:spacing w:line="276" w:lineRule="auto"/>
        <w:jc w:val="both"/>
        <w:rPr>
          <w:rFonts w:ascii="Verdana" w:hAnsi="Verdana"/>
          <w:sz w:val="20"/>
          <w:szCs w:val="20"/>
        </w:rPr>
      </w:pPr>
      <w:r w:rsidRPr="005B6074">
        <w:rPr>
          <w:rFonts w:ascii="Verdana" w:hAnsi="Verdana"/>
          <w:i/>
          <w:sz w:val="20"/>
        </w:rPr>
        <w:t>Reducing the rates of early school leaving to 10% (11% for Bulgaria)</w:t>
      </w:r>
      <w:r w:rsidRPr="005B6074">
        <w:rPr>
          <w:rFonts w:ascii="Verdana" w:hAnsi="Verdana"/>
          <w:sz w:val="20"/>
        </w:rPr>
        <w:t xml:space="preserve">. </w:t>
      </w:r>
      <w:r w:rsidR="005B35A7">
        <w:rPr>
          <w:rFonts w:ascii="Verdana" w:hAnsi="Verdana"/>
          <w:sz w:val="20"/>
        </w:rPr>
        <w:t>OPSESG</w:t>
      </w:r>
      <w:r w:rsidRPr="005B6074">
        <w:rPr>
          <w:rFonts w:ascii="Verdana" w:hAnsi="Verdana"/>
          <w:sz w:val="20"/>
        </w:rPr>
        <w:t xml:space="preserve"> envisages measures for prevention of early school leaving, improving the access to education for children with special educational needs, including children from the ethnic minorities. The measures aimed at increasing the quality of education and an individual approach to learners' needs with the support and participation of parents are also considered as a key for the reduction of early school leaving.</w:t>
      </w:r>
    </w:p>
    <w:p w:rsidR="00F24971" w:rsidRPr="005B6074" w:rsidRDefault="00A35E98" w:rsidP="00F24971">
      <w:pPr>
        <w:pStyle w:val="BodyText"/>
        <w:widowControl w:val="0"/>
        <w:numPr>
          <w:ilvl w:val="0"/>
          <w:numId w:val="12"/>
        </w:numPr>
        <w:spacing w:line="276" w:lineRule="auto"/>
        <w:jc w:val="both"/>
        <w:rPr>
          <w:rFonts w:ascii="Verdana" w:hAnsi="Verdana"/>
          <w:sz w:val="20"/>
          <w:szCs w:val="20"/>
        </w:rPr>
      </w:pPr>
      <w:r w:rsidRPr="005B6074">
        <w:rPr>
          <w:rFonts w:ascii="Verdana" w:hAnsi="Verdana"/>
          <w:i/>
          <w:sz w:val="20"/>
        </w:rPr>
        <w:t xml:space="preserve">At least 40% (36% for Bulgaria) of 30-34–year-olds completing higher education. </w:t>
      </w:r>
      <w:r w:rsidRPr="005B6074">
        <w:rPr>
          <w:rFonts w:ascii="Verdana" w:hAnsi="Verdana"/>
          <w:sz w:val="20"/>
        </w:rPr>
        <w:t xml:space="preserve">OPSESG 2014–2020 envisages measures aimed at improving the system of higher education through restructuring and improvement of management, improvement in the educational product and in the quality of education and offering greater opportunities for access to education of persons with limited financial means and disabled people. These measures aim to increase the attractiveness and prestige of education and to improve the access of vulnerable groups to the system. </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lastRenderedPageBreak/>
        <w:t>As to the seven flagship initiatives for Strategy implementation</w:t>
      </w:r>
      <w:r w:rsidRPr="005B6074">
        <w:rPr>
          <w:rStyle w:val="FootnoteReference"/>
          <w:rFonts w:ascii="Verdana" w:hAnsi="Verdana"/>
          <w:sz w:val="20"/>
        </w:rPr>
        <w:footnoteReference w:id="3"/>
      </w:r>
      <w:r w:rsidRPr="005B6074">
        <w:rPr>
          <w:rFonts w:ascii="Verdana" w:hAnsi="Verdana"/>
          <w:sz w:val="20"/>
        </w:rPr>
        <w:t xml:space="preserve">, </w:t>
      </w:r>
      <w:r w:rsidR="005B35A7">
        <w:rPr>
          <w:rFonts w:ascii="Verdana" w:hAnsi="Verdana"/>
          <w:sz w:val="20"/>
        </w:rPr>
        <w:t>OPSESG</w:t>
      </w:r>
      <w:r w:rsidRPr="005B6074">
        <w:rPr>
          <w:rFonts w:ascii="Verdana" w:hAnsi="Verdana"/>
          <w:sz w:val="20"/>
        </w:rPr>
        <w:t xml:space="preserve"> supports activities in the scope of the following initiatives:</w:t>
      </w:r>
    </w:p>
    <w:p w:rsidR="00F24971" w:rsidRPr="005B6074" w:rsidRDefault="00A35E98" w:rsidP="00F24971">
      <w:pPr>
        <w:pStyle w:val="BodyText"/>
        <w:widowControl w:val="0"/>
        <w:numPr>
          <w:ilvl w:val="0"/>
          <w:numId w:val="13"/>
        </w:numPr>
        <w:spacing w:line="276" w:lineRule="auto"/>
        <w:jc w:val="both"/>
        <w:rPr>
          <w:rFonts w:ascii="Verdana" w:hAnsi="Verdana"/>
          <w:sz w:val="20"/>
          <w:szCs w:val="20"/>
        </w:rPr>
      </w:pPr>
      <w:r w:rsidRPr="005B6074">
        <w:rPr>
          <w:rFonts w:ascii="Verdana" w:hAnsi="Verdana"/>
          <w:i/>
          <w:sz w:val="20"/>
        </w:rPr>
        <w:t>Digital Agenda for Europe</w:t>
      </w:r>
      <w:r w:rsidRPr="005B6074">
        <w:rPr>
          <w:rFonts w:ascii="Verdana" w:hAnsi="Verdana"/>
          <w:sz w:val="20"/>
        </w:rPr>
        <w:t xml:space="preserve"> – fifth pillar (research and innovation) and sixth pillar (improving digital literacy and skills) through the support envisaged in the field of research and support for broader introduction of digital technologies in the process of education;</w:t>
      </w:r>
    </w:p>
    <w:p w:rsidR="00F24971" w:rsidRPr="005B6074" w:rsidRDefault="00A35E98" w:rsidP="00F24971">
      <w:pPr>
        <w:pStyle w:val="BodyText"/>
        <w:widowControl w:val="0"/>
        <w:numPr>
          <w:ilvl w:val="0"/>
          <w:numId w:val="13"/>
        </w:numPr>
        <w:spacing w:line="276" w:lineRule="auto"/>
        <w:jc w:val="both"/>
        <w:rPr>
          <w:rFonts w:ascii="Verdana" w:hAnsi="Verdana"/>
          <w:sz w:val="20"/>
          <w:szCs w:val="20"/>
        </w:rPr>
      </w:pPr>
      <w:r w:rsidRPr="005B6074">
        <w:rPr>
          <w:rFonts w:ascii="Verdana" w:hAnsi="Verdana"/>
          <w:i/>
          <w:sz w:val="20"/>
        </w:rPr>
        <w:t>Innovation Union</w:t>
      </w:r>
      <w:r w:rsidRPr="005B6074">
        <w:rPr>
          <w:rFonts w:ascii="Verdana" w:hAnsi="Verdana"/>
          <w:sz w:val="20"/>
        </w:rPr>
        <w:t xml:space="preserve"> – concerning the promotion of innovation and the link between science and business;</w:t>
      </w:r>
    </w:p>
    <w:p w:rsidR="00F24971" w:rsidRPr="005B6074" w:rsidRDefault="00A35E98" w:rsidP="00F24971">
      <w:pPr>
        <w:pStyle w:val="BodyText"/>
        <w:widowControl w:val="0"/>
        <w:numPr>
          <w:ilvl w:val="0"/>
          <w:numId w:val="13"/>
        </w:numPr>
        <w:spacing w:line="276" w:lineRule="auto"/>
        <w:jc w:val="both"/>
        <w:rPr>
          <w:rFonts w:ascii="Verdana" w:hAnsi="Verdana"/>
          <w:sz w:val="20"/>
          <w:szCs w:val="20"/>
        </w:rPr>
      </w:pPr>
      <w:r w:rsidRPr="005B6074">
        <w:rPr>
          <w:rFonts w:ascii="Verdana" w:hAnsi="Verdana"/>
          <w:i/>
          <w:sz w:val="20"/>
        </w:rPr>
        <w:t>Youth on the Move</w:t>
      </w:r>
      <w:r w:rsidRPr="005B6074">
        <w:rPr>
          <w:rFonts w:ascii="Verdana" w:hAnsi="Verdana"/>
          <w:sz w:val="20"/>
        </w:rPr>
        <w:t xml:space="preserve"> – concerning the support for students and young teachers;</w:t>
      </w:r>
    </w:p>
    <w:p w:rsidR="00F24971" w:rsidRPr="005B6074" w:rsidRDefault="00A35E98" w:rsidP="00F24971">
      <w:pPr>
        <w:pStyle w:val="BodyText"/>
        <w:widowControl w:val="0"/>
        <w:numPr>
          <w:ilvl w:val="0"/>
          <w:numId w:val="13"/>
        </w:numPr>
        <w:spacing w:line="276" w:lineRule="auto"/>
        <w:jc w:val="both"/>
        <w:rPr>
          <w:rFonts w:ascii="Verdana" w:hAnsi="Verdana"/>
          <w:sz w:val="20"/>
          <w:szCs w:val="20"/>
        </w:rPr>
      </w:pPr>
      <w:r w:rsidRPr="005B6074">
        <w:rPr>
          <w:rFonts w:ascii="Verdana" w:hAnsi="Verdana"/>
          <w:i/>
          <w:sz w:val="20"/>
        </w:rPr>
        <w:t>An Agenda for New Skills and Jobs</w:t>
      </w:r>
      <w:r w:rsidRPr="005B6074">
        <w:rPr>
          <w:rFonts w:ascii="Verdana" w:hAnsi="Verdana"/>
          <w:sz w:val="20"/>
        </w:rPr>
        <w:t xml:space="preserve"> – concerning the change and adaptation of curricula and contents to the changes in the labour market and the challenges of global society and expanding the possibilities for practicing and development of the conditions for lifelong learning.</w:t>
      </w:r>
    </w:p>
    <w:p w:rsidR="00F24971" w:rsidRPr="005B6074" w:rsidRDefault="00A35E98" w:rsidP="00F24971">
      <w:pPr>
        <w:pStyle w:val="BodyText"/>
        <w:widowControl w:val="0"/>
        <w:numPr>
          <w:ilvl w:val="0"/>
          <w:numId w:val="13"/>
        </w:numPr>
        <w:spacing w:line="276" w:lineRule="auto"/>
        <w:jc w:val="both"/>
        <w:rPr>
          <w:rFonts w:ascii="Verdana" w:hAnsi="Verdana"/>
          <w:sz w:val="20"/>
          <w:szCs w:val="20"/>
        </w:rPr>
      </w:pPr>
      <w:r w:rsidRPr="005B6074">
        <w:rPr>
          <w:rFonts w:ascii="Verdana" w:hAnsi="Verdana"/>
          <w:i/>
          <w:sz w:val="20"/>
        </w:rPr>
        <w:t xml:space="preserve">European Platform Against Poverty </w:t>
      </w:r>
      <w:r w:rsidRPr="005B6074">
        <w:rPr>
          <w:rFonts w:ascii="Verdana" w:hAnsi="Verdana"/>
          <w:sz w:val="20"/>
        </w:rPr>
        <w:t>– concerning the conducting of youth and education policies.</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 xml:space="preserve">The Programme also links directly to the other two initiatives (Resource Efficient Europe and An Industrial Policy for the Globalisation Era) as far as the provision of financing for research in the areas covered by these initiatives is concerned. </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The text of OPSESG 2014–2020 refers to the Europe 2020 Strategy and to the flagship initiatives for its implementation.</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Territorial Agenda 2020;</w:t>
      </w:r>
    </w:p>
    <w:p w:rsidR="00F24971" w:rsidRPr="005B6074" w:rsidRDefault="00A35E98" w:rsidP="00F24971">
      <w:pPr>
        <w:autoSpaceDE w:val="0"/>
        <w:autoSpaceDN w:val="0"/>
        <w:adjustRightInd w:val="0"/>
        <w:spacing w:after="120"/>
        <w:jc w:val="both"/>
        <w:rPr>
          <w:rFonts w:ascii="Verdana" w:eastAsia="Calibri" w:hAnsi="Verdana"/>
          <w:sz w:val="20"/>
          <w:szCs w:val="20"/>
        </w:rPr>
      </w:pPr>
      <w:r w:rsidRPr="005B6074">
        <w:rPr>
          <w:rFonts w:ascii="Verdana" w:hAnsi="Verdana"/>
          <w:color w:val="000000"/>
          <w:sz w:val="20"/>
        </w:rPr>
        <w:t>Territorial Agenda of the European Union 2020 sets "</w:t>
      </w:r>
      <w:r w:rsidRPr="005B6074">
        <w:rPr>
          <w:rFonts w:ascii="Verdana" w:hAnsi="Verdana"/>
          <w:i/>
          <w:color w:val="000000"/>
          <w:sz w:val="20"/>
        </w:rPr>
        <w:t>territorial cohesion for a more harmonious and balanced state of Europe</w:t>
      </w:r>
      <w:r w:rsidRPr="005B6074">
        <w:rPr>
          <w:rFonts w:ascii="Verdana" w:hAnsi="Verdana"/>
          <w:color w:val="000000"/>
          <w:sz w:val="20"/>
        </w:rPr>
        <w:t xml:space="preserve">" as its common goal. </w:t>
      </w:r>
      <w:r w:rsidRPr="005B6074">
        <w:rPr>
          <w:rFonts w:ascii="Verdana" w:hAnsi="Verdana"/>
          <w:sz w:val="20"/>
        </w:rPr>
        <w:t xml:space="preserve">It recommends territorial cohesion on European, cross-border, transnational, inter-regional and intra-regional level. It envisages the introduction of the principles of </w:t>
      </w:r>
      <w:r w:rsidRPr="005B6074">
        <w:rPr>
          <w:rFonts w:ascii="Verdana" w:hAnsi="Verdana"/>
          <w:i/>
          <w:sz w:val="20"/>
        </w:rPr>
        <w:t xml:space="preserve">territorial cohesion </w:t>
      </w:r>
      <w:r w:rsidRPr="005B6074">
        <w:rPr>
          <w:rFonts w:ascii="Verdana" w:hAnsi="Verdana"/>
          <w:sz w:val="20"/>
        </w:rPr>
        <w:t>in the integrated national development policies and concerning spatial planning.</w:t>
      </w:r>
    </w:p>
    <w:p w:rsidR="00F24971" w:rsidRPr="005B6074" w:rsidRDefault="00A35E98" w:rsidP="00F24971">
      <w:pPr>
        <w:autoSpaceDE w:val="0"/>
        <w:autoSpaceDN w:val="0"/>
        <w:adjustRightInd w:val="0"/>
        <w:spacing w:after="120"/>
        <w:jc w:val="both"/>
        <w:rPr>
          <w:rFonts w:ascii="Verdana" w:hAnsi="Verdana"/>
          <w:sz w:val="20"/>
          <w:szCs w:val="20"/>
        </w:rPr>
      </w:pPr>
      <w:r w:rsidRPr="005B6074">
        <w:rPr>
          <w:rFonts w:ascii="Verdana" w:hAnsi="Verdana"/>
          <w:sz w:val="20"/>
        </w:rPr>
        <w:t xml:space="preserve">Section 4 of </w:t>
      </w:r>
      <w:r w:rsidR="005B35A7">
        <w:rPr>
          <w:rFonts w:ascii="Verdana" w:hAnsi="Verdana"/>
          <w:sz w:val="20"/>
        </w:rPr>
        <w:t>OPSESG</w:t>
      </w:r>
      <w:r w:rsidRPr="005B6074">
        <w:rPr>
          <w:rFonts w:ascii="Verdana" w:hAnsi="Verdana"/>
          <w:sz w:val="20"/>
        </w:rPr>
        <w:t xml:space="preserve"> 2014–2020 considers </w:t>
      </w:r>
      <w:bookmarkStart w:id="59" w:name="_Toc351464414"/>
      <w:bookmarkStart w:id="60" w:name="_Toc352768462"/>
      <w:r w:rsidRPr="005B6074">
        <w:rPr>
          <w:rFonts w:ascii="Verdana" w:hAnsi="Verdana"/>
          <w:sz w:val="20"/>
        </w:rPr>
        <w:t>An Integrated Approach to Territorial Development</w:t>
      </w:r>
      <w:bookmarkEnd w:id="59"/>
      <w:bookmarkEnd w:id="60"/>
      <w:r w:rsidRPr="005B6074">
        <w:rPr>
          <w:rFonts w:ascii="Verdana" w:hAnsi="Verdana"/>
          <w:sz w:val="20"/>
        </w:rPr>
        <w:t xml:space="preserve"> which in the version of May 2014 notes that the Programme will finance the participation in projects under Priority Axis 7 devoted to development of knowledge-based society of the Danube Strategy. The part concerning integrated territorial investment repeats the texts of the Partnership Agreement by mentioning that the infrastructure measures planned for education will be soft measures financed by </w:t>
      </w:r>
      <w:r w:rsidR="005B35A7">
        <w:rPr>
          <w:rFonts w:ascii="Verdana" w:hAnsi="Verdana"/>
          <w:sz w:val="20"/>
        </w:rPr>
        <w:t>OPSESG</w:t>
      </w:r>
      <w:r w:rsidRPr="005B6074">
        <w:rPr>
          <w:rFonts w:ascii="Verdana" w:hAnsi="Verdana"/>
          <w:sz w:val="20"/>
        </w:rPr>
        <w:t xml:space="preserve">. </w:t>
      </w:r>
    </w:p>
    <w:p w:rsidR="00F24971" w:rsidRPr="005B6074" w:rsidRDefault="00A35E98" w:rsidP="00F24971">
      <w:pPr>
        <w:autoSpaceDE w:val="0"/>
        <w:autoSpaceDN w:val="0"/>
        <w:adjustRightInd w:val="0"/>
        <w:spacing w:after="120"/>
        <w:jc w:val="both"/>
        <w:rPr>
          <w:rFonts w:ascii="Verdana" w:hAnsi="Verdana"/>
          <w:sz w:val="20"/>
          <w:szCs w:val="20"/>
        </w:rPr>
      </w:pPr>
      <w:r w:rsidRPr="005B6074">
        <w:rPr>
          <w:rFonts w:ascii="Verdana" w:hAnsi="Verdana"/>
          <w:sz w:val="20"/>
        </w:rPr>
        <w:t>The Programme does not address to a sufficient degree the territorial aspects related to the problems with diverging quality of education in small towns and big cities and the territorial concentration of children from ethnic minorities.</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lastRenderedPageBreak/>
        <w:t>EU Strategy for the Danube Region</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OPSESG 2014–2020 addresses Priority Axis 7 "Knowledge Society" – research, education and information and communication technologies of the Danube Strategy. The Programme will support the implementation of transnational projects with countries of the Danube region in these areas.</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Horizon 2020</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Horizon 2020 will succeed the EU programmes in the area of research and innovation existing in the 2007–2013 period by uniting all the existing forms of financing of research and innovation, including the Framework Research Programme, the activities connected with innovation from the Competitiveness and Innovation Framework Programme and the European Institute of Innovation and Technology. Support will be targeted at three priorities:</w:t>
      </w:r>
    </w:p>
    <w:p w:rsidR="00F24971" w:rsidRPr="005B6074" w:rsidRDefault="00A35E98" w:rsidP="00F24971">
      <w:pPr>
        <w:pStyle w:val="BodyText"/>
        <w:widowControl w:val="0"/>
        <w:numPr>
          <w:ilvl w:val="0"/>
          <w:numId w:val="14"/>
        </w:numPr>
        <w:spacing w:line="276" w:lineRule="auto"/>
        <w:jc w:val="both"/>
        <w:rPr>
          <w:rFonts w:ascii="Verdana" w:hAnsi="Verdana"/>
          <w:sz w:val="20"/>
          <w:szCs w:val="20"/>
        </w:rPr>
      </w:pPr>
      <w:r w:rsidRPr="005B6074">
        <w:rPr>
          <w:rFonts w:ascii="Verdana" w:hAnsi="Verdana"/>
          <w:i/>
          <w:sz w:val="20"/>
        </w:rPr>
        <w:t>Excellence in the scientific area</w:t>
      </w:r>
      <w:r w:rsidRPr="005B6074">
        <w:rPr>
          <w:rFonts w:ascii="Verdana" w:hAnsi="Verdana"/>
          <w:sz w:val="20"/>
        </w:rPr>
        <w:t xml:space="preserve"> – support for research, possibilities for education and professional development, support for European high-class research institutes;</w:t>
      </w:r>
    </w:p>
    <w:p w:rsidR="00F24971" w:rsidRPr="005B6074" w:rsidRDefault="00A35E98" w:rsidP="00F24971">
      <w:pPr>
        <w:pStyle w:val="BodyText"/>
        <w:widowControl w:val="0"/>
        <w:numPr>
          <w:ilvl w:val="0"/>
          <w:numId w:val="14"/>
        </w:numPr>
        <w:spacing w:line="276" w:lineRule="auto"/>
        <w:jc w:val="both"/>
        <w:rPr>
          <w:rFonts w:ascii="Verdana" w:hAnsi="Verdana"/>
          <w:sz w:val="20"/>
          <w:szCs w:val="20"/>
        </w:rPr>
      </w:pPr>
      <w:r w:rsidRPr="005B6074">
        <w:rPr>
          <w:rFonts w:ascii="Verdana" w:hAnsi="Verdana"/>
          <w:i/>
          <w:sz w:val="20"/>
        </w:rPr>
        <w:t xml:space="preserve">Leading industrial positions – </w:t>
      </w:r>
      <w:r w:rsidRPr="005B6074">
        <w:rPr>
          <w:rFonts w:ascii="Verdana" w:hAnsi="Verdana"/>
          <w:sz w:val="20"/>
        </w:rPr>
        <w:t>investment in key industrial technologies, support for innovations in SMEs and access to risk financing;</w:t>
      </w:r>
    </w:p>
    <w:p w:rsidR="00F24971" w:rsidRPr="005B6074" w:rsidRDefault="00A35E98" w:rsidP="00F24971">
      <w:pPr>
        <w:pStyle w:val="BodyText"/>
        <w:widowControl w:val="0"/>
        <w:numPr>
          <w:ilvl w:val="0"/>
          <w:numId w:val="14"/>
        </w:numPr>
        <w:spacing w:line="276" w:lineRule="auto"/>
        <w:jc w:val="both"/>
        <w:rPr>
          <w:rFonts w:ascii="Verdana" w:hAnsi="Verdana"/>
          <w:sz w:val="20"/>
          <w:szCs w:val="20"/>
        </w:rPr>
      </w:pPr>
      <w:r w:rsidRPr="005B6074">
        <w:rPr>
          <w:rFonts w:ascii="Verdana" w:hAnsi="Verdana"/>
          <w:i/>
          <w:sz w:val="20"/>
        </w:rPr>
        <w:t xml:space="preserve">Coping with public challenges – </w:t>
      </w:r>
      <w:r w:rsidRPr="005B6074">
        <w:rPr>
          <w:rFonts w:ascii="Verdana" w:hAnsi="Verdana"/>
          <w:sz w:val="20"/>
        </w:rPr>
        <w:t>provision of financing for complex approaches from research to commercialisation in the following areas: health, demographic change and well-being; food security, sustainable agriculture, marine research and bio economy; secure, clean and efficient energy; smart, green and integrated transport; climate action, resource efficiency and raw materials; inclusive, innovative and secure societies.</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 xml:space="preserve">Section 8 of </w:t>
      </w:r>
      <w:r w:rsidR="005B35A7">
        <w:rPr>
          <w:rFonts w:ascii="Verdana" w:hAnsi="Verdana"/>
          <w:sz w:val="20"/>
        </w:rPr>
        <w:t>OPSESG</w:t>
      </w:r>
      <w:r w:rsidRPr="005B6074">
        <w:rPr>
          <w:rFonts w:ascii="Verdana" w:hAnsi="Verdana"/>
          <w:sz w:val="20"/>
        </w:rPr>
        <w:t xml:space="preserve"> 2014–2020 describes the complementarity and demarcation of both programmes as follows:</w:t>
      </w:r>
    </w:p>
    <w:tbl>
      <w:tblPr>
        <w:tblW w:w="0" w:type="auto"/>
        <w:tblInd w:w="108"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4A0" w:firstRow="1" w:lastRow="0" w:firstColumn="1" w:lastColumn="0" w:noHBand="0" w:noVBand="1"/>
      </w:tblPr>
      <w:tblGrid>
        <w:gridCol w:w="4974"/>
        <w:gridCol w:w="3998"/>
      </w:tblGrid>
      <w:tr w:rsidR="00F24971" w:rsidRPr="005B6074" w:rsidTr="00F24971">
        <w:trPr>
          <w:trHeight w:val="455"/>
        </w:trPr>
        <w:tc>
          <w:tcPr>
            <w:tcW w:w="5040" w:type="dxa"/>
            <w:shd w:val="clear" w:color="auto" w:fill="auto"/>
            <w:vAlign w:val="center"/>
          </w:tcPr>
          <w:p w:rsidR="00F24971" w:rsidRPr="005B6074" w:rsidRDefault="00A35E98" w:rsidP="00F24971">
            <w:pPr>
              <w:pStyle w:val="BodyText"/>
              <w:widowControl w:val="0"/>
              <w:spacing w:after="0" w:line="276" w:lineRule="auto"/>
              <w:jc w:val="center"/>
              <w:rPr>
                <w:rFonts w:ascii="Verdana" w:hAnsi="Verdana"/>
                <w:b/>
                <w:color w:val="FFFFFF"/>
                <w:sz w:val="20"/>
                <w:szCs w:val="20"/>
              </w:rPr>
            </w:pPr>
            <w:r w:rsidRPr="005B6074">
              <w:rPr>
                <w:rFonts w:ascii="Verdana" w:hAnsi="Verdana"/>
                <w:b/>
                <w:color w:val="FFFFFF"/>
                <w:sz w:val="20"/>
              </w:rPr>
              <w:t>Complementarity</w:t>
            </w:r>
          </w:p>
        </w:tc>
        <w:tc>
          <w:tcPr>
            <w:tcW w:w="4050" w:type="dxa"/>
            <w:shd w:val="clear" w:color="auto" w:fill="auto"/>
            <w:vAlign w:val="center"/>
          </w:tcPr>
          <w:p w:rsidR="00F24971" w:rsidRPr="005B6074" w:rsidRDefault="00A35E98" w:rsidP="00F24971">
            <w:pPr>
              <w:pStyle w:val="BodyText"/>
              <w:widowControl w:val="0"/>
              <w:spacing w:after="0" w:line="276" w:lineRule="auto"/>
              <w:jc w:val="center"/>
              <w:rPr>
                <w:rFonts w:ascii="Verdana" w:hAnsi="Verdana"/>
                <w:b/>
                <w:color w:val="FFFFFF"/>
                <w:sz w:val="20"/>
                <w:szCs w:val="20"/>
              </w:rPr>
            </w:pPr>
            <w:r w:rsidRPr="005B6074">
              <w:rPr>
                <w:rFonts w:ascii="Verdana" w:hAnsi="Verdana"/>
                <w:b/>
                <w:color w:val="FFFFFF"/>
                <w:sz w:val="20"/>
              </w:rPr>
              <w:t>Demarcation</w:t>
            </w:r>
          </w:p>
        </w:tc>
      </w:tr>
      <w:tr w:rsidR="00F24971" w:rsidRPr="005B6074" w:rsidTr="00F24971">
        <w:tc>
          <w:tcPr>
            <w:tcW w:w="5040" w:type="dxa"/>
            <w:shd w:val="clear" w:color="auto" w:fill="auto"/>
          </w:tcPr>
          <w:p w:rsidR="00F24971" w:rsidRPr="005B6074" w:rsidRDefault="005B35A7" w:rsidP="00F24971">
            <w:pPr>
              <w:pStyle w:val="BodyText"/>
              <w:widowControl w:val="0"/>
              <w:spacing w:line="276" w:lineRule="auto"/>
              <w:jc w:val="both"/>
              <w:rPr>
                <w:rFonts w:ascii="Verdana" w:hAnsi="Verdana"/>
                <w:sz w:val="20"/>
                <w:szCs w:val="20"/>
              </w:rPr>
            </w:pPr>
            <w:r>
              <w:rPr>
                <w:rFonts w:ascii="Verdana" w:hAnsi="Verdana"/>
                <w:sz w:val="20"/>
              </w:rPr>
              <w:t>OPSESG</w:t>
            </w:r>
            <w:r w:rsidR="00A35E98" w:rsidRPr="005B6074">
              <w:rPr>
                <w:rFonts w:ascii="Verdana" w:hAnsi="Verdana"/>
                <w:sz w:val="20"/>
              </w:rPr>
              <w:t xml:space="preserve"> will support the modernisation of Bulgarian scientific infrastructure, which will provide better opportunities for participation in Horizon 2020 projects. It specifies that the support for research centres will further the mobility of scientists and the attracting of scientists from other countries.</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There is complementarity in the area of research.</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It is assumed that the possibilities for risk finance for SMEs provided by Horizon 2020 will increase the possibilities for participation of activities supported by the operational programme.</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 xml:space="preserve">Some synergy effect is anticipated concerning </w:t>
            </w:r>
            <w:r w:rsidRPr="005B6074">
              <w:rPr>
                <w:rFonts w:ascii="Verdana" w:hAnsi="Verdana"/>
                <w:sz w:val="20"/>
              </w:rPr>
              <w:lastRenderedPageBreak/>
              <w:t>the third priority of Horizon 2020 where the support from the operational programme will, as a whole, have a supplementary role to the more comprehensive research in priority areas at EU level.</w:t>
            </w:r>
          </w:p>
          <w:p w:rsidR="00F24971" w:rsidRPr="005B6074" w:rsidRDefault="00A35E98">
            <w:pPr>
              <w:pStyle w:val="BodyText"/>
              <w:widowControl w:val="0"/>
              <w:spacing w:line="276" w:lineRule="auto"/>
              <w:jc w:val="both"/>
              <w:rPr>
                <w:rFonts w:ascii="Verdana" w:hAnsi="Verdana"/>
                <w:sz w:val="20"/>
                <w:szCs w:val="20"/>
              </w:rPr>
            </w:pPr>
            <w:r w:rsidRPr="005B6074">
              <w:rPr>
                <w:rFonts w:ascii="Verdana" w:hAnsi="Verdana"/>
                <w:sz w:val="20"/>
              </w:rPr>
              <w:t>There is a possibility for supplementing the Horizon 2020 financing through OPSESG.</w:t>
            </w:r>
          </w:p>
        </w:tc>
        <w:tc>
          <w:tcPr>
            <w:tcW w:w="4050" w:type="dxa"/>
            <w:shd w:val="clear" w:color="auto" w:fill="auto"/>
          </w:tcPr>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lastRenderedPageBreak/>
              <w:t>Horizon 2020 and OPSESG provide financing for research infrastructure. The demarcation of both programmes refers to the following: OPSESG will finance such infrastructure on the country's territory of national importance, while Horizon 2020 will finance European high class infrastructures.</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 xml:space="preserve">Both programmes envisage support for applied research and innovations in SMEs. Demarcation is envisaged to take place at the level of projects (beneficiaries, target groups and activities). </w:t>
            </w:r>
          </w:p>
        </w:tc>
      </w:tr>
    </w:tbl>
    <w:p w:rsidR="00F24971" w:rsidRPr="005B6074" w:rsidRDefault="00F24971" w:rsidP="00F24971">
      <w:pPr>
        <w:pStyle w:val="BodyText"/>
        <w:widowControl w:val="0"/>
        <w:spacing w:line="276" w:lineRule="auto"/>
        <w:jc w:val="both"/>
        <w:rPr>
          <w:rFonts w:ascii="Verdana" w:hAnsi="Verdana"/>
          <w:sz w:val="20"/>
          <w:szCs w:val="20"/>
        </w:rPr>
      </w:pP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EU Programme for Employment and Social Innovation</w:t>
      </w:r>
    </w:p>
    <w:p w:rsidR="00F24971" w:rsidRPr="005B6074" w:rsidRDefault="00A35E98" w:rsidP="00F24971">
      <w:pPr>
        <w:tabs>
          <w:tab w:val="left" w:pos="0"/>
          <w:tab w:val="right" w:pos="9214"/>
        </w:tabs>
        <w:spacing w:before="120" w:after="120"/>
        <w:jc w:val="both"/>
        <w:rPr>
          <w:rFonts w:ascii="Verdana" w:hAnsi="Verdana" w:cs="Calibri"/>
          <w:color w:val="000000"/>
          <w:sz w:val="20"/>
          <w:szCs w:val="20"/>
        </w:rPr>
      </w:pPr>
      <w:r w:rsidRPr="005B6074">
        <w:rPr>
          <w:rFonts w:ascii="Verdana" w:hAnsi="Verdana"/>
          <w:color w:val="000000"/>
          <w:sz w:val="20"/>
        </w:rPr>
        <w:t xml:space="preserve">The EU Programme for Employment and Social Innovation has three main directions as follows: </w:t>
      </w:r>
    </w:p>
    <w:p w:rsidR="00F24971" w:rsidRPr="005B6074" w:rsidRDefault="00A35E98" w:rsidP="00F24971">
      <w:pPr>
        <w:pStyle w:val="ListParagraph"/>
        <w:numPr>
          <w:ilvl w:val="0"/>
          <w:numId w:val="15"/>
        </w:numPr>
        <w:tabs>
          <w:tab w:val="left" w:pos="0"/>
          <w:tab w:val="right" w:pos="9214"/>
        </w:tabs>
        <w:spacing w:before="120" w:after="120"/>
        <w:jc w:val="both"/>
        <w:rPr>
          <w:rFonts w:ascii="Verdana" w:hAnsi="Verdana" w:cs="Calibri"/>
          <w:color w:val="000000"/>
          <w:sz w:val="20"/>
          <w:szCs w:val="20"/>
        </w:rPr>
      </w:pPr>
      <w:r w:rsidRPr="005B6074">
        <w:rPr>
          <w:rFonts w:ascii="Verdana" w:hAnsi="Verdana"/>
          <w:i/>
          <w:color w:val="000000"/>
          <w:sz w:val="20"/>
        </w:rPr>
        <w:t>Progress Axis</w:t>
      </w:r>
      <w:r w:rsidRPr="005B6074">
        <w:rPr>
          <w:rFonts w:ascii="Verdana" w:hAnsi="Verdana"/>
          <w:color w:val="000000"/>
          <w:sz w:val="20"/>
        </w:rPr>
        <w:t xml:space="preserve"> will finance analyses, studies and exchange of experience in the area of employment policies, social issues and labour conditions, including universities and research institutes. </w:t>
      </w:r>
    </w:p>
    <w:p w:rsidR="00F24971" w:rsidRPr="005B6074" w:rsidRDefault="00A35E98" w:rsidP="00F24971">
      <w:pPr>
        <w:pStyle w:val="ListParagraph"/>
        <w:numPr>
          <w:ilvl w:val="0"/>
          <w:numId w:val="15"/>
        </w:numPr>
        <w:tabs>
          <w:tab w:val="left" w:pos="0"/>
          <w:tab w:val="right" w:pos="9214"/>
        </w:tabs>
        <w:spacing w:before="120" w:after="120"/>
        <w:jc w:val="both"/>
        <w:rPr>
          <w:rFonts w:ascii="Verdana" w:hAnsi="Verdana" w:cs="Calibri"/>
          <w:color w:val="000000"/>
          <w:sz w:val="20"/>
          <w:szCs w:val="20"/>
        </w:rPr>
      </w:pPr>
      <w:r w:rsidRPr="005B6074">
        <w:rPr>
          <w:rFonts w:ascii="Verdana" w:hAnsi="Verdana"/>
          <w:i/>
          <w:color w:val="000000"/>
          <w:sz w:val="20"/>
        </w:rPr>
        <w:t>EURES Axis</w:t>
      </w:r>
      <w:r w:rsidRPr="005B6074">
        <w:rPr>
          <w:rFonts w:ascii="Verdana" w:hAnsi="Verdana"/>
          <w:color w:val="000000"/>
          <w:sz w:val="20"/>
        </w:rPr>
        <w:t xml:space="preserve"> will continue supporting the European network of intermediary services for professional mobility.</w:t>
      </w:r>
    </w:p>
    <w:p w:rsidR="00F24971" w:rsidRPr="005B6074" w:rsidRDefault="00A35E98" w:rsidP="00F24971">
      <w:pPr>
        <w:pStyle w:val="ListParagraph"/>
        <w:numPr>
          <w:ilvl w:val="0"/>
          <w:numId w:val="15"/>
        </w:numPr>
        <w:tabs>
          <w:tab w:val="left" w:pos="0"/>
          <w:tab w:val="right" w:pos="9214"/>
        </w:tabs>
        <w:spacing w:before="120" w:after="120"/>
        <w:jc w:val="both"/>
        <w:rPr>
          <w:rFonts w:ascii="Verdana" w:hAnsi="Verdana" w:cs="Calibri"/>
          <w:color w:val="000000"/>
          <w:sz w:val="20"/>
          <w:szCs w:val="20"/>
        </w:rPr>
      </w:pPr>
      <w:r w:rsidRPr="005B6074">
        <w:rPr>
          <w:rFonts w:ascii="Verdana" w:hAnsi="Verdana"/>
          <w:i/>
          <w:color w:val="000000"/>
          <w:sz w:val="20"/>
        </w:rPr>
        <w:t>Micro-finance and Social Entrepreneurship Axis</w:t>
      </w:r>
      <w:r w:rsidRPr="005B6074">
        <w:rPr>
          <w:rFonts w:ascii="Verdana" w:hAnsi="Verdana"/>
          <w:color w:val="000000"/>
          <w:sz w:val="20"/>
        </w:rPr>
        <w:t xml:space="preserve"> will provide access to start-up micro-financing for unemployed and employed persons, micro-enterprises and social enterprises.  </w:t>
      </w:r>
    </w:p>
    <w:p w:rsidR="00F24971" w:rsidRPr="005B6074" w:rsidRDefault="00A35E98" w:rsidP="00F24971">
      <w:pPr>
        <w:tabs>
          <w:tab w:val="left" w:pos="0"/>
          <w:tab w:val="right" w:pos="9214"/>
        </w:tabs>
        <w:spacing w:before="120" w:after="120"/>
        <w:jc w:val="both"/>
        <w:rPr>
          <w:rFonts w:ascii="Verdana" w:hAnsi="Verdana" w:cs="Calibri"/>
          <w:color w:val="000000"/>
          <w:sz w:val="20"/>
          <w:szCs w:val="20"/>
        </w:rPr>
      </w:pPr>
      <w:r w:rsidRPr="005B6074">
        <w:rPr>
          <w:rFonts w:ascii="Verdana" w:hAnsi="Verdana"/>
          <w:color w:val="000000"/>
          <w:sz w:val="20"/>
        </w:rPr>
        <w:t>Section 8 of OPSESG 2014–2020 specifies the coordination with the Programme with regard to the mechanisms for avoiding double financing and complementarity. The following complementarity and demarcation has been identified</w:t>
      </w:r>
    </w:p>
    <w:tbl>
      <w:tblPr>
        <w:tblW w:w="0" w:type="auto"/>
        <w:tblInd w:w="108"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4A0" w:firstRow="1" w:lastRow="0" w:firstColumn="1" w:lastColumn="0" w:noHBand="0" w:noVBand="1"/>
      </w:tblPr>
      <w:tblGrid>
        <w:gridCol w:w="5943"/>
        <w:gridCol w:w="3029"/>
      </w:tblGrid>
      <w:tr w:rsidR="00F24971" w:rsidRPr="005B6074" w:rsidTr="005B6074">
        <w:trPr>
          <w:trHeight w:val="575"/>
        </w:trPr>
        <w:tc>
          <w:tcPr>
            <w:tcW w:w="6030" w:type="dxa"/>
            <w:shd w:val="clear" w:color="auto" w:fill="17365D" w:themeFill="text2" w:themeFillShade="BF"/>
            <w:vAlign w:val="center"/>
          </w:tcPr>
          <w:p w:rsidR="00F24971" w:rsidRPr="005B6074" w:rsidRDefault="00A35E98" w:rsidP="00F24971">
            <w:pPr>
              <w:pStyle w:val="BodyText"/>
              <w:widowControl w:val="0"/>
              <w:spacing w:after="0" w:line="276" w:lineRule="auto"/>
              <w:jc w:val="center"/>
              <w:rPr>
                <w:rFonts w:ascii="Verdana" w:hAnsi="Verdana"/>
                <w:b/>
                <w:color w:val="FFFFFF"/>
                <w:sz w:val="20"/>
                <w:szCs w:val="20"/>
              </w:rPr>
            </w:pPr>
            <w:r w:rsidRPr="005B6074">
              <w:rPr>
                <w:rFonts w:ascii="Verdana" w:hAnsi="Verdana"/>
                <w:b/>
                <w:color w:val="FFFFFF"/>
                <w:sz w:val="20"/>
              </w:rPr>
              <w:t>Complementarity</w:t>
            </w:r>
          </w:p>
        </w:tc>
        <w:tc>
          <w:tcPr>
            <w:tcW w:w="3060" w:type="dxa"/>
            <w:shd w:val="clear" w:color="auto" w:fill="17365D" w:themeFill="text2" w:themeFillShade="BF"/>
            <w:vAlign w:val="center"/>
          </w:tcPr>
          <w:p w:rsidR="00F24971" w:rsidRPr="005B6074" w:rsidRDefault="00A35E98" w:rsidP="00F24971">
            <w:pPr>
              <w:pStyle w:val="BodyText"/>
              <w:widowControl w:val="0"/>
              <w:spacing w:after="0" w:line="276" w:lineRule="auto"/>
              <w:jc w:val="center"/>
              <w:rPr>
                <w:rFonts w:ascii="Verdana" w:hAnsi="Verdana"/>
                <w:b/>
                <w:color w:val="FFFFFF"/>
                <w:sz w:val="20"/>
                <w:szCs w:val="20"/>
              </w:rPr>
            </w:pPr>
            <w:r w:rsidRPr="005B6074">
              <w:rPr>
                <w:rFonts w:ascii="Verdana" w:hAnsi="Verdana"/>
                <w:b/>
                <w:color w:val="FFFFFF"/>
                <w:sz w:val="20"/>
              </w:rPr>
              <w:t>Demarcation</w:t>
            </w:r>
          </w:p>
        </w:tc>
      </w:tr>
      <w:tr w:rsidR="00F24971" w:rsidRPr="005B6074" w:rsidTr="00F24971">
        <w:tc>
          <w:tcPr>
            <w:tcW w:w="6030" w:type="dxa"/>
            <w:shd w:val="clear" w:color="auto" w:fill="auto"/>
          </w:tcPr>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Progress Axis provides opportunities for the financing of research of European importance. Such research at national level may potentially be financed by the operational programme.</w:t>
            </w:r>
          </w:p>
          <w:p w:rsidR="00F24971" w:rsidRPr="005B6074" w:rsidRDefault="00A35E98" w:rsidP="00F24971">
            <w:pPr>
              <w:pStyle w:val="BodyText"/>
              <w:widowControl w:val="0"/>
              <w:spacing w:line="276" w:lineRule="auto"/>
              <w:jc w:val="both"/>
              <w:rPr>
                <w:rFonts w:ascii="Verdana" w:hAnsi="Verdana" w:cs="Calibri"/>
                <w:color w:val="000000"/>
                <w:sz w:val="20"/>
                <w:szCs w:val="20"/>
              </w:rPr>
            </w:pPr>
            <w:r w:rsidRPr="005B6074">
              <w:rPr>
                <w:rFonts w:ascii="Verdana" w:hAnsi="Verdana"/>
                <w:sz w:val="20"/>
              </w:rPr>
              <w:t xml:space="preserve">Complementarity with EURES Axis concerning the mobility of </w:t>
            </w:r>
            <w:r w:rsidRPr="005B6074">
              <w:rPr>
                <w:rFonts w:ascii="Verdana" w:hAnsi="Verdana"/>
                <w:color w:val="000000"/>
                <w:sz w:val="20"/>
              </w:rPr>
              <w:t>researchers and scientists.</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 xml:space="preserve">Complementarity with </w:t>
            </w:r>
            <w:r w:rsidRPr="005B6074">
              <w:rPr>
                <w:rFonts w:ascii="Verdana" w:hAnsi="Verdana"/>
                <w:color w:val="000000"/>
                <w:sz w:val="20"/>
              </w:rPr>
              <w:t>Micro-finance and Social Entrepreneurship Axis is possible within the framework of lending to enterprises, lecturers and students.</w:t>
            </w:r>
          </w:p>
        </w:tc>
        <w:tc>
          <w:tcPr>
            <w:tcW w:w="3060" w:type="dxa"/>
            <w:shd w:val="clear" w:color="auto" w:fill="auto"/>
          </w:tcPr>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There is no potential overlapping of programmes.</w:t>
            </w:r>
          </w:p>
        </w:tc>
      </w:tr>
    </w:tbl>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Erasmus for All Programme</w:t>
      </w:r>
    </w:p>
    <w:p w:rsidR="00F24971" w:rsidRPr="005B6074" w:rsidRDefault="00A35E98" w:rsidP="00F24971">
      <w:pPr>
        <w:tabs>
          <w:tab w:val="left" w:pos="0"/>
          <w:tab w:val="right" w:pos="9214"/>
        </w:tabs>
        <w:spacing w:before="120" w:after="120"/>
        <w:jc w:val="both"/>
        <w:rPr>
          <w:rFonts w:ascii="Verdana" w:hAnsi="Verdana" w:cs="Calibri"/>
          <w:color w:val="000000"/>
          <w:sz w:val="20"/>
          <w:szCs w:val="20"/>
        </w:rPr>
      </w:pPr>
      <w:r w:rsidRPr="005B6074">
        <w:rPr>
          <w:rFonts w:ascii="Verdana" w:hAnsi="Verdana"/>
          <w:color w:val="000000"/>
          <w:sz w:val="20"/>
        </w:rPr>
        <w:t xml:space="preserve">The Erasmus for All Programme 2014–2020 will succeed a number of EU programmes from the 2007–2013 period in the area of education and training, youth policies and sports. The programme will provide support for mobility for learning purposes, cooperation and policy </w:t>
      </w:r>
      <w:r w:rsidRPr="005B6074">
        <w:rPr>
          <w:rFonts w:ascii="Verdana" w:hAnsi="Verdana"/>
          <w:color w:val="000000"/>
          <w:sz w:val="20"/>
        </w:rPr>
        <w:lastRenderedPageBreak/>
        <w:t xml:space="preserve">reforms. The student loan scheme will allow to support students who want to get a Master's degree in another member state. </w:t>
      </w:r>
    </w:p>
    <w:p w:rsidR="00F24971" w:rsidRPr="005B6074" w:rsidRDefault="00A35E98" w:rsidP="00F24971">
      <w:pPr>
        <w:tabs>
          <w:tab w:val="left" w:pos="0"/>
          <w:tab w:val="right" w:pos="9214"/>
        </w:tabs>
        <w:spacing w:before="120" w:after="120"/>
        <w:jc w:val="both"/>
        <w:rPr>
          <w:rFonts w:ascii="Verdana" w:hAnsi="Verdana" w:cs="Calibri"/>
          <w:color w:val="000000"/>
          <w:sz w:val="20"/>
          <w:szCs w:val="20"/>
        </w:rPr>
      </w:pPr>
      <w:r w:rsidRPr="005B6074">
        <w:rPr>
          <w:rFonts w:ascii="Verdana" w:hAnsi="Verdana"/>
          <w:color w:val="000000"/>
          <w:sz w:val="20"/>
        </w:rPr>
        <w:t>Section 8 of OPSESG 2014–2020 points to the following complementarity and demarcation from the Erasmus for All Programme:</w:t>
      </w:r>
    </w:p>
    <w:tbl>
      <w:tblPr>
        <w:tblW w:w="0" w:type="auto"/>
        <w:tblInd w:w="108"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4A0" w:firstRow="1" w:lastRow="0" w:firstColumn="1" w:lastColumn="0" w:noHBand="0" w:noVBand="1"/>
      </w:tblPr>
      <w:tblGrid>
        <w:gridCol w:w="5943"/>
        <w:gridCol w:w="3029"/>
      </w:tblGrid>
      <w:tr w:rsidR="00F24971" w:rsidRPr="005B6074" w:rsidTr="005B6074">
        <w:tc>
          <w:tcPr>
            <w:tcW w:w="6030" w:type="dxa"/>
            <w:shd w:val="clear" w:color="auto" w:fill="17365D" w:themeFill="text2" w:themeFillShade="BF"/>
          </w:tcPr>
          <w:p w:rsidR="00F24971" w:rsidRPr="005B6074" w:rsidRDefault="00A35E98" w:rsidP="00F24971">
            <w:pPr>
              <w:pStyle w:val="BodyText"/>
              <w:widowControl w:val="0"/>
              <w:spacing w:before="120" w:line="276" w:lineRule="auto"/>
              <w:jc w:val="center"/>
              <w:rPr>
                <w:rFonts w:ascii="Verdana" w:hAnsi="Verdana"/>
                <w:b/>
                <w:color w:val="FFFFFF"/>
                <w:sz w:val="20"/>
                <w:szCs w:val="20"/>
              </w:rPr>
            </w:pPr>
            <w:r w:rsidRPr="005B6074">
              <w:rPr>
                <w:rFonts w:ascii="Verdana" w:hAnsi="Verdana"/>
                <w:b/>
                <w:color w:val="FFFFFF"/>
                <w:sz w:val="20"/>
              </w:rPr>
              <w:t>Complementarity</w:t>
            </w:r>
          </w:p>
        </w:tc>
        <w:tc>
          <w:tcPr>
            <w:tcW w:w="3060" w:type="dxa"/>
            <w:shd w:val="clear" w:color="auto" w:fill="17365D" w:themeFill="text2" w:themeFillShade="BF"/>
          </w:tcPr>
          <w:p w:rsidR="00F24971" w:rsidRPr="005B6074" w:rsidRDefault="00A35E98" w:rsidP="00F24971">
            <w:pPr>
              <w:pStyle w:val="BodyText"/>
              <w:widowControl w:val="0"/>
              <w:spacing w:before="120" w:line="276" w:lineRule="auto"/>
              <w:jc w:val="center"/>
              <w:rPr>
                <w:rFonts w:ascii="Verdana" w:hAnsi="Verdana"/>
                <w:b/>
                <w:color w:val="FFFFFF"/>
                <w:sz w:val="20"/>
                <w:szCs w:val="20"/>
              </w:rPr>
            </w:pPr>
            <w:r w:rsidRPr="005B6074">
              <w:rPr>
                <w:rFonts w:ascii="Verdana" w:hAnsi="Verdana"/>
                <w:b/>
                <w:color w:val="FFFFFF"/>
                <w:sz w:val="20"/>
              </w:rPr>
              <w:t>Demarcation</w:t>
            </w:r>
          </w:p>
        </w:tc>
      </w:tr>
      <w:tr w:rsidR="00F24971" w:rsidRPr="005B6074" w:rsidTr="00F24971">
        <w:tc>
          <w:tcPr>
            <w:tcW w:w="6030" w:type="dxa"/>
            <w:shd w:val="clear" w:color="auto" w:fill="auto"/>
          </w:tcPr>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 xml:space="preserve">The support from the operational programme is expected to strengthen the capacity of potential Bulgarian beneficiaries of Erasmus for All for participation in the EU programme, including through investment in infrastructure. </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 xml:space="preserve">It says that </w:t>
            </w:r>
            <w:r w:rsidRPr="005B6074">
              <w:rPr>
                <w:rFonts w:ascii="Verdana" w:hAnsi="Verdana"/>
                <w:i/>
                <w:sz w:val="20"/>
              </w:rPr>
              <w:t>"good opportunities for complementarity may be expected from cooperation for innovations and good practices, as well as from support for policy reforms in education, training and youth".</w:t>
            </w:r>
          </w:p>
        </w:tc>
        <w:tc>
          <w:tcPr>
            <w:tcW w:w="3060" w:type="dxa"/>
            <w:shd w:val="clear" w:color="auto" w:fill="auto"/>
          </w:tcPr>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Both programmes support mobility and it is therefore specified that demarcation at project level is needed. The operational programme is expected to complement the financing from the Erasmus for All Programme.</w:t>
            </w:r>
          </w:p>
        </w:tc>
      </w:tr>
    </w:tbl>
    <w:p w:rsidR="00F24971" w:rsidRPr="005B6074" w:rsidRDefault="00F24971" w:rsidP="00F24971">
      <w:pPr>
        <w:pStyle w:val="BodyText"/>
        <w:widowControl w:val="0"/>
        <w:spacing w:line="276" w:lineRule="auto"/>
        <w:jc w:val="both"/>
        <w:rPr>
          <w:rFonts w:ascii="Verdana" w:hAnsi="Verdana"/>
          <w:sz w:val="20"/>
          <w:szCs w:val="20"/>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627"/>
        <w:gridCol w:w="8355"/>
      </w:tblGrid>
      <w:tr w:rsidR="00F24971" w:rsidRPr="005B6074" w:rsidTr="00F24971">
        <w:tc>
          <w:tcPr>
            <w:tcW w:w="630" w:type="dxa"/>
            <w:vAlign w:val="center"/>
          </w:tcPr>
          <w:p w:rsidR="00F24971" w:rsidRPr="005B6074" w:rsidRDefault="00A35E98" w:rsidP="00F24971">
            <w:pPr>
              <w:pStyle w:val="BodyText"/>
              <w:spacing w:after="0" w:line="276" w:lineRule="auto"/>
              <w:jc w:val="center"/>
              <w:rPr>
                <w:rFonts w:ascii="Verdana" w:hAnsi="Verdana"/>
                <w:color w:val="548DD4"/>
                <w:sz w:val="36"/>
                <w:szCs w:val="36"/>
              </w:rPr>
            </w:pPr>
            <w:r w:rsidRPr="005B6074">
              <w:rPr>
                <w:rFonts w:ascii="Verdana" w:hAnsi="Verdana"/>
                <w:color w:val="548DD4"/>
                <w:sz w:val="36"/>
              </w:rPr>
              <w:t>?</w:t>
            </w:r>
          </w:p>
        </w:tc>
        <w:tc>
          <w:tcPr>
            <w:tcW w:w="8460" w:type="dxa"/>
            <w:shd w:val="clear" w:color="auto" w:fill="B8CCE4"/>
          </w:tcPr>
          <w:p w:rsidR="00F24971" w:rsidRPr="005B6074" w:rsidRDefault="00A35E98" w:rsidP="00F24971">
            <w:pPr>
              <w:suppressAutoHyphens/>
              <w:spacing w:before="120" w:after="120" w:line="240" w:lineRule="auto"/>
              <w:ind w:left="115"/>
              <w:jc w:val="both"/>
              <w:rPr>
                <w:rFonts w:ascii="Verdana" w:hAnsi="Verdana" w:cs="TimesNewRomanPSMT"/>
                <w:sz w:val="20"/>
                <w:szCs w:val="20"/>
              </w:rPr>
            </w:pPr>
            <w:r w:rsidRPr="005B6074">
              <w:rPr>
                <w:rFonts w:ascii="Verdana" w:hAnsi="Verdana"/>
                <w:sz w:val="20"/>
              </w:rPr>
              <w:t>Coherence with the national strategic framework – National Development Programme Bulgaria 2020, National Reform Programme</w:t>
            </w:r>
          </w:p>
        </w:tc>
      </w:tr>
    </w:tbl>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National Development Programme</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OPSESG 2014–2020 addresses most of the measures of Priority 1.</w:t>
      </w:r>
      <w:r w:rsidRPr="005B6074">
        <w:rPr>
          <w:rFonts w:ascii="Verdana" w:hAnsi="Verdana"/>
          <w:i/>
          <w:sz w:val="20"/>
        </w:rPr>
        <w:t>Improving the access to and enhancing the quality of education and training and the quality characteristics of the workforce</w:t>
      </w:r>
      <w:r w:rsidRPr="005B6074">
        <w:rPr>
          <w:rFonts w:ascii="Verdana" w:hAnsi="Verdana"/>
          <w:sz w:val="20"/>
        </w:rPr>
        <w:t xml:space="preserve"> of the National Development Programme, namely: educational reform, modernisation of curricula, development of a career orientation system, enhancing the qualification of teachers, introduction of ICT in education, prevention of early school leaving, updating the model of accreditation in universities and scientific organisations, establishment of centres for excellence.</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 xml:space="preserve">The Programme also incorporates some of the measures set in Priority 5. </w:t>
      </w:r>
      <w:r w:rsidRPr="005B6074">
        <w:rPr>
          <w:rFonts w:ascii="Verdana" w:hAnsi="Verdana"/>
          <w:i/>
          <w:sz w:val="20"/>
        </w:rPr>
        <w:t>Support of innovation and investment activities to increase the competitiveness of the economy</w:t>
      </w:r>
      <w:r w:rsidRPr="005B6074">
        <w:rPr>
          <w:rFonts w:ascii="Verdana" w:hAnsi="Verdana"/>
          <w:sz w:val="20"/>
        </w:rPr>
        <w:t xml:space="preserve"> such as: support of the links between science, education and business, support of PhD candidates and specialists when working with the business.</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National Reform Programme (2012–2020, Convergence Programme of the Republic of Bulgaria and Recommendations in the Conclusions of the Commission Report on Annual Growth Survey (2013 and 2014)</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 xml:space="preserve">The National Reform Programme updated in 2013 lays down that Bulgaria preserves its national targets related to the EU 2020 Strategy by planning an interim assessment and a possible review of those targets as of the middle of the period of the EU 2020 Strategy. </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 xml:space="preserve">Concerning the national R&amp;D target, it says that no increase in the R&amp;D financing is observed as of 2013. At the same time, however, it takes account of the fact that actions have been taken to improve the environment for innovation activities through the draft </w:t>
      </w:r>
      <w:r w:rsidRPr="005B6074">
        <w:rPr>
          <w:rFonts w:ascii="Verdana" w:hAnsi="Verdana"/>
          <w:sz w:val="20"/>
        </w:rPr>
        <w:lastRenderedPageBreak/>
        <w:t xml:space="preserve">Innovations Law and the draft Innovation Strategy for Smart Specialisation. </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Concerning the national target in education, it says that Bulgaria carries out large-scale reforms in school and pre-school education aimed at modernisation of the model of delivering educational services to the population and at improvement in the level of education, respectively. The School and Pre-School Education Act is pending and it will provide the legal framework for the reform followed by the amendments to the Vocational Education and Training Act. The process of modernisation of curricula and school programmes is ongoing. Projects for enhancing the qualification of pedagogical specialists are being implemented. Measures ensuring equal access to education of the disadvantaged groups are supported by the state budget and include provision of free textbooks to pupils with special educational needs, inclusion of children from ethnic minorities in "foster" schools, provision of free transport of pupils until the age of 16.</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COUNCIL RECOMMENDATION of 9 July 2013 on the National Reform Programme 2013 and delivering a Council opinion on the Convergence Programme of Bulgaria 2012—2016 says that "</w:t>
      </w:r>
      <w:r w:rsidRPr="005B6074">
        <w:rPr>
          <w:rFonts w:ascii="Verdana" w:hAnsi="Verdana"/>
          <w:i/>
          <w:sz w:val="20"/>
        </w:rPr>
        <w:t>in higher education, reforms have made very limited progress. The existence of an important disparity between higher education outcomes and labour-market demand worsens structural unemployment and hampers the development of high-value, innovative sectors. The poor performance of higher education is linked to a lack of incentives at institutional level as well as to the standard of individual researchers and teachers"</w:t>
      </w:r>
      <w:r w:rsidRPr="005B6074">
        <w:rPr>
          <w:rFonts w:ascii="Verdana" w:hAnsi="Verdana"/>
          <w:sz w:val="20"/>
        </w:rPr>
        <w:t>.</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 xml:space="preserve">One of the 7 recommendations made in the paper concerns the support to be granted by </w:t>
      </w:r>
      <w:r w:rsidR="005B35A7">
        <w:rPr>
          <w:rFonts w:ascii="Verdana" w:hAnsi="Verdana"/>
          <w:sz w:val="20"/>
        </w:rPr>
        <w:t>OPSESG</w:t>
      </w:r>
      <w:r w:rsidRPr="005B6074">
        <w:rPr>
          <w:rFonts w:ascii="Verdana" w:hAnsi="Verdana"/>
          <w:sz w:val="20"/>
        </w:rPr>
        <w:t>, namely Recommendation 4: „</w:t>
      </w:r>
      <w:r w:rsidRPr="005B6074">
        <w:rPr>
          <w:rFonts w:ascii="Verdana" w:hAnsi="Verdana"/>
          <w:i/>
          <w:sz w:val="20"/>
        </w:rPr>
        <w:t>To adopt the School Education Act and pursue the reform of higher education, in particular through better aligning outcomes to labour-market needs and strengthening cooperation between education, research and business. To improve access to inclusive education for disadvantaged children, in particular Roma"</w:t>
      </w:r>
      <w:r w:rsidRPr="005B6074">
        <w:rPr>
          <w:rFonts w:ascii="Verdana" w:hAnsi="Verdana"/>
          <w:sz w:val="20"/>
        </w:rPr>
        <w:t>.</w:t>
      </w:r>
    </w:p>
    <w:p w:rsidR="00F24971" w:rsidRPr="005B6074" w:rsidRDefault="00A35E98" w:rsidP="00F24971">
      <w:pPr>
        <w:pStyle w:val="CM1"/>
        <w:spacing w:after="120" w:line="276" w:lineRule="auto"/>
        <w:jc w:val="both"/>
        <w:rPr>
          <w:rFonts w:ascii="Verdana" w:hAnsi="Verdana"/>
          <w:sz w:val="20"/>
          <w:szCs w:val="20"/>
        </w:rPr>
      </w:pPr>
      <w:r w:rsidRPr="005B6074">
        <w:rPr>
          <w:rFonts w:ascii="Verdana" w:hAnsi="Verdana"/>
          <w:sz w:val="20"/>
        </w:rPr>
        <w:t>The 2014 Report further specifies and broadens the recommendations: "</w:t>
      </w:r>
      <w:r w:rsidRPr="005B6074">
        <w:rPr>
          <w:rFonts w:ascii="Verdana" w:hAnsi="Verdana"/>
          <w:i/>
          <w:sz w:val="20"/>
        </w:rPr>
        <w:t>To adopt the School Education Act and pursue the reforms of vocational and higher education in order to increase the level and relevance of skills acquired at all levels, while fostering partnerships between educational institutions and business with a view to better aligning outcomes to labour market needs. To strengthen the quality of vocational education and training institutions and improve access to life-long learning. To step up efforts to improve access to quality inclusive pre-school and school education of disadvantaged children, in particular Roma, and implement strictly the rules linking the payment of child allowance to participation in education</w:t>
      </w:r>
      <w:r w:rsidRPr="005B6074">
        <w:rPr>
          <w:rFonts w:ascii="Verdana" w:hAnsi="Verdana"/>
          <w:sz w:val="20"/>
        </w:rPr>
        <w:t>".</w:t>
      </w:r>
    </w:p>
    <w:p w:rsidR="00F24971" w:rsidRPr="005B6074" w:rsidRDefault="00A35E98" w:rsidP="00F24971">
      <w:pPr>
        <w:pStyle w:val="BodyText"/>
        <w:widowControl w:val="0"/>
        <w:spacing w:after="360" w:line="276" w:lineRule="auto"/>
        <w:jc w:val="both"/>
        <w:rPr>
          <w:rFonts w:ascii="Verdana" w:hAnsi="Verdana"/>
          <w:sz w:val="20"/>
          <w:szCs w:val="20"/>
        </w:rPr>
      </w:pPr>
      <w:r w:rsidRPr="005B6074">
        <w:rPr>
          <w:rFonts w:ascii="Verdana" w:hAnsi="Verdana"/>
          <w:sz w:val="20"/>
        </w:rPr>
        <w:t>EU recommendations are quoted in the justification of thematic objectives and investment priorities.</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38"/>
        <w:gridCol w:w="8444"/>
      </w:tblGrid>
      <w:tr w:rsidR="00F24971" w:rsidRPr="005B6074" w:rsidTr="00F24971">
        <w:tc>
          <w:tcPr>
            <w:tcW w:w="538" w:type="dxa"/>
            <w:vAlign w:val="center"/>
          </w:tcPr>
          <w:p w:rsidR="00F24971" w:rsidRPr="005B6074" w:rsidRDefault="00A35E98" w:rsidP="00F24971">
            <w:pPr>
              <w:pStyle w:val="BodyText"/>
              <w:keepNext/>
              <w:spacing w:after="0" w:line="276" w:lineRule="auto"/>
              <w:jc w:val="center"/>
              <w:rPr>
                <w:rFonts w:ascii="Verdana" w:hAnsi="Verdana"/>
                <w:color w:val="548DD4"/>
                <w:sz w:val="20"/>
                <w:szCs w:val="20"/>
              </w:rPr>
            </w:pPr>
            <w:r w:rsidRPr="005B6074">
              <w:rPr>
                <w:rFonts w:ascii="Verdana" w:hAnsi="Verdana"/>
                <w:color w:val="548DD4"/>
                <w:sz w:val="36"/>
              </w:rPr>
              <w:t>?</w:t>
            </w:r>
          </w:p>
        </w:tc>
        <w:tc>
          <w:tcPr>
            <w:tcW w:w="8444" w:type="dxa"/>
            <w:shd w:val="clear" w:color="auto" w:fill="B8CCE4"/>
          </w:tcPr>
          <w:p w:rsidR="00F24971" w:rsidRPr="005B6074" w:rsidRDefault="00A35E98" w:rsidP="00F24971">
            <w:pPr>
              <w:keepNext/>
              <w:suppressAutoHyphens/>
              <w:spacing w:before="120" w:after="120" w:line="240" w:lineRule="auto"/>
              <w:ind w:left="115"/>
              <w:jc w:val="both"/>
              <w:rPr>
                <w:rFonts w:ascii="Verdana" w:hAnsi="Verdana" w:cs="TimesNewRomanPSMT"/>
                <w:sz w:val="20"/>
                <w:szCs w:val="20"/>
              </w:rPr>
            </w:pPr>
            <w:r w:rsidRPr="005B6074">
              <w:rPr>
                <w:rFonts w:ascii="Verdana" w:hAnsi="Verdana"/>
                <w:sz w:val="20"/>
              </w:rPr>
              <w:t>Coherence with the EU legislative framework</w:t>
            </w:r>
          </w:p>
        </w:tc>
      </w:tr>
    </w:tbl>
    <w:p w:rsidR="00F24971" w:rsidRPr="005B6074" w:rsidRDefault="00A35E98" w:rsidP="00F24971">
      <w:pPr>
        <w:pStyle w:val="BodyText"/>
        <w:tabs>
          <w:tab w:val="left" w:pos="0"/>
          <w:tab w:val="right" w:pos="9214"/>
        </w:tabs>
        <w:spacing w:before="120" w:line="276" w:lineRule="auto"/>
        <w:jc w:val="both"/>
        <w:rPr>
          <w:rFonts w:ascii="Verdana" w:hAnsi="Verdana"/>
          <w:sz w:val="20"/>
          <w:szCs w:val="20"/>
        </w:rPr>
      </w:pPr>
      <w:r w:rsidRPr="005B6074">
        <w:rPr>
          <w:rFonts w:ascii="Verdana" w:hAnsi="Verdana"/>
          <w:sz w:val="20"/>
        </w:rPr>
        <w:t>The coherence of OPSESG with the following regulations for the following programming period has been considered:</w:t>
      </w:r>
    </w:p>
    <w:p w:rsidR="00F24971" w:rsidRPr="005B6074" w:rsidRDefault="00A35E98" w:rsidP="00F24971">
      <w:pPr>
        <w:pStyle w:val="BodyText"/>
        <w:numPr>
          <w:ilvl w:val="0"/>
          <w:numId w:val="11"/>
        </w:numPr>
        <w:tabs>
          <w:tab w:val="left" w:pos="0"/>
          <w:tab w:val="right" w:pos="9090"/>
        </w:tabs>
        <w:spacing w:before="120" w:line="276" w:lineRule="auto"/>
        <w:jc w:val="both"/>
        <w:rPr>
          <w:rFonts w:ascii="Verdana" w:hAnsi="Verdana"/>
          <w:sz w:val="20"/>
          <w:szCs w:val="20"/>
        </w:rPr>
      </w:pPr>
      <w:r w:rsidRPr="005B6074">
        <w:rPr>
          <w:rFonts w:ascii="Verdana" w:hAnsi="Verdana"/>
          <w:sz w:val="20"/>
        </w:rPr>
        <w:t xml:space="preserve">Regulation (EU) No 1303/2013 of the European Parliament and of the Council laying down common provisions on the European Regional Development Fund, the European Social Fund, the Cohesion Fund, the European Agricultural Fund for Rural </w:t>
      </w:r>
      <w:r w:rsidRPr="005B6074">
        <w:rPr>
          <w:rFonts w:ascii="Verdana" w:hAnsi="Verdana"/>
          <w:sz w:val="20"/>
        </w:rPr>
        <w:lastRenderedPageBreak/>
        <w:t>Development and the European Maritime and Fisheries Fund and laying down general provisions on the European Regional Development Fund, the European Social Fund, the Cohesion Fund and the European Maritime and Fisheries Fund</w:t>
      </w:r>
    </w:p>
    <w:p w:rsidR="00F24971" w:rsidRPr="005B6074" w:rsidRDefault="00A35E98" w:rsidP="00F24971">
      <w:pPr>
        <w:pStyle w:val="BodyText"/>
        <w:numPr>
          <w:ilvl w:val="0"/>
          <w:numId w:val="11"/>
        </w:numPr>
        <w:tabs>
          <w:tab w:val="left" w:pos="0"/>
          <w:tab w:val="right" w:pos="9214"/>
        </w:tabs>
        <w:spacing w:before="120" w:line="276" w:lineRule="auto"/>
        <w:jc w:val="both"/>
        <w:rPr>
          <w:rFonts w:ascii="Verdana" w:hAnsi="Verdana"/>
          <w:sz w:val="20"/>
          <w:szCs w:val="20"/>
        </w:rPr>
      </w:pPr>
      <w:r w:rsidRPr="005B6074">
        <w:rPr>
          <w:rFonts w:ascii="Verdana" w:hAnsi="Verdana"/>
          <w:sz w:val="20"/>
        </w:rPr>
        <w:t>Regulation (EU) No 1304/2013 of the European Parliament and of the Council on the European Social Fund and repealing Council Regulation (EC) No 1081/2006</w:t>
      </w:r>
    </w:p>
    <w:p w:rsidR="00F24971" w:rsidRPr="005B6074" w:rsidRDefault="00A35E98" w:rsidP="00F24971">
      <w:pPr>
        <w:pStyle w:val="BodyText"/>
        <w:numPr>
          <w:ilvl w:val="0"/>
          <w:numId w:val="11"/>
        </w:numPr>
        <w:tabs>
          <w:tab w:val="left" w:pos="0"/>
          <w:tab w:val="right" w:pos="9214"/>
        </w:tabs>
        <w:spacing w:before="120" w:after="240" w:line="276" w:lineRule="auto"/>
        <w:ind w:left="782" w:hanging="357"/>
        <w:jc w:val="both"/>
        <w:rPr>
          <w:rFonts w:ascii="Verdana" w:hAnsi="Verdana"/>
          <w:sz w:val="20"/>
          <w:szCs w:val="20"/>
        </w:rPr>
      </w:pPr>
      <w:r w:rsidRPr="005B6074">
        <w:rPr>
          <w:rFonts w:ascii="Verdana" w:hAnsi="Verdana"/>
          <w:sz w:val="20"/>
        </w:rPr>
        <w:t>Regulation (EU) No 1301/2013 of the European Parliament and of the Council on the European Regional Development Fund and on specific provisions concerning the Investment for growth and jobs goal and repealing Regulation (EC) No 1080/2006</w:t>
      </w:r>
    </w:p>
    <w:p w:rsidR="00F24971" w:rsidRPr="005B6074" w:rsidRDefault="00A35E98" w:rsidP="00F24971">
      <w:pPr>
        <w:pStyle w:val="BodyText"/>
        <w:tabs>
          <w:tab w:val="left" w:pos="0"/>
          <w:tab w:val="right" w:pos="9214"/>
        </w:tabs>
        <w:spacing w:before="120" w:after="240" w:line="276" w:lineRule="auto"/>
        <w:jc w:val="both"/>
        <w:rPr>
          <w:rFonts w:ascii="Verdana" w:hAnsi="Verdana"/>
          <w:sz w:val="20"/>
          <w:szCs w:val="20"/>
        </w:rPr>
      </w:pPr>
      <w:r w:rsidRPr="005B6074">
        <w:rPr>
          <w:rFonts w:ascii="Verdana" w:hAnsi="Verdana"/>
          <w:sz w:val="20"/>
        </w:rPr>
        <w:t>Likewise, as part of the Programme's coherence with other strategic documents at national and EU level, information from the following regulations has been analysed:</w:t>
      </w:r>
    </w:p>
    <w:p w:rsidR="00F24971" w:rsidRPr="005B6074" w:rsidRDefault="00A35E98" w:rsidP="00F24971">
      <w:pPr>
        <w:pStyle w:val="BodyText"/>
        <w:numPr>
          <w:ilvl w:val="0"/>
          <w:numId w:val="11"/>
        </w:numPr>
        <w:tabs>
          <w:tab w:val="left" w:pos="0"/>
          <w:tab w:val="right" w:pos="9090"/>
        </w:tabs>
        <w:spacing w:before="120" w:line="276" w:lineRule="auto"/>
        <w:jc w:val="both"/>
        <w:rPr>
          <w:rFonts w:ascii="Verdana" w:hAnsi="Verdana"/>
          <w:sz w:val="20"/>
          <w:szCs w:val="20"/>
        </w:rPr>
      </w:pPr>
      <w:r w:rsidRPr="005B6074">
        <w:rPr>
          <w:rFonts w:ascii="Verdana" w:hAnsi="Verdana"/>
          <w:sz w:val="20"/>
        </w:rPr>
        <w:t>Regulation (EU) No 1305/2013 of the European Parliament and of the Council on support for rural development by the European Agricultural Fund for Rural Development (EAFRD);</w:t>
      </w:r>
    </w:p>
    <w:p w:rsidR="00F24971" w:rsidRPr="005B6074" w:rsidRDefault="00A35E98" w:rsidP="00F24971">
      <w:pPr>
        <w:pStyle w:val="BodyText"/>
        <w:numPr>
          <w:ilvl w:val="0"/>
          <w:numId w:val="11"/>
        </w:numPr>
        <w:tabs>
          <w:tab w:val="left" w:pos="0"/>
          <w:tab w:val="right" w:pos="9090"/>
        </w:tabs>
        <w:spacing w:before="120" w:line="276" w:lineRule="auto"/>
        <w:jc w:val="both"/>
        <w:rPr>
          <w:rFonts w:ascii="Verdana" w:hAnsi="Verdana"/>
          <w:sz w:val="20"/>
          <w:szCs w:val="20"/>
        </w:rPr>
      </w:pPr>
      <w:r w:rsidRPr="005B6074">
        <w:rPr>
          <w:rFonts w:ascii="Verdana" w:hAnsi="Verdana"/>
          <w:sz w:val="20"/>
        </w:rPr>
        <w:t>Regulation (EU) No 508/2014 of the European Parliament and of the Council on the European Maritime and Fisheries Fund and repealing Council Regulations (EC) No 2328/2003, (EC) No 861/2006, (EC) No 1198/2006 and (EC) No 791/2007 and Regulation (EU) No 1255/2011 of the European Parliament and of the Council;</w:t>
      </w:r>
    </w:p>
    <w:p w:rsidR="00F24971" w:rsidRPr="005B6074" w:rsidRDefault="00A35E98" w:rsidP="00F24971">
      <w:pPr>
        <w:pStyle w:val="BodyText"/>
        <w:numPr>
          <w:ilvl w:val="0"/>
          <w:numId w:val="11"/>
        </w:numPr>
        <w:tabs>
          <w:tab w:val="left" w:pos="0"/>
          <w:tab w:val="right" w:pos="9214"/>
        </w:tabs>
        <w:spacing w:before="120" w:line="276" w:lineRule="auto"/>
        <w:jc w:val="both"/>
        <w:rPr>
          <w:rFonts w:ascii="Verdana" w:hAnsi="Verdana"/>
          <w:sz w:val="20"/>
          <w:szCs w:val="20"/>
        </w:rPr>
      </w:pPr>
      <w:r w:rsidRPr="005B6074">
        <w:rPr>
          <w:rFonts w:ascii="Verdana" w:hAnsi="Verdana"/>
          <w:sz w:val="20"/>
        </w:rPr>
        <w:t>Regulation (EU) No 1309/2013 of the European Parliament and of the Council on the European Globalisation Adjustment Fund (2014-2020);</w:t>
      </w:r>
    </w:p>
    <w:p w:rsidR="00F24971" w:rsidRPr="005B6074" w:rsidRDefault="00A35E98" w:rsidP="00F24971">
      <w:pPr>
        <w:pStyle w:val="BodyText"/>
        <w:numPr>
          <w:ilvl w:val="0"/>
          <w:numId w:val="11"/>
        </w:numPr>
        <w:tabs>
          <w:tab w:val="left" w:pos="0"/>
          <w:tab w:val="right" w:pos="9214"/>
        </w:tabs>
        <w:spacing w:before="120" w:line="276" w:lineRule="auto"/>
        <w:jc w:val="both"/>
        <w:rPr>
          <w:rFonts w:ascii="Verdana" w:hAnsi="Verdana"/>
          <w:sz w:val="20"/>
          <w:szCs w:val="20"/>
        </w:rPr>
      </w:pPr>
      <w:r w:rsidRPr="005B6074">
        <w:rPr>
          <w:rFonts w:ascii="Verdana" w:hAnsi="Verdana"/>
          <w:sz w:val="20"/>
        </w:rPr>
        <w:t>Regulation (EU) No 1299/2013 of the European Parliament and of the Council on specific provisions for the support from the European Regional Development Fund to the European territorial cooperation goal;</w:t>
      </w:r>
    </w:p>
    <w:p w:rsidR="00F24971" w:rsidRPr="005B6074" w:rsidRDefault="00A35E98" w:rsidP="00F24971">
      <w:pPr>
        <w:pStyle w:val="BodyText"/>
        <w:numPr>
          <w:ilvl w:val="0"/>
          <w:numId w:val="11"/>
        </w:numPr>
        <w:tabs>
          <w:tab w:val="left" w:pos="0"/>
          <w:tab w:val="right" w:pos="9214"/>
        </w:tabs>
        <w:spacing w:before="120" w:line="276" w:lineRule="auto"/>
        <w:jc w:val="both"/>
        <w:rPr>
          <w:rFonts w:ascii="Verdana" w:hAnsi="Verdana"/>
          <w:sz w:val="20"/>
          <w:szCs w:val="20"/>
        </w:rPr>
      </w:pPr>
      <w:r w:rsidRPr="005B6074">
        <w:rPr>
          <w:rFonts w:ascii="Verdana" w:hAnsi="Verdana"/>
          <w:sz w:val="20"/>
        </w:rPr>
        <w:t>Regulation (EU) No 1287/2013 of the European Parliament and of the Council establishing a Programme for the Competitiveness of Enterprises and Small and Medium-sized Enterprises (COSME) (2014 - 2020) and repealing Decision No 1639/2006/EC</w:t>
      </w:r>
    </w:p>
    <w:p w:rsidR="00F24971" w:rsidRPr="005B6074" w:rsidRDefault="00A35E98" w:rsidP="00F24971">
      <w:pPr>
        <w:pStyle w:val="BodyText"/>
        <w:tabs>
          <w:tab w:val="left" w:pos="0"/>
          <w:tab w:val="right" w:pos="9214"/>
        </w:tabs>
        <w:spacing w:before="120" w:after="240" w:line="276" w:lineRule="auto"/>
        <w:jc w:val="both"/>
        <w:rPr>
          <w:rFonts w:ascii="Verdana" w:hAnsi="Verdana"/>
          <w:sz w:val="20"/>
          <w:szCs w:val="20"/>
        </w:rPr>
      </w:pPr>
      <w:r w:rsidRPr="005B6074">
        <w:rPr>
          <w:rFonts w:ascii="Verdana" w:hAnsi="Verdana"/>
          <w:sz w:val="20"/>
        </w:rPr>
        <w:t>As a whole, the text of the Programme complies with regulations’ requirements. Specific comments have been made in separate parts of this report when commenting on the meeting of the specific requirements of the regulations.</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38"/>
        <w:gridCol w:w="8444"/>
      </w:tblGrid>
      <w:tr w:rsidR="00F24971" w:rsidRPr="005B6074" w:rsidTr="00F24971">
        <w:trPr>
          <w:trHeight w:val="599"/>
        </w:trPr>
        <w:tc>
          <w:tcPr>
            <w:tcW w:w="540" w:type="dxa"/>
            <w:vAlign w:val="center"/>
          </w:tcPr>
          <w:p w:rsidR="00F24971" w:rsidRPr="005B6074" w:rsidRDefault="00A35E98" w:rsidP="00F24971">
            <w:pPr>
              <w:pStyle w:val="BodyText"/>
              <w:spacing w:after="0" w:line="276" w:lineRule="auto"/>
              <w:jc w:val="center"/>
              <w:rPr>
                <w:rFonts w:ascii="Verdana" w:hAnsi="Verdana"/>
                <w:color w:val="548DD4"/>
                <w:sz w:val="20"/>
                <w:szCs w:val="20"/>
              </w:rPr>
            </w:pPr>
            <w:r w:rsidRPr="005B6074">
              <w:rPr>
                <w:rFonts w:ascii="Verdana" w:hAnsi="Verdana"/>
                <w:color w:val="548DD4"/>
                <w:sz w:val="36"/>
              </w:rPr>
              <w:t>?</w:t>
            </w:r>
          </w:p>
        </w:tc>
        <w:tc>
          <w:tcPr>
            <w:tcW w:w="8550" w:type="dxa"/>
            <w:shd w:val="clear" w:color="auto" w:fill="B8CCE4"/>
            <w:vAlign w:val="center"/>
          </w:tcPr>
          <w:p w:rsidR="00F24971" w:rsidRPr="005B6074" w:rsidRDefault="00A35E98" w:rsidP="00F24971">
            <w:pPr>
              <w:suppressAutoHyphens/>
              <w:spacing w:before="120" w:after="120" w:line="240" w:lineRule="auto"/>
              <w:ind w:left="115"/>
              <w:rPr>
                <w:rFonts w:ascii="Verdana" w:hAnsi="Verdana" w:cs="TimesNewRomanPSMT"/>
                <w:sz w:val="20"/>
                <w:szCs w:val="20"/>
              </w:rPr>
            </w:pPr>
            <w:r w:rsidRPr="005B6074">
              <w:rPr>
                <w:rFonts w:ascii="Verdana" w:hAnsi="Verdana"/>
                <w:sz w:val="20"/>
              </w:rPr>
              <w:t>Coherence with the national legislative framework</w:t>
            </w:r>
          </w:p>
        </w:tc>
      </w:tr>
    </w:tbl>
    <w:p w:rsidR="00F24971" w:rsidRPr="005B6074" w:rsidRDefault="007A2B7B" w:rsidP="00F24971">
      <w:pPr>
        <w:keepNext/>
        <w:pBdr>
          <w:bottom w:val="single" w:sz="4" w:space="1" w:color="0070C0"/>
        </w:pBdr>
        <w:spacing w:before="360" w:after="120"/>
        <w:jc w:val="both"/>
        <w:rPr>
          <w:rFonts w:ascii="Verdana" w:hAnsi="Verdana"/>
          <w:color w:val="0070C0"/>
          <w:sz w:val="20"/>
          <w:szCs w:val="20"/>
        </w:rPr>
      </w:pPr>
      <w:hyperlink r:id="rId29" w:tgtFrame="_blank" w:history="1">
        <w:r w:rsidR="00A35E98" w:rsidRPr="005B6074">
          <w:rPr>
            <w:rFonts w:ascii="Verdana" w:hAnsi="Verdana"/>
            <w:color w:val="0070C0"/>
            <w:sz w:val="20"/>
          </w:rPr>
          <w:t>Public Education Act</w:t>
        </w:r>
      </w:hyperlink>
      <w:r w:rsidR="00A35E98" w:rsidRPr="005B6074">
        <w:rPr>
          <w:rFonts w:ascii="Verdana" w:hAnsi="Verdana"/>
          <w:color w:val="0070C0"/>
          <w:sz w:val="20"/>
        </w:rPr>
        <w:t>;</w:t>
      </w:r>
    </w:p>
    <w:p w:rsidR="00F24971" w:rsidRPr="005B6074" w:rsidRDefault="00A35E98" w:rsidP="00F24971">
      <w:pPr>
        <w:pStyle w:val="BodyText"/>
        <w:tabs>
          <w:tab w:val="left" w:pos="0"/>
          <w:tab w:val="right" w:pos="9214"/>
        </w:tabs>
        <w:spacing w:line="276" w:lineRule="auto"/>
        <w:jc w:val="both"/>
        <w:rPr>
          <w:rFonts w:ascii="Verdana" w:hAnsi="Verdana"/>
          <w:sz w:val="20"/>
          <w:szCs w:val="20"/>
        </w:rPr>
      </w:pPr>
      <w:r w:rsidRPr="005B6074">
        <w:rPr>
          <w:rFonts w:ascii="Verdana" w:hAnsi="Verdana"/>
          <w:sz w:val="20"/>
        </w:rPr>
        <w:t xml:space="preserve">The Public Education Act regulates the structure, functions and management of kindergartens, schools and auxiliary units. OPSESG does not contradict the provisions of this Act and will be conducive to its application with regard to the opportunities for integrated education of children with special educational needs, support of children with talents, partnership with parents, supplementary learning of mother tongue, as well as </w:t>
      </w:r>
      <w:r w:rsidRPr="005B6074">
        <w:rPr>
          <w:rFonts w:ascii="Verdana" w:hAnsi="Verdana"/>
          <w:sz w:val="20"/>
        </w:rPr>
        <w:lastRenderedPageBreak/>
        <w:t>additional teaching of Bulgarian language to children whose mother tongue is other than Bulgarian.</w:t>
      </w:r>
    </w:p>
    <w:p w:rsidR="00F24971" w:rsidRPr="005B6074" w:rsidRDefault="007A2B7B" w:rsidP="00F24971">
      <w:pPr>
        <w:keepNext/>
        <w:pBdr>
          <w:bottom w:val="single" w:sz="4" w:space="1" w:color="0070C0"/>
        </w:pBdr>
        <w:spacing w:before="360" w:after="120"/>
        <w:jc w:val="both"/>
        <w:rPr>
          <w:rFonts w:ascii="Verdana" w:hAnsi="Verdana"/>
          <w:color w:val="0070C0"/>
          <w:sz w:val="20"/>
          <w:szCs w:val="20"/>
        </w:rPr>
      </w:pPr>
      <w:hyperlink r:id="rId30" w:tgtFrame="_blank" w:history="1">
        <w:r w:rsidR="00A35E98" w:rsidRPr="005B6074">
          <w:rPr>
            <w:rFonts w:ascii="Verdana" w:hAnsi="Verdana"/>
            <w:color w:val="0070C0"/>
            <w:sz w:val="20"/>
          </w:rPr>
          <w:t>Level of Education, General Education Minimum and Curriculum Act</w:t>
        </w:r>
      </w:hyperlink>
    </w:p>
    <w:p w:rsidR="00F24971" w:rsidRPr="005B6074" w:rsidRDefault="00A35E98" w:rsidP="00F24971">
      <w:pPr>
        <w:pStyle w:val="BodyText"/>
        <w:tabs>
          <w:tab w:val="left" w:pos="0"/>
          <w:tab w:val="right" w:pos="9214"/>
        </w:tabs>
        <w:spacing w:line="276" w:lineRule="auto"/>
        <w:jc w:val="both"/>
        <w:rPr>
          <w:rFonts w:ascii="Verdana" w:hAnsi="Verdana"/>
          <w:sz w:val="20"/>
          <w:szCs w:val="20"/>
        </w:rPr>
      </w:pPr>
      <w:r w:rsidRPr="005B6074">
        <w:rPr>
          <w:rFonts w:ascii="Verdana" w:hAnsi="Verdana"/>
          <w:sz w:val="20"/>
        </w:rPr>
        <w:t xml:space="preserve">The Level of Education, General Education Minimum and Curriculum Act regulates the state educational requirement for the level of education, the general education minimum and the curriculum in the system of public education. </w:t>
      </w:r>
    </w:p>
    <w:p w:rsidR="00F24971" w:rsidRPr="005B6074" w:rsidRDefault="00A35E98" w:rsidP="00F24971">
      <w:pPr>
        <w:pStyle w:val="BodyText"/>
        <w:tabs>
          <w:tab w:val="left" w:pos="0"/>
          <w:tab w:val="right" w:pos="9214"/>
        </w:tabs>
        <w:spacing w:line="276" w:lineRule="auto"/>
        <w:jc w:val="both"/>
        <w:rPr>
          <w:rFonts w:ascii="Verdana" w:hAnsi="Verdana"/>
          <w:sz w:val="20"/>
          <w:szCs w:val="20"/>
        </w:rPr>
      </w:pPr>
      <w:r w:rsidRPr="005B6074">
        <w:rPr>
          <w:rFonts w:ascii="Verdana" w:hAnsi="Verdana"/>
          <w:sz w:val="20"/>
        </w:rPr>
        <w:t>The Act lays down that the structure of the curriculum shall comprise three types of education: compulsory, mandatorily elective and optional, which corresponds to the measures planned in OPSESG in support of measures for provision of education compliant to the individual needs.</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 xml:space="preserve">Secondary Education Act </w:t>
      </w:r>
    </w:p>
    <w:p w:rsidR="00F24971" w:rsidRPr="005B6074" w:rsidRDefault="00A35E98" w:rsidP="00F24971">
      <w:pPr>
        <w:pStyle w:val="BodyText"/>
        <w:tabs>
          <w:tab w:val="left" w:pos="0"/>
          <w:tab w:val="right" w:pos="9214"/>
        </w:tabs>
        <w:spacing w:before="120" w:line="276" w:lineRule="auto"/>
        <w:jc w:val="both"/>
        <w:rPr>
          <w:rFonts w:ascii="Verdana" w:hAnsi="Verdana"/>
          <w:sz w:val="20"/>
          <w:szCs w:val="20"/>
        </w:rPr>
      </w:pPr>
      <w:r w:rsidRPr="005B6074">
        <w:rPr>
          <w:rFonts w:ascii="Verdana" w:hAnsi="Verdana"/>
          <w:sz w:val="20"/>
        </w:rPr>
        <w:t>The Act is being drafted.</w:t>
      </w:r>
    </w:p>
    <w:p w:rsidR="00F24971" w:rsidRPr="005B6074" w:rsidRDefault="007A2B7B" w:rsidP="00F24971">
      <w:pPr>
        <w:keepNext/>
        <w:pBdr>
          <w:bottom w:val="single" w:sz="4" w:space="1" w:color="0070C0"/>
        </w:pBdr>
        <w:spacing w:before="360" w:after="120"/>
        <w:jc w:val="both"/>
        <w:rPr>
          <w:rFonts w:ascii="Verdana" w:hAnsi="Verdana"/>
          <w:color w:val="0070C0"/>
          <w:sz w:val="20"/>
          <w:szCs w:val="20"/>
        </w:rPr>
      </w:pPr>
      <w:hyperlink r:id="rId31" w:tgtFrame="_blank" w:history="1">
        <w:r w:rsidR="00A35E98" w:rsidRPr="005B6074">
          <w:rPr>
            <w:rFonts w:ascii="Verdana" w:hAnsi="Verdana"/>
            <w:color w:val="0070C0"/>
            <w:sz w:val="20"/>
          </w:rPr>
          <w:t>Vocational Education and Training Act</w:t>
        </w:r>
      </w:hyperlink>
    </w:p>
    <w:p w:rsidR="00F24971" w:rsidRPr="005B6074" w:rsidRDefault="00A35E98" w:rsidP="00F24971">
      <w:pPr>
        <w:pStyle w:val="BodyText"/>
        <w:tabs>
          <w:tab w:val="left" w:pos="0"/>
          <w:tab w:val="right" w:pos="9214"/>
        </w:tabs>
        <w:spacing w:before="120" w:line="276" w:lineRule="auto"/>
        <w:jc w:val="both"/>
        <w:rPr>
          <w:rFonts w:ascii="Verdana" w:hAnsi="Verdana"/>
          <w:sz w:val="20"/>
          <w:szCs w:val="20"/>
        </w:rPr>
      </w:pPr>
      <w:r w:rsidRPr="005B6074">
        <w:rPr>
          <w:rFonts w:ascii="Verdana" w:hAnsi="Verdana"/>
          <w:sz w:val="20"/>
        </w:rPr>
        <w:t>The update of the Act is due.</w:t>
      </w:r>
    </w:p>
    <w:p w:rsidR="00F24971" w:rsidRPr="005B6074" w:rsidRDefault="007A2B7B" w:rsidP="00F24971">
      <w:pPr>
        <w:keepNext/>
        <w:pBdr>
          <w:bottom w:val="single" w:sz="4" w:space="1" w:color="0070C0"/>
        </w:pBdr>
        <w:spacing w:before="360" w:after="120"/>
        <w:jc w:val="both"/>
        <w:rPr>
          <w:rFonts w:ascii="Verdana" w:hAnsi="Verdana"/>
          <w:color w:val="0070C0"/>
          <w:sz w:val="20"/>
          <w:szCs w:val="20"/>
        </w:rPr>
      </w:pPr>
      <w:hyperlink r:id="rId32" w:tgtFrame="_blank" w:history="1">
        <w:r w:rsidR="00A35E98" w:rsidRPr="005B6074">
          <w:rPr>
            <w:rFonts w:ascii="Verdana" w:hAnsi="Verdana"/>
            <w:color w:val="0070C0"/>
            <w:sz w:val="20"/>
          </w:rPr>
          <w:t>Higher Education Act</w:t>
        </w:r>
      </w:hyperlink>
    </w:p>
    <w:p w:rsidR="00F24971" w:rsidRPr="005B6074" w:rsidRDefault="00A35E98" w:rsidP="00F24971">
      <w:pPr>
        <w:pStyle w:val="BodyText"/>
        <w:tabs>
          <w:tab w:val="left" w:pos="0"/>
          <w:tab w:val="right" w:pos="9214"/>
        </w:tabs>
        <w:spacing w:line="276" w:lineRule="auto"/>
        <w:jc w:val="both"/>
        <w:rPr>
          <w:rFonts w:ascii="Verdana" w:hAnsi="Verdana"/>
          <w:sz w:val="20"/>
          <w:szCs w:val="20"/>
        </w:rPr>
      </w:pPr>
      <w:r w:rsidRPr="005B6074">
        <w:rPr>
          <w:rFonts w:ascii="Verdana" w:hAnsi="Verdana"/>
          <w:sz w:val="20"/>
        </w:rPr>
        <w:t>This Act regulates the constitution, functions, management and financing of higher education in the Republic of Bulgaria and therefore relates to the activities planned in OPSESG 2014–2020 for improvement of the systems of management of higher education establishments, improvement of the system of accreditation and rating, elaboration and introduction of models that bind financing to student realisation. The Programme does not contradict the clauses of this Act.</w:t>
      </w:r>
    </w:p>
    <w:p w:rsidR="00F24971" w:rsidRPr="005B6074" w:rsidRDefault="007A2B7B" w:rsidP="00F24971">
      <w:pPr>
        <w:keepNext/>
        <w:pBdr>
          <w:bottom w:val="single" w:sz="4" w:space="1" w:color="0070C0"/>
        </w:pBdr>
        <w:spacing w:before="360" w:after="120"/>
        <w:jc w:val="both"/>
        <w:rPr>
          <w:rFonts w:ascii="Verdana" w:hAnsi="Verdana"/>
          <w:color w:val="0070C0"/>
          <w:sz w:val="20"/>
          <w:szCs w:val="20"/>
        </w:rPr>
      </w:pPr>
      <w:hyperlink r:id="rId33" w:tgtFrame="_blank" w:history="1">
        <w:r w:rsidR="00A35E98" w:rsidRPr="005B6074">
          <w:rPr>
            <w:rFonts w:ascii="Verdana" w:hAnsi="Verdana"/>
            <w:color w:val="0070C0"/>
            <w:sz w:val="20"/>
          </w:rPr>
          <w:t>Development of Academic Staff in the Republic of Bulgaria Act</w:t>
        </w:r>
      </w:hyperlink>
    </w:p>
    <w:p w:rsidR="00F24971" w:rsidRPr="005B6074" w:rsidRDefault="00A35E98" w:rsidP="00F24971">
      <w:pPr>
        <w:pStyle w:val="BodyText"/>
        <w:tabs>
          <w:tab w:val="left" w:pos="0"/>
          <w:tab w:val="right" w:pos="9214"/>
        </w:tabs>
        <w:spacing w:before="120" w:after="240" w:line="276" w:lineRule="auto"/>
        <w:jc w:val="both"/>
        <w:rPr>
          <w:rFonts w:ascii="Verdana" w:hAnsi="Verdana"/>
          <w:sz w:val="20"/>
          <w:szCs w:val="20"/>
        </w:rPr>
      </w:pPr>
      <w:r w:rsidRPr="005B6074">
        <w:rPr>
          <w:rFonts w:ascii="Verdana" w:hAnsi="Verdana"/>
          <w:sz w:val="20"/>
        </w:rPr>
        <w:t>This Act regulates academic degrees and academic positions in the Republic of Bulgaria and is not directly linked to the support from OPSESG 2014–2020.</w:t>
      </w:r>
    </w:p>
    <w:p w:rsidR="00F24971" w:rsidRPr="005B6074" w:rsidRDefault="007A2B7B" w:rsidP="00F24971">
      <w:pPr>
        <w:keepNext/>
        <w:pBdr>
          <w:bottom w:val="single" w:sz="4" w:space="1" w:color="0070C0"/>
        </w:pBdr>
        <w:spacing w:before="360" w:after="120"/>
        <w:jc w:val="both"/>
        <w:rPr>
          <w:rFonts w:ascii="Verdana" w:hAnsi="Verdana"/>
          <w:color w:val="0070C0"/>
          <w:sz w:val="20"/>
          <w:szCs w:val="20"/>
        </w:rPr>
      </w:pPr>
      <w:hyperlink r:id="rId34" w:tgtFrame="_blank" w:history="1">
        <w:r w:rsidR="00A35E98" w:rsidRPr="005B6074">
          <w:rPr>
            <w:rFonts w:ascii="Verdana" w:hAnsi="Verdana"/>
            <w:color w:val="0070C0"/>
            <w:sz w:val="20"/>
          </w:rPr>
          <w:t>Scientific Research Promotion Act</w:t>
        </w:r>
      </w:hyperlink>
    </w:p>
    <w:p w:rsidR="00F24971" w:rsidRPr="005B6074" w:rsidRDefault="00A35E98" w:rsidP="00F24971">
      <w:pPr>
        <w:pStyle w:val="BodyText"/>
        <w:tabs>
          <w:tab w:val="left" w:pos="0"/>
          <w:tab w:val="right" w:pos="9214"/>
        </w:tabs>
        <w:spacing w:line="276" w:lineRule="auto"/>
        <w:jc w:val="both"/>
        <w:rPr>
          <w:rFonts w:ascii="Verdana" w:hAnsi="Verdana"/>
          <w:sz w:val="20"/>
          <w:szCs w:val="20"/>
        </w:rPr>
      </w:pPr>
      <w:r w:rsidRPr="005B6074">
        <w:rPr>
          <w:rFonts w:ascii="Verdana" w:hAnsi="Verdana"/>
          <w:sz w:val="20"/>
        </w:rPr>
        <w:t>This Act settles the principles and mechanisms of implementing the state policy for promotion of scientific research in the Republic of Bulgaria and directly refers to the support granted by OPSESG 2014–2020 for scientific research. The Act lays down that scientific research is a national priority and has a strategic importance for the development of the country and regulates the granting of financial support for scientific research, promotion of international scientific cooperation, human resource development and setting up of structures that bridge the cooperation of universities, scientific organisations, and businesses. In this regard, OPSESG 2014–2020 plans support that will complement the national budget support.</w:t>
      </w:r>
    </w:p>
    <w:p w:rsidR="00F24971" w:rsidRPr="005B6074" w:rsidRDefault="007A2B7B" w:rsidP="00F24971">
      <w:pPr>
        <w:keepNext/>
        <w:pBdr>
          <w:bottom w:val="single" w:sz="4" w:space="1" w:color="0070C0"/>
        </w:pBdr>
        <w:spacing w:before="360" w:after="120"/>
        <w:jc w:val="both"/>
        <w:rPr>
          <w:rFonts w:ascii="Verdana" w:hAnsi="Verdana"/>
          <w:color w:val="0070C0"/>
          <w:sz w:val="20"/>
          <w:szCs w:val="20"/>
        </w:rPr>
      </w:pPr>
      <w:hyperlink r:id="rId35" w:tgtFrame="_blank" w:history="1">
        <w:r w:rsidR="00A35E98" w:rsidRPr="005B6074">
          <w:rPr>
            <w:rFonts w:ascii="Verdana" w:hAnsi="Verdana"/>
            <w:color w:val="0070C0"/>
            <w:sz w:val="20"/>
          </w:rPr>
          <w:t>Student and Doctoral-Candidate Loans Act</w:t>
        </w:r>
      </w:hyperlink>
    </w:p>
    <w:p w:rsidR="00F24971" w:rsidRPr="005B6074" w:rsidRDefault="00A35E98" w:rsidP="00F24971">
      <w:pPr>
        <w:pStyle w:val="BodyText"/>
        <w:tabs>
          <w:tab w:val="left" w:pos="0"/>
          <w:tab w:val="right" w:pos="9214"/>
        </w:tabs>
        <w:spacing w:line="276" w:lineRule="auto"/>
        <w:jc w:val="both"/>
        <w:rPr>
          <w:rFonts w:ascii="Verdana" w:hAnsi="Verdana"/>
          <w:sz w:val="20"/>
          <w:szCs w:val="20"/>
        </w:rPr>
      </w:pPr>
      <w:r w:rsidRPr="005B6074">
        <w:rPr>
          <w:rFonts w:ascii="Verdana" w:hAnsi="Verdana"/>
          <w:sz w:val="20"/>
        </w:rPr>
        <w:t>This Act regulates the terms and procedure for provision of loans to students and doctoral candidates with state financial support. In addition to that OPSESG 2014–2020 plans support to the system of student loans. The Programme does not clarify the complementarity or demarcation of the two instruments in principle.</w:t>
      </w:r>
    </w:p>
    <w:p w:rsidR="00F24971" w:rsidRPr="005B6074" w:rsidRDefault="00F24971" w:rsidP="00F24971">
      <w:pPr>
        <w:pStyle w:val="BodyText"/>
        <w:tabs>
          <w:tab w:val="left" w:pos="0"/>
          <w:tab w:val="right" w:pos="9214"/>
        </w:tabs>
        <w:spacing w:before="120" w:line="276" w:lineRule="auto"/>
        <w:jc w:val="both"/>
        <w:rPr>
          <w:rFonts w:ascii="Verdana" w:hAnsi="Verdana"/>
          <w:sz w:val="20"/>
          <w:szCs w:val="20"/>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36"/>
        <w:gridCol w:w="8446"/>
      </w:tblGrid>
      <w:tr w:rsidR="00F24971" w:rsidRPr="005B6074" w:rsidTr="00F24971">
        <w:trPr>
          <w:trHeight w:val="617"/>
        </w:trPr>
        <w:tc>
          <w:tcPr>
            <w:tcW w:w="540" w:type="dxa"/>
            <w:vAlign w:val="center"/>
          </w:tcPr>
          <w:p w:rsidR="00F24971" w:rsidRPr="005B6074" w:rsidRDefault="00A35E98" w:rsidP="00F24971">
            <w:pPr>
              <w:pStyle w:val="BodyText"/>
              <w:keepNext/>
              <w:spacing w:after="0" w:line="276" w:lineRule="auto"/>
              <w:jc w:val="center"/>
              <w:rPr>
                <w:rFonts w:ascii="Verdana" w:hAnsi="Verdana"/>
                <w:color w:val="548DD4"/>
                <w:sz w:val="20"/>
                <w:szCs w:val="20"/>
              </w:rPr>
            </w:pPr>
            <w:r w:rsidRPr="005B6074">
              <w:rPr>
                <w:rFonts w:ascii="Verdana" w:hAnsi="Verdana"/>
                <w:color w:val="548DD4"/>
                <w:sz w:val="36"/>
              </w:rPr>
              <w:t>?</w:t>
            </w:r>
          </w:p>
        </w:tc>
        <w:tc>
          <w:tcPr>
            <w:tcW w:w="8640" w:type="dxa"/>
            <w:shd w:val="clear" w:color="auto" w:fill="B8CCE4"/>
            <w:vAlign w:val="center"/>
          </w:tcPr>
          <w:p w:rsidR="00F24971" w:rsidRPr="005B6074" w:rsidRDefault="00A35E98" w:rsidP="00F24971">
            <w:pPr>
              <w:keepNext/>
              <w:suppressAutoHyphens/>
              <w:spacing w:before="120" w:after="120" w:line="240" w:lineRule="auto"/>
              <w:ind w:left="115"/>
              <w:rPr>
                <w:rFonts w:ascii="Verdana" w:hAnsi="Verdana" w:cs="TimesNewRomanPSMT"/>
                <w:sz w:val="20"/>
                <w:szCs w:val="20"/>
              </w:rPr>
            </w:pPr>
            <w:r w:rsidRPr="005B6074">
              <w:rPr>
                <w:rFonts w:ascii="Verdana" w:hAnsi="Verdana"/>
                <w:sz w:val="20"/>
              </w:rPr>
              <w:t xml:space="preserve">Coherence with other </w:t>
            </w:r>
            <w:proofErr w:type="spellStart"/>
            <w:r w:rsidRPr="005B6074">
              <w:rPr>
                <w:rFonts w:ascii="Verdana" w:hAnsi="Verdana"/>
                <w:sz w:val="20"/>
              </w:rPr>
              <w:t>sectoral</w:t>
            </w:r>
            <w:proofErr w:type="spellEnd"/>
            <w:r w:rsidRPr="005B6074">
              <w:rPr>
                <w:rFonts w:ascii="Verdana" w:hAnsi="Verdana"/>
                <w:sz w:val="20"/>
              </w:rPr>
              <w:t xml:space="preserve"> programmes</w:t>
            </w:r>
          </w:p>
        </w:tc>
      </w:tr>
    </w:tbl>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Bucharest Communiqué of the Ministers Responsible for Higher Education: Making the Most of Our Potential: Consolidating the European Higher Education Area (2012)</w:t>
      </w:r>
    </w:p>
    <w:p w:rsidR="00F24971" w:rsidRPr="005B6074" w:rsidRDefault="00A35E98" w:rsidP="00F24971">
      <w:pPr>
        <w:pStyle w:val="BodyText"/>
        <w:tabs>
          <w:tab w:val="left" w:pos="0"/>
          <w:tab w:val="right" w:pos="9214"/>
        </w:tabs>
        <w:spacing w:line="276" w:lineRule="auto"/>
        <w:jc w:val="both"/>
        <w:rPr>
          <w:rFonts w:ascii="Verdana" w:hAnsi="Verdana"/>
          <w:sz w:val="20"/>
          <w:szCs w:val="20"/>
        </w:rPr>
      </w:pPr>
      <w:r w:rsidRPr="005B6074">
        <w:rPr>
          <w:rFonts w:ascii="Verdana" w:hAnsi="Verdana"/>
          <w:sz w:val="20"/>
        </w:rPr>
        <w:t>The Communiqué declares the commitment of the Ministers responsible for higher education in the 47 countries of the European Higher Education Area to secure the highest possible level of funding for higher education, drawing on all appropriate sources, as an investment. The underlying policies laid down in the Communiqué are included in OPSESG 2014–2020. These are:</w:t>
      </w:r>
    </w:p>
    <w:p w:rsidR="00F24971" w:rsidRPr="005B6074" w:rsidRDefault="00A35E98" w:rsidP="00F24971">
      <w:pPr>
        <w:pStyle w:val="BodyText"/>
        <w:tabs>
          <w:tab w:val="left" w:pos="0"/>
          <w:tab w:val="right" w:pos="9214"/>
        </w:tabs>
        <w:spacing w:line="276" w:lineRule="auto"/>
        <w:jc w:val="both"/>
        <w:rPr>
          <w:rFonts w:ascii="Verdana" w:hAnsi="Verdana"/>
          <w:sz w:val="20"/>
          <w:szCs w:val="20"/>
        </w:rPr>
      </w:pPr>
      <w:r w:rsidRPr="005B6074">
        <w:rPr>
          <w:rFonts w:ascii="Verdana" w:hAnsi="Verdana"/>
          <w:i/>
          <w:sz w:val="20"/>
        </w:rPr>
        <w:t>Providing quality higher education for all</w:t>
      </w:r>
      <w:r w:rsidRPr="005B6074">
        <w:rPr>
          <w:rFonts w:ascii="Verdana" w:hAnsi="Verdana"/>
          <w:sz w:val="20"/>
        </w:rPr>
        <w:t xml:space="preserve"> – widening access to higher education which is student-centred and characterised by innovative methods of teaching, quality assurance and improved funding and governance.</w:t>
      </w:r>
    </w:p>
    <w:p w:rsidR="00F24971" w:rsidRPr="005B6074" w:rsidRDefault="00A35E98" w:rsidP="00F24971">
      <w:pPr>
        <w:widowControl w:val="0"/>
        <w:spacing w:after="120"/>
        <w:jc w:val="both"/>
        <w:rPr>
          <w:rFonts w:ascii="Verdana" w:hAnsi="Verdana"/>
          <w:sz w:val="20"/>
          <w:szCs w:val="20"/>
        </w:rPr>
      </w:pPr>
      <w:r w:rsidRPr="005B6074">
        <w:rPr>
          <w:rFonts w:ascii="Verdana" w:hAnsi="Verdana"/>
          <w:i/>
          <w:sz w:val="20"/>
        </w:rPr>
        <w:t>Enhancing employability to serve Europe’s needs</w:t>
      </w:r>
      <w:r w:rsidRPr="005B6074">
        <w:rPr>
          <w:rFonts w:ascii="Verdana" w:hAnsi="Verdana"/>
          <w:sz w:val="20"/>
        </w:rPr>
        <w:t xml:space="preserve"> – improving cooperation between employers, students and higher education institutions, especially in the development of study programmes that help increase the innovation, entrepreneurial and research potential of graduates; lifelong learning; ensuring a stronger link between research, teaching and learning; further linking study credits with both learning outcomes and student workload, and to include the achievement of learning outcomes in assessment procedures; developing qualifications frameworks.</w:t>
      </w:r>
    </w:p>
    <w:p w:rsidR="00F24971" w:rsidRPr="005B6074" w:rsidRDefault="00A35E98" w:rsidP="00F24971">
      <w:pPr>
        <w:widowControl w:val="0"/>
        <w:spacing w:after="120"/>
        <w:jc w:val="both"/>
        <w:rPr>
          <w:rFonts w:ascii="Verdana" w:hAnsi="Verdana"/>
          <w:sz w:val="20"/>
          <w:szCs w:val="20"/>
        </w:rPr>
      </w:pPr>
      <w:r w:rsidRPr="005B6074">
        <w:rPr>
          <w:rFonts w:ascii="Verdana" w:hAnsi="Verdana"/>
          <w:i/>
          <w:sz w:val="20"/>
        </w:rPr>
        <w:t>Strengthening mobility for better learning</w:t>
      </w:r>
      <w:r w:rsidRPr="005B6074">
        <w:rPr>
          <w:rFonts w:ascii="Verdana" w:hAnsi="Verdana"/>
          <w:sz w:val="20"/>
        </w:rPr>
        <w:t xml:space="preserve"> – open higher education systems and better balanced mobility; cooperation with other regions of the world and international openness. In this regard, OPSESG does not consider any possibilities for support of the elaboration of joint programmes and degrees with other universities as some of the measures to enhance the quality and efficiency of higher education.</w:t>
      </w:r>
    </w:p>
    <w:p w:rsidR="00F24971" w:rsidRPr="005B6074" w:rsidRDefault="00A35E98" w:rsidP="00F24971">
      <w:pPr>
        <w:widowControl w:val="0"/>
        <w:spacing w:after="120"/>
        <w:jc w:val="both"/>
        <w:rPr>
          <w:rFonts w:ascii="Verdana" w:hAnsi="Verdana"/>
          <w:sz w:val="20"/>
          <w:szCs w:val="20"/>
        </w:rPr>
      </w:pPr>
      <w:r w:rsidRPr="005B6074">
        <w:rPr>
          <w:rFonts w:ascii="Verdana" w:hAnsi="Verdana"/>
          <w:i/>
          <w:sz w:val="20"/>
        </w:rPr>
        <w:t>Improvement of data collection and transparency to underpin political goals</w:t>
      </w:r>
      <w:r w:rsidRPr="005B6074">
        <w:rPr>
          <w:rFonts w:ascii="Verdana" w:hAnsi="Verdana"/>
          <w:sz w:val="20"/>
        </w:rPr>
        <w:t xml:space="preserve"> - improved quality of data and information on higher education; more targeted data collection and referencing against common indicators, particularly on employability, the social dimension, lifelong learning, internationalisation, portability of grants/loans, and student and staff mobility.</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 xml:space="preserve">Mobility Strategy 2020 for the European Higher Education Area </w:t>
      </w:r>
    </w:p>
    <w:p w:rsidR="00F24971" w:rsidRPr="005B6074" w:rsidRDefault="00A35E98" w:rsidP="00F24971">
      <w:pPr>
        <w:jc w:val="both"/>
        <w:rPr>
          <w:rFonts w:ascii="Verdana" w:hAnsi="Verdana"/>
          <w:sz w:val="20"/>
          <w:szCs w:val="20"/>
        </w:rPr>
      </w:pPr>
      <w:r w:rsidRPr="005B6074">
        <w:rPr>
          <w:rFonts w:ascii="Verdana" w:hAnsi="Verdana"/>
          <w:sz w:val="20"/>
        </w:rPr>
        <w:t>The Strategy aims to promote the mobility of students, early stage researchers, teachers and other staff in higher education. It envisages measures most of which have been included as measures in OPSESG 2014–2020. These are:</w:t>
      </w:r>
    </w:p>
    <w:p w:rsidR="00F24971" w:rsidRPr="005B6074" w:rsidRDefault="00A35E98" w:rsidP="00F24971">
      <w:pPr>
        <w:pStyle w:val="ListParagraph"/>
        <w:numPr>
          <w:ilvl w:val="0"/>
          <w:numId w:val="16"/>
        </w:numPr>
        <w:jc w:val="both"/>
        <w:rPr>
          <w:rFonts w:ascii="Verdana" w:hAnsi="Verdana"/>
          <w:sz w:val="20"/>
          <w:szCs w:val="20"/>
        </w:rPr>
      </w:pPr>
      <w:r w:rsidRPr="005B6074">
        <w:rPr>
          <w:rFonts w:ascii="Verdana" w:hAnsi="Verdana"/>
          <w:sz w:val="20"/>
        </w:rPr>
        <w:lastRenderedPageBreak/>
        <w:t>Open higher education systems allowing mobility and recognition of student credit points;</w:t>
      </w:r>
    </w:p>
    <w:p w:rsidR="00F24971" w:rsidRPr="005B6074" w:rsidRDefault="00A35E98" w:rsidP="00F24971">
      <w:pPr>
        <w:pStyle w:val="BodyText"/>
        <w:widowControl w:val="0"/>
        <w:numPr>
          <w:ilvl w:val="0"/>
          <w:numId w:val="16"/>
        </w:numPr>
        <w:spacing w:line="276" w:lineRule="auto"/>
        <w:jc w:val="both"/>
        <w:rPr>
          <w:rFonts w:ascii="Verdana" w:hAnsi="Verdana"/>
          <w:sz w:val="20"/>
          <w:szCs w:val="20"/>
        </w:rPr>
      </w:pPr>
      <w:r w:rsidRPr="005B6074">
        <w:rPr>
          <w:rFonts w:ascii="Verdana" w:hAnsi="Verdana"/>
          <w:sz w:val="20"/>
        </w:rPr>
        <w:t>Overcoming of existing obstacles to mobility by securing financing;</w:t>
      </w:r>
    </w:p>
    <w:p w:rsidR="00F24971" w:rsidRPr="005B6074" w:rsidRDefault="00A35E98" w:rsidP="00F24971">
      <w:pPr>
        <w:pStyle w:val="BodyText"/>
        <w:widowControl w:val="0"/>
        <w:numPr>
          <w:ilvl w:val="0"/>
          <w:numId w:val="16"/>
        </w:numPr>
        <w:spacing w:line="276" w:lineRule="auto"/>
        <w:jc w:val="both"/>
        <w:rPr>
          <w:rFonts w:ascii="Verdana" w:hAnsi="Verdana"/>
          <w:sz w:val="20"/>
          <w:szCs w:val="20"/>
        </w:rPr>
      </w:pPr>
      <w:r w:rsidRPr="005B6074">
        <w:rPr>
          <w:rFonts w:ascii="Verdana" w:hAnsi="Verdana"/>
          <w:sz w:val="20"/>
        </w:rPr>
        <w:t>Improving the quality and transparency of this process.</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Communication from the Commission to the European Parliament, the Council, the European Economic and Social Committee and the Committee of the Regions: Supporting Growth and Jobs – an Agenda for the Modernisation of Europe's Higher Education Systems (2011)</w:t>
      </w:r>
    </w:p>
    <w:p w:rsidR="00F24971" w:rsidRPr="005B6074" w:rsidRDefault="00A35E98" w:rsidP="00F24971">
      <w:pPr>
        <w:spacing w:after="120"/>
        <w:jc w:val="both"/>
        <w:rPr>
          <w:rFonts w:ascii="Verdana" w:hAnsi="Verdana"/>
          <w:sz w:val="20"/>
          <w:szCs w:val="20"/>
        </w:rPr>
      </w:pPr>
      <w:r w:rsidRPr="005B6074">
        <w:rPr>
          <w:rFonts w:ascii="Verdana" w:hAnsi="Verdana"/>
          <w:sz w:val="20"/>
        </w:rPr>
        <w:t>The Commission Communication considers the problems facing European economic growth and labour market and poses major issues to the attention of the Member States. These issues are discussed in the strategic part of OPSESG and are taken into account by the measures planned under the Programme. These are issues related to increasing the share of graduates; ensuring the graduates and researchers Europe needs; improving the quality and relevance of higher education; linking higher education, research and business; improving governance and funding.</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The Bruges Communiqué on Enhanced European Cooperation in Vocational Education and Training for the period 2011—2020</w:t>
      </w:r>
    </w:p>
    <w:p w:rsidR="00F24971" w:rsidRPr="005B6074" w:rsidRDefault="00A35E98" w:rsidP="00F24971">
      <w:pPr>
        <w:spacing w:after="120"/>
        <w:jc w:val="both"/>
        <w:rPr>
          <w:rFonts w:ascii="Verdana" w:hAnsi="Verdana"/>
          <w:sz w:val="20"/>
          <w:szCs w:val="20"/>
        </w:rPr>
      </w:pPr>
      <w:r w:rsidRPr="005B6074">
        <w:rPr>
          <w:rFonts w:ascii="Verdana" w:hAnsi="Verdana"/>
          <w:sz w:val="20"/>
        </w:rPr>
        <w:t>The Bruges Communiqué lays down that Vocational and Educational Training (VET) policies need to be linked to other policies and that VET should play its part in achieving the two Europe 2020 headline targets set in the education field, namely - by 2020 - to reduce the rate of early leavers from education to less than 10% and to increase the share of 30-34-year-olds having completed tertiary or equivalent education to at least 40%. In this aspect, VET is in close connection with the objectives of OPSESG 2014–2020 which plans support measures in this field. The Communiqué proposes 11 strategic objectives, some of which are reflected in OPSESG 2014–2020. These are: making VET an attractive learning option; labour market relevance; enabling flexible access to training and qualifications; realising inclusive Initial-VET and Continuing-VET.</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Communication from the Commission to the European Parliament, the Council, the European Economic and Social Committee and the Committee of the Regions: New Impetus for European Cooperation in Vocational Education and Training to Support the Europe 2020 Strategy</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The Communication sets forth that VET in Europe by 2020 should contribute to both excellence and equity in EU lifelong learning systems and thereby to the Europe 2020 objectives of smart and inclusive growth. The following basic approaches have been defined in this regard:</w:t>
      </w:r>
    </w:p>
    <w:p w:rsidR="00F24971" w:rsidRPr="005B6074" w:rsidRDefault="00A35E98" w:rsidP="00F24971">
      <w:pPr>
        <w:pStyle w:val="BodyText"/>
        <w:widowControl w:val="0"/>
        <w:numPr>
          <w:ilvl w:val="1"/>
          <w:numId w:val="12"/>
        </w:numPr>
        <w:spacing w:line="276" w:lineRule="auto"/>
        <w:ind w:left="284" w:hanging="284"/>
        <w:jc w:val="both"/>
        <w:rPr>
          <w:rFonts w:ascii="Verdana" w:hAnsi="Verdana"/>
          <w:sz w:val="20"/>
          <w:szCs w:val="20"/>
        </w:rPr>
      </w:pPr>
      <w:r w:rsidRPr="005B6074">
        <w:rPr>
          <w:rFonts w:ascii="Verdana" w:hAnsi="Verdana"/>
          <w:sz w:val="20"/>
        </w:rPr>
        <w:t xml:space="preserve">Using </w:t>
      </w:r>
      <w:r w:rsidRPr="005B6074">
        <w:rPr>
          <w:rFonts w:ascii="Verdana" w:hAnsi="Verdana"/>
          <w:i/>
          <w:sz w:val="20"/>
        </w:rPr>
        <w:t xml:space="preserve">initial </w:t>
      </w:r>
      <w:r w:rsidRPr="005B6074">
        <w:rPr>
          <w:rFonts w:ascii="Verdana" w:hAnsi="Verdana"/>
          <w:sz w:val="20"/>
        </w:rPr>
        <w:t>VET (IVET) as an attractive learning option with high relevance to labour market needs and pathways to higher education;</w:t>
      </w:r>
    </w:p>
    <w:p w:rsidR="00F24971" w:rsidRPr="005B6074" w:rsidRDefault="00A35E98" w:rsidP="00F24971">
      <w:pPr>
        <w:pStyle w:val="BodyText"/>
        <w:widowControl w:val="0"/>
        <w:numPr>
          <w:ilvl w:val="1"/>
          <w:numId w:val="12"/>
        </w:numPr>
        <w:ind w:left="284" w:hanging="284"/>
        <w:jc w:val="both"/>
        <w:rPr>
          <w:rFonts w:ascii="Verdana" w:hAnsi="Verdana"/>
          <w:sz w:val="20"/>
          <w:szCs w:val="20"/>
        </w:rPr>
      </w:pPr>
      <w:r w:rsidRPr="005B6074">
        <w:rPr>
          <w:rFonts w:ascii="Verdana" w:hAnsi="Verdana"/>
          <w:sz w:val="20"/>
        </w:rPr>
        <w:t xml:space="preserve">Delivering </w:t>
      </w:r>
      <w:r w:rsidRPr="005B6074">
        <w:rPr>
          <w:rFonts w:ascii="Verdana" w:hAnsi="Verdana"/>
          <w:i/>
          <w:sz w:val="20"/>
        </w:rPr>
        <w:t>continuing</w:t>
      </w:r>
      <w:r w:rsidRPr="005B6074">
        <w:rPr>
          <w:rFonts w:ascii="Verdana" w:hAnsi="Verdana"/>
          <w:sz w:val="20"/>
        </w:rPr>
        <w:t xml:space="preserve"> easily accessible VET (CVET) for people in different life situations facilitating skills development and career changes, </w:t>
      </w:r>
    </w:p>
    <w:p w:rsidR="00F24971" w:rsidRPr="005B6074" w:rsidRDefault="00A35E98" w:rsidP="00F24971">
      <w:pPr>
        <w:pStyle w:val="BodyText"/>
        <w:widowControl w:val="0"/>
        <w:numPr>
          <w:ilvl w:val="1"/>
          <w:numId w:val="12"/>
        </w:numPr>
        <w:ind w:left="284" w:hanging="284"/>
        <w:jc w:val="both"/>
        <w:rPr>
          <w:rFonts w:ascii="Verdana" w:hAnsi="Verdana"/>
          <w:sz w:val="20"/>
          <w:szCs w:val="20"/>
        </w:rPr>
      </w:pPr>
      <w:r w:rsidRPr="005B6074">
        <w:rPr>
          <w:rFonts w:ascii="Verdana" w:hAnsi="Verdana"/>
          <w:sz w:val="20"/>
        </w:rPr>
        <w:lastRenderedPageBreak/>
        <w:t xml:space="preserve">Ensuring flexible systems based on the recognition of learning outcomes, including diplomas, and supporting individual learning pathways, </w:t>
      </w:r>
    </w:p>
    <w:p w:rsidR="00F24971" w:rsidRPr="005B6074" w:rsidRDefault="00A35E98" w:rsidP="00F24971">
      <w:pPr>
        <w:pStyle w:val="BodyText"/>
        <w:widowControl w:val="0"/>
        <w:numPr>
          <w:ilvl w:val="1"/>
          <w:numId w:val="12"/>
        </w:numPr>
        <w:ind w:left="284" w:hanging="284"/>
        <w:jc w:val="both"/>
        <w:rPr>
          <w:rFonts w:ascii="Verdana" w:hAnsi="Verdana"/>
          <w:sz w:val="20"/>
          <w:szCs w:val="20"/>
        </w:rPr>
      </w:pPr>
      <w:r w:rsidRPr="005B6074">
        <w:rPr>
          <w:rFonts w:ascii="Verdana" w:hAnsi="Verdana"/>
          <w:sz w:val="20"/>
        </w:rPr>
        <w:t xml:space="preserve">Adequate support for those at a disadvantage, and </w:t>
      </w:r>
    </w:p>
    <w:p w:rsidR="00F24971" w:rsidRPr="005B6074" w:rsidRDefault="00A35E98" w:rsidP="00F24971">
      <w:pPr>
        <w:pStyle w:val="BodyText"/>
        <w:widowControl w:val="0"/>
        <w:numPr>
          <w:ilvl w:val="1"/>
          <w:numId w:val="12"/>
        </w:numPr>
        <w:ind w:left="284" w:hanging="284"/>
        <w:jc w:val="both"/>
        <w:rPr>
          <w:rFonts w:ascii="Verdana" w:hAnsi="Verdana"/>
          <w:sz w:val="20"/>
          <w:szCs w:val="20"/>
        </w:rPr>
      </w:pPr>
      <w:r w:rsidRPr="005B6074">
        <w:rPr>
          <w:rFonts w:ascii="Verdana" w:hAnsi="Verdana"/>
          <w:sz w:val="20"/>
        </w:rPr>
        <w:t xml:space="preserve">Cross-border mobility as an integral part of VET practices. </w:t>
      </w:r>
    </w:p>
    <w:p w:rsidR="00F24971" w:rsidRPr="005B6074" w:rsidRDefault="00A35E98" w:rsidP="00F24971">
      <w:pPr>
        <w:pStyle w:val="BodyText"/>
        <w:widowControl w:val="0"/>
        <w:jc w:val="both"/>
        <w:rPr>
          <w:rFonts w:ascii="Verdana" w:hAnsi="Verdana"/>
          <w:sz w:val="20"/>
          <w:szCs w:val="20"/>
        </w:rPr>
      </w:pPr>
      <w:r w:rsidRPr="005B6074">
        <w:rPr>
          <w:rFonts w:ascii="Verdana" w:hAnsi="Verdana"/>
          <w:sz w:val="20"/>
        </w:rPr>
        <w:t>OPSESG 2014–2020 largely reflects the approaches formulated in this Communication.</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Updated National Demographic Strategy of the Republic of Bulgaria 2012-2030</w:t>
      </w:r>
    </w:p>
    <w:p w:rsidR="00F24971" w:rsidRPr="005B6074" w:rsidRDefault="00A35E98" w:rsidP="00F24971">
      <w:pPr>
        <w:pStyle w:val="BodyText"/>
        <w:tabs>
          <w:tab w:val="left" w:pos="0"/>
          <w:tab w:val="right" w:pos="9214"/>
        </w:tabs>
        <w:spacing w:before="120" w:line="276" w:lineRule="auto"/>
        <w:jc w:val="both"/>
        <w:rPr>
          <w:rFonts w:ascii="Verdana" w:hAnsi="Verdana"/>
          <w:sz w:val="20"/>
          <w:szCs w:val="20"/>
        </w:rPr>
      </w:pPr>
      <w:r w:rsidRPr="005B6074">
        <w:rPr>
          <w:rFonts w:ascii="Verdana" w:hAnsi="Verdana"/>
          <w:sz w:val="20"/>
        </w:rPr>
        <w:t>OPSESG 2014–2020 addresses directly Direction 9 of the Strategy "</w:t>
      </w:r>
      <w:r w:rsidRPr="005B6074">
        <w:rPr>
          <w:rFonts w:ascii="Verdana" w:hAnsi="Verdana"/>
          <w:i/>
          <w:sz w:val="20"/>
        </w:rPr>
        <w:t>Increasing the general educational, spiritual and cultural level, qualification, capabilities and skills of the population of all ages</w:t>
      </w:r>
      <w:r w:rsidRPr="005B6074">
        <w:rPr>
          <w:rFonts w:ascii="Verdana" w:hAnsi="Verdana"/>
          <w:sz w:val="20"/>
        </w:rPr>
        <w:t>". The priority measures and priorities envisaged for Programme support take account of the following objectives of the National Demographic Strategy:</w:t>
      </w:r>
    </w:p>
    <w:p w:rsidR="00F24971" w:rsidRPr="005B6074" w:rsidRDefault="00A35E98" w:rsidP="00F24971">
      <w:pPr>
        <w:pStyle w:val="BodyText"/>
        <w:numPr>
          <w:ilvl w:val="0"/>
          <w:numId w:val="18"/>
        </w:numPr>
        <w:tabs>
          <w:tab w:val="left" w:pos="0"/>
          <w:tab w:val="right" w:pos="9214"/>
        </w:tabs>
        <w:spacing w:before="120"/>
        <w:ind w:left="567" w:hanging="425"/>
        <w:jc w:val="both"/>
        <w:rPr>
          <w:rFonts w:ascii="Verdana" w:hAnsi="Verdana"/>
          <w:sz w:val="20"/>
          <w:szCs w:val="20"/>
        </w:rPr>
      </w:pPr>
      <w:r w:rsidRPr="005B6074">
        <w:rPr>
          <w:rFonts w:ascii="Verdana" w:hAnsi="Verdana"/>
          <w:sz w:val="20"/>
        </w:rPr>
        <w:t xml:space="preserve">Enabling the full coverage of children in kindergartens and pre-school forms of education; </w:t>
      </w:r>
    </w:p>
    <w:p w:rsidR="00F24971" w:rsidRPr="005B6074" w:rsidRDefault="00A35E98" w:rsidP="00F24971">
      <w:pPr>
        <w:pStyle w:val="BodyText"/>
        <w:numPr>
          <w:ilvl w:val="0"/>
          <w:numId w:val="18"/>
        </w:numPr>
        <w:tabs>
          <w:tab w:val="left" w:pos="0"/>
          <w:tab w:val="right" w:pos="9214"/>
        </w:tabs>
        <w:spacing w:before="120"/>
        <w:ind w:left="567" w:hanging="425"/>
        <w:jc w:val="both"/>
        <w:rPr>
          <w:rFonts w:ascii="Verdana" w:hAnsi="Verdana"/>
          <w:sz w:val="20"/>
          <w:szCs w:val="20"/>
        </w:rPr>
      </w:pPr>
      <w:r w:rsidRPr="005B6074">
        <w:rPr>
          <w:rFonts w:ascii="Verdana" w:hAnsi="Verdana"/>
          <w:sz w:val="20"/>
        </w:rPr>
        <w:t xml:space="preserve">Ensuring equal access of all children to education in all degrees of education regardless of ethnic origin, gender, descent, belief, social status, etc.; </w:t>
      </w:r>
    </w:p>
    <w:p w:rsidR="00F24971" w:rsidRPr="005B6074" w:rsidRDefault="00A35E98" w:rsidP="00F24971">
      <w:pPr>
        <w:pStyle w:val="BodyText"/>
        <w:numPr>
          <w:ilvl w:val="0"/>
          <w:numId w:val="18"/>
        </w:numPr>
        <w:tabs>
          <w:tab w:val="left" w:pos="0"/>
          <w:tab w:val="right" w:pos="9214"/>
        </w:tabs>
        <w:spacing w:before="120"/>
        <w:ind w:left="567" w:hanging="425"/>
        <w:jc w:val="both"/>
        <w:rPr>
          <w:rFonts w:ascii="Verdana" w:hAnsi="Verdana"/>
          <w:sz w:val="20"/>
          <w:szCs w:val="20"/>
        </w:rPr>
      </w:pPr>
      <w:r w:rsidRPr="005B6074">
        <w:rPr>
          <w:rFonts w:ascii="Verdana" w:hAnsi="Verdana"/>
          <w:sz w:val="20"/>
        </w:rPr>
        <w:t xml:space="preserve">Fuller coverage of pupils in mandatory degrees of education and prevention of their leaving the system; </w:t>
      </w:r>
    </w:p>
    <w:p w:rsidR="00F24971" w:rsidRPr="005B6074" w:rsidRDefault="00A35E98" w:rsidP="00F24971">
      <w:pPr>
        <w:pStyle w:val="BodyText"/>
        <w:numPr>
          <w:ilvl w:val="0"/>
          <w:numId w:val="18"/>
        </w:numPr>
        <w:tabs>
          <w:tab w:val="left" w:pos="0"/>
          <w:tab w:val="right" w:pos="9214"/>
        </w:tabs>
        <w:spacing w:before="120"/>
        <w:ind w:left="567" w:hanging="425"/>
        <w:jc w:val="both"/>
        <w:rPr>
          <w:rFonts w:ascii="Verdana" w:hAnsi="Verdana"/>
          <w:sz w:val="20"/>
          <w:szCs w:val="20"/>
        </w:rPr>
      </w:pPr>
      <w:r w:rsidRPr="005B6074">
        <w:rPr>
          <w:rFonts w:ascii="Verdana" w:hAnsi="Verdana"/>
          <w:sz w:val="20"/>
        </w:rPr>
        <w:t xml:space="preserve">Overcoming the illiteracy among poor people and in the disadvantaged groups; </w:t>
      </w:r>
    </w:p>
    <w:p w:rsidR="00F24971" w:rsidRPr="005B6074" w:rsidRDefault="00A35E98" w:rsidP="00F24971">
      <w:pPr>
        <w:pStyle w:val="BodyText"/>
        <w:numPr>
          <w:ilvl w:val="0"/>
          <w:numId w:val="18"/>
        </w:numPr>
        <w:tabs>
          <w:tab w:val="left" w:pos="0"/>
          <w:tab w:val="right" w:pos="9214"/>
        </w:tabs>
        <w:spacing w:before="120"/>
        <w:ind w:left="567" w:hanging="425"/>
        <w:jc w:val="both"/>
        <w:rPr>
          <w:rFonts w:ascii="Verdana" w:hAnsi="Verdana"/>
          <w:sz w:val="20"/>
          <w:szCs w:val="20"/>
        </w:rPr>
      </w:pPr>
      <w:r w:rsidRPr="005B6074">
        <w:rPr>
          <w:rFonts w:ascii="Verdana" w:hAnsi="Verdana"/>
          <w:sz w:val="20"/>
        </w:rPr>
        <w:t xml:space="preserve">Ensuring high-quality education by improvement in the learning contents and in the facilities, enhancing the qualification of teachers and providing information technologies at schools; </w:t>
      </w:r>
    </w:p>
    <w:p w:rsidR="00F24971" w:rsidRPr="005B6074" w:rsidRDefault="00A35E98" w:rsidP="00F24971">
      <w:pPr>
        <w:pStyle w:val="BodyText"/>
        <w:numPr>
          <w:ilvl w:val="0"/>
          <w:numId w:val="18"/>
        </w:numPr>
        <w:tabs>
          <w:tab w:val="left" w:pos="0"/>
          <w:tab w:val="right" w:pos="9214"/>
        </w:tabs>
        <w:spacing w:before="120"/>
        <w:ind w:left="567" w:hanging="425"/>
        <w:jc w:val="both"/>
        <w:rPr>
          <w:rFonts w:ascii="Verdana" w:hAnsi="Verdana"/>
          <w:sz w:val="20"/>
          <w:szCs w:val="20"/>
        </w:rPr>
      </w:pPr>
      <w:r w:rsidRPr="005B6074">
        <w:rPr>
          <w:rFonts w:ascii="Verdana" w:hAnsi="Verdana"/>
          <w:sz w:val="20"/>
        </w:rPr>
        <w:t xml:space="preserve">Mastering hi-tech skills; </w:t>
      </w:r>
    </w:p>
    <w:p w:rsidR="00F24971" w:rsidRPr="005B6074" w:rsidRDefault="00A35E98" w:rsidP="00F24971">
      <w:pPr>
        <w:pStyle w:val="BodyText"/>
        <w:numPr>
          <w:ilvl w:val="0"/>
          <w:numId w:val="18"/>
        </w:numPr>
        <w:tabs>
          <w:tab w:val="left" w:pos="0"/>
          <w:tab w:val="right" w:pos="9214"/>
        </w:tabs>
        <w:spacing w:before="120"/>
        <w:ind w:left="567" w:hanging="425"/>
        <w:jc w:val="both"/>
        <w:rPr>
          <w:rFonts w:ascii="Verdana" w:hAnsi="Verdana"/>
          <w:sz w:val="20"/>
          <w:szCs w:val="20"/>
        </w:rPr>
      </w:pPr>
      <w:r w:rsidRPr="005B6074">
        <w:rPr>
          <w:rFonts w:ascii="Verdana" w:hAnsi="Verdana"/>
          <w:sz w:val="20"/>
        </w:rPr>
        <w:t xml:space="preserve">Developing good habits for lifelong learning, provision of good conditions for constant vocational education and development and further development of the system of qualification, re-qualification and on-going training; </w:t>
      </w:r>
    </w:p>
    <w:p w:rsidR="00F24971" w:rsidRPr="005B6074" w:rsidRDefault="00A35E98" w:rsidP="00F24971">
      <w:pPr>
        <w:pStyle w:val="BodyText"/>
        <w:numPr>
          <w:ilvl w:val="0"/>
          <w:numId w:val="18"/>
        </w:numPr>
        <w:tabs>
          <w:tab w:val="left" w:pos="0"/>
          <w:tab w:val="right" w:pos="9214"/>
        </w:tabs>
        <w:spacing w:before="120"/>
        <w:ind w:left="567" w:hanging="425"/>
        <w:jc w:val="both"/>
        <w:rPr>
          <w:rFonts w:ascii="Verdana" w:hAnsi="Verdana"/>
          <w:sz w:val="20"/>
          <w:szCs w:val="20"/>
        </w:rPr>
      </w:pPr>
      <w:r w:rsidRPr="005B6074">
        <w:rPr>
          <w:rFonts w:ascii="Verdana" w:hAnsi="Verdana"/>
          <w:sz w:val="20"/>
        </w:rPr>
        <w:t xml:space="preserve">Taking of measures aimed at socialising and providing for the integration of pupils with special educational needs and specific disabilities in common schools; </w:t>
      </w:r>
    </w:p>
    <w:p w:rsidR="00F24971" w:rsidRPr="005B6074" w:rsidRDefault="00A35E98" w:rsidP="00F24971">
      <w:pPr>
        <w:pStyle w:val="BodyText"/>
        <w:numPr>
          <w:ilvl w:val="0"/>
          <w:numId w:val="18"/>
        </w:numPr>
        <w:tabs>
          <w:tab w:val="left" w:pos="0"/>
          <w:tab w:val="right" w:pos="9214"/>
        </w:tabs>
        <w:spacing w:before="120"/>
        <w:ind w:left="567" w:hanging="425"/>
        <w:jc w:val="both"/>
        <w:rPr>
          <w:rFonts w:ascii="Verdana" w:hAnsi="Verdana"/>
          <w:sz w:val="20"/>
          <w:szCs w:val="20"/>
        </w:rPr>
      </w:pPr>
      <w:r w:rsidRPr="005B6074">
        <w:rPr>
          <w:rFonts w:ascii="Verdana" w:hAnsi="Verdana"/>
          <w:sz w:val="20"/>
        </w:rPr>
        <w:t>Overcoming of social isolation by educational programmes.</w:t>
      </w:r>
    </w:p>
    <w:p w:rsidR="00F24971" w:rsidRPr="005B6074" w:rsidRDefault="00A35E98" w:rsidP="00F24971">
      <w:pPr>
        <w:pStyle w:val="BodyText"/>
        <w:tabs>
          <w:tab w:val="left" w:pos="0"/>
          <w:tab w:val="right" w:pos="9214"/>
        </w:tabs>
        <w:spacing w:before="120"/>
        <w:ind w:left="142"/>
        <w:jc w:val="both"/>
        <w:rPr>
          <w:rFonts w:ascii="Verdana" w:hAnsi="Verdana"/>
          <w:sz w:val="20"/>
          <w:szCs w:val="20"/>
        </w:rPr>
      </w:pPr>
      <w:r w:rsidRPr="005B6074">
        <w:rPr>
          <w:rFonts w:ascii="Verdana" w:hAnsi="Verdana"/>
          <w:sz w:val="20"/>
        </w:rPr>
        <w:t>The following is a relevant measure/objective of the strategy related to the territorial approach to provision of support which is not taken into account in the OPSESG version of May 2014:</w:t>
      </w:r>
    </w:p>
    <w:p w:rsidR="00F24971" w:rsidRPr="005B6074" w:rsidRDefault="00A35E98" w:rsidP="00F24971">
      <w:pPr>
        <w:pStyle w:val="BodyText"/>
        <w:numPr>
          <w:ilvl w:val="0"/>
          <w:numId w:val="18"/>
        </w:numPr>
        <w:tabs>
          <w:tab w:val="left" w:pos="0"/>
          <w:tab w:val="right" w:pos="9214"/>
        </w:tabs>
        <w:spacing w:before="120"/>
        <w:ind w:left="567" w:hanging="425"/>
        <w:jc w:val="both"/>
        <w:rPr>
          <w:rFonts w:ascii="Verdana" w:hAnsi="Verdana"/>
          <w:sz w:val="20"/>
          <w:szCs w:val="20"/>
        </w:rPr>
      </w:pPr>
      <w:r w:rsidRPr="005B6074">
        <w:rPr>
          <w:rFonts w:ascii="Verdana" w:hAnsi="Verdana"/>
          <w:sz w:val="20"/>
        </w:rPr>
        <w:t xml:space="preserve">Provision for the cohesion between the models of education of citizens living in towns, and those living in smaller settlements, especially in lagging behind rural areas; </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National Youth Strategy 2010-2020</w:t>
      </w:r>
    </w:p>
    <w:p w:rsidR="00F24971" w:rsidRPr="005B6074" w:rsidRDefault="00A35E98" w:rsidP="00F24971">
      <w:pPr>
        <w:pStyle w:val="BodyText"/>
        <w:tabs>
          <w:tab w:val="left" w:pos="0"/>
          <w:tab w:val="right" w:pos="9214"/>
        </w:tabs>
        <w:spacing w:line="276" w:lineRule="auto"/>
        <w:jc w:val="both"/>
        <w:rPr>
          <w:rFonts w:ascii="Verdana" w:hAnsi="Verdana"/>
          <w:sz w:val="20"/>
          <w:szCs w:val="20"/>
        </w:rPr>
      </w:pPr>
      <w:r w:rsidRPr="005B6074">
        <w:rPr>
          <w:rFonts w:ascii="Verdana" w:hAnsi="Verdana"/>
          <w:sz w:val="20"/>
        </w:rPr>
        <w:t>The National Youth Strategy sets 9 strategic objectives. OPSESG 2014–2020 integrates the first objective with regard to improving the quality of secondary and higher education and informal learning and encouraging lifelong learning in accordance with labour market needs. The Programme includes measures that correspond to Strategy measures such as: strengthening the link between education and business, delivering information and advice on professional orientation and career development; fostering research interest and retaining young people in science, education and research.</w:t>
      </w:r>
    </w:p>
    <w:p w:rsidR="00F24971" w:rsidRPr="005B6074" w:rsidRDefault="007A2B7B" w:rsidP="00F24971">
      <w:pPr>
        <w:keepNext/>
        <w:pBdr>
          <w:bottom w:val="single" w:sz="4" w:space="1" w:color="0070C0"/>
        </w:pBdr>
        <w:spacing w:before="360" w:after="120"/>
        <w:jc w:val="both"/>
        <w:rPr>
          <w:rFonts w:ascii="Verdana" w:hAnsi="Verdana"/>
          <w:color w:val="0070C0"/>
          <w:sz w:val="20"/>
          <w:szCs w:val="20"/>
        </w:rPr>
      </w:pPr>
      <w:hyperlink r:id="rId36" w:tooltip="National Lifelong Learning Strategy for the Period 2008-2013" w:history="1">
        <w:r w:rsidR="00A35E98" w:rsidRPr="005B6074">
          <w:rPr>
            <w:rFonts w:ascii="Verdana" w:hAnsi="Verdana"/>
            <w:color w:val="0070C0"/>
            <w:sz w:val="20"/>
          </w:rPr>
          <w:t>National Lifelong Learning Strategy for the Period 2014-2020</w:t>
        </w:r>
      </w:hyperlink>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The National Lifelong Learning Strategy is one of the strategic documents used as a basis for OPSESG 2014–2020. The Programme includes a number of measures mostly concerning the first 6 out of 8 priorities of the Strategy. These are the priorities in the area of lifelong learning (such as: introduction of a system for validation of knowledge and competences attained through non-formal education; introduction of a credits system in VET; development and expansion of the career guidance system; elaboration and expansion of the adult literacy system; setting up partnership network between education and businesses); expanding the scope and enhancing the quality of pre-school education; reducing the share of early school leavers; enhancing the quality of school education; increasing the attractiveness and improving the quality of VET; modernising the higher education.</w:t>
      </w:r>
    </w:p>
    <w:p w:rsidR="00F24971" w:rsidRPr="005B6074" w:rsidRDefault="007A2B7B" w:rsidP="00F24971">
      <w:pPr>
        <w:keepNext/>
        <w:pBdr>
          <w:bottom w:val="single" w:sz="4" w:space="1" w:color="0070C0"/>
        </w:pBdr>
        <w:spacing w:before="360" w:after="120"/>
        <w:jc w:val="both"/>
        <w:rPr>
          <w:rFonts w:ascii="Verdana" w:hAnsi="Verdana"/>
          <w:color w:val="0070C0"/>
          <w:sz w:val="20"/>
          <w:szCs w:val="20"/>
        </w:rPr>
      </w:pPr>
      <w:hyperlink r:id="rId37" w:tooltip="National Research Development Strategy 2020" w:history="1">
        <w:r w:rsidR="00A35E98" w:rsidRPr="005B6074">
          <w:rPr>
            <w:rFonts w:ascii="Verdana" w:hAnsi="Verdana"/>
            <w:color w:val="0070C0"/>
            <w:sz w:val="20"/>
          </w:rPr>
          <w:t>National Research Development Strategy 2020</w:t>
        </w:r>
      </w:hyperlink>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The National Research Development Strategy outlines some key priorities for the development of scientific research in Bulgaria by pursuing the following main objectives:</w:t>
      </w:r>
    </w:p>
    <w:p w:rsidR="00F24971" w:rsidRPr="005B6074" w:rsidRDefault="00A35E98" w:rsidP="00F24971">
      <w:pPr>
        <w:pStyle w:val="BodyText"/>
        <w:widowControl w:val="0"/>
        <w:numPr>
          <w:ilvl w:val="0"/>
          <w:numId w:val="17"/>
        </w:numPr>
        <w:spacing w:line="276" w:lineRule="auto"/>
        <w:jc w:val="both"/>
        <w:rPr>
          <w:rFonts w:ascii="Verdana" w:hAnsi="Verdana"/>
          <w:sz w:val="20"/>
          <w:szCs w:val="20"/>
        </w:rPr>
      </w:pPr>
      <w:r w:rsidRPr="005B6074">
        <w:rPr>
          <w:rFonts w:ascii="Verdana" w:hAnsi="Verdana"/>
          <w:sz w:val="20"/>
        </w:rPr>
        <w:t>to contribute to the transformation of Bulgaria into a knowledge-based society;</w:t>
      </w:r>
    </w:p>
    <w:p w:rsidR="00F24971" w:rsidRPr="005B6074" w:rsidRDefault="00A35E98" w:rsidP="00F24971">
      <w:pPr>
        <w:pStyle w:val="BodyText"/>
        <w:widowControl w:val="0"/>
        <w:numPr>
          <w:ilvl w:val="0"/>
          <w:numId w:val="17"/>
        </w:numPr>
        <w:spacing w:line="276" w:lineRule="auto"/>
        <w:jc w:val="both"/>
        <w:rPr>
          <w:rFonts w:ascii="Verdana" w:hAnsi="Verdana"/>
          <w:sz w:val="20"/>
          <w:szCs w:val="20"/>
        </w:rPr>
      </w:pPr>
      <w:r w:rsidRPr="005B6074">
        <w:rPr>
          <w:rFonts w:ascii="Verdana" w:hAnsi="Verdana"/>
          <w:sz w:val="20"/>
        </w:rPr>
        <w:t>to encourage the growth in the share of green technology in the national economy;</w:t>
      </w:r>
    </w:p>
    <w:p w:rsidR="00F24971" w:rsidRPr="005B6074" w:rsidRDefault="00A35E98" w:rsidP="00F24971">
      <w:pPr>
        <w:pStyle w:val="BodyText"/>
        <w:widowControl w:val="0"/>
        <w:numPr>
          <w:ilvl w:val="0"/>
          <w:numId w:val="17"/>
        </w:numPr>
        <w:spacing w:line="276" w:lineRule="auto"/>
        <w:jc w:val="both"/>
        <w:rPr>
          <w:rFonts w:ascii="Verdana" w:hAnsi="Verdana"/>
          <w:sz w:val="20"/>
          <w:szCs w:val="20"/>
        </w:rPr>
      </w:pPr>
      <w:r w:rsidRPr="005B6074">
        <w:rPr>
          <w:rFonts w:ascii="Verdana" w:hAnsi="Verdana"/>
          <w:sz w:val="20"/>
        </w:rPr>
        <w:t>to formulate the national science policy which will create conditions and outline prospects for achieving the tasks laid down in the EU 2020 strategy; and</w:t>
      </w:r>
    </w:p>
    <w:p w:rsidR="00F24971" w:rsidRPr="005B6074" w:rsidRDefault="00A35E98" w:rsidP="00F24971">
      <w:pPr>
        <w:pStyle w:val="BodyText"/>
        <w:widowControl w:val="0"/>
        <w:numPr>
          <w:ilvl w:val="0"/>
          <w:numId w:val="17"/>
        </w:numPr>
        <w:spacing w:line="276" w:lineRule="auto"/>
        <w:jc w:val="both"/>
        <w:rPr>
          <w:rFonts w:ascii="Verdana" w:hAnsi="Verdana"/>
          <w:sz w:val="20"/>
          <w:szCs w:val="20"/>
        </w:rPr>
      </w:pPr>
      <w:proofErr w:type="gramStart"/>
      <w:r w:rsidRPr="005B6074">
        <w:rPr>
          <w:rFonts w:ascii="Verdana" w:hAnsi="Verdana"/>
          <w:sz w:val="20"/>
        </w:rPr>
        <w:t>to</w:t>
      </w:r>
      <w:proofErr w:type="gramEnd"/>
      <w:r w:rsidRPr="005B6074">
        <w:rPr>
          <w:rFonts w:ascii="Verdana" w:hAnsi="Verdana"/>
          <w:sz w:val="20"/>
        </w:rPr>
        <w:t xml:space="preserve"> contribute to establishing an integrated European research area.</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OPSESG 2014–2020 largely reflects the measures aimed at achieving the two main tasks of the Strategy as set therein: (1) Enhancing the intensity, outcome and efficiency of R&amp;D activity for the benefit of the economy and society and (2) Establishment of a sustainable education-business-science relation as a basis for development of knowledge-based economy.</w:t>
      </w:r>
    </w:p>
    <w:p w:rsidR="00F24971" w:rsidRPr="005B6074" w:rsidRDefault="007A2B7B" w:rsidP="00F24971">
      <w:pPr>
        <w:keepNext/>
        <w:pBdr>
          <w:bottom w:val="single" w:sz="4" w:space="1" w:color="0070C0"/>
        </w:pBdr>
        <w:spacing w:before="360" w:after="120"/>
        <w:jc w:val="both"/>
        <w:rPr>
          <w:rFonts w:ascii="Verdana" w:hAnsi="Verdana"/>
          <w:color w:val="0070C0"/>
          <w:sz w:val="20"/>
          <w:szCs w:val="20"/>
        </w:rPr>
      </w:pPr>
      <w:hyperlink r:id="rId38" w:tooltip="National Roadmap for Research Infrastructures" w:history="1">
        <w:r w:rsidR="00A35E98" w:rsidRPr="005B6074">
          <w:rPr>
            <w:rFonts w:ascii="Verdana" w:hAnsi="Verdana"/>
            <w:color w:val="0070C0"/>
            <w:sz w:val="20"/>
          </w:rPr>
          <w:t>National Roadmap for Research Infrastructures</w:t>
        </w:r>
      </w:hyperlink>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 xml:space="preserve">The National Roadmap for Research Infrastructures has been elaborated in accordance with the Council’s conclusions on “European research infrastructures and their regional dimension” and is an integral part of the vision of Europe to build an integrated European Research Area (ERA). The Roadmap covers scientific complexes and/or facilities of national importance which are located on the territory of the country and have a potential for development at national, regional or European level. The Roadmap refers to the Programme's specific objective aimed at modernising and establishing of the national scientific infrastructure by specifying the priorities for the country, including with regard to regional and partner facilities to European scientific infrastructures. In its strategic part OPSESG 2014–2020 refers to the priorities laid down in the Roadmap. The National Roadmap is being updated, which currently hinders its use for the purposes of focusing the support envisaged under the operational programme. </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lastRenderedPageBreak/>
        <w:t>National Qualifications Framework adopted by CMD No 96 of 2 February 2012</w:t>
      </w:r>
    </w:p>
    <w:p w:rsidR="00F24971" w:rsidRPr="005B6074" w:rsidRDefault="00A35E98" w:rsidP="00F24971">
      <w:pPr>
        <w:pStyle w:val="BodyText"/>
        <w:widowControl w:val="0"/>
        <w:tabs>
          <w:tab w:val="left" w:pos="9090"/>
        </w:tabs>
        <w:spacing w:line="276" w:lineRule="auto"/>
        <w:jc w:val="both"/>
        <w:rPr>
          <w:rFonts w:ascii="Verdana" w:hAnsi="Verdana"/>
          <w:sz w:val="20"/>
          <w:szCs w:val="20"/>
        </w:rPr>
      </w:pPr>
      <w:r w:rsidRPr="005B6074">
        <w:rPr>
          <w:rFonts w:ascii="Verdana" w:hAnsi="Verdana"/>
          <w:sz w:val="20"/>
        </w:rPr>
        <w:t xml:space="preserve">The National Qualifications Framework determines the qualification levels. It has been developed following the Recommendation of the European Parliament and the Council for establishment of the European qualifications framework (EQF) for lifelong learning which aims to ensure a common European basis (starting point) for comparing the qualification levels of the national qualification systems. The paper relates to OPSESG 2014–2020 inasmuch as the programme concerns the support of education. </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National Higher Education Strategy</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The Strategy is being drafted.</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National Smart Specialisation Strategy</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The Strategy is being drafted.</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Strategy for Prevention and Reduction of the Share of Early Leavers of the System of Education 2013–2020</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The Strategy defines three types of policies:</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i/>
          <w:sz w:val="20"/>
        </w:rPr>
        <w:t xml:space="preserve">Prevention policies </w:t>
      </w:r>
      <w:r w:rsidRPr="005B6074">
        <w:rPr>
          <w:rFonts w:ascii="Verdana" w:hAnsi="Verdana"/>
          <w:sz w:val="20"/>
        </w:rPr>
        <w:t>which include: ensuring a proper educational environment, enhancing the quality of education and providing access and quality education for children from vulnerable ethnic communities and children with special educational needs.</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i/>
          <w:sz w:val="20"/>
        </w:rPr>
        <w:t xml:space="preserve">Intervention policies </w:t>
      </w:r>
      <w:r w:rsidRPr="005B6074">
        <w:rPr>
          <w:rFonts w:ascii="Verdana" w:hAnsi="Verdana"/>
          <w:sz w:val="20"/>
        </w:rPr>
        <w:t>which include: better participation and commitment of parents, individual and group mentoring, career and personal development, interest clubs, gaining professional qualification, financial assistance.</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i/>
          <w:sz w:val="20"/>
        </w:rPr>
        <w:t xml:space="preserve">Compensation policies </w:t>
      </w:r>
      <w:r w:rsidRPr="005B6074">
        <w:rPr>
          <w:rFonts w:ascii="Verdana" w:hAnsi="Verdana"/>
          <w:sz w:val="20"/>
        </w:rPr>
        <w:t>which include: – creating conditions for reintegration, a system for validation of competences attained through non-formal training.</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Four of the OPSESG priorities address the policies and measures of the Strategy mentioned above – the priorities for (1) Prevention and reduction of early school leaving and promotion of equal access to high-quality pre-school, primary and secondary education, (2) Active inclusion, especially in view of improving employability (3) Integration of marginalised communities such as Roma and (4) Improving the access to possibilities for lifelong learning, improving the skills and qualification of the workforce and enhancing the adequacy of the systems of education and training towards the labour market, including improving the quality of VET and setting up and development of learning-through-working schemes and apprenticeships, such as, for instance, the dual system.</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National Teaching Staff Development Strategy</w:t>
      </w:r>
    </w:p>
    <w:p w:rsidR="00F24971" w:rsidRPr="005B6074" w:rsidRDefault="00A35E98" w:rsidP="00F24971">
      <w:pPr>
        <w:pStyle w:val="BodyText"/>
        <w:widowControl w:val="0"/>
        <w:spacing w:line="276" w:lineRule="auto"/>
        <w:jc w:val="both"/>
        <w:rPr>
          <w:rFonts w:ascii="Verdana" w:hAnsi="Verdana"/>
          <w:sz w:val="20"/>
          <w:szCs w:val="20"/>
        </w:rPr>
      </w:pPr>
      <w:r w:rsidRPr="005B6074">
        <w:rPr>
          <w:rFonts w:ascii="Verdana" w:hAnsi="Verdana"/>
          <w:sz w:val="20"/>
        </w:rPr>
        <w:t>The Strategy is being drafted.</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lastRenderedPageBreak/>
        <w:t>Strategy for Effective Implementation of Information and Communication Technologies in Science and Education of the Republic of Bulgaria 2014–2020</w:t>
      </w:r>
    </w:p>
    <w:p w:rsidR="00F24971" w:rsidRPr="005B6074" w:rsidRDefault="00A35E98" w:rsidP="00F24971">
      <w:pPr>
        <w:pStyle w:val="BodyText"/>
        <w:tabs>
          <w:tab w:val="left" w:pos="0"/>
          <w:tab w:val="right" w:pos="9214"/>
        </w:tabs>
        <w:spacing w:before="120" w:line="276" w:lineRule="auto"/>
        <w:jc w:val="both"/>
        <w:rPr>
          <w:rFonts w:ascii="Verdana" w:hAnsi="Verdana"/>
          <w:sz w:val="20"/>
          <w:szCs w:val="20"/>
        </w:rPr>
      </w:pPr>
      <w:r w:rsidRPr="005B6074">
        <w:rPr>
          <w:rFonts w:ascii="Verdana" w:hAnsi="Verdana"/>
          <w:sz w:val="20"/>
        </w:rPr>
        <w:t>The Strategy is being drafted.</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National Roma Integration Strategy of the Republic of Bulgaria 2012-2020</w:t>
      </w:r>
    </w:p>
    <w:p w:rsidR="00F24971" w:rsidRPr="005B6074" w:rsidRDefault="00A35E98" w:rsidP="00F24971">
      <w:pPr>
        <w:pStyle w:val="BodyText"/>
        <w:tabs>
          <w:tab w:val="left" w:pos="0"/>
          <w:tab w:val="right" w:pos="9214"/>
        </w:tabs>
        <w:spacing w:before="120" w:after="360" w:line="276" w:lineRule="auto"/>
        <w:jc w:val="both"/>
        <w:rPr>
          <w:rFonts w:ascii="Verdana" w:hAnsi="Verdana"/>
          <w:sz w:val="20"/>
          <w:szCs w:val="20"/>
        </w:rPr>
      </w:pPr>
      <w:r w:rsidRPr="005B6074">
        <w:rPr>
          <w:rFonts w:ascii="Verdana" w:hAnsi="Verdana"/>
          <w:sz w:val="20"/>
        </w:rPr>
        <w:t>OPSESG 2014–2020 integrates objectives and measures of the Strategy that are related to encompassing and retaining Roma children and pupils in the system of education and providing quality education in multi-cultural environment. One of the Programme's investment priorities is targeted at the integration of Roma children into the system of education.</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38"/>
        <w:gridCol w:w="8444"/>
      </w:tblGrid>
      <w:tr w:rsidR="00F24971" w:rsidRPr="005B6074" w:rsidTr="00F24971">
        <w:trPr>
          <w:trHeight w:val="599"/>
        </w:trPr>
        <w:tc>
          <w:tcPr>
            <w:tcW w:w="538" w:type="dxa"/>
            <w:vAlign w:val="center"/>
          </w:tcPr>
          <w:p w:rsidR="00F24971" w:rsidRPr="005B6074" w:rsidRDefault="00A35E98" w:rsidP="00F24971">
            <w:pPr>
              <w:pStyle w:val="BodyText"/>
              <w:spacing w:after="0" w:line="276" w:lineRule="auto"/>
              <w:jc w:val="center"/>
              <w:rPr>
                <w:rFonts w:ascii="Verdana" w:hAnsi="Verdana"/>
                <w:color w:val="548DD4"/>
                <w:sz w:val="20"/>
                <w:szCs w:val="20"/>
              </w:rPr>
            </w:pPr>
            <w:r w:rsidRPr="005B6074">
              <w:rPr>
                <w:rFonts w:ascii="Verdana" w:hAnsi="Verdana"/>
                <w:color w:val="548DD4"/>
                <w:sz w:val="36"/>
              </w:rPr>
              <w:t>?</w:t>
            </w:r>
          </w:p>
        </w:tc>
        <w:tc>
          <w:tcPr>
            <w:tcW w:w="8444" w:type="dxa"/>
            <w:shd w:val="clear" w:color="auto" w:fill="B8CCE4"/>
            <w:vAlign w:val="center"/>
          </w:tcPr>
          <w:p w:rsidR="00F24971" w:rsidRPr="005B6074" w:rsidRDefault="00A35E98" w:rsidP="00F24971">
            <w:pPr>
              <w:suppressAutoHyphens/>
              <w:spacing w:before="120" w:after="120" w:line="240" w:lineRule="auto"/>
              <w:ind w:left="115"/>
              <w:rPr>
                <w:rFonts w:ascii="Verdana" w:hAnsi="Verdana" w:cs="TimesNewRomanPSMT"/>
                <w:sz w:val="20"/>
                <w:szCs w:val="20"/>
              </w:rPr>
            </w:pPr>
            <w:r w:rsidRPr="005B6074">
              <w:rPr>
                <w:rFonts w:ascii="Verdana" w:hAnsi="Verdana"/>
                <w:sz w:val="20"/>
              </w:rPr>
              <w:t>Coherence with the Partnership Agreement</w:t>
            </w:r>
          </w:p>
        </w:tc>
      </w:tr>
    </w:tbl>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Partnership Agreement of Bulgaria for the period 2014–2020</w:t>
      </w:r>
    </w:p>
    <w:p w:rsidR="00F24971" w:rsidRPr="005B6074" w:rsidRDefault="00A35E98" w:rsidP="00F24971">
      <w:pPr>
        <w:pStyle w:val="BodyText"/>
        <w:widowControl w:val="0"/>
        <w:spacing w:before="120" w:line="276" w:lineRule="auto"/>
        <w:jc w:val="both"/>
        <w:rPr>
          <w:rFonts w:ascii="Verdana" w:hAnsi="Verdana"/>
          <w:sz w:val="20"/>
          <w:szCs w:val="20"/>
        </w:rPr>
      </w:pPr>
      <w:r w:rsidRPr="005B6074">
        <w:rPr>
          <w:rFonts w:ascii="Verdana" w:hAnsi="Verdana"/>
          <w:sz w:val="20"/>
        </w:rPr>
        <w:t>The Partnership Agreement (PA) designates OPSESG as a corresponding programme and in partnership with other programmes as an instrument for implementation of the following thematic objectives:</w:t>
      </w:r>
    </w:p>
    <w:p w:rsidR="00F24971" w:rsidRPr="005B6074" w:rsidRDefault="00A35E98" w:rsidP="00F24971">
      <w:pPr>
        <w:pStyle w:val="BodyText"/>
        <w:widowControl w:val="0"/>
        <w:spacing w:before="120" w:line="276" w:lineRule="auto"/>
        <w:jc w:val="both"/>
        <w:rPr>
          <w:rFonts w:ascii="Verdana" w:hAnsi="Verdana"/>
          <w:sz w:val="20"/>
          <w:szCs w:val="20"/>
        </w:rPr>
      </w:pPr>
      <w:r w:rsidRPr="005B6074">
        <w:rPr>
          <w:rFonts w:ascii="Verdana" w:hAnsi="Verdana"/>
          <w:sz w:val="20"/>
        </w:rPr>
        <w:t>1) Strengthening research, technological development and innovation;</w:t>
      </w:r>
    </w:p>
    <w:p w:rsidR="00F24971" w:rsidRPr="005B6074" w:rsidRDefault="00A35E98" w:rsidP="00F24971">
      <w:pPr>
        <w:pStyle w:val="BodyText"/>
        <w:widowControl w:val="0"/>
        <w:spacing w:before="120" w:line="276" w:lineRule="auto"/>
        <w:jc w:val="both"/>
        <w:rPr>
          <w:rFonts w:ascii="Verdana" w:hAnsi="Verdana"/>
          <w:sz w:val="20"/>
          <w:szCs w:val="20"/>
        </w:rPr>
      </w:pPr>
      <w:r w:rsidRPr="005B6074">
        <w:rPr>
          <w:rFonts w:ascii="Verdana" w:hAnsi="Verdana"/>
          <w:sz w:val="20"/>
        </w:rPr>
        <w:t>9) Promoting social inclusion, combating poverty and any form of discrimination;</w:t>
      </w:r>
    </w:p>
    <w:p w:rsidR="00F24971" w:rsidRPr="005B6074" w:rsidRDefault="00A35E98" w:rsidP="00F24971">
      <w:pPr>
        <w:pStyle w:val="BodyText"/>
        <w:widowControl w:val="0"/>
        <w:spacing w:before="120" w:line="276" w:lineRule="auto"/>
        <w:jc w:val="both"/>
        <w:rPr>
          <w:rFonts w:ascii="Verdana" w:hAnsi="Verdana"/>
          <w:sz w:val="20"/>
          <w:szCs w:val="20"/>
        </w:rPr>
      </w:pPr>
      <w:r w:rsidRPr="005B6074">
        <w:rPr>
          <w:rFonts w:ascii="Verdana" w:hAnsi="Verdana"/>
          <w:sz w:val="20"/>
        </w:rPr>
        <w:t>10) Investments in education, training, including vocational training for the acquisition of skills, and lifelong learning;</w:t>
      </w:r>
    </w:p>
    <w:p w:rsidR="00F24971" w:rsidRPr="005B6074" w:rsidRDefault="00A35E98" w:rsidP="00F24971">
      <w:pPr>
        <w:pStyle w:val="BodyText"/>
        <w:widowControl w:val="0"/>
        <w:spacing w:before="120" w:line="276" w:lineRule="auto"/>
        <w:jc w:val="both"/>
        <w:rPr>
          <w:rFonts w:ascii="Verdana" w:hAnsi="Verdana"/>
          <w:sz w:val="20"/>
          <w:szCs w:val="20"/>
        </w:rPr>
      </w:pPr>
      <w:r w:rsidRPr="005B6074">
        <w:rPr>
          <w:rFonts w:ascii="Verdana" w:hAnsi="Verdana"/>
          <w:sz w:val="20"/>
        </w:rPr>
        <w:t>The relevant thematic objectives are taken into account when selecting the Programme's investment priorities.</w:t>
      </w:r>
    </w:p>
    <w:p w:rsidR="00F24971" w:rsidRPr="005B6074" w:rsidRDefault="00A35E98" w:rsidP="00F24971">
      <w:pPr>
        <w:pStyle w:val="BodyText"/>
        <w:widowControl w:val="0"/>
        <w:spacing w:before="120" w:line="276" w:lineRule="auto"/>
        <w:jc w:val="both"/>
        <w:rPr>
          <w:rFonts w:ascii="Verdana" w:hAnsi="Verdana"/>
          <w:sz w:val="20"/>
          <w:szCs w:val="20"/>
        </w:rPr>
      </w:pPr>
      <w:r w:rsidRPr="005B6074">
        <w:rPr>
          <w:rFonts w:ascii="Verdana" w:hAnsi="Verdana"/>
          <w:sz w:val="20"/>
        </w:rPr>
        <w:t>The measures planned under the relevant thematic objectives of PA have been considered in OPSESG 2014–2020. They include:</w:t>
      </w:r>
    </w:p>
    <w:p w:rsidR="00F24971" w:rsidRPr="005B6074" w:rsidRDefault="00A35E98" w:rsidP="00F24971">
      <w:pPr>
        <w:pStyle w:val="BodyText"/>
        <w:widowControl w:val="0"/>
        <w:numPr>
          <w:ilvl w:val="0"/>
          <w:numId w:val="20"/>
        </w:numPr>
        <w:spacing w:before="120" w:line="276" w:lineRule="auto"/>
        <w:jc w:val="both"/>
        <w:rPr>
          <w:rFonts w:ascii="Verdana" w:hAnsi="Verdana"/>
          <w:sz w:val="20"/>
          <w:szCs w:val="20"/>
        </w:rPr>
      </w:pPr>
      <w:r w:rsidRPr="005B6074">
        <w:rPr>
          <w:rFonts w:ascii="Verdana" w:hAnsi="Verdana"/>
          <w:sz w:val="20"/>
        </w:rPr>
        <w:t>Improving the educational structure and curricula, all-day organisation of the learning process, staff qualification, early assessment of educational needs and integration of children from the ethnic minorities and children with special educational needs;</w:t>
      </w:r>
    </w:p>
    <w:p w:rsidR="00F24971" w:rsidRPr="005B6074" w:rsidRDefault="00A35E98" w:rsidP="00F24971">
      <w:pPr>
        <w:pStyle w:val="BodyText"/>
        <w:widowControl w:val="0"/>
        <w:numPr>
          <w:ilvl w:val="0"/>
          <w:numId w:val="20"/>
        </w:numPr>
        <w:spacing w:before="120" w:line="276" w:lineRule="auto"/>
        <w:jc w:val="both"/>
        <w:rPr>
          <w:rFonts w:ascii="Verdana" w:hAnsi="Verdana"/>
          <w:sz w:val="20"/>
          <w:szCs w:val="20"/>
        </w:rPr>
      </w:pPr>
      <w:r w:rsidRPr="005B6074">
        <w:rPr>
          <w:rFonts w:ascii="Verdana" w:hAnsi="Verdana"/>
          <w:sz w:val="20"/>
        </w:rPr>
        <w:t>Enhancing the quality of vocational education, system of credits and system for validation of knowledge, strengthening the link between vocational high schools and businesses;</w:t>
      </w:r>
    </w:p>
    <w:p w:rsidR="00F24971" w:rsidRPr="005B6074" w:rsidRDefault="00A35E98" w:rsidP="00F24971">
      <w:pPr>
        <w:pStyle w:val="BodyText"/>
        <w:widowControl w:val="0"/>
        <w:numPr>
          <w:ilvl w:val="0"/>
          <w:numId w:val="20"/>
        </w:numPr>
        <w:spacing w:before="120" w:line="276" w:lineRule="auto"/>
        <w:jc w:val="both"/>
        <w:rPr>
          <w:rFonts w:ascii="Verdana" w:hAnsi="Verdana"/>
          <w:sz w:val="20"/>
          <w:szCs w:val="20"/>
        </w:rPr>
      </w:pPr>
      <w:r w:rsidRPr="005B6074">
        <w:rPr>
          <w:rFonts w:ascii="Verdana" w:hAnsi="Verdana"/>
          <w:sz w:val="20"/>
        </w:rPr>
        <w:t>Introducing ICT and interactive methods of teaching;</w:t>
      </w:r>
    </w:p>
    <w:p w:rsidR="00F24971" w:rsidRPr="005B6074" w:rsidRDefault="00A35E98" w:rsidP="00F24971">
      <w:pPr>
        <w:pStyle w:val="BodyText"/>
        <w:widowControl w:val="0"/>
        <w:numPr>
          <w:ilvl w:val="0"/>
          <w:numId w:val="20"/>
        </w:numPr>
        <w:spacing w:before="120" w:line="276" w:lineRule="auto"/>
        <w:jc w:val="both"/>
        <w:rPr>
          <w:rFonts w:ascii="Verdana" w:hAnsi="Verdana"/>
          <w:sz w:val="20"/>
          <w:szCs w:val="20"/>
        </w:rPr>
      </w:pPr>
      <w:r w:rsidRPr="005B6074">
        <w:rPr>
          <w:rFonts w:ascii="Verdana" w:hAnsi="Verdana"/>
          <w:sz w:val="20"/>
        </w:rPr>
        <w:t>Strengthening of the management capacity of higher education establishments;</w:t>
      </w:r>
    </w:p>
    <w:p w:rsidR="00F24971" w:rsidRPr="005B6074" w:rsidRDefault="00A35E98" w:rsidP="00F24971">
      <w:pPr>
        <w:pStyle w:val="BodyText"/>
        <w:widowControl w:val="0"/>
        <w:numPr>
          <w:ilvl w:val="0"/>
          <w:numId w:val="20"/>
        </w:numPr>
        <w:spacing w:before="120" w:line="276" w:lineRule="auto"/>
        <w:jc w:val="both"/>
        <w:rPr>
          <w:rFonts w:ascii="Verdana" w:hAnsi="Verdana"/>
          <w:sz w:val="20"/>
          <w:szCs w:val="20"/>
        </w:rPr>
      </w:pPr>
      <w:r w:rsidRPr="005B6074">
        <w:rPr>
          <w:rFonts w:ascii="Verdana" w:hAnsi="Verdana"/>
          <w:sz w:val="20"/>
        </w:rPr>
        <w:t>Transfer of experience and good practices in the field of science;</w:t>
      </w:r>
    </w:p>
    <w:p w:rsidR="00F24971" w:rsidRPr="005B6074" w:rsidRDefault="00A35E98" w:rsidP="00F24971">
      <w:pPr>
        <w:pStyle w:val="BodyText"/>
        <w:widowControl w:val="0"/>
        <w:numPr>
          <w:ilvl w:val="0"/>
          <w:numId w:val="20"/>
        </w:numPr>
        <w:spacing w:before="120" w:line="276" w:lineRule="auto"/>
        <w:jc w:val="both"/>
        <w:rPr>
          <w:rFonts w:ascii="Verdana" w:hAnsi="Verdana"/>
          <w:sz w:val="20"/>
          <w:szCs w:val="20"/>
        </w:rPr>
      </w:pPr>
      <w:r w:rsidRPr="005B6074">
        <w:rPr>
          <w:rFonts w:ascii="Verdana" w:hAnsi="Verdana"/>
          <w:sz w:val="20"/>
        </w:rPr>
        <w:t>Improving the preparation of educational staff;</w:t>
      </w:r>
    </w:p>
    <w:p w:rsidR="00F24971" w:rsidRPr="005B6074" w:rsidRDefault="00A35E98" w:rsidP="00F24971">
      <w:pPr>
        <w:pStyle w:val="BodyText"/>
        <w:widowControl w:val="0"/>
        <w:numPr>
          <w:ilvl w:val="0"/>
          <w:numId w:val="20"/>
        </w:numPr>
        <w:spacing w:before="120" w:line="276" w:lineRule="auto"/>
        <w:jc w:val="both"/>
        <w:rPr>
          <w:rFonts w:ascii="Verdana" w:hAnsi="Verdana"/>
          <w:sz w:val="20"/>
          <w:szCs w:val="20"/>
        </w:rPr>
      </w:pPr>
      <w:r w:rsidRPr="005B6074">
        <w:rPr>
          <w:rFonts w:ascii="Verdana" w:hAnsi="Verdana"/>
          <w:sz w:val="20"/>
        </w:rPr>
        <w:t>Enhancing the quality of higher education;</w:t>
      </w:r>
    </w:p>
    <w:p w:rsidR="00F24971" w:rsidRPr="005B6074" w:rsidRDefault="00A35E98" w:rsidP="00F24971">
      <w:pPr>
        <w:pStyle w:val="BodyText"/>
        <w:widowControl w:val="0"/>
        <w:numPr>
          <w:ilvl w:val="0"/>
          <w:numId w:val="20"/>
        </w:numPr>
        <w:spacing w:before="120" w:line="276" w:lineRule="auto"/>
        <w:jc w:val="both"/>
        <w:rPr>
          <w:rFonts w:ascii="Verdana" w:hAnsi="Verdana"/>
          <w:sz w:val="20"/>
          <w:szCs w:val="20"/>
        </w:rPr>
      </w:pPr>
      <w:r w:rsidRPr="005B6074">
        <w:rPr>
          <w:rFonts w:ascii="Verdana" w:hAnsi="Verdana"/>
          <w:sz w:val="20"/>
        </w:rPr>
        <w:lastRenderedPageBreak/>
        <w:t>Promoting of mobility at all levels;</w:t>
      </w:r>
    </w:p>
    <w:p w:rsidR="00F24971" w:rsidRPr="005B6074" w:rsidRDefault="00A35E98" w:rsidP="00F24971">
      <w:pPr>
        <w:pStyle w:val="BodyText"/>
        <w:widowControl w:val="0"/>
        <w:numPr>
          <w:ilvl w:val="0"/>
          <w:numId w:val="20"/>
        </w:numPr>
        <w:spacing w:before="120" w:line="276" w:lineRule="auto"/>
        <w:jc w:val="both"/>
        <w:rPr>
          <w:rFonts w:ascii="Verdana" w:hAnsi="Verdana"/>
          <w:sz w:val="20"/>
          <w:szCs w:val="20"/>
        </w:rPr>
      </w:pPr>
      <w:r w:rsidRPr="005B6074">
        <w:rPr>
          <w:rFonts w:ascii="Verdana" w:hAnsi="Verdana"/>
          <w:sz w:val="20"/>
        </w:rPr>
        <w:t>Development of innovation and research infrastructure;</w:t>
      </w:r>
    </w:p>
    <w:p w:rsidR="00F24971" w:rsidRPr="005B6074" w:rsidRDefault="00A35E98" w:rsidP="00F24971">
      <w:pPr>
        <w:pStyle w:val="BodyText"/>
        <w:widowControl w:val="0"/>
        <w:numPr>
          <w:ilvl w:val="0"/>
          <w:numId w:val="20"/>
        </w:numPr>
        <w:spacing w:before="120" w:line="276" w:lineRule="auto"/>
        <w:jc w:val="both"/>
        <w:rPr>
          <w:rFonts w:ascii="Verdana" w:hAnsi="Verdana"/>
          <w:sz w:val="20"/>
          <w:szCs w:val="20"/>
        </w:rPr>
      </w:pPr>
      <w:r w:rsidRPr="005B6074">
        <w:rPr>
          <w:rFonts w:ascii="Verdana" w:hAnsi="Verdana"/>
          <w:sz w:val="20"/>
        </w:rPr>
        <w:t>Participation of Bulgaria in European technological platforms and in the European Institute of Innovation and Technology</w:t>
      </w:r>
    </w:p>
    <w:p w:rsidR="00F24971" w:rsidRPr="005B6074" w:rsidRDefault="00A35E98" w:rsidP="00F24971">
      <w:pPr>
        <w:pStyle w:val="BodyText"/>
        <w:widowControl w:val="0"/>
        <w:spacing w:before="120" w:line="276" w:lineRule="auto"/>
        <w:jc w:val="both"/>
        <w:rPr>
          <w:rFonts w:ascii="Verdana" w:hAnsi="Verdana"/>
          <w:sz w:val="20"/>
          <w:szCs w:val="20"/>
        </w:rPr>
      </w:pPr>
      <w:r w:rsidRPr="005B6074">
        <w:rPr>
          <w:rFonts w:ascii="Verdana" w:hAnsi="Verdana"/>
          <w:sz w:val="20"/>
        </w:rPr>
        <w:t>The following measures are reflected to a lesser extent:</w:t>
      </w:r>
    </w:p>
    <w:p w:rsidR="00F24971" w:rsidRPr="005B6074" w:rsidRDefault="00A35E98" w:rsidP="00F24971">
      <w:pPr>
        <w:pStyle w:val="BodyText"/>
        <w:widowControl w:val="0"/>
        <w:numPr>
          <w:ilvl w:val="0"/>
          <w:numId w:val="19"/>
        </w:numPr>
        <w:spacing w:before="120" w:line="276" w:lineRule="auto"/>
        <w:jc w:val="both"/>
        <w:rPr>
          <w:rFonts w:ascii="Verdana" w:hAnsi="Verdana"/>
          <w:sz w:val="20"/>
          <w:szCs w:val="20"/>
        </w:rPr>
      </w:pPr>
      <w:r w:rsidRPr="005B6074">
        <w:rPr>
          <w:rFonts w:ascii="Verdana" w:hAnsi="Verdana"/>
          <w:sz w:val="20"/>
        </w:rPr>
        <w:t>Establishing and enhancing of partnerships among higher education, enterprises and research;</w:t>
      </w:r>
    </w:p>
    <w:p w:rsidR="00F24971" w:rsidRPr="005B6074" w:rsidRDefault="00A35E98" w:rsidP="00F24971">
      <w:pPr>
        <w:pStyle w:val="BodyText"/>
        <w:widowControl w:val="0"/>
        <w:numPr>
          <w:ilvl w:val="0"/>
          <w:numId w:val="19"/>
        </w:numPr>
        <w:spacing w:before="120" w:line="276" w:lineRule="auto"/>
        <w:jc w:val="both"/>
        <w:rPr>
          <w:rFonts w:ascii="Verdana" w:hAnsi="Verdana"/>
          <w:sz w:val="20"/>
          <w:szCs w:val="20"/>
        </w:rPr>
      </w:pPr>
      <w:r w:rsidRPr="005B6074">
        <w:rPr>
          <w:rFonts w:ascii="Verdana" w:hAnsi="Verdana"/>
          <w:sz w:val="20"/>
        </w:rPr>
        <w:t>Strengthening of the management capacity of scientific institutes;</w:t>
      </w:r>
    </w:p>
    <w:p w:rsidR="00F24971" w:rsidRPr="005B6074" w:rsidRDefault="00A35E98" w:rsidP="00F24971">
      <w:pPr>
        <w:pStyle w:val="BodyText"/>
        <w:widowControl w:val="0"/>
        <w:numPr>
          <w:ilvl w:val="0"/>
          <w:numId w:val="19"/>
        </w:numPr>
        <w:spacing w:before="120" w:line="276" w:lineRule="auto"/>
        <w:jc w:val="both"/>
        <w:rPr>
          <w:rFonts w:ascii="Verdana" w:hAnsi="Verdana"/>
          <w:sz w:val="20"/>
          <w:szCs w:val="20"/>
        </w:rPr>
      </w:pPr>
      <w:r w:rsidRPr="005B6074">
        <w:rPr>
          <w:rFonts w:ascii="Verdana" w:hAnsi="Verdana"/>
          <w:sz w:val="20"/>
        </w:rPr>
        <w:t>Creating of possibilities for researcher traineeships in enterprises;</w:t>
      </w:r>
    </w:p>
    <w:p w:rsidR="00F24971" w:rsidRPr="005B6074" w:rsidRDefault="00A35E98" w:rsidP="00F24971">
      <w:pPr>
        <w:pStyle w:val="BodyText"/>
        <w:widowControl w:val="0"/>
        <w:numPr>
          <w:ilvl w:val="0"/>
          <w:numId w:val="19"/>
        </w:numPr>
        <w:spacing w:before="120" w:line="276" w:lineRule="auto"/>
        <w:jc w:val="both"/>
        <w:rPr>
          <w:rFonts w:ascii="Verdana" w:hAnsi="Verdana"/>
          <w:sz w:val="20"/>
          <w:szCs w:val="20"/>
        </w:rPr>
      </w:pPr>
      <w:r w:rsidRPr="005B6074">
        <w:rPr>
          <w:rFonts w:ascii="Verdana" w:hAnsi="Verdana"/>
          <w:sz w:val="20"/>
        </w:rPr>
        <w:t>Provision of incentives to educational institutions to deliver educational services beyond their infrastructure on the basis of partnership with employers, state and municipal institutions and other stakeholders;</w:t>
      </w:r>
    </w:p>
    <w:p w:rsidR="00F24971" w:rsidRPr="005B6074" w:rsidRDefault="00A35E98" w:rsidP="00F24971">
      <w:pPr>
        <w:pStyle w:val="BodyText"/>
        <w:widowControl w:val="0"/>
        <w:numPr>
          <w:ilvl w:val="0"/>
          <w:numId w:val="19"/>
        </w:numPr>
        <w:spacing w:before="120" w:line="276" w:lineRule="auto"/>
        <w:jc w:val="both"/>
        <w:rPr>
          <w:rFonts w:ascii="Verdana" w:hAnsi="Verdana"/>
          <w:sz w:val="20"/>
          <w:szCs w:val="20"/>
        </w:rPr>
      </w:pPr>
      <w:r w:rsidRPr="005B6074">
        <w:rPr>
          <w:rFonts w:ascii="Verdana" w:hAnsi="Verdana"/>
          <w:sz w:val="20"/>
        </w:rPr>
        <w:t>Developing of partnerships between business and scientists.</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Position of the Commission Services on the development of Partnership Agreement and programmes in Bulgaria for the period 2014–2020</w:t>
      </w:r>
    </w:p>
    <w:p w:rsidR="00F24971" w:rsidRPr="005B6074" w:rsidRDefault="00A35E98" w:rsidP="00F24971">
      <w:pPr>
        <w:pStyle w:val="BodyText"/>
        <w:tabs>
          <w:tab w:val="left" w:pos="0"/>
          <w:tab w:val="right" w:pos="9214"/>
        </w:tabs>
        <w:spacing w:line="276" w:lineRule="auto"/>
        <w:jc w:val="both"/>
        <w:rPr>
          <w:rFonts w:ascii="Verdana" w:hAnsi="Verdana"/>
          <w:sz w:val="20"/>
          <w:szCs w:val="20"/>
        </w:rPr>
      </w:pPr>
      <w:r w:rsidRPr="005B6074">
        <w:rPr>
          <w:rFonts w:ascii="Verdana" w:hAnsi="Verdana"/>
          <w:sz w:val="20"/>
        </w:rPr>
        <w:t>The position of the Commission Services on PA in the field of education says that "</w:t>
      </w:r>
      <w:r w:rsidRPr="005B6074">
        <w:rPr>
          <w:rFonts w:ascii="Verdana" w:hAnsi="Verdana"/>
          <w:i/>
          <w:sz w:val="20"/>
        </w:rPr>
        <w:t>investments should concentrate on reducing early school leaving (with a special focus on Roma), providing technical and business skills, promoting effective access to good-quality and non-segregated early-childhood, primary and secondary education and enhancing the quality, efficiency and openness of tertiary education. CSF funds should help improve quality of education by modernising curricula, training and professional development of teachers and higher education staff, increased use of ICT, entrepreneurship training, and introduction of quality assurance and monitoring systems. Modernisation of education and training will also require significant investments in infrastructure</w:t>
      </w:r>
      <w:r w:rsidRPr="005B6074">
        <w:rPr>
          <w:rFonts w:ascii="Verdana" w:hAnsi="Verdana"/>
          <w:sz w:val="20"/>
        </w:rPr>
        <w:t>".</w:t>
      </w:r>
    </w:p>
    <w:p w:rsidR="00F24971" w:rsidRPr="005B6074" w:rsidRDefault="00A35E98" w:rsidP="00F24971">
      <w:pPr>
        <w:pStyle w:val="BodyText"/>
        <w:widowControl w:val="0"/>
        <w:tabs>
          <w:tab w:val="left" w:pos="0"/>
          <w:tab w:val="right" w:pos="9214"/>
        </w:tabs>
        <w:spacing w:line="276" w:lineRule="auto"/>
        <w:jc w:val="both"/>
        <w:rPr>
          <w:rFonts w:ascii="Verdana" w:hAnsi="Verdana"/>
          <w:sz w:val="20"/>
          <w:szCs w:val="20"/>
        </w:rPr>
      </w:pPr>
      <w:r w:rsidRPr="005B6074">
        <w:rPr>
          <w:rFonts w:ascii="Verdana" w:hAnsi="Verdana"/>
          <w:sz w:val="20"/>
        </w:rPr>
        <w:t>Concerning research and innovations, it says that "</w:t>
      </w:r>
      <w:r w:rsidRPr="005B6074">
        <w:rPr>
          <w:rFonts w:ascii="Verdana" w:hAnsi="Verdana"/>
          <w:i/>
          <w:sz w:val="20"/>
        </w:rPr>
        <w:t xml:space="preserve">creating a high quality research and innovation system should start with a sound national strategy for </w:t>
      </w:r>
      <w:proofErr w:type="gramStart"/>
      <w:r w:rsidRPr="005B6074">
        <w:rPr>
          <w:rFonts w:ascii="Verdana" w:hAnsi="Verdana"/>
          <w:i/>
          <w:sz w:val="20"/>
        </w:rPr>
        <w:t>R&amp;I</w:t>
      </w:r>
      <w:proofErr w:type="gramEnd"/>
      <w:r w:rsidRPr="005B6074">
        <w:rPr>
          <w:rFonts w:ascii="Verdana" w:hAnsi="Verdana"/>
          <w:i/>
          <w:sz w:val="20"/>
        </w:rPr>
        <w:t>. This funding priority should receive much more support, both in absolute and relative financial terms in comparison to the programming period 2007-2013, and in particular significant resources need to be mobilised to achieve the EU2020 target of 1.5% of GDP"</w:t>
      </w:r>
      <w:r w:rsidRPr="005B6074">
        <w:rPr>
          <w:rFonts w:ascii="Verdana" w:hAnsi="Verdana"/>
          <w:sz w:val="20"/>
        </w:rPr>
        <w:t xml:space="preserve">. </w:t>
      </w:r>
    </w:p>
    <w:p w:rsidR="00F24971" w:rsidRPr="005B6074" w:rsidRDefault="00A35E98" w:rsidP="00F24971">
      <w:pPr>
        <w:pStyle w:val="BodyText"/>
        <w:tabs>
          <w:tab w:val="left" w:pos="0"/>
          <w:tab w:val="right" w:pos="9214"/>
        </w:tabs>
        <w:spacing w:after="360" w:line="276" w:lineRule="auto"/>
        <w:jc w:val="both"/>
        <w:rPr>
          <w:rFonts w:ascii="Verdana" w:hAnsi="Verdana"/>
          <w:sz w:val="20"/>
          <w:szCs w:val="20"/>
        </w:rPr>
      </w:pPr>
      <w:r w:rsidRPr="005B6074">
        <w:rPr>
          <w:rFonts w:ascii="Verdana" w:hAnsi="Verdana"/>
          <w:sz w:val="20"/>
        </w:rPr>
        <w:t>OPSESG 2014–2020 takes account of the recommendations made in the position of the Commission services concerning the thematic scope. It envisages priorities aimed at reducing the rates of early school leaving, integration of the ethnic minorities into education and enhancing the access to and the quality of education. The Programme perceives a strategic approach to support for research and innovations to a much smaller extent.</w:t>
      </w: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38"/>
        <w:gridCol w:w="8444"/>
      </w:tblGrid>
      <w:tr w:rsidR="00F24971" w:rsidRPr="005B6074" w:rsidTr="00F24971">
        <w:trPr>
          <w:trHeight w:val="518"/>
        </w:trPr>
        <w:tc>
          <w:tcPr>
            <w:tcW w:w="538" w:type="dxa"/>
            <w:vAlign w:val="center"/>
          </w:tcPr>
          <w:p w:rsidR="00F24971" w:rsidRPr="005B6074" w:rsidRDefault="00A35E98" w:rsidP="00F24971">
            <w:pPr>
              <w:pStyle w:val="BodyText"/>
              <w:keepNext/>
              <w:spacing w:after="0" w:line="276" w:lineRule="auto"/>
              <w:jc w:val="center"/>
              <w:rPr>
                <w:rFonts w:ascii="Verdana" w:hAnsi="Verdana"/>
                <w:color w:val="548DD4"/>
                <w:sz w:val="20"/>
                <w:szCs w:val="20"/>
              </w:rPr>
            </w:pPr>
            <w:r w:rsidRPr="005B6074">
              <w:rPr>
                <w:rFonts w:ascii="Verdana" w:hAnsi="Verdana"/>
                <w:color w:val="548DD4"/>
                <w:sz w:val="36"/>
              </w:rPr>
              <w:lastRenderedPageBreak/>
              <w:t>?</w:t>
            </w:r>
          </w:p>
        </w:tc>
        <w:tc>
          <w:tcPr>
            <w:tcW w:w="8444" w:type="dxa"/>
            <w:shd w:val="clear" w:color="auto" w:fill="B8CCE4"/>
            <w:vAlign w:val="center"/>
          </w:tcPr>
          <w:p w:rsidR="00F24971" w:rsidRPr="005B6074" w:rsidRDefault="00A35E98" w:rsidP="00F24971">
            <w:pPr>
              <w:keepNext/>
              <w:suppressAutoHyphens/>
              <w:spacing w:before="120" w:after="120" w:line="240" w:lineRule="auto"/>
              <w:ind w:left="115"/>
              <w:rPr>
                <w:rFonts w:ascii="Verdana" w:hAnsi="Verdana" w:cs="TimesNewRomanPSMT"/>
                <w:sz w:val="20"/>
                <w:szCs w:val="20"/>
              </w:rPr>
            </w:pPr>
            <w:r w:rsidRPr="005B6074">
              <w:rPr>
                <w:rFonts w:ascii="Verdana" w:hAnsi="Verdana"/>
                <w:sz w:val="20"/>
              </w:rPr>
              <w:t>Coherence with other operational programmes</w:t>
            </w:r>
          </w:p>
        </w:tc>
      </w:tr>
    </w:tbl>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Operational Programme Regions in Growth (OPRG) 2014–2020</w:t>
      </w:r>
    </w:p>
    <w:p w:rsidR="00F24971" w:rsidRPr="005B6074" w:rsidRDefault="00F24971" w:rsidP="00F24971">
      <w:pPr>
        <w:pStyle w:val="Caption"/>
        <w:jc w:val="center"/>
        <w:rPr>
          <w:rFonts w:ascii="Verdana" w:hAnsi="Verdana"/>
          <w:color w:val="006CB6"/>
        </w:rPr>
      </w:pPr>
    </w:p>
    <w:tbl>
      <w:tblPr>
        <w:tblW w:w="0" w:type="auto"/>
        <w:tblInd w:w="108" w:type="dxa"/>
        <w:tblLook w:val="04A0" w:firstRow="1" w:lastRow="0" w:firstColumn="1" w:lastColumn="0" w:noHBand="0" w:noVBand="1"/>
      </w:tblPr>
      <w:tblGrid>
        <w:gridCol w:w="8982"/>
      </w:tblGrid>
      <w:tr w:rsidR="00F24971" w:rsidRPr="005B6074" w:rsidTr="00F24971">
        <w:tc>
          <w:tcPr>
            <w:tcW w:w="9072" w:type="dxa"/>
            <w:shd w:val="clear" w:color="auto" w:fill="auto"/>
          </w:tcPr>
          <w:p w:rsidR="00F24971" w:rsidRPr="005B6074" w:rsidRDefault="00A35E98" w:rsidP="00F24971">
            <w:pPr>
              <w:pBdr>
                <w:top w:val="single" w:sz="4" w:space="0" w:color="auto"/>
                <w:left w:val="single" w:sz="4" w:space="4" w:color="auto"/>
                <w:bottom w:val="single" w:sz="4" w:space="1" w:color="auto"/>
                <w:right w:val="single" w:sz="4" w:space="4" w:color="auto"/>
              </w:pBdr>
              <w:shd w:val="clear" w:color="auto" w:fill="548DD4"/>
              <w:rPr>
                <w:rFonts w:ascii="Verdana" w:hAnsi="Verdana"/>
                <w:color w:val="FFFFFF"/>
                <w:sz w:val="20"/>
                <w:szCs w:val="20"/>
              </w:rPr>
            </w:pPr>
            <w:r w:rsidRPr="005B6074">
              <w:rPr>
                <w:rFonts w:ascii="Verdana" w:hAnsi="Verdana"/>
                <w:color w:val="FFFFFF"/>
                <w:sz w:val="20"/>
              </w:rPr>
              <w:t xml:space="preserve">Priority Axis 1: Sustainable and Integrated Urban Development </w:t>
            </w:r>
          </w:p>
          <w:p w:rsidR="00F24971" w:rsidRPr="005B6074" w:rsidRDefault="00A35E98" w:rsidP="00181A22">
            <w:pPr>
              <w:pStyle w:val="ListParagraph"/>
              <w:numPr>
                <w:ilvl w:val="1"/>
                <w:numId w:val="33"/>
              </w:numPr>
              <w:autoSpaceDE w:val="0"/>
              <w:autoSpaceDN w:val="0"/>
              <w:adjustRightInd w:val="0"/>
              <w:spacing w:after="120"/>
              <w:ind w:left="540" w:hanging="450"/>
              <w:jc w:val="both"/>
              <w:rPr>
                <w:rFonts w:ascii="Verdana" w:hAnsi="Verdana"/>
                <w:sz w:val="20"/>
                <w:szCs w:val="20"/>
              </w:rPr>
            </w:pPr>
            <w:r w:rsidRPr="005B6074">
              <w:rPr>
                <w:rFonts w:ascii="Verdana" w:hAnsi="Verdana"/>
                <w:sz w:val="20"/>
              </w:rPr>
              <w:t xml:space="preserve">Support for energy efficiency, smart energy governance and use of renewable energy in public infrastructures, including public and residential buildings </w:t>
            </w:r>
          </w:p>
          <w:p w:rsidR="00F24971" w:rsidRPr="005B6074" w:rsidRDefault="00A35E98" w:rsidP="00181A22">
            <w:pPr>
              <w:pStyle w:val="ListParagraph"/>
              <w:numPr>
                <w:ilvl w:val="1"/>
                <w:numId w:val="33"/>
              </w:numPr>
              <w:autoSpaceDE w:val="0"/>
              <w:autoSpaceDN w:val="0"/>
              <w:adjustRightInd w:val="0"/>
              <w:spacing w:after="120"/>
              <w:ind w:left="540" w:hanging="450"/>
              <w:jc w:val="both"/>
              <w:rPr>
                <w:rFonts w:ascii="Verdana" w:hAnsi="Verdana"/>
                <w:sz w:val="20"/>
                <w:szCs w:val="20"/>
              </w:rPr>
            </w:pPr>
            <w:r w:rsidRPr="005B6074">
              <w:rPr>
                <w:rFonts w:ascii="Verdana" w:hAnsi="Verdana"/>
                <w:sz w:val="20"/>
              </w:rPr>
              <w:t xml:space="preserve">Actions aimed at improving the urban environment, renewal of cities and towns, regeneration of brownfield sites (including conversion areas), reducing air pollution and promoting measures for reduction of sound levels </w:t>
            </w:r>
          </w:p>
          <w:p w:rsidR="00F24971" w:rsidRPr="005B6074" w:rsidRDefault="00A35E98" w:rsidP="00181A22">
            <w:pPr>
              <w:pStyle w:val="ListParagraph"/>
              <w:numPr>
                <w:ilvl w:val="1"/>
                <w:numId w:val="33"/>
              </w:numPr>
              <w:autoSpaceDE w:val="0"/>
              <w:autoSpaceDN w:val="0"/>
              <w:adjustRightInd w:val="0"/>
              <w:spacing w:after="120"/>
              <w:ind w:left="540" w:hanging="450"/>
              <w:jc w:val="both"/>
              <w:rPr>
                <w:rFonts w:ascii="Verdana" w:hAnsi="Verdana"/>
                <w:sz w:val="20"/>
                <w:szCs w:val="20"/>
              </w:rPr>
            </w:pPr>
            <w:r w:rsidRPr="005B6074">
              <w:rPr>
                <w:rFonts w:ascii="Verdana" w:hAnsi="Verdana"/>
                <w:sz w:val="20"/>
              </w:rPr>
              <w:t>Investment in education, skills and lifelong learning by setting up educational end training infrastructures</w:t>
            </w:r>
          </w:p>
          <w:p w:rsidR="00F24971" w:rsidRPr="005B6074" w:rsidRDefault="00A35E98" w:rsidP="00181A22">
            <w:pPr>
              <w:pStyle w:val="ListParagraph"/>
              <w:numPr>
                <w:ilvl w:val="1"/>
                <w:numId w:val="33"/>
              </w:numPr>
              <w:autoSpaceDE w:val="0"/>
              <w:autoSpaceDN w:val="0"/>
              <w:adjustRightInd w:val="0"/>
              <w:spacing w:after="120"/>
              <w:ind w:left="540" w:hanging="450"/>
              <w:jc w:val="both"/>
              <w:rPr>
                <w:rFonts w:ascii="Verdana" w:hAnsi="Verdana"/>
                <w:sz w:val="20"/>
                <w:szCs w:val="20"/>
              </w:rPr>
            </w:pPr>
            <w:r w:rsidRPr="005B6074">
              <w:rPr>
                <w:rFonts w:ascii="Verdana" w:hAnsi="Verdana"/>
                <w:sz w:val="20"/>
              </w:rPr>
              <w:t xml:space="preserve">Investment in health and social infrastructure which contributes to national, regional and local development, decrease in the degree of health status inequality, promotion of social inclusion through better access to social, cultural and recreation services and transition from institutional to community services </w:t>
            </w:r>
          </w:p>
          <w:p w:rsidR="00F24971" w:rsidRPr="005B6074" w:rsidRDefault="00A35E98" w:rsidP="00181A22">
            <w:pPr>
              <w:pStyle w:val="ListParagraph"/>
              <w:numPr>
                <w:ilvl w:val="1"/>
                <w:numId w:val="33"/>
              </w:numPr>
              <w:autoSpaceDE w:val="0"/>
              <w:autoSpaceDN w:val="0"/>
              <w:adjustRightInd w:val="0"/>
              <w:spacing w:after="120"/>
              <w:ind w:left="540" w:hanging="450"/>
              <w:jc w:val="both"/>
              <w:rPr>
                <w:rFonts w:ascii="Verdana" w:hAnsi="Verdana"/>
                <w:sz w:val="20"/>
                <w:szCs w:val="20"/>
              </w:rPr>
            </w:pPr>
            <w:r w:rsidRPr="005B6074">
              <w:rPr>
                <w:rFonts w:ascii="Verdana" w:hAnsi="Verdana"/>
                <w:sz w:val="20"/>
              </w:rPr>
              <w:t xml:space="preserve">Promotion of low-carbon strategies for all types of territories, especially urban areas, including promotion of sustainable multi-modal urban mobility and alleviation of the relevant adaptation measures </w:t>
            </w:r>
          </w:p>
          <w:p w:rsidR="00F24971" w:rsidRPr="005B6074" w:rsidRDefault="00A35E98" w:rsidP="00F24971">
            <w:pPr>
              <w:pBdr>
                <w:top w:val="single" w:sz="4" w:space="0" w:color="auto"/>
                <w:left w:val="single" w:sz="4" w:space="4" w:color="auto"/>
                <w:bottom w:val="single" w:sz="4" w:space="1" w:color="auto"/>
                <w:right w:val="single" w:sz="4" w:space="4" w:color="auto"/>
              </w:pBdr>
              <w:shd w:val="clear" w:color="auto" w:fill="548DD4"/>
              <w:rPr>
                <w:rFonts w:ascii="Verdana" w:hAnsi="Verdana"/>
                <w:color w:val="FFFFFF"/>
                <w:sz w:val="20"/>
                <w:szCs w:val="20"/>
              </w:rPr>
            </w:pPr>
            <w:bookmarkStart w:id="61" w:name="_Toc351464340"/>
            <w:r w:rsidRPr="005B6074">
              <w:rPr>
                <w:rFonts w:ascii="Verdana" w:hAnsi="Verdana"/>
                <w:color w:val="FFFFFF"/>
                <w:sz w:val="20"/>
              </w:rPr>
              <w:t>Priority Axis 2: Regional Educational Infrastructure</w:t>
            </w:r>
          </w:p>
          <w:bookmarkEnd w:id="61"/>
          <w:p w:rsidR="00F24971" w:rsidRPr="005B6074" w:rsidRDefault="00A35E98" w:rsidP="00181A22">
            <w:pPr>
              <w:pStyle w:val="ListParagraph"/>
              <w:numPr>
                <w:ilvl w:val="0"/>
                <w:numId w:val="38"/>
              </w:numPr>
              <w:autoSpaceDE w:val="0"/>
              <w:autoSpaceDN w:val="0"/>
              <w:adjustRightInd w:val="0"/>
              <w:spacing w:after="120"/>
              <w:ind w:left="540" w:hanging="450"/>
              <w:jc w:val="both"/>
              <w:rPr>
                <w:rFonts w:ascii="Verdana" w:hAnsi="Verdana"/>
                <w:sz w:val="20"/>
                <w:szCs w:val="20"/>
              </w:rPr>
            </w:pPr>
            <w:r w:rsidRPr="005B6074">
              <w:rPr>
                <w:rFonts w:ascii="Verdana" w:hAnsi="Verdana"/>
                <w:sz w:val="20"/>
              </w:rPr>
              <w:t>Investment in education, skills and lifelong learning by setting up educational end training infrastructures</w:t>
            </w:r>
          </w:p>
          <w:p w:rsidR="00F24971" w:rsidRPr="005B6074" w:rsidRDefault="00A35E98" w:rsidP="00F24971">
            <w:pPr>
              <w:pBdr>
                <w:top w:val="single" w:sz="4" w:space="0" w:color="auto"/>
                <w:left w:val="single" w:sz="4" w:space="4" w:color="auto"/>
                <w:bottom w:val="single" w:sz="4" w:space="1" w:color="auto"/>
                <w:right w:val="single" w:sz="4" w:space="4" w:color="auto"/>
              </w:pBdr>
              <w:shd w:val="clear" w:color="auto" w:fill="548DD4"/>
              <w:rPr>
                <w:rFonts w:ascii="Verdana" w:hAnsi="Verdana"/>
                <w:color w:val="FFFFFF"/>
                <w:sz w:val="20"/>
                <w:szCs w:val="20"/>
              </w:rPr>
            </w:pPr>
            <w:r w:rsidRPr="005B6074">
              <w:rPr>
                <w:rFonts w:ascii="Verdana" w:hAnsi="Verdana"/>
                <w:color w:val="FFFFFF"/>
                <w:sz w:val="20"/>
              </w:rPr>
              <w:t xml:space="preserve">Priority Axis 3: Regional Health Infrastructure </w:t>
            </w:r>
          </w:p>
          <w:p w:rsidR="00F24971" w:rsidRPr="005B6074" w:rsidRDefault="00A35E98" w:rsidP="00181A22">
            <w:pPr>
              <w:pStyle w:val="ListParagraph"/>
              <w:numPr>
                <w:ilvl w:val="1"/>
                <w:numId w:val="34"/>
              </w:numPr>
              <w:autoSpaceDE w:val="0"/>
              <w:autoSpaceDN w:val="0"/>
              <w:adjustRightInd w:val="0"/>
              <w:spacing w:after="120"/>
              <w:ind w:left="540" w:hanging="450"/>
              <w:jc w:val="both"/>
              <w:rPr>
                <w:rFonts w:ascii="Verdana" w:hAnsi="Verdana"/>
                <w:sz w:val="20"/>
                <w:szCs w:val="20"/>
              </w:rPr>
            </w:pPr>
            <w:r w:rsidRPr="005B6074">
              <w:rPr>
                <w:rFonts w:ascii="Verdana" w:hAnsi="Verdana"/>
                <w:sz w:val="20"/>
              </w:rPr>
              <w:t>Investment in health and social infrastructure which contributes to national, regional and local development, decrease in the degree of health status inequality, promotion of social inclusion through better access to social, cultural and recreation services and transition from institutional to community services.</w:t>
            </w:r>
          </w:p>
          <w:p w:rsidR="00F24971" w:rsidRPr="005B6074" w:rsidRDefault="00A35E98" w:rsidP="00F24971">
            <w:pPr>
              <w:pBdr>
                <w:top w:val="single" w:sz="4" w:space="0" w:color="auto"/>
                <w:left w:val="single" w:sz="4" w:space="4" w:color="auto"/>
                <w:bottom w:val="single" w:sz="4" w:space="1" w:color="auto"/>
                <w:right w:val="single" w:sz="4" w:space="4" w:color="auto"/>
              </w:pBdr>
              <w:shd w:val="clear" w:color="auto" w:fill="548DD4"/>
              <w:rPr>
                <w:rFonts w:ascii="Verdana" w:hAnsi="Verdana"/>
                <w:color w:val="FFFFFF"/>
                <w:sz w:val="20"/>
                <w:szCs w:val="20"/>
              </w:rPr>
            </w:pPr>
            <w:bookmarkStart w:id="62" w:name="_Toc351464364"/>
            <w:r w:rsidRPr="005B6074">
              <w:rPr>
                <w:rFonts w:ascii="Verdana" w:hAnsi="Verdana"/>
                <w:color w:val="FFFFFF"/>
                <w:sz w:val="20"/>
              </w:rPr>
              <w:t>Priority Axis 4: Regional Social Infrastructure</w:t>
            </w:r>
            <w:bookmarkEnd w:id="62"/>
          </w:p>
          <w:p w:rsidR="00F24971" w:rsidRPr="005B6074" w:rsidRDefault="00A35E98" w:rsidP="00181A22">
            <w:pPr>
              <w:pStyle w:val="ListParagraph"/>
              <w:numPr>
                <w:ilvl w:val="1"/>
                <w:numId w:val="35"/>
              </w:numPr>
              <w:autoSpaceDE w:val="0"/>
              <w:autoSpaceDN w:val="0"/>
              <w:adjustRightInd w:val="0"/>
              <w:spacing w:after="120"/>
              <w:ind w:left="540" w:hanging="450"/>
              <w:jc w:val="both"/>
              <w:rPr>
                <w:rFonts w:ascii="Verdana" w:hAnsi="Verdana"/>
                <w:sz w:val="20"/>
                <w:szCs w:val="20"/>
              </w:rPr>
            </w:pPr>
            <w:r w:rsidRPr="005B6074">
              <w:rPr>
                <w:rFonts w:ascii="Verdana" w:hAnsi="Verdana"/>
                <w:sz w:val="20"/>
              </w:rPr>
              <w:t>Investment in health and social infrastructure which contributes to national, regional and local development, decrease in the degree of health status inequality, promotion of social inclusion through better access to social, cultural and recreation services and transition from institutional to community services.</w:t>
            </w:r>
          </w:p>
          <w:p w:rsidR="00F24971" w:rsidRPr="005B6074" w:rsidRDefault="00A35E98" w:rsidP="00F24971">
            <w:pPr>
              <w:pBdr>
                <w:top w:val="single" w:sz="4" w:space="0" w:color="auto"/>
                <w:left w:val="single" w:sz="4" w:space="4" w:color="auto"/>
                <w:bottom w:val="single" w:sz="4" w:space="1" w:color="auto"/>
                <w:right w:val="single" w:sz="4" w:space="4" w:color="auto"/>
              </w:pBdr>
              <w:shd w:val="clear" w:color="auto" w:fill="548DD4"/>
              <w:rPr>
                <w:rFonts w:ascii="Verdana" w:hAnsi="Verdana"/>
                <w:color w:val="FFFFFF"/>
                <w:sz w:val="20"/>
                <w:szCs w:val="20"/>
              </w:rPr>
            </w:pPr>
            <w:bookmarkStart w:id="63" w:name="_Toc351464376"/>
            <w:r w:rsidRPr="005B6074">
              <w:rPr>
                <w:rFonts w:ascii="Verdana" w:hAnsi="Verdana"/>
                <w:color w:val="FFFFFF"/>
                <w:sz w:val="20"/>
              </w:rPr>
              <w:t>Priority Axis 5: Regional Tourism</w:t>
            </w:r>
            <w:bookmarkEnd w:id="63"/>
          </w:p>
          <w:p w:rsidR="00F24971" w:rsidRPr="005B6074" w:rsidRDefault="00A35E98" w:rsidP="00181A22">
            <w:pPr>
              <w:pStyle w:val="ListParagraph"/>
              <w:numPr>
                <w:ilvl w:val="1"/>
                <w:numId w:val="36"/>
              </w:numPr>
              <w:autoSpaceDE w:val="0"/>
              <w:autoSpaceDN w:val="0"/>
              <w:adjustRightInd w:val="0"/>
              <w:spacing w:after="120"/>
              <w:ind w:left="540" w:hanging="450"/>
              <w:jc w:val="both"/>
              <w:rPr>
                <w:rFonts w:ascii="Verdana" w:hAnsi="Verdana"/>
                <w:sz w:val="20"/>
                <w:szCs w:val="20"/>
              </w:rPr>
            </w:pPr>
            <w:r w:rsidRPr="005B6074">
              <w:rPr>
                <w:rFonts w:ascii="Verdana" w:hAnsi="Verdana"/>
                <w:sz w:val="20"/>
              </w:rPr>
              <w:t>Conservation, protection, promotion and development of natural resources and cultural heritage.</w:t>
            </w:r>
          </w:p>
          <w:p w:rsidR="00F24971" w:rsidRPr="005B6074" w:rsidRDefault="00A35E98" w:rsidP="00F24971">
            <w:pPr>
              <w:pBdr>
                <w:top w:val="single" w:sz="4" w:space="0" w:color="auto"/>
                <w:left w:val="single" w:sz="4" w:space="4" w:color="auto"/>
                <w:bottom w:val="single" w:sz="4" w:space="1" w:color="auto"/>
                <w:right w:val="single" w:sz="4" w:space="4" w:color="auto"/>
              </w:pBdr>
              <w:shd w:val="clear" w:color="auto" w:fill="548DD4"/>
              <w:rPr>
                <w:rFonts w:ascii="Verdana" w:hAnsi="Verdana"/>
                <w:color w:val="FFFFFF"/>
                <w:sz w:val="20"/>
                <w:szCs w:val="20"/>
              </w:rPr>
            </w:pPr>
            <w:bookmarkStart w:id="64" w:name="_Toc351464388"/>
            <w:r w:rsidRPr="005B6074">
              <w:rPr>
                <w:rFonts w:ascii="Verdana" w:hAnsi="Verdana"/>
                <w:color w:val="FFFFFF"/>
                <w:sz w:val="20"/>
              </w:rPr>
              <w:t>Priority Axis 6: Regional Road Infrastructure</w:t>
            </w:r>
            <w:bookmarkEnd w:id="64"/>
          </w:p>
          <w:p w:rsidR="00F24971" w:rsidRPr="005B6074" w:rsidRDefault="00A35E98" w:rsidP="00181A22">
            <w:pPr>
              <w:pStyle w:val="ListParagraph"/>
              <w:numPr>
                <w:ilvl w:val="1"/>
                <w:numId w:val="37"/>
              </w:numPr>
              <w:autoSpaceDE w:val="0"/>
              <w:autoSpaceDN w:val="0"/>
              <w:adjustRightInd w:val="0"/>
              <w:spacing w:after="120"/>
              <w:ind w:left="540" w:hanging="450"/>
              <w:jc w:val="both"/>
              <w:rPr>
                <w:rFonts w:ascii="Verdana" w:hAnsi="Verdana"/>
                <w:sz w:val="20"/>
                <w:szCs w:val="20"/>
              </w:rPr>
            </w:pPr>
            <w:r w:rsidRPr="005B6074">
              <w:rPr>
                <w:rFonts w:ascii="Verdana" w:hAnsi="Verdana"/>
                <w:sz w:val="20"/>
              </w:rPr>
              <w:lastRenderedPageBreak/>
              <w:t>Enhancing regional mobility by connecting secondary and tertiary nodes to TEN-T infrastructure, including multimodal nodes</w:t>
            </w:r>
          </w:p>
          <w:p w:rsidR="00F24971" w:rsidRPr="005B6074" w:rsidRDefault="00A35E98" w:rsidP="00F24971">
            <w:pPr>
              <w:pBdr>
                <w:top w:val="single" w:sz="4" w:space="1" w:color="auto"/>
                <w:bottom w:val="single" w:sz="4" w:space="1" w:color="auto"/>
              </w:pBdr>
              <w:shd w:val="clear" w:color="auto" w:fill="548DD4"/>
              <w:rPr>
                <w:rFonts w:ascii="Verdana" w:hAnsi="Verdana"/>
                <w:color w:val="FFFFFF"/>
                <w:sz w:val="20"/>
                <w:szCs w:val="20"/>
              </w:rPr>
            </w:pPr>
            <w:r w:rsidRPr="005B6074">
              <w:rPr>
                <w:rFonts w:ascii="Verdana" w:hAnsi="Verdana"/>
                <w:color w:val="FFFFFF"/>
                <w:sz w:val="20"/>
              </w:rPr>
              <w:t>Priority Axis 7: Risk Prevention</w:t>
            </w:r>
          </w:p>
          <w:p w:rsidR="00F24971" w:rsidRPr="005B6074" w:rsidRDefault="00A35E98" w:rsidP="00F24971">
            <w:pPr>
              <w:pStyle w:val="ListParagraph"/>
              <w:tabs>
                <w:tab w:val="left" w:pos="540"/>
              </w:tabs>
              <w:autoSpaceDE w:val="0"/>
              <w:autoSpaceDN w:val="0"/>
              <w:adjustRightInd w:val="0"/>
              <w:spacing w:after="120"/>
              <w:ind w:left="540" w:hanging="450"/>
              <w:jc w:val="both"/>
              <w:rPr>
                <w:rFonts w:ascii="Verdana" w:hAnsi="Verdana"/>
                <w:sz w:val="20"/>
                <w:szCs w:val="20"/>
              </w:rPr>
            </w:pPr>
            <w:r w:rsidRPr="005B6074">
              <w:rPr>
                <w:rFonts w:ascii="Verdana" w:hAnsi="Verdana"/>
                <w:sz w:val="20"/>
              </w:rPr>
              <w:t>7.1 Promotion of investment to address specific risks, ensuring disaster resilience and developing disaster management systems.</w:t>
            </w:r>
          </w:p>
        </w:tc>
      </w:tr>
    </w:tbl>
    <w:p w:rsidR="00F24971" w:rsidRPr="005B6074" w:rsidRDefault="00F24971" w:rsidP="00F24971">
      <w:pPr>
        <w:pStyle w:val="Caption"/>
        <w:jc w:val="center"/>
        <w:rPr>
          <w:rFonts w:ascii="Verdana" w:hAnsi="Verdana"/>
          <w:color w:val="006CB6"/>
        </w:rPr>
      </w:pPr>
    </w:p>
    <w:p w:rsidR="00F24971" w:rsidRPr="005B6074" w:rsidRDefault="00A35E98" w:rsidP="00F24971">
      <w:pPr>
        <w:pStyle w:val="Caption"/>
        <w:keepNext/>
        <w:spacing w:after="120"/>
        <w:rPr>
          <w:rFonts w:ascii="Verdana" w:hAnsi="Verdana"/>
          <w:color w:val="548DD4"/>
        </w:rPr>
      </w:pPr>
      <w:bookmarkStart w:id="65" w:name="_Toc390257057"/>
      <w:bookmarkStart w:id="66" w:name="_Toc396225596"/>
      <w:r w:rsidRPr="005B6074">
        <w:rPr>
          <w:rFonts w:ascii="Verdana" w:hAnsi="Verdana"/>
          <w:color w:val="548DD4"/>
        </w:rPr>
        <w:t xml:space="preserve">Table </w:t>
      </w:r>
      <w:r w:rsidRPr="005B6074">
        <w:rPr>
          <w:rFonts w:ascii="Verdana" w:hAnsi="Verdana"/>
          <w:color w:val="548DD4"/>
        </w:rPr>
        <w:fldChar w:fldCharType="begin"/>
      </w:r>
      <w:r w:rsidRPr="005B6074">
        <w:rPr>
          <w:rFonts w:ascii="Verdana" w:hAnsi="Verdana"/>
          <w:color w:val="548DD4"/>
        </w:rPr>
        <w:instrText>SEQ таблица \* ARABIC</w:instrText>
      </w:r>
      <w:r w:rsidRPr="005B6074">
        <w:rPr>
          <w:rFonts w:ascii="Verdana" w:hAnsi="Verdana"/>
          <w:color w:val="548DD4"/>
        </w:rPr>
        <w:fldChar w:fldCharType="separate"/>
      </w:r>
      <w:r w:rsidR="009330F5">
        <w:rPr>
          <w:rFonts w:ascii="Verdana" w:hAnsi="Verdana"/>
          <w:noProof/>
          <w:color w:val="548DD4"/>
        </w:rPr>
        <w:t>1</w:t>
      </w:r>
      <w:r w:rsidRPr="005B6074">
        <w:rPr>
          <w:rFonts w:ascii="Verdana" w:hAnsi="Verdana"/>
          <w:color w:val="548DD4"/>
        </w:rPr>
        <w:fldChar w:fldCharType="end"/>
      </w:r>
      <w:r w:rsidRPr="005B6074">
        <w:rPr>
          <w:rFonts w:ascii="Verdana" w:hAnsi="Verdana"/>
          <w:color w:val="548DD4"/>
        </w:rPr>
        <w:t xml:space="preserve">. Connection between the Priorities of </w:t>
      </w:r>
      <w:r w:rsidR="005B35A7">
        <w:rPr>
          <w:rFonts w:ascii="Verdana" w:hAnsi="Verdana"/>
          <w:color w:val="548DD4"/>
        </w:rPr>
        <w:t>OPSESG</w:t>
      </w:r>
      <w:r w:rsidRPr="005B6074">
        <w:rPr>
          <w:rFonts w:ascii="Verdana" w:hAnsi="Verdana"/>
          <w:color w:val="548DD4"/>
        </w:rPr>
        <w:t xml:space="preserve"> and OPRG</w:t>
      </w:r>
      <w:bookmarkEnd w:id="65"/>
      <w:bookmarkEnd w:id="66"/>
    </w:p>
    <w:tbl>
      <w:tblPr>
        <w:tblW w:w="9090" w:type="dxa"/>
        <w:tblInd w:w="108" w:type="dxa"/>
        <w:tblLayout w:type="fixed"/>
        <w:tblLook w:val="04A0" w:firstRow="1" w:lastRow="0" w:firstColumn="1" w:lastColumn="0" w:noHBand="0" w:noVBand="1"/>
      </w:tblPr>
      <w:tblGrid>
        <w:gridCol w:w="2250"/>
        <w:gridCol w:w="1260"/>
        <w:gridCol w:w="810"/>
        <w:gridCol w:w="810"/>
        <w:gridCol w:w="720"/>
        <w:gridCol w:w="630"/>
        <w:gridCol w:w="630"/>
        <w:gridCol w:w="990"/>
        <w:gridCol w:w="990"/>
      </w:tblGrid>
      <w:tr w:rsidR="00F24971" w:rsidRPr="005B6074" w:rsidTr="00F24971">
        <w:trPr>
          <w:trHeight w:val="510"/>
        </w:trPr>
        <w:tc>
          <w:tcPr>
            <w:tcW w:w="2250"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F24971" w:rsidRPr="003753FE" w:rsidRDefault="00A35E98" w:rsidP="003753FE">
            <w:pPr>
              <w:spacing w:after="0" w:line="240" w:lineRule="auto"/>
              <w:ind w:left="-108" w:right="-108"/>
              <w:jc w:val="center"/>
              <w:rPr>
                <w:rFonts w:ascii="Verdana" w:hAnsi="Verdana"/>
                <w:color w:val="FFFFFF"/>
                <w:sz w:val="18"/>
              </w:rPr>
            </w:pPr>
            <w:r w:rsidRPr="005B6074">
              <w:rPr>
                <w:rFonts w:ascii="Verdana" w:hAnsi="Verdana"/>
                <w:color w:val="FFFFFF"/>
                <w:sz w:val="18"/>
              </w:rPr>
              <w:t>Operational Programme / Priority Axis</w:t>
            </w:r>
          </w:p>
        </w:tc>
        <w:tc>
          <w:tcPr>
            <w:tcW w:w="1260" w:type="dxa"/>
            <w:tcBorders>
              <w:top w:val="single" w:sz="4" w:space="0" w:color="auto"/>
              <w:left w:val="nil"/>
              <w:bottom w:val="single" w:sz="4" w:space="0" w:color="auto"/>
              <w:right w:val="single" w:sz="4" w:space="0" w:color="auto"/>
            </w:tcBorders>
            <w:shd w:val="clear" w:color="000000" w:fill="548DD4"/>
            <w:vAlign w:val="center"/>
            <w:hideMark/>
          </w:tcPr>
          <w:p w:rsidR="00F24971" w:rsidRPr="00931B15" w:rsidRDefault="005B35A7" w:rsidP="00931B15">
            <w:pPr>
              <w:spacing w:after="0" w:line="240" w:lineRule="auto"/>
              <w:ind w:left="-108" w:right="-108"/>
              <w:jc w:val="center"/>
              <w:rPr>
                <w:rFonts w:ascii="Verdana" w:hAnsi="Verdana"/>
                <w:color w:val="FFFFFF"/>
                <w:sz w:val="18"/>
              </w:rPr>
            </w:pPr>
            <w:r>
              <w:rPr>
                <w:rFonts w:ascii="Verdana" w:hAnsi="Verdana"/>
                <w:color w:val="FFFFFF"/>
                <w:sz w:val="18"/>
              </w:rPr>
              <w:t>OPSESG</w:t>
            </w:r>
          </w:p>
        </w:tc>
        <w:tc>
          <w:tcPr>
            <w:tcW w:w="1620" w:type="dxa"/>
            <w:gridSpan w:val="2"/>
            <w:tcBorders>
              <w:top w:val="single" w:sz="4" w:space="0" w:color="auto"/>
              <w:left w:val="nil"/>
              <w:bottom w:val="single" w:sz="4" w:space="0" w:color="auto"/>
              <w:right w:val="single" w:sz="4" w:space="0" w:color="auto"/>
            </w:tcBorders>
            <w:shd w:val="clear" w:color="000000" w:fill="548DD4"/>
            <w:vAlign w:val="center"/>
            <w:hideMark/>
          </w:tcPr>
          <w:p w:rsidR="00F24971" w:rsidRPr="00931B15" w:rsidRDefault="00A35E98" w:rsidP="00931B15">
            <w:pPr>
              <w:spacing w:after="0" w:line="240" w:lineRule="auto"/>
              <w:ind w:left="-108" w:right="-108"/>
              <w:jc w:val="center"/>
              <w:rPr>
                <w:rFonts w:ascii="Verdana" w:hAnsi="Verdana"/>
                <w:color w:val="FFFFFF"/>
                <w:sz w:val="18"/>
              </w:rPr>
            </w:pPr>
            <w:r w:rsidRPr="005B6074">
              <w:rPr>
                <w:rFonts w:ascii="Verdana" w:hAnsi="Verdana"/>
                <w:color w:val="FFFFFF"/>
                <w:sz w:val="18"/>
              </w:rPr>
              <w:t>PA 1: Scientific Research and Technological Development</w:t>
            </w:r>
          </w:p>
        </w:tc>
        <w:tc>
          <w:tcPr>
            <w:tcW w:w="1980" w:type="dxa"/>
            <w:gridSpan w:val="3"/>
            <w:tcBorders>
              <w:top w:val="single" w:sz="4" w:space="0" w:color="auto"/>
              <w:left w:val="nil"/>
              <w:bottom w:val="single" w:sz="4" w:space="0" w:color="auto"/>
              <w:right w:val="single" w:sz="4" w:space="0" w:color="auto"/>
            </w:tcBorders>
            <w:shd w:val="clear" w:color="000000" w:fill="548DD4"/>
            <w:vAlign w:val="center"/>
            <w:hideMark/>
          </w:tcPr>
          <w:p w:rsidR="00F24971" w:rsidRPr="00931B15" w:rsidRDefault="00A35E98" w:rsidP="00931B15">
            <w:pPr>
              <w:spacing w:after="0" w:line="240" w:lineRule="auto"/>
              <w:ind w:left="-108" w:right="-108"/>
              <w:jc w:val="center"/>
              <w:rPr>
                <w:rFonts w:ascii="Verdana" w:hAnsi="Verdana"/>
                <w:color w:val="FFFFFF"/>
                <w:sz w:val="18"/>
              </w:rPr>
            </w:pPr>
            <w:r w:rsidRPr="005B6074">
              <w:rPr>
                <w:rFonts w:ascii="Verdana" w:hAnsi="Verdana"/>
                <w:color w:val="FFFFFF"/>
                <w:sz w:val="18"/>
              </w:rPr>
              <w:t>PA 2: Education and Lifelong Learning</w:t>
            </w:r>
          </w:p>
        </w:tc>
        <w:tc>
          <w:tcPr>
            <w:tcW w:w="1980" w:type="dxa"/>
            <w:gridSpan w:val="2"/>
            <w:tcBorders>
              <w:top w:val="single" w:sz="4" w:space="0" w:color="auto"/>
              <w:left w:val="nil"/>
              <w:bottom w:val="single" w:sz="4" w:space="0" w:color="auto"/>
              <w:right w:val="single" w:sz="4" w:space="0" w:color="auto"/>
            </w:tcBorders>
            <w:shd w:val="clear" w:color="000000" w:fill="548DD4"/>
            <w:vAlign w:val="center"/>
            <w:hideMark/>
          </w:tcPr>
          <w:p w:rsidR="00F24971" w:rsidRPr="00931B15" w:rsidRDefault="00A35E98" w:rsidP="00931B15">
            <w:pPr>
              <w:spacing w:after="0" w:line="240" w:lineRule="auto"/>
              <w:ind w:left="-108" w:right="-108"/>
              <w:jc w:val="center"/>
              <w:rPr>
                <w:rFonts w:ascii="Verdana" w:hAnsi="Verdana"/>
                <w:color w:val="FFFFFF"/>
                <w:sz w:val="18"/>
              </w:rPr>
            </w:pPr>
            <w:r w:rsidRPr="005B6074">
              <w:rPr>
                <w:rFonts w:ascii="Verdana" w:hAnsi="Verdana"/>
                <w:color w:val="FFFFFF"/>
                <w:sz w:val="18"/>
              </w:rPr>
              <w:t>PA 3: Educational Environment for Active Social Inclusion</w:t>
            </w:r>
          </w:p>
        </w:tc>
      </w:tr>
      <w:tr w:rsidR="00F24971" w:rsidRPr="005B6074" w:rsidTr="00F24971">
        <w:trPr>
          <w:trHeight w:val="300"/>
        </w:trPr>
        <w:tc>
          <w:tcPr>
            <w:tcW w:w="2250" w:type="dxa"/>
            <w:tcBorders>
              <w:top w:val="nil"/>
              <w:left w:val="single" w:sz="4" w:space="0" w:color="auto"/>
              <w:bottom w:val="single" w:sz="4" w:space="0" w:color="auto"/>
              <w:right w:val="single" w:sz="4" w:space="0" w:color="auto"/>
            </w:tcBorders>
            <w:shd w:val="clear" w:color="auto" w:fill="548DD4"/>
            <w:vAlign w:val="center"/>
            <w:hideMark/>
          </w:tcPr>
          <w:p w:rsidR="00F24971" w:rsidRPr="003753FE" w:rsidRDefault="00A35E98" w:rsidP="003753FE">
            <w:pPr>
              <w:spacing w:after="0" w:line="240" w:lineRule="auto"/>
              <w:ind w:left="-108" w:right="-108"/>
              <w:jc w:val="center"/>
              <w:rPr>
                <w:rFonts w:ascii="Verdana" w:hAnsi="Verdana"/>
                <w:color w:val="FFFFFF"/>
                <w:sz w:val="18"/>
              </w:rPr>
            </w:pPr>
            <w:r w:rsidRPr="005B6074">
              <w:rPr>
                <w:rFonts w:ascii="Verdana" w:hAnsi="Verdana"/>
                <w:color w:val="FFFFFF"/>
                <w:sz w:val="18"/>
              </w:rPr>
              <w:t>OPRG</w:t>
            </w:r>
          </w:p>
        </w:tc>
        <w:tc>
          <w:tcPr>
            <w:tcW w:w="1260" w:type="dxa"/>
            <w:tcBorders>
              <w:top w:val="nil"/>
              <w:left w:val="nil"/>
              <w:bottom w:val="single" w:sz="4" w:space="0" w:color="auto"/>
              <w:right w:val="single" w:sz="4" w:space="0" w:color="auto"/>
            </w:tcBorders>
            <w:shd w:val="clear" w:color="000000" w:fill="C6D9F1"/>
            <w:vAlign w:val="bottom"/>
            <w:hideMark/>
          </w:tcPr>
          <w:p w:rsidR="00F24971" w:rsidRPr="00931B15" w:rsidRDefault="00A35E98" w:rsidP="00931B15">
            <w:pPr>
              <w:spacing w:after="0"/>
              <w:jc w:val="center"/>
              <w:rPr>
                <w:rFonts w:ascii="Verdana" w:eastAsia="Times New Roman" w:hAnsi="Verdana" w:cs="Arial"/>
                <w:sz w:val="18"/>
                <w:szCs w:val="18"/>
              </w:rPr>
            </w:pPr>
            <w:r w:rsidRPr="00931B15">
              <w:rPr>
                <w:rFonts w:ascii="Verdana" w:hAnsi="Verdana" w:cs="Arial"/>
                <w:sz w:val="18"/>
                <w:szCs w:val="18"/>
              </w:rPr>
              <w:t>Priority</w:t>
            </w:r>
          </w:p>
        </w:tc>
        <w:tc>
          <w:tcPr>
            <w:tcW w:w="810" w:type="dxa"/>
            <w:tcBorders>
              <w:top w:val="nil"/>
              <w:left w:val="nil"/>
              <w:bottom w:val="single" w:sz="4" w:space="0" w:color="auto"/>
              <w:right w:val="single" w:sz="4" w:space="0" w:color="auto"/>
            </w:tcBorders>
            <w:shd w:val="clear" w:color="000000" w:fill="C6D9F1"/>
            <w:vAlign w:val="center"/>
            <w:hideMark/>
          </w:tcPr>
          <w:p w:rsidR="00F24971" w:rsidRPr="00931B15" w:rsidRDefault="00A35E98" w:rsidP="00931B15">
            <w:pPr>
              <w:spacing w:after="0"/>
              <w:jc w:val="center"/>
              <w:rPr>
                <w:rFonts w:ascii="Verdana" w:eastAsia="Times New Roman" w:hAnsi="Verdana" w:cs="Arial"/>
                <w:sz w:val="18"/>
                <w:szCs w:val="18"/>
              </w:rPr>
            </w:pPr>
            <w:r w:rsidRPr="00931B15">
              <w:rPr>
                <w:rFonts w:ascii="Verdana" w:hAnsi="Verdana" w:cs="Arial"/>
                <w:sz w:val="18"/>
                <w:szCs w:val="18"/>
              </w:rPr>
              <w:t>1.1</w:t>
            </w:r>
          </w:p>
        </w:tc>
        <w:tc>
          <w:tcPr>
            <w:tcW w:w="810" w:type="dxa"/>
            <w:tcBorders>
              <w:top w:val="nil"/>
              <w:left w:val="nil"/>
              <w:bottom w:val="single" w:sz="4" w:space="0" w:color="auto"/>
              <w:right w:val="single" w:sz="4" w:space="0" w:color="auto"/>
            </w:tcBorders>
            <w:shd w:val="clear" w:color="000000" w:fill="C6D9F1"/>
            <w:vAlign w:val="center"/>
            <w:hideMark/>
          </w:tcPr>
          <w:p w:rsidR="00F24971" w:rsidRPr="00931B15" w:rsidRDefault="00A35E98" w:rsidP="00931B15">
            <w:pPr>
              <w:spacing w:after="0"/>
              <w:jc w:val="center"/>
              <w:rPr>
                <w:rFonts w:ascii="Verdana" w:eastAsia="Times New Roman" w:hAnsi="Verdana" w:cs="Arial"/>
                <w:sz w:val="18"/>
                <w:szCs w:val="18"/>
              </w:rPr>
            </w:pPr>
            <w:r w:rsidRPr="00931B15">
              <w:rPr>
                <w:rFonts w:ascii="Verdana" w:hAnsi="Verdana" w:cs="Arial"/>
                <w:sz w:val="18"/>
                <w:szCs w:val="18"/>
              </w:rPr>
              <w:t>1.2</w:t>
            </w:r>
          </w:p>
        </w:tc>
        <w:tc>
          <w:tcPr>
            <w:tcW w:w="720" w:type="dxa"/>
            <w:tcBorders>
              <w:top w:val="nil"/>
              <w:left w:val="nil"/>
              <w:bottom w:val="single" w:sz="4" w:space="0" w:color="auto"/>
              <w:right w:val="single" w:sz="4" w:space="0" w:color="auto"/>
            </w:tcBorders>
            <w:shd w:val="clear" w:color="000000" w:fill="C6D9F1"/>
            <w:vAlign w:val="center"/>
            <w:hideMark/>
          </w:tcPr>
          <w:p w:rsidR="00F24971" w:rsidRPr="00931B15" w:rsidRDefault="00A35E98" w:rsidP="00931B15">
            <w:pPr>
              <w:spacing w:after="0"/>
              <w:jc w:val="center"/>
              <w:rPr>
                <w:rFonts w:ascii="Verdana" w:eastAsia="Times New Roman" w:hAnsi="Verdana" w:cs="Arial"/>
                <w:sz w:val="18"/>
                <w:szCs w:val="18"/>
              </w:rPr>
            </w:pPr>
            <w:r w:rsidRPr="00931B15">
              <w:rPr>
                <w:rFonts w:ascii="Verdana" w:hAnsi="Verdana" w:cs="Arial"/>
                <w:sz w:val="18"/>
                <w:szCs w:val="18"/>
              </w:rPr>
              <w:t>2.1</w:t>
            </w:r>
          </w:p>
        </w:tc>
        <w:tc>
          <w:tcPr>
            <w:tcW w:w="630" w:type="dxa"/>
            <w:tcBorders>
              <w:top w:val="nil"/>
              <w:left w:val="nil"/>
              <w:bottom w:val="single" w:sz="4" w:space="0" w:color="auto"/>
              <w:right w:val="single" w:sz="4" w:space="0" w:color="auto"/>
            </w:tcBorders>
            <w:shd w:val="clear" w:color="000000" w:fill="C6D9F1"/>
            <w:vAlign w:val="center"/>
            <w:hideMark/>
          </w:tcPr>
          <w:p w:rsidR="00F24971" w:rsidRPr="00931B15" w:rsidRDefault="00A35E98" w:rsidP="00931B15">
            <w:pPr>
              <w:spacing w:after="0"/>
              <w:jc w:val="center"/>
              <w:rPr>
                <w:rFonts w:ascii="Verdana" w:eastAsia="Times New Roman" w:hAnsi="Verdana" w:cs="Arial"/>
                <w:sz w:val="18"/>
                <w:szCs w:val="18"/>
              </w:rPr>
            </w:pPr>
            <w:r w:rsidRPr="00931B15">
              <w:rPr>
                <w:rFonts w:ascii="Verdana" w:hAnsi="Verdana" w:cs="Arial"/>
                <w:sz w:val="18"/>
                <w:szCs w:val="18"/>
              </w:rPr>
              <w:t>2.2</w:t>
            </w:r>
          </w:p>
        </w:tc>
        <w:tc>
          <w:tcPr>
            <w:tcW w:w="630" w:type="dxa"/>
            <w:tcBorders>
              <w:top w:val="nil"/>
              <w:left w:val="nil"/>
              <w:bottom w:val="single" w:sz="4" w:space="0" w:color="auto"/>
              <w:right w:val="single" w:sz="4" w:space="0" w:color="auto"/>
            </w:tcBorders>
            <w:shd w:val="clear" w:color="000000" w:fill="C6D9F1"/>
            <w:vAlign w:val="center"/>
            <w:hideMark/>
          </w:tcPr>
          <w:p w:rsidR="00F24971" w:rsidRPr="00931B15" w:rsidRDefault="00A35E98" w:rsidP="00931B15">
            <w:pPr>
              <w:spacing w:after="0"/>
              <w:jc w:val="center"/>
              <w:rPr>
                <w:rFonts w:ascii="Verdana" w:eastAsia="Times New Roman" w:hAnsi="Verdana" w:cs="Arial"/>
                <w:sz w:val="18"/>
                <w:szCs w:val="18"/>
              </w:rPr>
            </w:pPr>
            <w:r w:rsidRPr="00931B15">
              <w:rPr>
                <w:rFonts w:ascii="Verdana" w:hAnsi="Verdana" w:cs="Arial"/>
                <w:sz w:val="18"/>
                <w:szCs w:val="18"/>
              </w:rPr>
              <w:t>2.3</w:t>
            </w:r>
          </w:p>
        </w:tc>
        <w:tc>
          <w:tcPr>
            <w:tcW w:w="990" w:type="dxa"/>
            <w:tcBorders>
              <w:top w:val="nil"/>
              <w:left w:val="nil"/>
              <w:bottom w:val="single" w:sz="4" w:space="0" w:color="auto"/>
              <w:right w:val="single" w:sz="4" w:space="0" w:color="auto"/>
            </w:tcBorders>
            <w:shd w:val="clear" w:color="000000" w:fill="C6D9F1"/>
            <w:vAlign w:val="center"/>
            <w:hideMark/>
          </w:tcPr>
          <w:p w:rsidR="00F24971" w:rsidRPr="00931B15" w:rsidRDefault="00A35E98" w:rsidP="00931B15">
            <w:pPr>
              <w:spacing w:after="0"/>
              <w:jc w:val="center"/>
              <w:rPr>
                <w:rFonts w:ascii="Verdana" w:eastAsia="Times New Roman" w:hAnsi="Verdana" w:cs="Arial"/>
                <w:sz w:val="18"/>
                <w:szCs w:val="18"/>
              </w:rPr>
            </w:pPr>
            <w:r w:rsidRPr="00931B15">
              <w:rPr>
                <w:rFonts w:ascii="Verdana" w:hAnsi="Verdana" w:cs="Arial"/>
                <w:sz w:val="18"/>
                <w:szCs w:val="18"/>
              </w:rPr>
              <w:t>3.1</w:t>
            </w:r>
          </w:p>
        </w:tc>
        <w:tc>
          <w:tcPr>
            <w:tcW w:w="990" w:type="dxa"/>
            <w:tcBorders>
              <w:top w:val="nil"/>
              <w:left w:val="nil"/>
              <w:bottom w:val="single" w:sz="4" w:space="0" w:color="auto"/>
              <w:right w:val="single" w:sz="4" w:space="0" w:color="auto"/>
            </w:tcBorders>
            <w:shd w:val="clear" w:color="000000" w:fill="C6D9F1"/>
            <w:vAlign w:val="center"/>
            <w:hideMark/>
          </w:tcPr>
          <w:p w:rsidR="00F24971" w:rsidRPr="00931B15" w:rsidRDefault="00A35E98" w:rsidP="00931B15">
            <w:pPr>
              <w:spacing w:after="0"/>
              <w:jc w:val="center"/>
              <w:rPr>
                <w:rFonts w:ascii="Verdana" w:eastAsia="Times New Roman" w:hAnsi="Verdana" w:cs="Arial"/>
                <w:sz w:val="18"/>
                <w:szCs w:val="18"/>
              </w:rPr>
            </w:pPr>
            <w:r w:rsidRPr="00931B15">
              <w:rPr>
                <w:rFonts w:ascii="Verdana" w:hAnsi="Verdana" w:cs="Arial"/>
                <w:sz w:val="18"/>
                <w:szCs w:val="18"/>
              </w:rPr>
              <w:t>3.2</w:t>
            </w:r>
          </w:p>
        </w:tc>
      </w:tr>
      <w:tr w:rsidR="00F24971" w:rsidRPr="005B6074" w:rsidTr="00F24971">
        <w:trPr>
          <w:trHeight w:val="330"/>
        </w:trPr>
        <w:tc>
          <w:tcPr>
            <w:tcW w:w="2250" w:type="dxa"/>
            <w:vMerge w:val="restart"/>
            <w:tcBorders>
              <w:top w:val="nil"/>
              <w:left w:val="single" w:sz="4" w:space="0" w:color="auto"/>
              <w:bottom w:val="single" w:sz="4" w:space="0" w:color="auto"/>
              <w:right w:val="single" w:sz="4" w:space="0" w:color="auto"/>
            </w:tcBorders>
            <w:shd w:val="clear" w:color="auto" w:fill="548DD4"/>
            <w:vAlign w:val="center"/>
            <w:hideMark/>
          </w:tcPr>
          <w:p w:rsidR="00F24971" w:rsidRPr="003753FE" w:rsidRDefault="00A35E98" w:rsidP="003753FE">
            <w:pPr>
              <w:spacing w:after="0" w:line="240" w:lineRule="auto"/>
              <w:ind w:left="-108" w:right="-108"/>
              <w:jc w:val="center"/>
              <w:rPr>
                <w:rFonts w:ascii="Verdana" w:hAnsi="Verdana"/>
                <w:color w:val="FFFFFF"/>
                <w:sz w:val="18"/>
              </w:rPr>
            </w:pPr>
            <w:r w:rsidRPr="005B6074">
              <w:rPr>
                <w:rFonts w:ascii="Verdana" w:hAnsi="Verdana"/>
                <w:color w:val="FFFFFF"/>
                <w:sz w:val="18"/>
              </w:rPr>
              <w:t>PA 1: Sustainable and Integrated Urban Development</w:t>
            </w:r>
          </w:p>
        </w:tc>
        <w:tc>
          <w:tcPr>
            <w:tcW w:w="1260" w:type="dxa"/>
            <w:tcBorders>
              <w:top w:val="nil"/>
              <w:left w:val="nil"/>
              <w:bottom w:val="single" w:sz="4" w:space="0" w:color="auto"/>
              <w:right w:val="single" w:sz="4" w:space="0" w:color="auto"/>
            </w:tcBorders>
            <w:shd w:val="clear" w:color="000000" w:fill="C6D9F1"/>
            <w:vAlign w:val="center"/>
            <w:hideMark/>
          </w:tcPr>
          <w:p w:rsidR="00F24971" w:rsidRPr="005B6074" w:rsidRDefault="00A35E98" w:rsidP="00931B15">
            <w:pPr>
              <w:spacing w:after="0" w:line="240" w:lineRule="auto"/>
              <w:jc w:val="center"/>
              <w:rPr>
                <w:rFonts w:ascii="Verdana" w:eastAsia="Times New Roman" w:hAnsi="Verdana"/>
                <w:color w:val="000000"/>
                <w:sz w:val="18"/>
                <w:szCs w:val="18"/>
              </w:rPr>
            </w:pPr>
            <w:r w:rsidRPr="005B6074">
              <w:rPr>
                <w:rFonts w:ascii="Verdana" w:hAnsi="Verdana"/>
                <w:color w:val="000000"/>
                <w:sz w:val="18"/>
              </w:rPr>
              <w:t>1.1</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72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r>
      <w:tr w:rsidR="00F24971" w:rsidRPr="005B6074" w:rsidTr="00F24971">
        <w:trPr>
          <w:trHeight w:val="330"/>
        </w:trPr>
        <w:tc>
          <w:tcPr>
            <w:tcW w:w="2250"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ind w:left="-108" w:right="-108"/>
              <w:jc w:val="center"/>
              <w:rPr>
                <w:rFonts w:ascii="Verdana" w:eastAsia="Times New Roman" w:hAnsi="Verdana"/>
                <w:bCs/>
                <w:color w:val="FFFFFF"/>
                <w:sz w:val="18"/>
                <w:szCs w:val="18"/>
              </w:rPr>
            </w:pPr>
          </w:p>
        </w:tc>
        <w:tc>
          <w:tcPr>
            <w:tcW w:w="1260" w:type="dxa"/>
            <w:tcBorders>
              <w:top w:val="nil"/>
              <w:left w:val="nil"/>
              <w:bottom w:val="single" w:sz="4" w:space="0" w:color="auto"/>
              <w:right w:val="single" w:sz="4" w:space="0" w:color="auto"/>
            </w:tcBorders>
            <w:shd w:val="clear" w:color="000000" w:fill="C6D9F1"/>
            <w:vAlign w:val="center"/>
            <w:hideMark/>
          </w:tcPr>
          <w:p w:rsidR="00F24971" w:rsidRPr="005B6074" w:rsidRDefault="00A35E98" w:rsidP="00F24971">
            <w:pPr>
              <w:spacing w:after="0" w:line="240" w:lineRule="auto"/>
              <w:jc w:val="center"/>
              <w:rPr>
                <w:rFonts w:ascii="Verdana" w:eastAsia="Times New Roman" w:hAnsi="Verdana"/>
                <w:color w:val="000000"/>
                <w:sz w:val="18"/>
                <w:szCs w:val="18"/>
              </w:rPr>
            </w:pPr>
            <w:r w:rsidRPr="005B6074">
              <w:rPr>
                <w:rFonts w:ascii="Verdana" w:hAnsi="Verdana"/>
                <w:color w:val="000000"/>
                <w:sz w:val="18"/>
              </w:rPr>
              <w:t>1.2</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72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r>
      <w:tr w:rsidR="00F24971" w:rsidRPr="005B6074" w:rsidTr="00F24971">
        <w:trPr>
          <w:trHeight w:val="330"/>
        </w:trPr>
        <w:tc>
          <w:tcPr>
            <w:tcW w:w="2250"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ind w:left="-108" w:right="-108"/>
              <w:jc w:val="center"/>
              <w:rPr>
                <w:rFonts w:ascii="Verdana" w:eastAsia="Times New Roman" w:hAnsi="Verdana"/>
                <w:bCs/>
                <w:color w:val="FFFFFF"/>
                <w:sz w:val="18"/>
                <w:szCs w:val="18"/>
              </w:rPr>
            </w:pPr>
          </w:p>
        </w:tc>
        <w:tc>
          <w:tcPr>
            <w:tcW w:w="1260" w:type="dxa"/>
            <w:tcBorders>
              <w:top w:val="nil"/>
              <w:left w:val="nil"/>
              <w:bottom w:val="single" w:sz="4" w:space="0" w:color="auto"/>
              <w:right w:val="single" w:sz="4" w:space="0" w:color="auto"/>
            </w:tcBorders>
            <w:shd w:val="clear" w:color="000000" w:fill="C6D9F1"/>
            <w:vAlign w:val="center"/>
            <w:hideMark/>
          </w:tcPr>
          <w:p w:rsidR="00F24971" w:rsidRPr="005B6074" w:rsidRDefault="00A35E98" w:rsidP="00F24971">
            <w:pPr>
              <w:spacing w:after="0" w:line="240" w:lineRule="auto"/>
              <w:jc w:val="center"/>
              <w:rPr>
                <w:rFonts w:ascii="Verdana" w:eastAsia="Times New Roman" w:hAnsi="Verdana"/>
                <w:color w:val="000000"/>
                <w:sz w:val="18"/>
                <w:szCs w:val="18"/>
              </w:rPr>
            </w:pPr>
            <w:r w:rsidRPr="005B6074">
              <w:rPr>
                <w:rFonts w:ascii="Verdana" w:hAnsi="Verdana"/>
                <w:color w:val="000000"/>
                <w:sz w:val="18"/>
              </w:rPr>
              <w:t>1.3</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18"/>
                <w:szCs w:val="18"/>
              </w:rPr>
            </w:pPr>
            <w:r w:rsidRPr="005B6074">
              <w:rPr>
                <w:rFonts w:ascii="Wingdings 2" w:hAnsi="Wingdings 2"/>
                <w:color w:val="0070C0"/>
                <w:sz w:val="26"/>
              </w:rPr>
              <w:t></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72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ind w:left="-108" w:right="-108"/>
              <w:jc w:val="center"/>
              <w:rPr>
                <w:rFonts w:ascii="Wingdings 2" w:eastAsia="Times New Roman" w:hAnsi="Wingdings 2"/>
                <w:color w:val="0070C0"/>
                <w:sz w:val="18"/>
                <w:szCs w:val="18"/>
              </w:rPr>
            </w:pPr>
            <w:r w:rsidRPr="005B6074">
              <w:rPr>
                <w:rFonts w:ascii="Wingdings 2" w:hAnsi="Wingdings 2"/>
                <w:color w:val="0070C0"/>
                <w:sz w:val="26"/>
              </w:rPr>
              <w:t></w:t>
            </w:r>
            <w:r w:rsidRPr="005B6074">
              <w:rPr>
                <w:rFonts w:ascii="Wingdings 2" w:hAnsi="Wingdings 2"/>
                <w:color w:val="0070C0"/>
                <w:sz w:val="26"/>
              </w:rPr>
              <w:t></w:t>
            </w:r>
            <w:r w:rsidRPr="005B6074">
              <w:rPr>
                <w:rFonts w:ascii="Wingdings 2" w:hAnsi="Wingdings 2"/>
                <w:color w:val="0070C0"/>
                <w:sz w:val="26"/>
              </w:rPr>
              <w:t></w:t>
            </w: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jc w:val="center"/>
            </w:pPr>
            <w:r w:rsidRPr="005B6074">
              <w:rPr>
                <w:rFonts w:ascii="Wingdings 2" w:hAnsi="Wingdings 2"/>
                <w:color w:val="0070C0"/>
                <w:sz w:val="26"/>
              </w:rPr>
              <w:t></w:t>
            </w: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jc w:val="center"/>
            </w:pPr>
            <w:r w:rsidRPr="005B6074">
              <w:rPr>
                <w:rFonts w:ascii="Wingdings 2" w:hAnsi="Wingdings 2"/>
                <w:color w:val="0070C0"/>
                <w:sz w:val="26"/>
              </w:rPr>
              <w:t></w:t>
            </w: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r>
      <w:tr w:rsidR="00F24971" w:rsidRPr="005B6074" w:rsidTr="00F24971">
        <w:trPr>
          <w:trHeight w:val="330"/>
        </w:trPr>
        <w:tc>
          <w:tcPr>
            <w:tcW w:w="2250"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ind w:left="-108" w:right="-108"/>
              <w:jc w:val="center"/>
              <w:rPr>
                <w:rFonts w:ascii="Verdana" w:eastAsia="Times New Roman" w:hAnsi="Verdana"/>
                <w:bCs/>
                <w:color w:val="FFFFFF"/>
                <w:sz w:val="18"/>
                <w:szCs w:val="18"/>
              </w:rPr>
            </w:pPr>
          </w:p>
        </w:tc>
        <w:tc>
          <w:tcPr>
            <w:tcW w:w="1260" w:type="dxa"/>
            <w:tcBorders>
              <w:top w:val="nil"/>
              <w:left w:val="nil"/>
              <w:bottom w:val="single" w:sz="4" w:space="0" w:color="auto"/>
              <w:right w:val="single" w:sz="4" w:space="0" w:color="auto"/>
            </w:tcBorders>
            <w:shd w:val="clear" w:color="000000" w:fill="C6D9F1"/>
            <w:vAlign w:val="center"/>
            <w:hideMark/>
          </w:tcPr>
          <w:p w:rsidR="00F24971" w:rsidRPr="005B6074" w:rsidRDefault="00A35E98" w:rsidP="00F24971">
            <w:pPr>
              <w:spacing w:after="0" w:line="240" w:lineRule="auto"/>
              <w:jc w:val="center"/>
              <w:rPr>
                <w:rFonts w:ascii="Verdana" w:eastAsia="Times New Roman" w:hAnsi="Verdana"/>
                <w:color w:val="000000"/>
                <w:sz w:val="18"/>
                <w:szCs w:val="18"/>
              </w:rPr>
            </w:pPr>
            <w:r w:rsidRPr="005B6074">
              <w:rPr>
                <w:rFonts w:ascii="Verdana" w:hAnsi="Verdana"/>
                <w:color w:val="000000"/>
                <w:sz w:val="18"/>
              </w:rPr>
              <w:t>1.4</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72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ind w:left="-108" w:right="-108"/>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r>
      <w:tr w:rsidR="00F24971" w:rsidRPr="005B6074" w:rsidTr="00F24971">
        <w:trPr>
          <w:trHeight w:val="323"/>
        </w:trPr>
        <w:tc>
          <w:tcPr>
            <w:tcW w:w="2250"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ind w:left="-108" w:right="-108"/>
              <w:jc w:val="center"/>
              <w:rPr>
                <w:rFonts w:ascii="Verdana" w:eastAsia="Times New Roman" w:hAnsi="Verdana"/>
                <w:bCs/>
                <w:color w:val="FFFFFF"/>
                <w:sz w:val="18"/>
                <w:szCs w:val="18"/>
              </w:rPr>
            </w:pPr>
          </w:p>
        </w:tc>
        <w:tc>
          <w:tcPr>
            <w:tcW w:w="1260" w:type="dxa"/>
            <w:tcBorders>
              <w:top w:val="nil"/>
              <w:left w:val="nil"/>
              <w:bottom w:val="single" w:sz="4" w:space="0" w:color="auto"/>
              <w:right w:val="single" w:sz="4" w:space="0" w:color="auto"/>
            </w:tcBorders>
            <w:shd w:val="clear" w:color="000000" w:fill="C6D9F1"/>
            <w:vAlign w:val="center"/>
            <w:hideMark/>
          </w:tcPr>
          <w:p w:rsidR="00F24971" w:rsidRPr="005B6074" w:rsidRDefault="00A35E98" w:rsidP="00F24971">
            <w:pPr>
              <w:spacing w:after="0" w:line="240" w:lineRule="auto"/>
              <w:jc w:val="center"/>
              <w:rPr>
                <w:rFonts w:ascii="Verdana" w:eastAsia="Times New Roman" w:hAnsi="Verdana"/>
                <w:color w:val="000000"/>
                <w:sz w:val="18"/>
                <w:szCs w:val="18"/>
              </w:rPr>
            </w:pPr>
            <w:r w:rsidRPr="005B6074">
              <w:rPr>
                <w:rFonts w:ascii="Verdana" w:hAnsi="Verdana"/>
                <w:color w:val="000000"/>
                <w:sz w:val="18"/>
              </w:rPr>
              <w:t>1.5</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72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ind w:left="-108" w:right="-108"/>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r>
      <w:tr w:rsidR="00F24971" w:rsidRPr="005B6074" w:rsidTr="00F24971">
        <w:trPr>
          <w:trHeight w:val="539"/>
        </w:trPr>
        <w:tc>
          <w:tcPr>
            <w:tcW w:w="2250" w:type="dxa"/>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A35E98" w:rsidP="00F24971">
            <w:pPr>
              <w:spacing w:after="0" w:line="240" w:lineRule="auto"/>
              <w:ind w:left="-108" w:right="-108"/>
              <w:jc w:val="center"/>
              <w:rPr>
                <w:rFonts w:ascii="Verdana" w:eastAsia="Times New Roman" w:hAnsi="Verdana"/>
                <w:color w:val="FFFFFF"/>
                <w:sz w:val="18"/>
                <w:szCs w:val="18"/>
              </w:rPr>
            </w:pPr>
            <w:r w:rsidRPr="005B6074">
              <w:rPr>
                <w:rFonts w:ascii="Verdana" w:hAnsi="Verdana"/>
                <w:color w:val="FFFFFF"/>
                <w:sz w:val="18"/>
              </w:rPr>
              <w:t>PA 2: Regional Educational Infrastructure</w:t>
            </w:r>
          </w:p>
        </w:tc>
        <w:tc>
          <w:tcPr>
            <w:tcW w:w="1260" w:type="dxa"/>
            <w:tcBorders>
              <w:top w:val="nil"/>
              <w:left w:val="nil"/>
              <w:bottom w:val="single" w:sz="4" w:space="0" w:color="auto"/>
              <w:right w:val="single" w:sz="4" w:space="0" w:color="auto"/>
            </w:tcBorders>
            <w:shd w:val="clear" w:color="000000" w:fill="C6D9F1"/>
            <w:vAlign w:val="center"/>
            <w:hideMark/>
          </w:tcPr>
          <w:p w:rsidR="00F24971" w:rsidRPr="005B6074" w:rsidRDefault="00A35E98" w:rsidP="00F24971">
            <w:pPr>
              <w:spacing w:after="0" w:line="240" w:lineRule="auto"/>
              <w:jc w:val="center"/>
              <w:rPr>
                <w:rFonts w:ascii="Verdana" w:eastAsia="Times New Roman" w:hAnsi="Verdana"/>
                <w:color w:val="000000"/>
                <w:sz w:val="18"/>
                <w:szCs w:val="18"/>
              </w:rPr>
            </w:pPr>
            <w:r w:rsidRPr="005B6074">
              <w:rPr>
                <w:rFonts w:ascii="Verdana" w:hAnsi="Verdana"/>
                <w:color w:val="000000"/>
                <w:sz w:val="18"/>
              </w:rPr>
              <w:t>2.1</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18"/>
                <w:szCs w:val="18"/>
              </w:rPr>
            </w:pPr>
            <w:r w:rsidRPr="005B6074">
              <w:rPr>
                <w:rFonts w:ascii="Wingdings 2" w:hAnsi="Wingdings 2"/>
                <w:color w:val="0070C0"/>
                <w:sz w:val="26"/>
              </w:rPr>
              <w:t></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72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ind w:left="-108" w:right="-108"/>
              <w:jc w:val="center"/>
              <w:rPr>
                <w:rFonts w:ascii="Wingdings 2" w:eastAsia="Times New Roman" w:hAnsi="Wingdings 2"/>
                <w:color w:val="0070C0"/>
                <w:sz w:val="18"/>
                <w:szCs w:val="18"/>
              </w:rPr>
            </w:pPr>
            <w:r w:rsidRPr="005B6074">
              <w:rPr>
                <w:rFonts w:ascii="Wingdings 2" w:hAnsi="Wingdings 2"/>
                <w:color w:val="0070C0"/>
                <w:sz w:val="26"/>
              </w:rPr>
              <w:t></w:t>
            </w:r>
            <w:r w:rsidRPr="005B6074">
              <w:rPr>
                <w:rFonts w:ascii="Wingdings 2" w:hAnsi="Wingdings 2"/>
                <w:color w:val="0070C0"/>
                <w:sz w:val="26"/>
              </w:rPr>
              <w:t></w:t>
            </w:r>
            <w:r w:rsidRPr="005B6074">
              <w:rPr>
                <w:rFonts w:ascii="Wingdings 2" w:hAnsi="Wingdings 2"/>
                <w:color w:val="0070C0"/>
                <w:sz w:val="26"/>
              </w:rPr>
              <w:t></w:t>
            </w: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jc w:val="center"/>
            </w:pPr>
            <w:r w:rsidRPr="005B6074">
              <w:rPr>
                <w:rFonts w:ascii="Wingdings 2" w:hAnsi="Wingdings 2"/>
                <w:color w:val="0070C0"/>
                <w:sz w:val="26"/>
              </w:rPr>
              <w:t></w:t>
            </w: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jc w:val="center"/>
            </w:pPr>
            <w:r w:rsidRPr="005B6074">
              <w:rPr>
                <w:rFonts w:ascii="Wingdings 2" w:hAnsi="Wingdings 2"/>
                <w:color w:val="0070C0"/>
                <w:sz w:val="26"/>
              </w:rPr>
              <w:t></w:t>
            </w: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r>
      <w:tr w:rsidR="00F24971" w:rsidRPr="005B6074" w:rsidTr="00F24971">
        <w:trPr>
          <w:trHeight w:val="539"/>
        </w:trPr>
        <w:tc>
          <w:tcPr>
            <w:tcW w:w="2250" w:type="dxa"/>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A35E98" w:rsidP="00F24971">
            <w:pPr>
              <w:spacing w:after="0" w:line="240" w:lineRule="auto"/>
              <w:ind w:left="-108" w:right="-108"/>
              <w:jc w:val="center"/>
              <w:rPr>
                <w:rFonts w:ascii="Verdana" w:eastAsia="Times New Roman" w:hAnsi="Verdana"/>
                <w:color w:val="FFFFFF"/>
                <w:sz w:val="18"/>
                <w:szCs w:val="18"/>
              </w:rPr>
            </w:pPr>
            <w:r w:rsidRPr="005B6074">
              <w:rPr>
                <w:rFonts w:ascii="Verdana" w:hAnsi="Verdana"/>
                <w:color w:val="FFFFFF"/>
                <w:sz w:val="18"/>
              </w:rPr>
              <w:t>PA 3: Regional Health Infrastructure</w:t>
            </w:r>
          </w:p>
        </w:tc>
        <w:tc>
          <w:tcPr>
            <w:tcW w:w="1260" w:type="dxa"/>
            <w:tcBorders>
              <w:top w:val="nil"/>
              <w:left w:val="nil"/>
              <w:bottom w:val="single" w:sz="4" w:space="0" w:color="auto"/>
              <w:right w:val="single" w:sz="4" w:space="0" w:color="auto"/>
            </w:tcBorders>
            <w:shd w:val="clear" w:color="000000" w:fill="C6D9F1"/>
            <w:vAlign w:val="center"/>
            <w:hideMark/>
          </w:tcPr>
          <w:p w:rsidR="00F24971" w:rsidRPr="005B6074" w:rsidRDefault="00A35E98" w:rsidP="00F24971">
            <w:pPr>
              <w:spacing w:after="0" w:line="240" w:lineRule="auto"/>
              <w:jc w:val="center"/>
              <w:rPr>
                <w:rFonts w:ascii="Verdana" w:eastAsia="Times New Roman" w:hAnsi="Verdana"/>
                <w:color w:val="000000"/>
                <w:sz w:val="18"/>
                <w:szCs w:val="18"/>
              </w:rPr>
            </w:pPr>
            <w:r w:rsidRPr="005B6074">
              <w:rPr>
                <w:rFonts w:ascii="Verdana" w:hAnsi="Verdana"/>
                <w:color w:val="000000"/>
                <w:sz w:val="18"/>
              </w:rPr>
              <w:t>3.1</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72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r>
      <w:tr w:rsidR="00F24971" w:rsidRPr="005B6074" w:rsidTr="00F24971">
        <w:trPr>
          <w:trHeight w:val="521"/>
        </w:trPr>
        <w:tc>
          <w:tcPr>
            <w:tcW w:w="2250" w:type="dxa"/>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A35E98" w:rsidP="00F24971">
            <w:pPr>
              <w:spacing w:after="0" w:line="240" w:lineRule="auto"/>
              <w:ind w:left="-108" w:right="-108"/>
              <w:jc w:val="center"/>
              <w:rPr>
                <w:rFonts w:ascii="Verdana" w:eastAsia="Times New Roman" w:hAnsi="Verdana"/>
                <w:color w:val="FFFFFF"/>
                <w:sz w:val="18"/>
                <w:szCs w:val="18"/>
              </w:rPr>
            </w:pPr>
            <w:r w:rsidRPr="005B6074">
              <w:rPr>
                <w:rFonts w:ascii="Verdana" w:hAnsi="Verdana"/>
                <w:color w:val="FFFFFF"/>
                <w:sz w:val="18"/>
              </w:rPr>
              <w:t>PA 4: Regional Social Infrastructure</w:t>
            </w:r>
          </w:p>
        </w:tc>
        <w:tc>
          <w:tcPr>
            <w:tcW w:w="1260" w:type="dxa"/>
            <w:tcBorders>
              <w:top w:val="nil"/>
              <w:left w:val="nil"/>
              <w:bottom w:val="single" w:sz="4" w:space="0" w:color="auto"/>
              <w:right w:val="single" w:sz="4" w:space="0" w:color="auto"/>
            </w:tcBorders>
            <w:shd w:val="clear" w:color="000000" w:fill="C6D9F1"/>
            <w:vAlign w:val="center"/>
            <w:hideMark/>
          </w:tcPr>
          <w:p w:rsidR="00F24971" w:rsidRPr="005B6074" w:rsidRDefault="00A35E98" w:rsidP="00F24971">
            <w:pPr>
              <w:spacing w:after="0" w:line="240" w:lineRule="auto"/>
              <w:jc w:val="center"/>
              <w:rPr>
                <w:rFonts w:ascii="Verdana" w:eastAsia="Times New Roman" w:hAnsi="Verdana"/>
                <w:color w:val="000000"/>
                <w:sz w:val="18"/>
                <w:szCs w:val="18"/>
              </w:rPr>
            </w:pPr>
            <w:r w:rsidRPr="005B6074">
              <w:rPr>
                <w:rFonts w:ascii="Verdana" w:hAnsi="Verdana"/>
                <w:color w:val="000000"/>
                <w:sz w:val="18"/>
              </w:rPr>
              <w:t>4.1</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72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r>
      <w:tr w:rsidR="00F24971" w:rsidRPr="005B6074" w:rsidTr="00F24971">
        <w:trPr>
          <w:trHeight w:val="530"/>
        </w:trPr>
        <w:tc>
          <w:tcPr>
            <w:tcW w:w="2250" w:type="dxa"/>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A35E98" w:rsidP="00F24971">
            <w:pPr>
              <w:spacing w:after="0" w:line="240" w:lineRule="auto"/>
              <w:ind w:left="-108" w:right="-108"/>
              <w:jc w:val="center"/>
              <w:rPr>
                <w:rFonts w:ascii="Verdana" w:eastAsia="Times New Roman" w:hAnsi="Verdana"/>
                <w:color w:val="FFFFFF"/>
                <w:sz w:val="18"/>
                <w:szCs w:val="18"/>
              </w:rPr>
            </w:pPr>
            <w:r w:rsidRPr="005B6074">
              <w:rPr>
                <w:rFonts w:ascii="Verdana" w:hAnsi="Verdana"/>
                <w:color w:val="FFFFFF"/>
                <w:sz w:val="18"/>
              </w:rPr>
              <w:t>PA 5: Regional Tourism</w:t>
            </w:r>
          </w:p>
        </w:tc>
        <w:tc>
          <w:tcPr>
            <w:tcW w:w="1260" w:type="dxa"/>
            <w:tcBorders>
              <w:top w:val="nil"/>
              <w:left w:val="nil"/>
              <w:bottom w:val="single" w:sz="4" w:space="0" w:color="auto"/>
              <w:right w:val="single" w:sz="4" w:space="0" w:color="auto"/>
            </w:tcBorders>
            <w:shd w:val="clear" w:color="000000" w:fill="C6D9F1"/>
            <w:vAlign w:val="center"/>
            <w:hideMark/>
          </w:tcPr>
          <w:p w:rsidR="00F24971" w:rsidRPr="005B6074" w:rsidRDefault="00A35E98" w:rsidP="00F24971">
            <w:pPr>
              <w:spacing w:after="0" w:line="240" w:lineRule="auto"/>
              <w:jc w:val="center"/>
              <w:rPr>
                <w:rFonts w:ascii="Verdana" w:eastAsia="Times New Roman" w:hAnsi="Verdana"/>
                <w:color w:val="000000"/>
                <w:sz w:val="18"/>
                <w:szCs w:val="18"/>
              </w:rPr>
            </w:pPr>
            <w:r w:rsidRPr="005B6074">
              <w:rPr>
                <w:rFonts w:ascii="Verdana" w:hAnsi="Verdana"/>
                <w:color w:val="000000"/>
                <w:sz w:val="18"/>
              </w:rPr>
              <w:t>5.1</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72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r>
      <w:tr w:rsidR="00F24971" w:rsidRPr="005B6074" w:rsidTr="00F24971">
        <w:trPr>
          <w:trHeight w:val="600"/>
        </w:trPr>
        <w:tc>
          <w:tcPr>
            <w:tcW w:w="2250" w:type="dxa"/>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A35E98" w:rsidP="00F24971">
            <w:pPr>
              <w:spacing w:after="0" w:line="240" w:lineRule="auto"/>
              <w:ind w:left="-108" w:right="-108"/>
              <w:jc w:val="center"/>
              <w:rPr>
                <w:rFonts w:ascii="Verdana" w:eastAsia="Times New Roman" w:hAnsi="Verdana"/>
                <w:color w:val="FFFFFF"/>
                <w:sz w:val="18"/>
                <w:szCs w:val="18"/>
              </w:rPr>
            </w:pPr>
            <w:r w:rsidRPr="005B6074">
              <w:rPr>
                <w:rFonts w:ascii="Verdana" w:hAnsi="Verdana"/>
                <w:color w:val="FFFFFF"/>
                <w:sz w:val="18"/>
              </w:rPr>
              <w:t>PA 6: Regional Road Infrastructure</w:t>
            </w:r>
          </w:p>
        </w:tc>
        <w:tc>
          <w:tcPr>
            <w:tcW w:w="1260" w:type="dxa"/>
            <w:tcBorders>
              <w:top w:val="nil"/>
              <w:left w:val="nil"/>
              <w:bottom w:val="single" w:sz="4" w:space="0" w:color="auto"/>
              <w:right w:val="single" w:sz="4" w:space="0" w:color="auto"/>
            </w:tcBorders>
            <w:shd w:val="clear" w:color="000000" w:fill="C6D9F1"/>
            <w:vAlign w:val="center"/>
            <w:hideMark/>
          </w:tcPr>
          <w:p w:rsidR="00F24971" w:rsidRPr="005B6074" w:rsidRDefault="00A35E98" w:rsidP="00F24971">
            <w:pPr>
              <w:spacing w:after="0" w:line="240" w:lineRule="auto"/>
              <w:jc w:val="center"/>
              <w:rPr>
                <w:rFonts w:ascii="Verdana" w:eastAsia="Times New Roman" w:hAnsi="Verdana"/>
                <w:color w:val="000000"/>
                <w:sz w:val="18"/>
                <w:szCs w:val="18"/>
              </w:rPr>
            </w:pPr>
            <w:r w:rsidRPr="005B6074">
              <w:rPr>
                <w:rFonts w:ascii="Verdana" w:hAnsi="Verdana"/>
                <w:color w:val="000000"/>
                <w:sz w:val="18"/>
              </w:rPr>
              <w:t>6.1</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72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r>
      <w:tr w:rsidR="00F24971" w:rsidRPr="005B6074" w:rsidTr="00F24971">
        <w:trPr>
          <w:trHeight w:val="330"/>
        </w:trPr>
        <w:tc>
          <w:tcPr>
            <w:tcW w:w="2250" w:type="dxa"/>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A35E98" w:rsidP="00F24971">
            <w:pPr>
              <w:spacing w:after="0" w:line="240" w:lineRule="auto"/>
              <w:ind w:left="-108" w:right="-108"/>
              <w:jc w:val="center"/>
              <w:rPr>
                <w:rFonts w:ascii="Verdana" w:eastAsia="Times New Roman" w:hAnsi="Verdana"/>
                <w:color w:val="FFFFFF"/>
                <w:sz w:val="18"/>
                <w:szCs w:val="18"/>
              </w:rPr>
            </w:pPr>
            <w:r w:rsidRPr="005B6074">
              <w:rPr>
                <w:rFonts w:ascii="Verdana" w:hAnsi="Verdana"/>
                <w:color w:val="FFFFFF"/>
                <w:sz w:val="18"/>
              </w:rPr>
              <w:t>PA 7: Risk Prevention</w:t>
            </w:r>
          </w:p>
        </w:tc>
        <w:tc>
          <w:tcPr>
            <w:tcW w:w="1260" w:type="dxa"/>
            <w:tcBorders>
              <w:top w:val="nil"/>
              <w:left w:val="nil"/>
              <w:bottom w:val="single" w:sz="4" w:space="0" w:color="auto"/>
              <w:right w:val="single" w:sz="4" w:space="0" w:color="auto"/>
            </w:tcBorders>
            <w:shd w:val="clear" w:color="000000" w:fill="C6D9F1"/>
            <w:vAlign w:val="center"/>
            <w:hideMark/>
          </w:tcPr>
          <w:p w:rsidR="00F24971" w:rsidRPr="005B6074" w:rsidRDefault="00A35E98" w:rsidP="00F24971">
            <w:pPr>
              <w:spacing w:after="0" w:line="240" w:lineRule="auto"/>
              <w:jc w:val="center"/>
              <w:rPr>
                <w:rFonts w:ascii="Verdana" w:eastAsia="Times New Roman" w:hAnsi="Verdana"/>
                <w:color w:val="000000"/>
                <w:sz w:val="18"/>
                <w:szCs w:val="18"/>
              </w:rPr>
            </w:pPr>
            <w:r w:rsidRPr="005B6074">
              <w:rPr>
                <w:rFonts w:ascii="Verdana" w:hAnsi="Verdana"/>
                <w:color w:val="000000"/>
                <w:sz w:val="18"/>
              </w:rPr>
              <w:t>7.1</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72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6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18"/>
                <w:szCs w:val="18"/>
              </w:rPr>
            </w:pPr>
          </w:p>
        </w:tc>
      </w:tr>
    </w:tbl>
    <w:p w:rsidR="00F24971" w:rsidRPr="005B6074" w:rsidRDefault="00A35E98" w:rsidP="00F24971">
      <w:pPr>
        <w:spacing w:before="120"/>
        <w:rPr>
          <w:rFonts w:ascii="Verdana" w:hAnsi="Verdana"/>
          <w:i/>
          <w:sz w:val="18"/>
          <w:szCs w:val="18"/>
        </w:rPr>
      </w:pPr>
      <w:r w:rsidRPr="005B6074">
        <w:rPr>
          <w:rFonts w:ascii="Verdana" w:hAnsi="Verdana"/>
          <w:i/>
          <w:sz w:val="18"/>
        </w:rPr>
        <w:t xml:space="preserve">Legend: </w:t>
      </w:r>
      <w:r w:rsidRPr="005B6074">
        <w:rPr>
          <w:rFonts w:ascii="Wingdings 2" w:hAnsi="Wingdings 2"/>
          <w:color w:val="0070C0"/>
          <w:sz w:val="26"/>
        </w:rPr>
        <w:t></w:t>
      </w:r>
      <w:r w:rsidRPr="005B6074">
        <w:rPr>
          <w:rFonts w:ascii="Verdana" w:hAnsi="Verdana"/>
          <w:i/>
          <w:sz w:val="18"/>
        </w:rPr>
        <w:t xml:space="preserve"> - weak connection, </w:t>
      </w:r>
      <w:r w:rsidRPr="005B6074">
        <w:rPr>
          <w:rFonts w:ascii="Wingdings 2" w:hAnsi="Wingdings 2"/>
          <w:color w:val="0070C0"/>
          <w:sz w:val="26"/>
        </w:rPr>
        <w:t></w:t>
      </w:r>
      <w:r w:rsidRPr="005B6074">
        <w:rPr>
          <w:rFonts w:ascii="Wingdings 2" w:hAnsi="Wingdings 2"/>
          <w:color w:val="0070C0"/>
          <w:sz w:val="26"/>
        </w:rPr>
        <w:t></w:t>
      </w:r>
      <w:r w:rsidRPr="005B6074">
        <w:rPr>
          <w:rFonts w:ascii="Verdana" w:hAnsi="Verdana"/>
          <w:sz w:val="26"/>
        </w:rPr>
        <w:t xml:space="preserve">- </w:t>
      </w:r>
      <w:r w:rsidRPr="005B6074">
        <w:rPr>
          <w:rFonts w:ascii="Verdana" w:hAnsi="Verdana"/>
          <w:i/>
          <w:sz w:val="18"/>
        </w:rPr>
        <w:t xml:space="preserve">average connection, </w:t>
      </w:r>
      <w:r w:rsidRPr="005B6074">
        <w:rPr>
          <w:rFonts w:ascii="Wingdings 2" w:hAnsi="Wingdings 2"/>
          <w:color w:val="0070C0"/>
          <w:sz w:val="26"/>
        </w:rPr>
        <w:t></w:t>
      </w:r>
      <w:r w:rsidRPr="005B6074">
        <w:rPr>
          <w:rFonts w:ascii="Wingdings 2" w:hAnsi="Wingdings 2"/>
          <w:color w:val="0070C0"/>
          <w:sz w:val="26"/>
        </w:rPr>
        <w:t></w:t>
      </w:r>
      <w:r w:rsidRPr="005B6074">
        <w:rPr>
          <w:rFonts w:ascii="Wingdings 2" w:hAnsi="Wingdings 2"/>
          <w:color w:val="0070C0"/>
          <w:sz w:val="26"/>
        </w:rPr>
        <w:t></w:t>
      </w:r>
      <w:r w:rsidRPr="005B6074">
        <w:rPr>
          <w:rFonts w:ascii="Verdana" w:hAnsi="Verdana"/>
          <w:i/>
          <w:sz w:val="18"/>
        </w:rPr>
        <w:t xml:space="preserve"> - strong connection</w:t>
      </w:r>
    </w:p>
    <w:p w:rsidR="00F24971" w:rsidRPr="005B6074" w:rsidRDefault="00A35E98" w:rsidP="00F24971">
      <w:pPr>
        <w:pStyle w:val="Caption"/>
        <w:keepNext/>
        <w:spacing w:after="120"/>
        <w:rPr>
          <w:rFonts w:ascii="Verdana" w:hAnsi="Verdana"/>
          <w:color w:val="548DD4"/>
        </w:rPr>
      </w:pPr>
      <w:bookmarkStart w:id="67" w:name="_Toc390257058"/>
      <w:bookmarkStart w:id="68" w:name="_Toc396225597"/>
      <w:r w:rsidRPr="005B6074">
        <w:rPr>
          <w:rFonts w:ascii="Verdana" w:hAnsi="Verdana"/>
          <w:color w:val="548DD4"/>
        </w:rPr>
        <w:t xml:space="preserve">Table </w:t>
      </w:r>
      <w:r w:rsidRPr="005B6074">
        <w:rPr>
          <w:rFonts w:ascii="Verdana" w:hAnsi="Verdana"/>
          <w:color w:val="548DD4"/>
        </w:rPr>
        <w:fldChar w:fldCharType="begin"/>
      </w:r>
      <w:r w:rsidRPr="005B6074">
        <w:rPr>
          <w:rFonts w:ascii="Verdana" w:hAnsi="Verdana"/>
          <w:color w:val="548DD4"/>
        </w:rPr>
        <w:instrText xml:space="preserve"> SEQ Таблица \* ARABIC </w:instrText>
      </w:r>
      <w:r w:rsidRPr="005B6074">
        <w:rPr>
          <w:rFonts w:ascii="Verdana" w:hAnsi="Verdana"/>
          <w:color w:val="548DD4"/>
        </w:rPr>
        <w:fldChar w:fldCharType="separate"/>
      </w:r>
      <w:r w:rsidR="009330F5">
        <w:rPr>
          <w:rFonts w:ascii="Verdana" w:hAnsi="Verdana"/>
          <w:noProof/>
          <w:color w:val="548DD4"/>
        </w:rPr>
        <w:t>2</w:t>
      </w:r>
      <w:r w:rsidRPr="005B6074">
        <w:rPr>
          <w:rFonts w:ascii="Verdana" w:hAnsi="Verdana"/>
          <w:color w:val="548DD4"/>
        </w:rPr>
        <w:fldChar w:fldCharType="end"/>
      </w:r>
      <w:r w:rsidRPr="005B6074">
        <w:rPr>
          <w:rFonts w:ascii="Verdana" w:hAnsi="Verdana"/>
          <w:color w:val="548DD4"/>
        </w:rPr>
        <w:t xml:space="preserve">. Complementarity and Demarcation of </w:t>
      </w:r>
      <w:r w:rsidR="005B35A7">
        <w:rPr>
          <w:rFonts w:ascii="Verdana" w:hAnsi="Verdana"/>
          <w:color w:val="548DD4"/>
        </w:rPr>
        <w:t>OPSESG</w:t>
      </w:r>
      <w:r w:rsidRPr="005B6074">
        <w:rPr>
          <w:rFonts w:ascii="Verdana" w:hAnsi="Verdana"/>
          <w:color w:val="548DD4"/>
        </w:rPr>
        <w:t xml:space="preserve"> and OPRG</w:t>
      </w:r>
      <w:bookmarkEnd w:id="67"/>
      <w:bookmarkEnd w:id="68"/>
    </w:p>
    <w:tbl>
      <w:tblPr>
        <w:tblW w:w="0" w:type="auto"/>
        <w:tblInd w:w="108"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000" w:firstRow="0" w:lastRow="0" w:firstColumn="0" w:lastColumn="0" w:noHBand="0" w:noVBand="0"/>
      </w:tblPr>
      <w:tblGrid>
        <w:gridCol w:w="1961"/>
        <w:gridCol w:w="7011"/>
      </w:tblGrid>
      <w:tr w:rsidR="00F24971" w:rsidRPr="005B6074" w:rsidTr="00F24971">
        <w:tc>
          <w:tcPr>
            <w:tcW w:w="1883" w:type="dxa"/>
            <w:shd w:val="clear" w:color="auto" w:fill="548DD4"/>
          </w:tcPr>
          <w:p w:rsidR="00F24971" w:rsidRPr="00931B15" w:rsidRDefault="00A35E98" w:rsidP="00931B15">
            <w:pPr>
              <w:rPr>
                <w:rFonts w:ascii="Verdana" w:hAnsi="Verdana"/>
                <w:color w:val="FFFFFF" w:themeColor="background1"/>
                <w:sz w:val="20"/>
                <w:szCs w:val="20"/>
              </w:rPr>
            </w:pPr>
            <w:r w:rsidRPr="00931B15">
              <w:rPr>
                <w:rFonts w:ascii="Verdana" w:hAnsi="Verdana"/>
                <w:color w:val="FFFFFF" w:themeColor="background1"/>
                <w:sz w:val="20"/>
                <w:szCs w:val="20"/>
              </w:rPr>
              <w:t xml:space="preserve">Complementarity / Demarcation </w:t>
            </w:r>
            <w:r w:rsidR="00F52AAA" w:rsidRPr="00931B15">
              <w:rPr>
                <w:rFonts w:ascii="Verdana" w:hAnsi="Verdana"/>
                <w:color w:val="FFFFFF" w:themeColor="background1"/>
                <w:sz w:val="20"/>
                <w:szCs w:val="20"/>
              </w:rPr>
              <w:t>noted in the</w:t>
            </w:r>
            <w:r w:rsidRPr="00931B15">
              <w:rPr>
                <w:rFonts w:ascii="Verdana" w:hAnsi="Verdana"/>
                <w:color w:val="FFFFFF" w:themeColor="background1"/>
                <w:sz w:val="20"/>
                <w:szCs w:val="20"/>
              </w:rPr>
              <w:t xml:space="preserve"> OPSESG</w:t>
            </w:r>
          </w:p>
        </w:tc>
        <w:tc>
          <w:tcPr>
            <w:tcW w:w="7207" w:type="dxa"/>
          </w:tcPr>
          <w:p w:rsidR="00F24971" w:rsidRPr="00931B15" w:rsidRDefault="00A35E98" w:rsidP="00931B15">
            <w:pPr>
              <w:rPr>
                <w:rFonts w:ascii="Verdana" w:hAnsi="Verdana"/>
                <w:sz w:val="20"/>
                <w:szCs w:val="20"/>
              </w:rPr>
            </w:pPr>
            <w:r w:rsidRPr="00931B15">
              <w:rPr>
                <w:rFonts w:ascii="Verdana" w:hAnsi="Verdana"/>
                <w:b/>
                <w:sz w:val="20"/>
                <w:szCs w:val="20"/>
              </w:rPr>
              <w:t>Complementarity</w:t>
            </w:r>
            <w:r w:rsidRPr="00931B15">
              <w:rPr>
                <w:rFonts w:ascii="Verdana" w:hAnsi="Verdana"/>
                <w:sz w:val="20"/>
                <w:szCs w:val="20"/>
              </w:rPr>
              <w:t xml:space="preserve">: Reflected as OPSESG support for "soft measures" equipment, furnishing and ICT for the educational and scientific sites financed by OPRG 2014–2020. </w:t>
            </w:r>
          </w:p>
          <w:p w:rsidR="00F24971" w:rsidRPr="00931B15" w:rsidRDefault="00A35E98" w:rsidP="00931B15">
            <w:pPr>
              <w:rPr>
                <w:rFonts w:ascii="Verdana" w:hAnsi="Verdana"/>
                <w:sz w:val="20"/>
                <w:szCs w:val="20"/>
              </w:rPr>
            </w:pPr>
            <w:r w:rsidRPr="00931B15">
              <w:rPr>
                <w:rFonts w:ascii="Verdana" w:hAnsi="Verdana"/>
                <w:b/>
                <w:sz w:val="20"/>
                <w:szCs w:val="20"/>
              </w:rPr>
              <w:t xml:space="preserve">Demarcation: </w:t>
            </w:r>
            <w:r w:rsidRPr="00931B15">
              <w:rPr>
                <w:rFonts w:ascii="Verdana" w:hAnsi="Verdana"/>
                <w:sz w:val="20"/>
                <w:szCs w:val="20"/>
              </w:rPr>
              <w:t xml:space="preserve">"Priority Axis 1 of </w:t>
            </w:r>
            <w:r w:rsidR="005B35A7">
              <w:rPr>
                <w:rFonts w:ascii="Verdana" w:hAnsi="Verdana"/>
                <w:sz w:val="20"/>
                <w:szCs w:val="20"/>
              </w:rPr>
              <w:t>OPSESG</w:t>
            </w:r>
            <w:r w:rsidRPr="00931B15">
              <w:rPr>
                <w:rFonts w:ascii="Verdana" w:hAnsi="Verdana"/>
                <w:sz w:val="20"/>
                <w:szCs w:val="20"/>
              </w:rPr>
              <w:t xml:space="preserve"> envisages the financing of scientific infrastructure by OPRG funds. OPRG shall not finance scientific infrastructure." At the stage of programming, the demarcation for similar activities related to purchasing of equipment and furnishing of buildings/premises under PA 2 "Regional Educational Infrastructure" of OPRG and PA 2 of OPSESG is at the level of beneficiaries and projects.</w:t>
            </w:r>
          </w:p>
        </w:tc>
      </w:tr>
      <w:tr w:rsidR="00F24971" w:rsidRPr="005B6074" w:rsidTr="00F24971">
        <w:tc>
          <w:tcPr>
            <w:tcW w:w="1883" w:type="dxa"/>
            <w:shd w:val="clear" w:color="auto" w:fill="548DD4"/>
          </w:tcPr>
          <w:p w:rsidR="00F24971" w:rsidRPr="00931B15" w:rsidRDefault="00A35E98" w:rsidP="00931B15">
            <w:pPr>
              <w:rPr>
                <w:rFonts w:ascii="Verdana" w:hAnsi="Verdana"/>
                <w:color w:val="FFFFFF" w:themeColor="background1"/>
                <w:sz w:val="20"/>
                <w:szCs w:val="20"/>
              </w:rPr>
            </w:pPr>
            <w:r w:rsidRPr="00931B15">
              <w:rPr>
                <w:rFonts w:ascii="Verdana" w:hAnsi="Verdana"/>
                <w:color w:val="FFFFFF" w:themeColor="background1"/>
                <w:sz w:val="20"/>
                <w:szCs w:val="20"/>
              </w:rPr>
              <w:lastRenderedPageBreak/>
              <w:t>Comments</w:t>
            </w:r>
          </w:p>
        </w:tc>
        <w:tc>
          <w:tcPr>
            <w:tcW w:w="7207" w:type="dxa"/>
          </w:tcPr>
          <w:p w:rsidR="00F24971" w:rsidRPr="00931B15" w:rsidRDefault="00A35E98" w:rsidP="00931B15">
            <w:pPr>
              <w:rPr>
                <w:rFonts w:ascii="Verdana" w:hAnsi="Verdana"/>
                <w:sz w:val="20"/>
                <w:szCs w:val="20"/>
              </w:rPr>
            </w:pPr>
            <w:r w:rsidRPr="00931B15">
              <w:rPr>
                <w:rFonts w:ascii="Verdana" w:hAnsi="Verdana"/>
                <w:sz w:val="20"/>
                <w:szCs w:val="20"/>
              </w:rPr>
              <w:t>The implementation of objectives under investment priorities 2.1, 2.2, 2.3 of PA of OPSESG, as well as the investment priorities of PA 1 of the Programme is complemented by priorities 1.3 and 2.1 of OPRG which are targeted at investment in educational infrastructure.</w:t>
            </w:r>
          </w:p>
          <w:p w:rsidR="00F24971" w:rsidRPr="00931B15" w:rsidRDefault="00A35E98" w:rsidP="00931B15">
            <w:pPr>
              <w:widowControl w:val="0"/>
              <w:autoSpaceDE w:val="0"/>
              <w:autoSpaceDN w:val="0"/>
              <w:adjustRightInd w:val="0"/>
              <w:rPr>
                <w:rFonts w:ascii="Verdana" w:hAnsi="Verdana"/>
                <w:sz w:val="20"/>
                <w:szCs w:val="20"/>
              </w:rPr>
            </w:pPr>
            <w:r w:rsidRPr="00931B15">
              <w:rPr>
                <w:rFonts w:ascii="Verdana" w:hAnsi="Verdana"/>
                <w:sz w:val="20"/>
                <w:szCs w:val="20"/>
              </w:rPr>
              <w:t xml:space="preserve">Overlapping of activities between those set in priorities 2.1 of OPRG and PA 2, IP 1 of </w:t>
            </w:r>
            <w:r w:rsidR="005B35A7">
              <w:rPr>
                <w:rFonts w:ascii="Verdana" w:hAnsi="Verdana"/>
                <w:sz w:val="20"/>
                <w:szCs w:val="20"/>
              </w:rPr>
              <w:t>OPSESG</w:t>
            </w:r>
            <w:r w:rsidRPr="00931B15">
              <w:rPr>
                <w:rFonts w:ascii="Verdana" w:hAnsi="Verdana"/>
                <w:sz w:val="20"/>
                <w:szCs w:val="20"/>
              </w:rPr>
              <w:t xml:space="preserve"> concerning the introduction of ICT in schools is potentially possible. OPRG mentions "Supply and installation of equipment and furnishing of the above buildings/premises (state and municipal schools of national and regional importance) as part of their overall renovation" as an example of activities;</w:t>
            </w:r>
          </w:p>
        </w:tc>
      </w:tr>
      <w:tr w:rsidR="00F24971" w:rsidRPr="005B6074" w:rsidTr="00F24971">
        <w:tc>
          <w:tcPr>
            <w:tcW w:w="1883" w:type="dxa"/>
            <w:shd w:val="clear" w:color="auto" w:fill="548DD4"/>
          </w:tcPr>
          <w:p w:rsidR="00F24971" w:rsidRPr="00931B15" w:rsidRDefault="00A35E98" w:rsidP="00931B15">
            <w:pPr>
              <w:rPr>
                <w:rFonts w:ascii="Verdana" w:hAnsi="Verdana"/>
                <w:color w:val="FFFFFF" w:themeColor="background1"/>
                <w:sz w:val="20"/>
                <w:szCs w:val="20"/>
              </w:rPr>
            </w:pPr>
            <w:r w:rsidRPr="00931B15">
              <w:rPr>
                <w:rFonts w:ascii="Verdana" w:hAnsi="Verdana"/>
                <w:color w:val="FFFFFF" w:themeColor="background1"/>
                <w:sz w:val="20"/>
                <w:szCs w:val="20"/>
              </w:rPr>
              <w:t>Recommendation</w:t>
            </w:r>
          </w:p>
        </w:tc>
        <w:tc>
          <w:tcPr>
            <w:tcW w:w="7207" w:type="dxa"/>
          </w:tcPr>
          <w:p w:rsidR="00F24971" w:rsidRPr="005B6074" w:rsidRDefault="00A35E98" w:rsidP="00931B15">
            <w:pPr>
              <w:rPr>
                <w:rFonts w:ascii="Verdana" w:hAnsi="Verdana"/>
                <w:sz w:val="20"/>
                <w:szCs w:val="20"/>
              </w:rPr>
            </w:pPr>
            <w:r w:rsidRPr="00931B15">
              <w:rPr>
                <w:rFonts w:ascii="Verdana" w:hAnsi="Verdana"/>
                <w:sz w:val="20"/>
                <w:szCs w:val="20"/>
              </w:rPr>
              <w:t>N/A</w:t>
            </w:r>
          </w:p>
        </w:tc>
      </w:tr>
    </w:tbl>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Operational Programme Innovation and Competitiveness (OPIC) 2014–2020</w:t>
      </w:r>
    </w:p>
    <w:p w:rsidR="00F24971" w:rsidRPr="005B6074" w:rsidRDefault="00F24971" w:rsidP="00F24971">
      <w:pPr>
        <w:pStyle w:val="Caption"/>
        <w:jc w:val="center"/>
        <w:rPr>
          <w:rFonts w:ascii="Verdana" w:hAnsi="Verdana"/>
          <w:color w:val="006CB6"/>
        </w:rPr>
      </w:pPr>
    </w:p>
    <w:tbl>
      <w:tblPr>
        <w:tblW w:w="9090" w:type="dxa"/>
        <w:tblInd w:w="108" w:type="dxa"/>
        <w:tblLook w:val="04A0" w:firstRow="1" w:lastRow="0" w:firstColumn="1" w:lastColumn="0" w:noHBand="0" w:noVBand="1"/>
      </w:tblPr>
      <w:tblGrid>
        <w:gridCol w:w="9090"/>
      </w:tblGrid>
      <w:tr w:rsidR="00F24971" w:rsidRPr="005B6074" w:rsidTr="00F24971">
        <w:tc>
          <w:tcPr>
            <w:tcW w:w="9090" w:type="dxa"/>
            <w:shd w:val="clear" w:color="auto" w:fill="auto"/>
          </w:tcPr>
          <w:p w:rsidR="00F24971" w:rsidRPr="005B6074" w:rsidRDefault="00A35E98" w:rsidP="00F24971">
            <w:pPr>
              <w:pBdr>
                <w:top w:val="single" w:sz="4" w:space="1" w:color="auto"/>
                <w:bottom w:val="single" w:sz="4" w:space="1" w:color="auto"/>
              </w:pBdr>
              <w:shd w:val="clear" w:color="auto" w:fill="548DD4"/>
              <w:rPr>
                <w:rFonts w:ascii="Verdana" w:hAnsi="Verdana"/>
                <w:color w:val="FFFFFF"/>
                <w:sz w:val="20"/>
                <w:szCs w:val="20"/>
              </w:rPr>
            </w:pPr>
            <w:r w:rsidRPr="005B6074">
              <w:rPr>
                <w:rFonts w:ascii="Verdana" w:hAnsi="Verdana"/>
                <w:color w:val="FFFFFF"/>
                <w:sz w:val="20"/>
              </w:rPr>
              <w:t>Priority Axis 1: Entrepreneurship, Production and Export Potential</w:t>
            </w:r>
          </w:p>
          <w:p w:rsidR="00F24971" w:rsidRPr="005B6074" w:rsidRDefault="00A35E98" w:rsidP="00181A22">
            <w:pPr>
              <w:pStyle w:val="ListParagraph"/>
              <w:numPr>
                <w:ilvl w:val="1"/>
                <w:numId w:val="39"/>
              </w:numPr>
              <w:autoSpaceDE w:val="0"/>
              <w:autoSpaceDN w:val="0"/>
              <w:adjustRightInd w:val="0"/>
              <w:spacing w:after="120"/>
              <w:ind w:left="540" w:hanging="450"/>
              <w:jc w:val="both"/>
              <w:rPr>
                <w:rFonts w:ascii="Verdana" w:hAnsi="Verdana"/>
                <w:bCs/>
                <w:sz w:val="20"/>
                <w:szCs w:val="20"/>
              </w:rPr>
            </w:pPr>
            <w:r w:rsidRPr="005B6074">
              <w:rPr>
                <w:rFonts w:ascii="Verdana" w:hAnsi="Verdana"/>
                <w:sz w:val="20"/>
              </w:rPr>
              <w:t xml:space="preserve">"Encouraging the investments in the scientific research and innovation activity" (technological development and innovations) </w:t>
            </w:r>
          </w:p>
          <w:p w:rsidR="00F24971" w:rsidRPr="005B6074" w:rsidRDefault="00A35E98" w:rsidP="00181A22">
            <w:pPr>
              <w:pStyle w:val="ListParagraph"/>
              <w:numPr>
                <w:ilvl w:val="1"/>
                <w:numId w:val="39"/>
              </w:numPr>
              <w:autoSpaceDE w:val="0"/>
              <w:autoSpaceDN w:val="0"/>
              <w:adjustRightInd w:val="0"/>
              <w:spacing w:after="120"/>
              <w:ind w:left="540" w:hanging="450"/>
              <w:jc w:val="both"/>
              <w:rPr>
                <w:rFonts w:ascii="Verdana" w:hAnsi="Verdana"/>
                <w:bCs/>
                <w:sz w:val="20"/>
                <w:szCs w:val="20"/>
              </w:rPr>
            </w:pPr>
            <w:r w:rsidRPr="005B6074">
              <w:rPr>
                <w:rFonts w:ascii="Verdana" w:hAnsi="Verdana"/>
                <w:sz w:val="20"/>
              </w:rPr>
              <w:t>"Support for the increase of the capacity of SME for the increase of their contribution to the economic growth and development of innovation processes" (competitiveness and productivity)</w:t>
            </w:r>
          </w:p>
          <w:p w:rsidR="00F24971" w:rsidRPr="005B6074" w:rsidRDefault="00A35E98" w:rsidP="00F24971">
            <w:pPr>
              <w:pBdr>
                <w:top w:val="single" w:sz="4" w:space="0" w:color="auto"/>
                <w:left w:val="single" w:sz="4" w:space="4" w:color="auto"/>
                <w:bottom w:val="single" w:sz="4" w:space="1" w:color="auto"/>
                <w:right w:val="single" w:sz="4" w:space="4" w:color="auto"/>
              </w:pBdr>
              <w:shd w:val="clear" w:color="auto" w:fill="548DD4"/>
              <w:rPr>
                <w:rFonts w:ascii="Verdana" w:hAnsi="Verdana"/>
                <w:color w:val="FFFFFF"/>
                <w:sz w:val="20"/>
                <w:szCs w:val="20"/>
              </w:rPr>
            </w:pPr>
            <w:r w:rsidRPr="005B6074">
              <w:rPr>
                <w:rFonts w:ascii="Verdana" w:hAnsi="Verdana"/>
                <w:color w:val="FFFFFF"/>
                <w:sz w:val="20"/>
              </w:rPr>
              <w:t>Priority Axis 2: Green and Energy-Efficient Economy</w:t>
            </w:r>
          </w:p>
          <w:p w:rsidR="00F24971" w:rsidRPr="005B6074" w:rsidRDefault="00A35E98" w:rsidP="00181A22">
            <w:pPr>
              <w:pStyle w:val="ListParagraph"/>
              <w:numPr>
                <w:ilvl w:val="0"/>
                <w:numId w:val="40"/>
              </w:numPr>
              <w:autoSpaceDE w:val="0"/>
              <w:autoSpaceDN w:val="0"/>
              <w:adjustRightInd w:val="0"/>
              <w:spacing w:after="120"/>
              <w:ind w:left="540" w:hanging="450"/>
              <w:jc w:val="both"/>
              <w:rPr>
                <w:rFonts w:ascii="Verdana" w:hAnsi="Verdana"/>
                <w:sz w:val="20"/>
                <w:szCs w:val="20"/>
              </w:rPr>
            </w:pPr>
            <w:r w:rsidRPr="005B6074">
              <w:rPr>
                <w:rFonts w:ascii="Verdana" w:hAnsi="Verdana"/>
                <w:sz w:val="20"/>
              </w:rPr>
              <w:t xml:space="preserve">"Support for the transition to resource effective and green economy" (resource effectiveness of the enterprises) </w:t>
            </w:r>
          </w:p>
          <w:p w:rsidR="00F24971" w:rsidRPr="005B6074" w:rsidRDefault="00A35E98" w:rsidP="00181A22">
            <w:pPr>
              <w:pStyle w:val="ListParagraph"/>
              <w:numPr>
                <w:ilvl w:val="0"/>
                <w:numId w:val="40"/>
              </w:numPr>
              <w:autoSpaceDE w:val="0"/>
              <w:autoSpaceDN w:val="0"/>
              <w:adjustRightInd w:val="0"/>
              <w:spacing w:after="120"/>
              <w:ind w:left="540" w:hanging="450"/>
              <w:jc w:val="both"/>
              <w:rPr>
                <w:rFonts w:ascii="Verdana" w:hAnsi="Verdana"/>
                <w:sz w:val="20"/>
                <w:szCs w:val="20"/>
              </w:rPr>
            </w:pPr>
            <w:r w:rsidRPr="005B6074">
              <w:rPr>
                <w:rFonts w:ascii="Verdana" w:hAnsi="Verdana"/>
                <w:sz w:val="20"/>
              </w:rPr>
              <w:t>"Encouraging the energy effectiveness and utilization of energy from renewable sources in the enterprises" (energy technologies and energy effectiveness)</w:t>
            </w:r>
          </w:p>
        </w:tc>
      </w:tr>
    </w:tbl>
    <w:p w:rsidR="00F24971" w:rsidRPr="005B6074" w:rsidRDefault="00F24971" w:rsidP="00F24971">
      <w:pPr>
        <w:pStyle w:val="Caption"/>
        <w:jc w:val="center"/>
        <w:rPr>
          <w:rFonts w:ascii="Verdana" w:hAnsi="Verdana"/>
          <w:color w:val="006CB6"/>
        </w:rPr>
      </w:pPr>
    </w:p>
    <w:p w:rsidR="00F24971" w:rsidRPr="005B6074" w:rsidRDefault="00A35E98" w:rsidP="00F24971">
      <w:pPr>
        <w:keepNext/>
        <w:spacing w:before="240" w:after="120"/>
        <w:rPr>
          <w:rFonts w:ascii="Verdana" w:hAnsi="Verdana"/>
          <w:b/>
          <w:color w:val="548DD4"/>
          <w:sz w:val="20"/>
          <w:szCs w:val="20"/>
        </w:rPr>
      </w:pPr>
      <w:bookmarkStart w:id="69" w:name="_Toc390257059"/>
      <w:bookmarkStart w:id="70" w:name="_Toc396225598"/>
      <w:r w:rsidRPr="005B6074">
        <w:rPr>
          <w:rFonts w:ascii="Verdana" w:hAnsi="Verdana"/>
          <w:b/>
          <w:color w:val="548DD4"/>
          <w:sz w:val="20"/>
        </w:rPr>
        <w:t xml:space="preserve">Table </w:t>
      </w:r>
      <w:r w:rsidRPr="005B6074">
        <w:rPr>
          <w:rFonts w:ascii="Verdana" w:hAnsi="Verdana"/>
          <w:b/>
          <w:color w:val="548DD4"/>
          <w:sz w:val="20"/>
        </w:rPr>
        <w:fldChar w:fldCharType="begin"/>
      </w:r>
      <w:r w:rsidRPr="005B6074">
        <w:rPr>
          <w:rFonts w:ascii="Verdana" w:hAnsi="Verdana"/>
          <w:b/>
          <w:color w:val="548DD4"/>
          <w:sz w:val="20"/>
        </w:rPr>
        <w:instrText xml:space="preserve"> SEQ Таблица \* ARABIC </w:instrText>
      </w:r>
      <w:r w:rsidRPr="005B6074">
        <w:rPr>
          <w:rFonts w:ascii="Verdana" w:hAnsi="Verdana"/>
          <w:b/>
          <w:color w:val="548DD4"/>
          <w:sz w:val="20"/>
        </w:rPr>
        <w:fldChar w:fldCharType="separate"/>
      </w:r>
      <w:r w:rsidR="009330F5">
        <w:rPr>
          <w:rFonts w:ascii="Verdana" w:hAnsi="Verdana"/>
          <w:b/>
          <w:noProof/>
          <w:color w:val="548DD4"/>
          <w:sz w:val="20"/>
        </w:rPr>
        <w:t>3</w:t>
      </w:r>
      <w:r w:rsidRPr="005B6074">
        <w:rPr>
          <w:rFonts w:ascii="Verdana" w:hAnsi="Verdana"/>
          <w:b/>
          <w:color w:val="548DD4"/>
          <w:sz w:val="20"/>
        </w:rPr>
        <w:fldChar w:fldCharType="end"/>
      </w:r>
      <w:r w:rsidRPr="005B6074">
        <w:rPr>
          <w:rFonts w:ascii="Verdana" w:hAnsi="Verdana"/>
          <w:b/>
          <w:color w:val="548DD4"/>
          <w:sz w:val="20"/>
        </w:rPr>
        <w:t xml:space="preserve">: Connection between the Priorities of </w:t>
      </w:r>
      <w:r w:rsidR="005B35A7">
        <w:rPr>
          <w:rFonts w:ascii="Verdana" w:hAnsi="Verdana"/>
          <w:b/>
          <w:color w:val="548DD4"/>
          <w:sz w:val="20"/>
        </w:rPr>
        <w:t>OPSESG</w:t>
      </w:r>
      <w:r w:rsidRPr="005B6074">
        <w:rPr>
          <w:rFonts w:ascii="Verdana" w:hAnsi="Verdana"/>
          <w:b/>
          <w:color w:val="548DD4"/>
          <w:sz w:val="20"/>
        </w:rPr>
        <w:t xml:space="preserve"> and OPIC</w:t>
      </w:r>
      <w:bookmarkEnd w:id="69"/>
      <w:bookmarkEnd w:id="70"/>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260"/>
        <w:gridCol w:w="900"/>
        <w:gridCol w:w="900"/>
        <w:gridCol w:w="720"/>
        <w:gridCol w:w="720"/>
        <w:gridCol w:w="630"/>
        <w:gridCol w:w="990"/>
        <w:gridCol w:w="1080"/>
      </w:tblGrid>
      <w:tr w:rsidR="00F24971" w:rsidRPr="005B6074" w:rsidTr="00F24971">
        <w:trPr>
          <w:trHeight w:val="510"/>
        </w:trPr>
        <w:tc>
          <w:tcPr>
            <w:tcW w:w="2340" w:type="dxa"/>
            <w:shd w:val="clear" w:color="000000" w:fill="548DD4"/>
            <w:vAlign w:val="center"/>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Operational Programme / Priority Axis</w:t>
            </w:r>
          </w:p>
        </w:tc>
        <w:tc>
          <w:tcPr>
            <w:tcW w:w="1260" w:type="dxa"/>
            <w:shd w:val="clear" w:color="000000" w:fill="548DD4"/>
            <w:vAlign w:val="center"/>
            <w:hideMark/>
          </w:tcPr>
          <w:p w:rsidR="00F24971" w:rsidRPr="004D5FA1" w:rsidRDefault="005B35A7" w:rsidP="004D5FA1">
            <w:pPr>
              <w:jc w:val="center"/>
              <w:rPr>
                <w:rFonts w:ascii="Verdana" w:hAnsi="Verdana"/>
                <w:color w:val="FFFFFF" w:themeColor="background1"/>
                <w:sz w:val="18"/>
                <w:szCs w:val="18"/>
              </w:rPr>
            </w:pPr>
            <w:r>
              <w:rPr>
                <w:rFonts w:ascii="Verdana" w:hAnsi="Verdana"/>
                <w:color w:val="FFFFFF" w:themeColor="background1"/>
                <w:sz w:val="18"/>
                <w:szCs w:val="18"/>
              </w:rPr>
              <w:t>OPSESG</w:t>
            </w:r>
          </w:p>
        </w:tc>
        <w:tc>
          <w:tcPr>
            <w:tcW w:w="1800" w:type="dxa"/>
            <w:gridSpan w:val="2"/>
            <w:shd w:val="clear" w:color="000000" w:fill="548DD4"/>
            <w:vAlign w:val="center"/>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PA 1: Scientific Research and Technological Development</w:t>
            </w:r>
          </w:p>
        </w:tc>
        <w:tc>
          <w:tcPr>
            <w:tcW w:w="2070" w:type="dxa"/>
            <w:gridSpan w:val="3"/>
            <w:shd w:val="clear" w:color="000000" w:fill="548DD4"/>
            <w:vAlign w:val="center"/>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PA 2: Education and Lifelong Learning</w:t>
            </w:r>
          </w:p>
        </w:tc>
        <w:tc>
          <w:tcPr>
            <w:tcW w:w="2070" w:type="dxa"/>
            <w:gridSpan w:val="2"/>
            <w:shd w:val="clear" w:color="000000" w:fill="548DD4"/>
            <w:vAlign w:val="center"/>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PA 3: Educational Environment for Active Social Inclusion</w:t>
            </w:r>
          </w:p>
        </w:tc>
      </w:tr>
      <w:tr w:rsidR="00F24971" w:rsidRPr="005B6074" w:rsidTr="00F24971">
        <w:trPr>
          <w:trHeight w:val="300"/>
        </w:trPr>
        <w:tc>
          <w:tcPr>
            <w:tcW w:w="2340" w:type="dxa"/>
            <w:shd w:val="clear" w:color="auto" w:fill="548DD4"/>
            <w:vAlign w:val="center"/>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OPIC</w:t>
            </w:r>
          </w:p>
        </w:tc>
        <w:tc>
          <w:tcPr>
            <w:tcW w:w="1260" w:type="dxa"/>
            <w:shd w:val="clear" w:color="000000" w:fill="C6D9F1"/>
            <w:vAlign w:val="bottom"/>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Priority</w:t>
            </w:r>
          </w:p>
        </w:tc>
        <w:tc>
          <w:tcPr>
            <w:tcW w:w="900" w:type="dxa"/>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1.1</w:t>
            </w:r>
          </w:p>
        </w:tc>
        <w:tc>
          <w:tcPr>
            <w:tcW w:w="900" w:type="dxa"/>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1.2</w:t>
            </w:r>
          </w:p>
        </w:tc>
        <w:tc>
          <w:tcPr>
            <w:tcW w:w="720" w:type="dxa"/>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2.1</w:t>
            </w:r>
          </w:p>
        </w:tc>
        <w:tc>
          <w:tcPr>
            <w:tcW w:w="720" w:type="dxa"/>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2.2</w:t>
            </w:r>
          </w:p>
        </w:tc>
        <w:tc>
          <w:tcPr>
            <w:tcW w:w="630" w:type="dxa"/>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2.3</w:t>
            </w:r>
          </w:p>
        </w:tc>
        <w:tc>
          <w:tcPr>
            <w:tcW w:w="990" w:type="dxa"/>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3.1</w:t>
            </w:r>
          </w:p>
        </w:tc>
        <w:tc>
          <w:tcPr>
            <w:tcW w:w="1080" w:type="dxa"/>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3.2</w:t>
            </w:r>
          </w:p>
        </w:tc>
      </w:tr>
      <w:tr w:rsidR="004D5FA1" w:rsidRPr="005B6074" w:rsidTr="004D5FA1">
        <w:trPr>
          <w:trHeight w:val="653"/>
        </w:trPr>
        <w:tc>
          <w:tcPr>
            <w:tcW w:w="2340" w:type="dxa"/>
            <w:vMerge w:val="restart"/>
            <w:shd w:val="clear" w:color="auto" w:fill="548DD4"/>
            <w:vAlign w:val="center"/>
            <w:hideMark/>
          </w:tcPr>
          <w:p w:rsidR="004D5FA1" w:rsidRPr="004D5FA1" w:rsidRDefault="004D5FA1"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PA 1: Entrepreneurship, Production and Export Potential</w:t>
            </w:r>
          </w:p>
        </w:tc>
        <w:tc>
          <w:tcPr>
            <w:tcW w:w="1260" w:type="dxa"/>
            <w:shd w:val="clear" w:color="000000" w:fill="C6D9F1"/>
            <w:vAlign w:val="center"/>
            <w:hideMark/>
          </w:tcPr>
          <w:p w:rsidR="004D5FA1" w:rsidRPr="004D5FA1" w:rsidRDefault="004D5FA1" w:rsidP="004D5FA1">
            <w:pPr>
              <w:jc w:val="center"/>
              <w:rPr>
                <w:rFonts w:ascii="Verdana" w:eastAsia="Times New Roman" w:hAnsi="Verdana"/>
                <w:sz w:val="18"/>
                <w:szCs w:val="18"/>
              </w:rPr>
            </w:pPr>
            <w:r w:rsidRPr="004D5FA1">
              <w:rPr>
                <w:rFonts w:ascii="Verdana" w:hAnsi="Verdana"/>
                <w:sz w:val="18"/>
                <w:szCs w:val="18"/>
              </w:rPr>
              <w:t>1.1</w:t>
            </w:r>
          </w:p>
        </w:tc>
        <w:tc>
          <w:tcPr>
            <w:tcW w:w="900" w:type="dxa"/>
            <w:shd w:val="clear" w:color="auto" w:fill="auto"/>
            <w:vAlign w:val="center"/>
            <w:hideMark/>
          </w:tcPr>
          <w:p w:rsidR="004D5FA1" w:rsidRDefault="004D5FA1" w:rsidP="004D5FA1">
            <w:pPr>
              <w:spacing w:after="0"/>
              <w:jc w:val="center"/>
            </w:pPr>
            <w:r w:rsidRPr="004B1C97">
              <w:rPr>
                <w:rFonts w:ascii="Wingdings 2" w:hAnsi="Wingdings 2"/>
                <w:color w:val="0070C0"/>
                <w:sz w:val="26"/>
              </w:rPr>
              <w:t></w:t>
            </w:r>
            <w:r w:rsidRPr="004B1C97">
              <w:rPr>
                <w:rFonts w:ascii="Wingdings 2" w:hAnsi="Wingdings 2"/>
                <w:color w:val="0070C0"/>
                <w:sz w:val="26"/>
              </w:rPr>
              <w:t></w:t>
            </w:r>
            <w:r w:rsidRPr="004B1C97">
              <w:rPr>
                <w:rFonts w:ascii="Wingdings 2" w:hAnsi="Wingdings 2"/>
                <w:color w:val="0070C0"/>
                <w:sz w:val="26"/>
              </w:rPr>
              <w:t></w:t>
            </w:r>
          </w:p>
        </w:tc>
        <w:tc>
          <w:tcPr>
            <w:tcW w:w="900" w:type="dxa"/>
            <w:shd w:val="clear" w:color="auto" w:fill="auto"/>
            <w:vAlign w:val="center"/>
            <w:hideMark/>
          </w:tcPr>
          <w:p w:rsidR="004D5FA1" w:rsidRDefault="004D5FA1" w:rsidP="004D5FA1">
            <w:pPr>
              <w:spacing w:after="0"/>
              <w:jc w:val="center"/>
            </w:pPr>
            <w:r w:rsidRPr="004B1C97">
              <w:rPr>
                <w:rFonts w:ascii="Wingdings 2" w:hAnsi="Wingdings 2"/>
                <w:color w:val="0070C0"/>
                <w:sz w:val="26"/>
              </w:rPr>
              <w:t></w:t>
            </w:r>
            <w:r w:rsidRPr="004B1C97">
              <w:rPr>
                <w:rFonts w:ascii="Wingdings 2" w:hAnsi="Wingdings 2"/>
                <w:color w:val="0070C0"/>
                <w:sz w:val="26"/>
              </w:rPr>
              <w:t></w:t>
            </w:r>
            <w:r w:rsidRPr="004B1C97">
              <w:rPr>
                <w:rFonts w:ascii="Wingdings 2" w:hAnsi="Wingdings 2"/>
                <w:color w:val="0070C0"/>
                <w:sz w:val="26"/>
              </w:rPr>
              <w:t></w:t>
            </w:r>
          </w:p>
        </w:tc>
        <w:tc>
          <w:tcPr>
            <w:tcW w:w="720" w:type="dxa"/>
            <w:shd w:val="clear" w:color="auto" w:fill="auto"/>
            <w:vAlign w:val="center"/>
            <w:hideMark/>
          </w:tcPr>
          <w:p w:rsidR="004D5FA1" w:rsidRPr="004D5FA1" w:rsidRDefault="004D5FA1" w:rsidP="004D5FA1">
            <w:pPr>
              <w:jc w:val="center"/>
              <w:rPr>
                <w:rFonts w:ascii="Verdana" w:eastAsia="Times New Roman" w:hAnsi="Verdana"/>
                <w:color w:val="0070C0"/>
                <w:sz w:val="18"/>
                <w:szCs w:val="18"/>
              </w:rPr>
            </w:pPr>
          </w:p>
        </w:tc>
        <w:tc>
          <w:tcPr>
            <w:tcW w:w="720" w:type="dxa"/>
            <w:shd w:val="clear" w:color="auto" w:fill="auto"/>
            <w:vAlign w:val="center"/>
            <w:hideMark/>
          </w:tcPr>
          <w:p w:rsidR="004D5FA1" w:rsidRPr="004D5FA1" w:rsidRDefault="004D5FA1" w:rsidP="004D5FA1">
            <w:pPr>
              <w:jc w:val="center"/>
              <w:rPr>
                <w:rFonts w:ascii="Verdana" w:eastAsia="Times New Roman" w:hAnsi="Verdana"/>
                <w:color w:val="0070C0"/>
                <w:sz w:val="18"/>
                <w:szCs w:val="18"/>
              </w:rPr>
            </w:pPr>
          </w:p>
        </w:tc>
        <w:tc>
          <w:tcPr>
            <w:tcW w:w="630" w:type="dxa"/>
            <w:shd w:val="clear" w:color="auto" w:fill="auto"/>
            <w:vAlign w:val="center"/>
            <w:hideMark/>
          </w:tcPr>
          <w:p w:rsidR="004D5FA1" w:rsidRPr="004D5FA1" w:rsidRDefault="004D5FA1" w:rsidP="004D5FA1">
            <w:pPr>
              <w:jc w:val="center"/>
              <w:rPr>
                <w:rFonts w:ascii="Verdana" w:eastAsia="Times New Roman" w:hAnsi="Verdana"/>
                <w:color w:val="0070C0"/>
                <w:sz w:val="18"/>
                <w:szCs w:val="18"/>
              </w:rPr>
            </w:pPr>
          </w:p>
        </w:tc>
        <w:tc>
          <w:tcPr>
            <w:tcW w:w="990" w:type="dxa"/>
            <w:shd w:val="clear" w:color="auto" w:fill="auto"/>
            <w:vAlign w:val="center"/>
            <w:hideMark/>
          </w:tcPr>
          <w:p w:rsidR="004D5FA1" w:rsidRPr="004D5FA1" w:rsidRDefault="004D5FA1" w:rsidP="004D5FA1">
            <w:pPr>
              <w:jc w:val="center"/>
              <w:rPr>
                <w:rFonts w:ascii="Verdana" w:eastAsia="Times New Roman" w:hAnsi="Verdana"/>
                <w:color w:val="0070C0"/>
                <w:sz w:val="18"/>
                <w:szCs w:val="18"/>
              </w:rPr>
            </w:pPr>
          </w:p>
        </w:tc>
        <w:tc>
          <w:tcPr>
            <w:tcW w:w="1080" w:type="dxa"/>
            <w:shd w:val="clear" w:color="auto" w:fill="auto"/>
            <w:vAlign w:val="center"/>
            <w:hideMark/>
          </w:tcPr>
          <w:p w:rsidR="004D5FA1" w:rsidRPr="004D5FA1" w:rsidRDefault="004D5FA1" w:rsidP="004D5FA1">
            <w:pPr>
              <w:jc w:val="center"/>
              <w:rPr>
                <w:rFonts w:ascii="Verdana" w:eastAsia="Times New Roman" w:hAnsi="Verdana"/>
                <w:sz w:val="18"/>
                <w:szCs w:val="18"/>
              </w:rPr>
            </w:pPr>
          </w:p>
        </w:tc>
      </w:tr>
      <w:tr w:rsidR="00F24971" w:rsidRPr="005B6074" w:rsidTr="00F24971">
        <w:trPr>
          <w:trHeight w:val="330"/>
        </w:trPr>
        <w:tc>
          <w:tcPr>
            <w:tcW w:w="2340" w:type="dxa"/>
            <w:vMerge/>
            <w:shd w:val="clear" w:color="auto" w:fill="548DD4"/>
            <w:vAlign w:val="center"/>
            <w:hideMark/>
          </w:tcPr>
          <w:p w:rsidR="00F24971" w:rsidRPr="004D5FA1" w:rsidRDefault="00F24971" w:rsidP="004D5FA1">
            <w:pPr>
              <w:jc w:val="center"/>
              <w:rPr>
                <w:rFonts w:ascii="Verdana" w:hAnsi="Verdana"/>
                <w:color w:val="FFFFFF" w:themeColor="background1"/>
                <w:sz w:val="18"/>
                <w:szCs w:val="18"/>
              </w:rPr>
            </w:pPr>
          </w:p>
        </w:tc>
        <w:tc>
          <w:tcPr>
            <w:tcW w:w="1260" w:type="dxa"/>
            <w:shd w:val="clear" w:color="000000" w:fill="C6D9F1"/>
            <w:vAlign w:val="center"/>
            <w:hideMark/>
          </w:tcPr>
          <w:p w:rsidR="00F24971" w:rsidRPr="004D5FA1" w:rsidRDefault="00A35E98" w:rsidP="004D5FA1">
            <w:pPr>
              <w:jc w:val="center"/>
              <w:rPr>
                <w:rFonts w:ascii="Verdana" w:eastAsia="Times New Roman" w:hAnsi="Verdana"/>
                <w:sz w:val="18"/>
                <w:szCs w:val="18"/>
              </w:rPr>
            </w:pPr>
            <w:r w:rsidRPr="004D5FA1">
              <w:rPr>
                <w:rFonts w:ascii="Verdana" w:hAnsi="Verdana"/>
                <w:sz w:val="18"/>
                <w:szCs w:val="18"/>
              </w:rPr>
              <w:t>1.2</w:t>
            </w:r>
          </w:p>
        </w:tc>
        <w:tc>
          <w:tcPr>
            <w:tcW w:w="90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90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63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99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1080" w:type="dxa"/>
            <w:shd w:val="clear" w:color="auto" w:fill="auto"/>
            <w:vAlign w:val="center"/>
            <w:hideMark/>
          </w:tcPr>
          <w:p w:rsidR="00F24971" w:rsidRPr="004D5FA1" w:rsidRDefault="00F24971" w:rsidP="004D5FA1">
            <w:pPr>
              <w:jc w:val="center"/>
              <w:rPr>
                <w:rFonts w:ascii="Verdana" w:eastAsia="Times New Roman" w:hAnsi="Verdana"/>
                <w:sz w:val="18"/>
                <w:szCs w:val="18"/>
              </w:rPr>
            </w:pPr>
          </w:p>
        </w:tc>
      </w:tr>
      <w:tr w:rsidR="00F24971" w:rsidRPr="005B6074" w:rsidTr="00F24971">
        <w:trPr>
          <w:trHeight w:val="356"/>
        </w:trPr>
        <w:tc>
          <w:tcPr>
            <w:tcW w:w="2340" w:type="dxa"/>
            <w:vMerge w:val="restart"/>
            <w:shd w:val="clear" w:color="auto" w:fill="548DD4"/>
            <w:vAlign w:val="center"/>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lastRenderedPageBreak/>
              <w:t>PA 2: Green and Energy-Efficient Economy</w:t>
            </w:r>
          </w:p>
        </w:tc>
        <w:tc>
          <w:tcPr>
            <w:tcW w:w="1260" w:type="dxa"/>
            <w:shd w:val="clear" w:color="000000" w:fill="C6D9F1"/>
            <w:vAlign w:val="center"/>
            <w:hideMark/>
          </w:tcPr>
          <w:p w:rsidR="00F24971" w:rsidRPr="004D5FA1" w:rsidRDefault="00A35E98" w:rsidP="004D5FA1">
            <w:pPr>
              <w:jc w:val="center"/>
              <w:rPr>
                <w:rFonts w:ascii="Verdana" w:eastAsia="Times New Roman" w:hAnsi="Verdana"/>
                <w:sz w:val="18"/>
                <w:szCs w:val="18"/>
              </w:rPr>
            </w:pPr>
            <w:r w:rsidRPr="004D5FA1">
              <w:rPr>
                <w:rFonts w:ascii="Verdana" w:hAnsi="Verdana"/>
                <w:sz w:val="18"/>
                <w:szCs w:val="18"/>
              </w:rPr>
              <w:t>2.1</w:t>
            </w:r>
          </w:p>
        </w:tc>
        <w:tc>
          <w:tcPr>
            <w:tcW w:w="90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90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63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99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108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r>
      <w:tr w:rsidR="00F24971" w:rsidRPr="005B6074" w:rsidTr="00F24971">
        <w:trPr>
          <w:trHeight w:val="330"/>
        </w:trPr>
        <w:tc>
          <w:tcPr>
            <w:tcW w:w="2340" w:type="dxa"/>
            <w:vMerge/>
            <w:shd w:val="clear" w:color="auto" w:fill="548DD4"/>
            <w:vAlign w:val="center"/>
            <w:hideMark/>
          </w:tcPr>
          <w:p w:rsidR="00F24971" w:rsidRPr="005B6074" w:rsidRDefault="00F24971" w:rsidP="00F24971">
            <w:pPr>
              <w:spacing w:after="0" w:line="240" w:lineRule="auto"/>
              <w:rPr>
                <w:rFonts w:ascii="Verdana" w:eastAsia="Times New Roman" w:hAnsi="Verdana"/>
                <w:bCs/>
                <w:color w:val="FFFFFF"/>
                <w:sz w:val="18"/>
                <w:szCs w:val="18"/>
              </w:rPr>
            </w:pPr>
          </w:p>
        </w:tc>
        <w:tc>
          <w:tcPr>
            <w:tcW w:w="1260" w:type="dxa"/>
            <w:shd w:val="clear" w:color="000000" w:fill="C6D9F1"/>
            <w:vAlign w:val="center"/>
            <w:hideMark/>
          </w:tcPr>
          <w:p w:rsidR="00F24971" w:rsidRPr="004D5FA1" w:rsidRDefault="00A35E98" w:rsidP="004D5FA1">
            <w:pPr>
              <w:jc w:val="center"/>
              <w:rPr>
                <w:rFonts w:ascii="Verdana" w:eastAsia="Times New Roman" w:hAnsi="Verdana"/>
                <w:sz w:val="18"/>
                <w:szCs w:val="18"/>
              </w:rPr>
            </w:pPr>
            <w:r w:rsidRPr="004D5FA1">
              <w:rPr>
                <w:rFonts w:ascii="Verdana" w:hAnsi="Verdana"/>
                <w:sz w:val="18"/>
                <w:szCs w:val="18"/>
              </w:rPr>
              <w:t>2.2</w:t>
            </w:r>
          </w:p>
        </w:tc>
        <w:tc>
          <w:tcPr>
            <w:tcW w:w="90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90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63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99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c>
          <w:tcPr>
            <w:tcW w:w="1080" w:type="dxa"/>
            <w:shd w:val="clear" w:color="auto" w:fill="auto"/>
            <w:vAlign w:val="center"/>
            <w:hideMark/>
          </w:tcPr>
          <w:p w:rsidR="00F24971" w:rsidRPr="004D5FA1" w:rsidRDefault="00F24971" w:rsidP="004D5FA1">
            <w:pPr>
              <w:jc w:val="center"/>
              <w:rPr>
                <w:rFonts w:ascii="Verdana" w:eastAsia="Times New Roman" w:hAnsi="Verdana"/>
                <w:color w:val="0070C0"/>
                <w:sz w:val="18"/>
                <w:szCs w:val="18"/>
              </w:rPr>
            </w:pPr>
          </w:p>
        </w:tc>
      </w:tr>
    </w:tbl>
    <w:p w:rsidR="00F24971" w:rsidRPr="005B6074" w:rsidRDefault="00A35E98" w:rsidP="00F24971">
      <w:pPr>
        <w:spacing w:before="120"/>
        <w:rPr>
          <w:rFonts w:ascii="Verdana" w:hAnsi="Verdana"/>
          <w:i/>
          <w:sz w:val="18"/>
          <w:szCs w:val="18"/>
        </w:rPr>
      </w:pPr>
      <w:r w:rsidRPr="005B6074">
        <w:rPr>
          <w:rFonts w:ascii="Verdana" w:hAnsi="Verdana"/>
          <w:i/>
          <w:sz w:val="18"/>
        </w:rPr>
        <w:t xml:space="preserve">Legend: </w:t>
      </w:r>
      <w:r w:rsidRPr="005B6074">
        <w:rPr>
          <w:rFonts w:ascii="Wingdings 2" w:hAnsi="Wingdings 2"/>
          <w:color w:val="0070C0"/>
          <w:sz w:val="26"/>
        </w:rPr>
        <w:t></w:t>
      </w:r>
      <w:r w:rsidRPr="005B6074">
        <w:rPr>
          <w:rFonts w:ascii="Verdana" w:hAnsi="Verdana"/>
          <w:i/>
          <w:sz w:val="18"/>
        </w:rPr>
        <w:t xml:space="preserve"> - weak connection, </w:t>
      </w:r>
      <w:r w:rsidRPr="005B6074">
        <w:rPr>
          <w:rFonts w:ascii="Wingdings 2" w:hAnsi="Wingdings 2"/>
          <w:color w:val="0070C0"/>
          <w:sz w:val="26"/>
        </w:rPr>
        <w:t></w:t>
      </w:r>
      <w:r w:rsidRPr="005B6074">
        <w:rPr>
          <w:rFonts w:ascii="Wingdings 2" w:hAnsi="Wingdings 2"/>
          <w:color w:val="0070C0"/>
          <w:sz w:val="26"/>
        </w:rPr>
        <w:t></w:t>
      </w:r>
      <w:r w:rsidRPr="005B6074">
        <w:rPr>
          <w:rFonts w:ascii="Verdana" w:hAnsi="Verdana"/>
          <w:sz w:val="26"/>
        </w:rPr>
        <w:t xml:space="preserve">- </w:t>
      </w:r>
      <w:r w:rsidRPr="005B6074">
        <w:rPr>
          <w:rFonts w:ascii="Verdana" w:hAnsi="Verdana"/>
          <w:i/>
          <w:sz w:val="18"/>
        </w:rPr>
        <w:t xml:space="preserve">average connection, </w:t>
      </w:r>
      <w:r w:rsidRPr="005B6074">
        <w:rPr>
          <w:rFonts w:ascii="Wingdings 2" w:hAnsi="Wingdings 2"/>
          <w:color w:val="0070C0"/>
          <w:sz w:val="26"/>
        </w:rPr>
        <w:t></w:t>
      </w:r>
      <w:r w:rsidRPr="005B6074">
        <w:rPr>
          <w:rFonts w:ascii="Wingdings 2" w:hAnsi="Wingdings 2"/>
          <w:color w:val="0070C0"/>
          <w:sz w:val="26"/>
        </w:rPr>
        <w:t></w:t>
      </w:r>
      <w:r w:rsidRPr="005B6074">
        <w:rPr>
          <w:rFonts w:ascii="Wingdings 2" w:hAnsi="Wingdings 2"/>
          <w:color w:val="0070C0"/>
          <w:sz w:val="26"/>
        </w:rPr>
        <w:t></w:t>
      </w:r>
      <w:r w:rsidRPr="005B6074">
        <w:rPr>
          <w:rFonts w:ascii="Verdana" w:hAnsi="Verdana"/>
          <w:i/>
          <w:sz w:val="18"/>
        </w:rPr>
        <w:t xml:space="preserve"> - strong connection</w:t>
      </w:r>
    </w:p>
    <w:p w:rsidR="00F24971" w:rsidRPr="005B6074" w:rsidRDefault="00A35E98" w:rsidP="00F24971">
      <w:pPr>
        <w:keepNext/>
        <w:spacing w:before="240" w:after="120"/>
        <w:rPr>
          <w:rFonts w:ascii="Verdana" w:hAnsi="Verdana"/>
          <w:b/>
          <w:color w:val="548DD4"/>
          <w:sz w:val="20"/>
          <w:szCs w:val="20"/>
        </w:rPr>
      </w:pPr>
      <w:bookmarkStart w:id="71" w:name="_Toc390257060"/>
      <w:bookmarkStart w:id="72" w:name="_Toc396225599"/>
      <w:r w:rsidRPr="005B6074">
        <w:rPr>
          <w:rFonts w:ascii="Verdana" w:hAnsi="Verdana"/>
          <w:b/>
          <w:color w:val="548DD4"/>
          <w:sz w:val="20"/>
        </w:rPr>
        <w:t xml:space="preserve">Table </w:t>
      </w:r>
      <w:r w:rsidRPr="005B6074">
        <w:rPr>
          <w:rFonts w:ascii="Verdana" w:hAnsi="Verdana"/>
          <w:b/>
          <w:color w:val="548DD4"/>
          <w:sz w:val="20"/>
        </w:rPr>
        <w:fldChar w:fldCharType="begin"/>
      </w:r>
      <w:r w:rsidRPr="005B6074">
        <w:rPr>
          <w:rFonts w:ascii="Verdana" w:hAnsi="Verdana"/>
          <w:b/>
          <w:color w:val="548DD4"/>
          <w:sz w:val="20"/>
        </w:rPr>
        <w:instrText>SEQ таблица \* ARABIC</w:instrText>
      </w:r>
      <w:r w:rsidRPr="005B6074">
        <w:rPr>
          <w:rFonts w:ascii="Verdana" w:hAnsi="Verdana"/>
          <w:b/>
          <w:color w:val="548DD4"/>
          <w:sz w:val="20"/>
        </w:rPr>
        <w:fldChar w:fldCharType="separate"/>
      </w:r>
      <w:r w:rsidR="009330F5">
        <w:rPr>
          <w:rFonts w:ascii="Verdana" w:hAnsi="Verdana"/>
          <w:b/>
          <w:noProof/>
          <w:color w:val="548DD4"/>
          <w:sz w:val="20"/>
        </w:rPr>
        <w:t>4</w:t>
      </w:r>
      <w:r w:rsidRPr="005B6074">
        <w:rPr>
          <w:rFonts w:ascii="Verdana" w:hAnsi="Verdana"/>
          <w:b/>
          <w:color w:val="548DD4"/>
          <w:sz w:val="20"/>
        </w:rPr>
        <w:fldChar w:fldCharType="end"/>
      </w:r>
      <w:r w:rsidRPr="005B6074">
        <w:rPr>
          <w:rFonts w:ascii="Verdana" w:hAnsi="Verdana"/>
          <w:b/>
          <w:color w:val="548DD4"/>
          <w:sz w:val="20"/>
        </w:rPr>
        <w:t xml:space="preserve">. Complementarity and Demarcation of </w:t>
      </w:r>
      <w:r w:rsidR="005B35A7">
        <w:rPr>
          <w:rFonts w:ascii="Verdana" w:hAnsi="Verdana"/>
          <w:b/>
          <w:color w:val="548DD4"/>
          <w:sz w:val="20"/>
        </w:rPr>
        <w:t>OPSESG</w:t>
      </w:r>
      <w:r w:rsidRPr="005B6074">
        <w:rPr>
          <w:rFonts w:ascii="Verdana" w:hAnsi="Verdana"/>
          <w:b/>
          <w:color w:val="548DD4"/>
          <w:sz w:val="20"/>
        </w:rPr>
        <w:t xml:space="preserve"> and OPIC</w:t>
      </w:r>
      <w:bookmarkEnd w:id="71"/>
      <w:bookmarkEnd w:id="72"/>
    </w:p>
    <w:tbl>
      <w:tblPr>
        <w:tblW w:w="9243" w:type="dxa"/>
        <w:tblInd w:w="108"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000" w:firstRow="0" w:lastRow="0" w:firstColumn="0" w:lastColumn="0" w:noHBand="0" w:noVBand="0"/>
      </w:tblPr>
      <w:tblGrid>
        <w:gridCol w:w="1961"/>
        <w:gridCol w:w="7282"/>
      </w:tblGrid>
      <w:tr w:rsidR="00F24971" w:rsidRPr="005B6074" w:rsidTr="009330F5">
        <w:tc>
          <w:tcPr>
            <w:tcW w:w="1961" w:type="dxa"/>
            <w:shd w:val="clear" w:color="auto" w:fill="548DD4"/>
          </w:tcPr>
          <w:p w:rsidR="00F24971" w:rsidRPr="00931B15" w:rsidRDefault="00A35E98" w:rsidP="00931B15">
            <w:pPr>
              <w:rPr>
                <w:rFonts w:ascii="Verdana" w:hAnsi="Verdana"/>
                <w:color w:val="FFFFFF" w:themeColor="background1"/>
                <w:sz w:val="20"/>
                <w:szCs w:val="20"/>
              </w:rPr>
            </w:pPr>
            <w:r w:rsidRPr="00931B15">
              <w:rPr>
                <w:rFonts w:ascii="Verdana" w:hAnsi="Verdana"/>
                <w:color w:val="FFFFFF" w:themeColor="background1"/>
                <w:sz w:val="20"/>
                <w:szCs w:val="20"/>
              </w:rPr>
              <w:t xml:space="preserve">Complementarity / Demarcation </w:t>
            </w:r>
            <w:r w:rsidR="00F52AAA" w:rsidRPr="00931B15">
              <w:rPr>
                <w:rFonts w:ascii="Verdana" w:hAnsi="Verdana"/>
                <w:color w:val="FFFFFF" w:themeColor="background1"/>
                <w:sz w:val="20"/>
                <w:szCs w:val="20"/>
              </w:rPr>
              <w:t>noted in the OPSESG</w:t>
            </w:r>
          </w:p>
        </w:tc>
        <w:tc>
          <w:tcPr>
            <w:tcW w:w="7282" w:type="dxa"/>
          </w:tcPr>
          <w:p w:rsidR="00F24971" w:rsidRPr="005B6074" w:rsidRDefault="00A35E98" w:rsidP="009330F5">
            <w:pPr>
              <w:spacing w:after="120"/>
              <w:rPr>
                <w:rFonts w:ascii="Verdana" w:hAnsi="Verdana"/>
                <w:sz w:val="20"/>
                <w:szCs w:val="20"/>
              </w:rPr>
            </w:pPr>
            <w:r w:rsidRPr="00931B15">
              <w:rPr>
                <w:rFonts w:ascii="Verdana" w:hAnsi="Verdana"/>
                <w:b/>
                <w:sz w:val="20"/>
                <w:szCs w:val="20"/>
              </w:rPr>
              <w:t>Complementarity:</w:t>
            </w:r>
            <w:r w:rsidRPr="00931B15">
              <w:rPr>
                <w:rFonts w:ascii="Verdana" w:hAnsi="Verdana"/>
                <w:sz w:val="20"/>
                <w:szCs w:val="20"/>
              </w:rPr>
              <w:t xml:space="preserve"> Both programmes complement each other with regard to the development of research, technological development and innovations by supporting various aspects of them. It is mentioned that both programmes should contribute to achieving the national R&amp;D target of 1.5% of GDP by 2020, as well as to the implementation of the more general objective, i.e. achieving smart growth of Bulgarian economy. At the same time there are no clear frameworks of complementarity between the programmes. There are possibilities provided for coordination at the level of implementation.</w:t>
            </w:r>
          </w:p>
          <w:p w:rsidR="00F24971" w:rsidRPr="005B6074" w:rsidRDefault="00A35E98" w:rsidP="009330F5">
            <w:pPr>
              <w:spacing w:after="120"/>
              <w:rPr>
                <w:rFonts w:ascii="Verdana" w:hAnsi="Verdana"/>
                <w:sz w:val="20"/>
                <w:szCs w:val="20"/>
              </w:rPr>
            </w:pPr>
            <w:r w:rsidRPr="00931B15">
              <w:rPr>
                <w:rFonts w:ascii="Verdana" w:hAnsi="Verdana"/>
                <w:b/>
                <w:sz w:val="20"/>
                <w:szCs w:val="20"/>
              </w:rPr>
              <w:t>Demarcation:</w:t>
            </w:r>
            <w:r w:rsidRPr="00931B15">
              <w:rPr>
                <w:rFonts w:ascii="Verdana" w:hAnsi="Verdana"/>
                <w:sz w:val="20"/>
                <w:szCs w:val="20"/>
              </w:rPr>
              <w:t xml:space="preserve"> It is noted that key demarcation line between the programmes will be «the various stages of development and introduction of the products of research in enterprises». </w:t>
            </w:r>
            <w:r w:rsidR="005B35A7">
              <w:rPr>
                <w:rFonts w:ascii="Verdana" w:hAnsi="Verdana"/>
                <w:sz w:val="20"/>
                <w:szCs w:val="20"/>
              </w:rPr>
              <w:t>OPSESG</w:t>
            </w:r>
            <w:r w:rsidRPr="00931B15">
              <w:rPr>
                <w:rFonts w:ascii="Verdana" w:hAnsi="Verdana"/>
                <w:sz w:val="20"/>
                <w:szCs w:val="20"/>
              </w:rPr>
              <w:t xml:space="preserve"> will finance the development of science to the benefit of businesses while OPIC will finance the last several stages of the joint partnerships between businesses and scientific organisations that will result in the introduction of research into production and its patents. </w:t>
            </w:r>
          </w:p>
        </w:tc>
      </w:tr>
      <w:tr w:rsidR="00F24971" w:rsidRPr="005B6074" w:rsidTr="009330F5">
        <w:tc>
          <w:tcPr>
            <w:tcW w:w="1961" w:type="dxa"/>
            <w:shd w:val="clear" w:color="auto" w:fill="548DD4"/>
          </w:tcPr>
          <w:p w:rsidR="00F24971" w:rsidRPr="00931B15" w:rsidRDefault="00A35E98" w:rsidP="00931B15">
            <w:pPr>
              <w:rPr>
                <w:rFonts w:ascii="Verdana" w:hAnsi="Verdana"/>
                <w:color w:val="FFFFFF" w:themeColor="background1"/>
                <w:sz w:val="20"/>
                <w:szCs w:val="20"/>
              </w:rPr>
            </w:pPr>
            <w:r w:rsidRPr="00931B15">
              <w:rPr>
                <w:rFonts w:ascii="Verdana" w:hAnsi="Verdana"/>
                <w:color w:val="FFFFFF" w:themeColor="background1"/>
                <w:sz w:val="20"/>
                <w:szCs w:val="20"/>
              </w:rPr>
              <w:t>Comments</w:t>
            </w:r>
          </w:p>
        </w:tc>
        <w:tc>
          <w:tcPr>
            <w:tcW w:w="7282" w:type="dxa"/>
          </w:tcPr>
          <w:p w:rsidR="00F24971" w:rsidRPr="00931B15" w:rsidRDefault="00A35E98" w:rsidP="009330F5">
            <w:pPr>
              <w:spacing w:after="120"/>
              <w:rPr>
                <w:rFonts w:ascii="Verdana" w:hAnsi="Verdana"/>
                <w:sz w:val="20"/>
                <w:szCs w:val="20"/>
              </w:rPr>
            </w:pPr>
            <w:r w:rsidRPr="00931B15">
              <w:rPr>
                <w:rFonts w:ascii="Verdana" w:hAnsi="Verdana"/>
                <w:sz w:val="20"/>
                <w:szCs w:val="20"/>
              </w:rPr>
              <w:t xml:space="preserve">OPIC is focused on the businesses while </w:t>
            </w:r>
            <w:r w:rsidR="005B35A7">
              <w:rPr>
                <w:rFonts w:ascii="Verdana" w:hAnsi="Verdana"/>
                <w:sz w:val="20"/>
                <w:szCs w:val="20"/>
              </w:rPr>
              <w:t>OPSESG</w:t>
            </w:r>
            <w:r w:rsidRPr="00931B15">
              <w:rPr>
                <w:rFonts w:ascii="Verdana" w:hAnsi="Verdana"/>
                <w:sz w:val="20"/>
                <w:szCs w:val="20"/>
              </w:rPr>
              <w:t xml:space="preserve"> - mainly on education and science. At the same time, investment priority 1 of PA 1 of OPIC "Encouraging the investments in the scientific research and innovation activity" (technological development and innovations), just like the investment priorities under PA 1 of OPSESG "Scientific research and technological development", is targeted at the implementation of thematic objective "Strengthening research, technological development and innovation" as laid down in Article 9 of the General Regulation. Both programmes outline a number of activities targeted at fostering partnerships between business and scientists and activation of the "triangle of knowledge" ― (education-science-innovations) (IP 1 of PA 1 of OPIC, IP 1 and 2 of PA 1) which largely overlap. </w:t>
            </w:r>
          </w:p>
        </w:tc>
      </w:tr>
      <w:tr w:rsidR="00F24971" w:rsidRPr="005B6074" w:rsidTr="009330F5">
        <w:tc>
          <w:tcPr>
            <w:tcW w:w="1961" w:type="dxa"/>
            <w:shd w:val="clear" w:color="auto" w:fill="548DD4"/>
          </w:tcPr>
          <w:p w:rsidR="00F24971" w:rsidRPr="00931B15" w:rsidRDefault="00A35E98" w:rsidP="00931B15">
            <w:pPr>
              <w:rPr>
                <w:rFonts w:ascii="Verdana" w:hAnsi="Verdana"/>
                <w:color w:val="FFFFFF" w:themeColor="background1"/>
                <w:sz w:val="20"/>
                <w:szCs w:val="20"/>
              </w:rPr>
            </w:pPr>
            <w:r w:rsidRPr="00931B15">
              <w:rPr>
                <w:rFonts w:ascii="Verdana" w:hAnsi="Verdana"/>
                <w:color w:val="FFFFFF" w:themeColor="background1"/>
                <w:sz w:val="20"/>
                <w:szCs w:val="20"/>
              </w:rPr>
              <w:t>Recommendation</w:t>
            </w:r>
          </w:p>
        </w:tc>
        <w:tc>
          <w:tcPr>
            <w:tcW w:w="7282" w:type="dxa"/>
          </w:tcPr>
          <w:p w:rsidR="00F24971" w:rsidRPr="005B6074" w:rsidRDefault="00A35E98" w:rsidP="009330F5">
            <w:pPr>
              <w:spacing w:after="120"/>
              <w:rPr>
                <w:rFonts w:ascii="Verdana" w:hAnsi="Verdana"/>
                <w:sz w:val="20"/>
                <w:szCs w:val="20"/>
              </w:rPr>
            </w:pPr>
            <w:r w:rsidRPr="00931B15">
              <w:rPr>
                <w:rFonts w:ascii="Verdana" w:hAnsi="Verdana"/>
                <w:sz w:val="20"/>
                <w:szCs w:val="20"/>
              </w:rPr>
              <w:t>A clearer description of both complementarity and demarcation of the programmes is needed. The spheres of supports under the two programmes should be specified clearly. It is appropriate for OPSESG to focus on resources towards promotion of the work of scientific and scientific-applied units among businesses so as to foster cooperation and further the transformation of research into commercial products.</w:t>
            </w:r>
          </w:p>
        </w:tc>
      </w:tr>
    </w:tbl>
    <w:p w:rsidR="00F24971" w:rsidRPr="005B6074" w:rsidRDefault="00F24971" w:rsidP="00F24971">
      <w:pPr>
        <w:ind w:left="360"/>
        <w:rPr>
          <w:rFonts w:ascii="Verdana" w:hAnsi="Verdana"/>
          <w:sz w:val="20"/>
          <w:szCs w:val="20"/>
        </w:rPr>
      </w:pP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lastRenderedPageBreak/>
        <w:t>Operational Programme Environment (OPE) 2014–2020</w:t>
      </w:r>
    </w:p>
    <w:p w:rsidR="00F24971" w:rsidRPr="005B6074" w:rsidRDefault="00A35E98" w:rsidP="00F24971">
      <w:pPr>
        <w:pBdr>
          <w:top w:val="single" w:sz="4" w:space="1" w:color="auto"/>
          <w:bottom w:val="single" w:sz="4" w:space="1" w:color="auto"/>
        </w:pBdr>
        <w:shd w:val="clear" w:color="auto" w:fill="548DD4"/>
        <w:spacing w:before="120" w:after="120" w:line="240" w:lineRule="auto"/>
        <w:rPr>
          <w:rFonts w:ascii="Verdana" w:hAnsi="Verdana"/>
          <w:color w:val="FFFFFF"/>
          <w:sz w:val="20"/>
          <w:szCs w:val="20"/>
        </w:rPr>
      </w:pPr>
      <w:r w:rsidRPr="005B6074">
        <w:rPr>
          <w:rFonts w:ascii="Verdana" w:hAnsi="Verdana"/>
          <w:color w:val="FFFFFF"/>
          <w:sz w:val="20"/>
        </w:rPr>
        <w:t xml:space="preserve">PA 1: Water </w:t>
      </w:r>
    </w:p>
    <w:p w:rsidR="00F24971" w:rsidRPr="005B6074" w:rsidRDefault="00A35E98" w:rsidP="00181A22">
      <w:pPr>
        <w:pStyle w:val="ListParagraph"/>
        <w:numPr>
          <w:ilvl w:val="0"/>
          <w:numId w:val="41"/>
        </w:numPr>
        <w:tabs>
          <w:tab w:val="left" w:pos="990"/>
        </w:tabs>
        <w:spacing w:before="120" w:after="120"/>
        <w:ind w:left="907"/>
        <w:jc w:val="both"/>
        <w:rPr>
          <w:rFonts w:ascii="Verdana" w:hAnsi="Verdana"/>
          <w:sz w:val="20"/>
          <w:szCs w:val="20"/>
        </w:rPr>
      </w:pPr>
      <w:r w:rsidRPr="005B6074">
        <w:rPr>
          <w:rFonts w:ascii="Verdana" w:hAnsi="Verdana"/>
          <w:sz w:val="20"/>
        </w:rPr>
        <w:t>Addressing the significant needs for investment in the water sector to meet the requirements of EU environmental legislation</w:t>
      </w:r>
    </w:p>
    <w:p w:rsidR="00F24971" w:rsidRPr="005B6074" w:rsidRDefault="00A35E98" w:rsidP="00181A22">
      <w:pPr>
        <w:pStyle w:val="ListParagraph"/>
        <w:numPr>
          <w:ilvl w:val="0"/>
          <w:numId w:val="41"/>
        </w:numPr>
        <w:tabs>
          <w:tab w:val="left" w:pos="990"/>
        </w:tabs>
        <w:spacing w:before="120" w:after="120"/>
        <w:ind w:left="907"/>
        <w:jc w:val="both"/>
        <w:rPr>
          <w:rFonts w:ascii="Verdana" w:hAnsi="Verdana"/>
          <w:sz w:val="20"/>
          <w:szCs w:val="20"/>
        </w:rPr>
      </w:pPr>
      <w:r w:rsidRPr="005B6074">
        <w:rPr>
          <w:rFonts w:ascii="Verdana" w:hAnsi="Verdana"/>
          <w:sz w:val="20"/>
        </w:rPr>
        <w:t>Promoting investment to address specific risks, ensuring disaster resilience and developing disaster management systems</w:t>
      </w:r>
    </w:p>
    <w:p w:rsidR="00F24971" w:rsidRPr="005B6074" w:rsidRDefault="00A35E98" w:rsidP="00F24971">
      <w:pPr>
        <w:pBdr>
          <w:top w:val="single" w:sz="4" w:space="1" w:color="auto"/>
          <w:bottom w:val="single" w:sz="4" w:space="1" w:color="auto"/>
        </w:pBdr>
        <w:shd w:val="clear" w:color="auto" w:fill="548DD4"/>
        <w:spacing w:before="120" w:after="120" w:line="240" w:lineRule="auto"/>
        <w:rPr>
          <w:rFonts w:ascii="Verdana" w:hAnsi="Verdana"/>
          <w:color w:val="FFFFFF"/>
          <w:sz w:val="20"/>
          <w:szCs w:val="20"/>
        </w:rPr>
      </w:pPr>
      <w:r w:rsidRPr="005B6074">
        <w:rPr>
          <w:rFonts w:ascii="Verdana" w:hAnsi="Verdana"/>
          <w:color w:val="FFFFFF"/>
          <w:sz w:val="20"/>
        </w:rPr>
        <w:t>PA 2: Waste</w:t>
      </w:r>
    </w:p>
    <w:p w:rsidR="00F24971" w:rsidRPr="005B6074" w:rsidRDefault="00A35E98" w:rsidP="00F24971">
      <w:pPr>
        <w:tabs>
          <w:tab w:val="left" w:pos="990"/>
        </w:tabs>
        <w:spacing w:before="120" w:after="120"/>
        <w:ind w:left="990" w:hanging="446"/>
        <w:contextualSpacing/>
        <w:jc w:val="both"/>
        <w:rPr>
          <w:rFonts w:ascii="Verdana" w:hAnsi="Verdana"/>
          <w:sz w:val="20"/>
          <w:szCs w:val="20"/>
        </w:rPr>
      </w:pPr>
      <w:r w:rsidRPr="005B6074">
        <w:rPr>
          <w:rFonts w:ascii="Verdana" w:hAnsi="Verdana"/>
          <w:sz w:val="20"/>
        </w:rPr>
        <w:t>2.1 Addressing the significant needs for investment in the waste sector to meet the requirements of EU environmental legislation</w:t>
      </w:r>
    </w:p>
    <w:p w:rsidR="00F24971" w:rsidRPr="005B6074" w:rsidRDefault="00A35E98" w:rsidP="00F24971">
      <w:pPr>
        <w:pBdr>
          <w:top w:val="single" w:sz="4" w:space="1" w:color="auto"/>
          <w:bottom w:val="single" w:sz="4" w:space="1" w:color="auto"/>
        </w:pBdr>
        <w:shd w:val="clear" w:color="auto" w:fill="548DD4"/>
        <w:spacing w:before="120" w:after="120" w:line="240" w:lineRule="auto"/>
        <w:rPr>
          <w:rFonts w:ascii="Verdana" w:hAnsi="Verdana"/>
          <w:color w:val="FFFFFF"/>
          <w:sz w:val="20"/>
          <w:szCs w:val="20"/>
        </w:rPr>
      </w:pPr>
      <w:r w:rsidRPr="005B6074">
        <w:rPr>
          <w:rFonts w:ascii="Verdana" w:hAnsi="Verdana"/>
          <w:color w:val="FFFFFF"/>
          <w:sz w:val="20"/>
        </w:rPr>
        <w:t xml:space="preserve">PA 3: </w:t>
      </w:r>
      <w:proofErr w:type="spellStart"/>
      <w:r w:rsidRPr="005B6074">
        <w:rPr>
          <w:rFonts w:ascii="Verdana" w:hAnsi="Verdana"/>
          <w:color w:val="FFFFFF"/>
          <w:sz w:val="20"/>
        </w:rPr>
        <w:t>Natura</w:t>
      </w:r>
      <w:proofErr w:type="spellEnd"/>
      <w:r w:rsidRPr="005B6074">
        <w:rPr>
          <w:rFonts w:ascii="Verdana" w:hAnsi="Verdana"/>
          <w:color w:val="FFFFFF"/>
          <w:sz w:val="20"/>
        </w:rPr>
        <w:t xml:space="preserve"> 2000 and Biodiversity </w:t>
      </w:r>
    </w:p>
    <w:p w:rsidR="00F24971" w:rsidRPr="005B6074" w:rsidRDefault="00A35E98" w:rsidP="00F24971">
      <w:pPr>
        <w:tabs>
          <w:tab w:val="left" w:pos="990"/>
        </w:tabs>
        <w:spacing w:before="120" w:after="120"/>
        <w:ind w:left="990" w:hanging="446"/>
        <w:contextualSpacing/>
        <w:jc w:val="both"/>
        <w:rPr>
          <w:rFonts w:ascii="Verdana" w:hAnsi="Verdana"/>
          <w:sz w:val="20"/>
          <w:szCs w:val="20"/>
        </w:rPr>
      </w:pPr>
      <w:r w:rsidRPr="005B6074">
        <w:rPr>
          <w:rFonts w:ascii="Verdana" w:hAnsi="Verdana"/>
          <w:sz w:val="20"/>
        </w:rPr>
        <w:t xml:space="preserve">3.1 Protecting and restoring biodiversity and soil and promoting ecosystem services, including through </w:t>
      </w:r>
      <w:proofErr w:type="spellStart"/>
      <w:r w:rsidRPr="005B6074">
        <w:rPr>
          <w:rFonts w:ascii="Verdana" w:hAnsi="Verdana"/>
          <w:sz w:val="20"/>
        </w:rPr>
        <w:t>Natura</w:t>
      </w:r>
      <w:proofErr w:type="spellEnd"/>
      <w:r w:rsidRPr="005B6074">
        <w:rPr>
          <w:rFonts w:ascii="Verdana" w:hAnsi="Verdana"/>
          <w:sz w:val="20"/>
        </w:rPr>
        <w:t xml:space="preserve"> 2000, and green infrastructure.</w:t>
      </w:r>
    </w:p>
    <w:p w:rsidR="00F24971" w:rsidRPr="005B6074" w:rsidRDefault="00A35E98" w:rsidP="00F24971">
      <w:pPr>
        <w:pBdr>
          <w:top w:val="single" w:sz="4" w:space="1" w:color="auto"/>
          <w:bottom w:val="single" w:sz="4" w:space="1" w:color="auto"/>
        </w:pBdr>
        <w:shd w:val="clear" w:color="auto" w:fill="548DD4"/>
        <w:spacing w:before="120" w:after="120" w:line="240" w:lineRule="auto"/>
        <w:rPr>
          <w:rFonts w:ascii="Verdana" w:hAnsi="Verdana"/>
          <w:color w:val="FFFFFF"/>
          <w:sz w:val="20"/>
          <w:szCs w:val="20"/>
        </w:rPr>
      </w:pPr>
      <w:r w:rsidRPr="005B6074">
        <w:rPr>
          <w:rFonts w:ascii="Verdana" w:hAnsi="Verdana"/>
          <w:color w:val="FFFFFF"/>
          <w:sz w:val="20"/>
        </w:rPr>
        <w:t>PA 4: Support for EP and CCP when implementing ESIF</w:t>
      </w:r>
    </w:p>
    <w:p w:rsidR="00F24971" w:rsidRPr="005B6074" w:rsidRDefault="00A35E98" w:rsidP="00F24971">
      <w:pPr>
        <w:tabs>
          <w:tab w:val="left" w:pos="990"/>
        </w:tabs>
        <w:spacing w:before="120" w:after="120"/>
        <w:ind w:left="990" w:hanging="446"/>
        <w:jc w:val="both"/>
        <w:rPr>
          <w:rFonts w:ascii="Verdana" w:hAnsi="Verdana"/>
          <w:sz w:val="20"/>
          <w:szCs w:val="20"/>
        </w:rPr>
      </w:pPr>
      <w:r w:rsidRPr="005B6074">
        <w:rPr>
          <w:rFonts w:ascii="Verdana" w:hAnsi="Verdana"/>
          <w:sz w:val="20"/>
        </w:rPr>
        <w:t>4.1. Enhancing institutional capacity and an efficient public administration by strengthening the institutional capacity and the effective public administration and public services related to CF implementation.</w:t>
      </w:r>
    </w:p>
    <w:p w:rsidR="00F24971" w:rsidRPr="005B6074" w:rsidRDefault="00A35E98" w:rsidP="00F24971">
      <w:pPr>
        <w:tabs>
          <w:tab w:val="left" w:pos="990"/>
        </w:tabs>
        <w:spacing w:before="120" w:after="120"/>
        <w:ind w:left="990" w:hanging="446"/>
        <w:jc w:val="both"/>
        <w:rPr>
          <w:rFonts w:ascii="Verdana" w:hAnsi="Verdana"/>
          <w:sz w:val="20"/>
          <w:szCs w:val="20"/>
        </w:rPr>
      </w:pPr>
      <w:r w:rsidRPr="005B6074">
        <w:rPr>
          <w:rFonts w:ascii="Verdana" w:hAnsi="Verdana"/>
          <w:sz w:val="20"/>
        </w:rPr>
        <w:t>4.2. Enhancing institutional capacity and an efficient public administration by strengthening the institutional capacity and the effective public administration and public services related to ERDF implementation in support of the actions with regard to institutional capacity and efficient public administration supported by ESF.</w:t>
      </w:r>
    </w:p>
    <w:p w:rsidR="00F24971" w:rsidRPr="005B6074" w:rsidRDefault="00A35E98" w:rsidP="00F24971">
      <w:pPr>
        <w:keepNext/>
        <w:spacing w:before="240" w:after="120"/>
        <w:rPr>
          <w:rFonts w:ascii="Verdana" w:hAnsi="Verdana"/>
          <w:b/>
          <w:color w:val="548DD4"/>
          <w:sz w:val="20"/>
          <w:szCs w:val="20"/>
        </w:rPr>
      </w:pPr>
      <w:bookmarkStart w:id="73" w:name="_Toc390257061"/>
      <w:bookmarkStart w:id="74" w:name="_Toc396225600"/>
      <w:r w:rsidRPr="005B6074">
        <w:rPr>
          <w:rFonts w:ascii="Verdana" w:hAnsi="Verdana"/>
          <w:b/>
          <w:color w:val="548DD4"/>
          <w:sz w:val="20"/>
        </w:rPr>
        <w:t xml:space="preserve">Table </w:t>
      </w:r>
      <w:r w:rsidRPr="005B6074">
        <w:rPr>
          <w:rFonts w:ascii="Verdana" w:hAnsi="Verdana"/>
          <w:b/>
          <w:color w:val="548DD4"/>
          <w:sz w:val="20"/>
        </w:rPr>
        <w:fldChar w:fldCharType="begin"/>
      </w:r>
      <w:r w:rsidRPr="005B6074">
        <w:rPr>
          <w:rFonts w:ascii="Verdana" w:hAnsi="Verdana"/>
          <w:b/>
          <w:color w:val="548DD4"/>
          <w:sz w:val="20"/>
        </w:rPr>
        <w:instrText>SEQ таблица \* ARABIC</w:instrText>
      </w:r>
      <w:r w:rsidRPr="005B6074">
        <w:rPr>
          <w:rFonts w:ascii="Verdana" w:hAnsi="Verdana"/>
          <w:b/>
          <w:color w:val="548DD4"/>
          <w:sz w:val="20"/>
        </w:rPr>
        <w:fldChar w:fldCharType="separate"/>
      </w:r>
      <w:r w:rsidR="009330F5">
        <w:rPr>
          <w:rFonts w:ascii="Verdana" w:hAnsi="Verdana"/>
          <w:b/>
          <w:noProof/>
          <w:color w:val="548DD4"/>
          <w:sz w:val="20"/>
        </w:rPr>
        <w:t>5</w:t>
      </w:r>
      <w:r w:rsidRPr="005B6074">
        <w:rPr>
          <w:rFonts w:ascii="Verdana" w:hAnsi="Verdana"/>
          <w:b/>
          <w:color w:val="548DD4"/>
          <w:sz w:val="20"/>
        </w:rPr>
        <w:fldChar w:fldCharType="end"/>
      </w:r>
      <w:r w:rsidRPr="005B6074">
        <w:rPr>
          <w:rFonts w:ascii="Verdana" w:hAnsi="Verdana"/>
          <w:b/>
          <w:color w:val="548DD4"/>
          <w:sz w:val="20"/>
        </w:rPr>
        <w:t xml:space="preserve">: Connection between the Priorities of </w:t>
      </w:r>
      <w:r w:rsidR="005B35A7">
        <w:rPr>
          <w:rFonts w:ascii="Verdana" w:hAnsi="Verdana"/>
          <w:b/>
          <w:color w:val="548DD4"/>
          <w:sz w:val="20"/>
        </w:rPr>
        <w:t>OPSESG</w:t>
      </w:r>
      <w:r w:rsidRPr="005B6074">
        <w:rPr>
          <w:rFonts w:ascii="Verdana" w:hAnsi="Verdana"/>
          <w:b/>
          <w:color w:val="548DD4"/>
          <w:sz w:val="20"/>
        </w:rPr>
        <w:t xml:space="preserve"> and OPE</w:t>
      </w:r>
      <w:bookmarkEnd w:id="73"/>
      <w:bookmarkEnd w:id="74"/>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260"/>
        <w:gridCol w:w="810"/>
        <w:gridCol w:w="810"/>
        <w:gridCol w:w="720"/>
        <w:gridCol w:w="720"/>
        <w:gridCol w:w="630"/>
        <w:gridCol w:w="990"/>
        <w:gridCol w:w="990"/>
      </w:tblGrid>
      <w:tr w:rsidR="00F24971" w:rsidRPr="005B6074" w:rsidTr="00F24971">
        <w:trPr>
          <w:trHeight w:val="510"/>
        </w:trPr>
        <w:tc>
          <w:tcPr>
            <w:tcW w:w="2340" w:type="dxa"/>
            <w:shd w:val="clear" w:color="000000" w:fill="548DD4"/>
            <w:vAlign w:val="center"/>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Operational Programme / Priority Axis</w:t>
            </w:r>
          </w:p>
        </w:tc>
        <w:tc>
          <w:tcPr>
            <w:tcW w:w="1260" w:type="dxa"/>
            <w:shd w:val="clear" w:color="000000" w:fill="548DD4"/>
            <w:vAlign w:val="center"/>
            <w:hideMark/>
          </w:tcPr>
          <w:p w:rsidR="00F24971" w:rsidRPr="004D5FA1" w:rsidRDefault="005B35A7" w:rsidP="004D5FA1">
            <w:pPr>
              <w:jc w:val="center"/>
              <w:rPr>
                <w:rFonts w:ascii="Verdana" w:hAnsi="Verdana"/>
                <w:color w:val="FFFFFF" w:themeColor="background1"/>
                <w:sz w:val="18"/>
                <w:szCs w:val="18"/>
              </w:rPr>
            </w:pPr>
            <w:r>
              <w:rPr>
                <w:rFonts w:ascii="Verdana" w:hAnsi="Verdana"/>
                <w:color w:val="FFFFFF" w:themeColor="background1"/>
                <w:sz w:val="18"/>
                <w:szCs w:val="18"/>
              </w:rPr>
              <w:t>OPSESG</w:t>
            </w:r>
          </w:p>
        </w:tc>
        <w:tc>
          <w:tcPr>
            <w:tcW w:w="1620" w:type="dxa"/>
            <w:gridSpan w:val="2"/>
            <w:shd w:val="clear" w:color="000000" w:fill="548DD4"/>
            <w:vAlign w:val="center"/>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PA 1: Scientific Research and Technological Development</w:t>
            </w:r>
          </w:p>
        </w:tc>
        <w:tc>
          <w:tcPr>
            <w:tcW w:w="2070" w:type="dxa"/>
            <w:gridSpan w:val="3"/>
            <w:shd w:val="clear" w:color="000000" w:fill="548DD4"/>
            <w:vAlign w:val="center"/>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PA 2: Education and Lifelong Learning</w:t>
            </w:r>
          </w:p>
        </w:tc>
        <w:tc>
          <w:tcPr>
            <w:tcW w:w="1980" w:type="dxa"/>
            <w:gridSpan w:val="2"/>
            <w:shd w:val="clear" w:color="000000" w:fill="548DD4"/>
            <w:vAlign w:val="center"/>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PA 3: Educational Environment for Active Social Inclusion</w:t>
            </w:r>
          </w:p>
        </w:tc>
      </w:tr>
      <w:tr w:rsidR="00F24971" w:rsidRPr="005B6074" w:rsidTr="00F24971">
        <w:trPr>
          <w:trHeight w:val="300"/>
        </w:trPr>
        <w:tc>
          <w:tcPr>
            <w:tcW w:w="2340" w:type="dxa"/>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OPE</w:t>
            </w:r>
          </w:p>
        </w:tc>
        <w:tc>
          <w:tcPr>
            <w:tcW w:w="1260" w:type="dxa"/>
            <w:shd w:val="clear" w:color="000000" w:fill="C6D9F1"/>
            <w:vAlign w:val="bottom"/>
            <w:hideMark/>
          </w:tcPr>
          <w:p w:rsidR="00F24971" w:rsidRPr="004D5FA1" w:rsidRDefault="00A35E98" w:rsidP="004D5FA1">
            <w:pPr>
              <w:spacing w:after="0"/>
              <w:rPr>
                <w:rFonts w:ascii="Verdana" w:eastAsia="Times New Roman" w:hAnsi="Verdana"/>
                <w:sz w:val="18"/>
                <w:szCs w:val="18"/>
              </w:rPr>
            </w:pPr>
            <w:r w:rsidRPr="004D5FA1">
              <w:rPr>
                <w:rFonts w:ascii="Verdana" w:hAnsi="Verdana"/>
                <w:sz w:val="18"/>
                <w:szCs w:val="18"/>
              </w:rPr>
              <w:t>Priority</w:t>
            </w:r>
          </w:p>
        </w:tc>
        <w:tc>
          <w:tcPr>
            <w:tcW w:w="810" w:type="dxa"/>
            <w:shd w:val="clear" w:color="000000" w:fill="C6D9F1"/>
            <w:vAlign w:val="center"/>
            <w:hideMark/>
          </w:tcPr>
          <w:p w:rsidR="00F24971" w:rsidRPr="004D5FA1" w:rsidRDefault="00A35E98" w:rsidP="004D5FA1">
            <w:pPr>
              <w:spacing w:after="0"/>
              <w:rPr>
                <w:rFonts w:ascii="Verdana" w:eastAsia="Times New Roman" w:hAnsi="Verdana"/>
                <w:sz w:val="18"/>
                <w:szCs w:val="18"/>
              </w:rPr>
            </w:pPr>
            <w:r w:rsidRPr="004D5FA1">
              <w:rPr>
                <w:rFonts w:ascii="Verdana" w:hAnsi="Verdana"/>
                <w:sz w:val="18"/>
                <w:szCs w:val="18"/>
              </w:rPr>
              <w:t>1.1</w:t>
            </w:r>
          </w:p>
        </w:tc>
        <w:tc>
          <w:tcPr>
            <w:tcW w:w="810" w:type="dxa"/>
            <w:shd w:val="clear" w:color="000000" w:fill="C6D9F1"/>
            <w:vAlign w:val="center"/>
            <w:hideMark/>
          </w:tcPr>
          <w:p w:rsidR="00F24971" w:rsidRPr="004D5FA1" w:rsidRDefault="00A35E98" w:rsidP="004D5FA1">
            <w:pPr>
              <w:spacing w:after="0"/>
              <w:rPr>
                <w:rFonts w:ascii="Verdana" w:eastAsia="Times New Roman" w:hAnsi="Verdana"/>
                <w:sz w:val="18"/>
                <w:szCs w:val="18"/>
              </w:rPr>
            </w:pPr>
            <w:r w:rsidRPr="004D5FA1">
              <w:rPr>
                <w:rFonts w:ascii="Verdana" w:hAnsi="Verdana"/>
                <w:sz w:val="18"/>
                <w:szCs w:val="18"/>
              </w:rPr>
              <w:t>1.2</w:t>
            </w:r>
          </w:p>
        </w:tc>
        <w:tc>
          <w:tcPr>
            <w:tcW w:w="720" w:type="dxa"/>
            <w:shd w:val="clear" w:color="000000" w:fill="C6D9F1"/>
            <w:vAlign w:val="center"/>
            <w:hideMark/>
          </w:tcPr>
          <w:p w:rsidR="00F24971" w:rsidRPr="004D5FA1" w:rsidRDefault="00A35E98" w:rsidP="004D5FA1">
            <w:pPr>
              <w:spacing w:after="0"/>
              <w:rPr>
                <w:rFonts w:ascii="Verdana" w:eastAsia="Times New Roman" w:hAnsi="Verdana"/>
                <w:sz w:val="18"/>
                <w:szCs w:val="18"/>
              </w:rPr>
            </w:pPr>
            <w:r w:rsidRPr="004D5FA1">
              <w:rPr>
                <w:rFonts w:ascii="Verdana" w:hAnsi="Verdana"/>
                <w:sz w:val="18"/>
                <w:szCs w:val="18"/>
              </w:rPr>
              <w:t>2.1</w:t>
            </w:r>
          </w:p>
        </w:tc>
        <w:tc>
          <w:tcPr>
            <w:tcW w:w="720" w:type="dxa"/>
            <w:shd w:val="clear" w:color="000000" w:fill="C6D9F1"/>
            <w:vAlign w:val="center"/>
            <w:hideMark/>
          </w:tcPr>
          <w:p w:rsidR="00F24971" w:rsidRPr="004D5FA1" w:rsidRDefault="00A35E98" w:rsidP="004D5FA1">
            <w:pPr>
              <w:spacing w:after="0"/>
              <w:rPr>
                <w:rFonts w:ascii="Verdana" w:eastAsia="Times New Roman" w:hAnsi="Verdana"/>
                <w:sz w:val="18"/>
                <w:szCs w:val="18"/>
              </w:rPr>
            </w:pPr>
            <w:r w:rsidRPr="004D5FA1">
              <w:rPr>
                <w:rFonts w:ascii="Verdana" w:hAnsi="Verdana"/>
                <w:sz w:val="18"/>
                <w:szCs w:val="18"/>
              </w:rPr>
              <w:t>2.2</w:t>
            </w:r>
          </w:p>
        </w:tc>
        <w:tc>
          <w:tcPr>
            <w:tcW w:w="630" w:type="dxa"/>
            <w:shd w:val="clear" w:color="000000" w:fill="C6D9F1"/>
            <w:vAlign w:val="center"/>
            <w:hideMark/>
          </w:tcPr>
          <w:p w:rsidR="00F24971" w:rsidRPr="004D5FA1" w:rsidRDefault="00A35E98" w:rsidP="004D5FA1">
            <w:pPr>
              <w:spacing w:after="0"/>
              <w:rPr>
                <w:rFonts w:ascii="Verdana" w:eastAsia="Times New Roman" w:hAnsi="Verdana"/>
                <w:sz w:val="18"/>
                <w:szCs w:val="18"/>
              </w:rPr>
            </w:pPr>
            <w:r w:rsidRPr="004D5FA1">
              <w:rPr>
                <w:rFonts w:ascii="Verdana" w:hAnsi="Verdana"/>
                <w:sz w:val="18"/>
                <w:szCs w:val="18"/>
              </w:rPr>
              <w:t>2.3</w:t>
            </w:r>
          </w:p>
        </w:tc>
        <w:tc>
          <w:tcPr>
            <w:tcW w:w="990" w:type="dxa"/>
            <w:shd w:val="clear" w:color="000000" w:fill="C6D9F1"/>
            <w:vAlign w:val="center"/>
            <w:hideMark/>
          </w:tcPr>
          <w:p w:rsidR="00F24971" w:rsidRPr="004D5FA1" w:rsidRDefault="00A35E98" w:rsidP="004D5FA1">
            <w:pPr>
              <w:spacing w:after="0"/>
              <w:rPr>
                <w:rFonts w:ascii="Verdana" w:eastAsia="Times New Roman" w:hAnsi="Verdana"/>
                <w:sz w:val="18"/>
                <w:szCs w:val="18"/>
              </w:rPr>
            </w:pPr>
            <w:r w:rsidRPr="004D5FA1">
              <w:rPr>
                <w:rFonts w:ascii="Verdana" w:hAnsi="Verdana"/>
                <w:sz w:val="18"/>
                <w:szCs w:val="18"/>
              </w:rPr>
              <w:t>3.1</w:t>
            </w:r>
          </w:p>
        </w:tc>
        <w:tc>
          <w:tcPr>
            <w:tcW w:w="990" w:type="dxa"/>
            <w:shd w:val="clear" w:color="000000" w:fill="C6D9F1"/>
            <w:vAlign w:val="center"/>
            <w:hideMark/>
          </w:tcPr>
          <w:p w:rsidR="00F24971" w:rsidRPr="004D5FA1" w:rsidRDefault="00A35E98" w:rsidP="004D5FA1">
            <w:pPr>
              <w:spacing w:after="0"/>
              <w:rPr>
                <w:rFonts w:ascii="Verdana" w:eastAsia="Times New Roman" w:hAnsi="Verdana"/>
                <w:sz w:val="18"/>
                <w:szCs w:val="18"/>
              </w:rPr>
            </w:pPr>
            <w:r w:rsidRPr="004D5FA1">
              <w:rPr>
                <w:rFonts w:ascii="Verdana" w:hAnsi="Verdana"/>
                <w:sz w:val="18"/>
                <w:szCs w:val="18"/>
              </w:rPr>
              <w:t>3.2</w:t>
            </w:r>
          </w:p>
        </w:tc>
      </w:tr>
      <w:tr w:rsidR="00F24971" w:rsidRPr="005B6074" w:rsidTr="00F24971">
        <w:trPr>
          <w:trHeight w:val="330"/>
        </w:trPr>
        <w:tc>
          <w:tcPr>
            <w:tcW w:w="2340" w:type="dxa"/>
            <w:vMerge w:val="restart"/>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PA 1: Water</w:t>
            </w:r>
          </w:p>
        </w:tc>
        <w:tc>
          <w:tcPr>
            <w:tcW w:w="1260" w:type="dxa"/>
            <w:shd w:val="clear" w:color="000000" w:fill="C6D9F1"/>
            <w:vAlign w:val="center"/>
            <w:hideMark/>
          </w:tcPr>
          <w:p w:rsidR="00F24971" w:rsidRPr="004D5FA1" w:rsidRDefault="00A35E98" w:rsidP="004D5FA1">
            <w:pPr>
              <w:spacing w:after="0"/>
              <w:rPr>
                <w:rFonts w:ascii="Verdana" w:eastAsia="Times New Roman" w:hAnsi="Verdana"/>
                <w:sz w:val="18"/>
                <w:szCs w:val="18"/>
              </w:rPr>
            </w:pPr>
            <w:r w:rsidRPr="004D5FA1">
              <w:rPr>
                <w:rFonts w:ascii="Verdana" w:hAnsi="Verdana"/>
                <w:sz w:val="18"/>
                <w:szCs w:val="18"/>
              </w:rPr>
              <w:t>1.1</w:t>
            </w:r>
          </w:p>
        </w:tc>
        <w:tc>
          <w:tcPr>
            <w:tcW w:w="81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81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63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99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990" w:type="dxa"/>
            <w:shd w:val="clear" w:color="auto" w:fill="auto"/>
            <w:vAlign w:val="center"/>
            <w:hideMark/>
          </w:tcPr>
          <w:p w:rsidR="00F24971" w:rsidRPr="004D5FA1" w:rsidRDefault="00F24971" w:rsidP="004D5FA1">
            <w:pPr>
              <w:spacing w:after="0"/>
              <w:rPr>
                <w:rFonts w:ascii="Verdana" w:eastAsia="Times New Roman" w:hAnsi="Verdana"/>
                <w:sz w:val="18"/>
                <w:szCs w:val="18"/>
              </w:rPr>
            </w:pPr>
          </w:p>
        </w:tc>
      </w:tr>
      <w:tr w:rsidR="00F24971" w:rsidRPr="005B6074" w:rsidTr="00F24971">
        <w:trPr>
          <w:trHeight w:val="330"/>
        </w:trPr>
        <w:tc>
          <w:tcPr>
            <w:tcW w:w="2340" w:type="dxa"/>
            <w:vMerge/>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260" w:type="dxa"/>
            <w:shd w:val="clear" w:color="000000" w:fill="C6D9F1"/>
            <w:vAlign w:val="center"/>
            <w:hideMark/>
          </w:tcPr>
          <w:p w:rsidR="00F24971" w:rsidRPr="004D5FA1" w:rsidRDefault="00A35E98" w:rsidP="004D5FA1">
            <w:pPr>
              <w:spacing w:after="0"/>
              <w:rPr>
                <w:rFonts w:ascii="Verdana" w:eastAsia="Times New Roman" w:hAnsi="Verdana"/>
                <w:sz w:val="18"/>
                <w:szCs w:val="18"/>
              </w:rPr>
            </w:pPr>
            <w:r w:rsidRPr="004D5FA1">
              <w:rPr>
                <w:rFonts w:ascii="Verdana" w:hAnsi="Verdana"/>
                <w:sz w:val="18"/>
                <w:szCs w:val="18"/>
              </w:rPr>
              <w:t>1.2</w:t>
            </w:r>
          </w:p>
        </w:tc>
        <w:tc>
          <w:tcPr>
            <w:tcW w:w="81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81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63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99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990" w:type="dxa"/>
            <w:shd w:val="clear" w:color="auto" w:fill="auto"/>
            <w:vAlign w:val="center"/>
            <w:hideMark/>
          </w:tcPr>
          <w:p w:rsidR="00F24971" w:rsidRPr="004D5FA1" w:rsidRDefault="00F24971" w:rsidP="004D5FA1">
            <w:pPr>
              <w:spacing w:after="0"/>
              <w:rPr>
                <w:rFonts w:ascii="Verdana" w:eastAsia="Times New Roman" w:hAnsi="Verdana"/>
                <w:sz w:val="18"/>
                <w:szCs w:val="18"/>
              </w:rPr>
            </w:pPr>
          </w:p>
        </w:tc>
      </w:tr>
      <w:tr w:rsidR="00F24971" w:rsidRPr="005B6074" w:rsidTr="00F24971">
        <w:trPr>
          <w:trHeight w:val="330"/>
        </w:trPr>
        <w:tc>
          <w:tcPr>
            <w:tcW w:w="2340" w:type="dxa"/>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PA 2: Waste</w:t>
            </w:r>
          </w:p>
        </w:tc>
        <w:tc>
          <w:tcPr>
            <w:tcW w:w="1260" w:type="dxa"/>
            <w:shd w:val="clear" w:color="000000" w:fill="C6D9F1"/>
            <w:vAlign w:val="center"/>
            <w:hideMark/>
          </w:tcPr>
          <w:p w:rsidR="00F24971" w:rsidRPr="004D5FA1" w:rsidRDefault="00A35E98" w:rsidP="004D5FA1">
            <w:pPr>
              <w:spacing w:after="0"/>
              <w:rPr>
                <w:rFonts w:ascii="Verdana" w:eastAsia="Times New Roman" w:hAnsi="Verdana"/>
                <w:sz w:val="18"/>
                <w:szCs w:val="18"/>
              </w:rPr>
            </w:pPr>
            <w:r w:rsidRPr="004D5FA1">
              <w:rPr>
                <w:rFonts w:ascii="Verdana" w:hAnsi="Verdana"/>
                <w:sz w:val="18"/>
                <w:szCs w:val="18"/>
              </w:rPr>
              <w:t>2.1</w:t>
            </w:r>
          </w:p>
        </w:tc>
        <w:tc>
          <w:tcPr>
            <w:tcW w:w="81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81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63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99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99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r>
      <w:tr w:rsidR="00F24971" w:rsidRPr="005B6074" w:rsidTr="00F24971">
        <w:trPr>
          <w:trHeight w:val="555"/>
        </w:trPr>
        <w:tc>
          <w:tcPr>
            <w:tcW w:w="2340" w:type="dxa"/>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 xml:space="preserve">PA 3: </w:t>
            </w:r>
            <w:proofErr w:type="spellStart"/>
            <w:r w:rsidRPr="004D5FA1">
              <w:rPr>
                <w:rFonts w:ascii="Verdana" w:hAnsi="Verdana"/>
                <w:color w:val="FFFFFF" w:themeColor="background1"/>
                <w:sz w:val="18"/>
                <w:szCs w:val="18"/>
              </w:rPr>
              <w:t>Natura</w:t>
            </w:r>
            <w:proofErr w:type="spellEnd"/>
            <w:r w:rsidRPr="004D5FA1">
              <w:rPr>
                <w:rFonts w:ascii="Verdana" w:hAnsi="Verdana"/>
                <w:color w:val="FFFFFF" w:themeColor="background1"/>
                <w:sz w:val="18"/>
                <w:szCs w:val="18"/>
              </w:rPr>
              <w:t xml:space="preserve"> 2000 and Biodiversity</w:t>
            </w:r>
          </w:p>
        </w:tc>
        <w:tc>
          <w:tcPr>
            <w:tcW w:w="1260" w:type="dxa"/>
            <w:shd w:val="clear" w:color="000000" w:fill="C6D9F1"/>
            <w:vAlign w:val="center"/>
            <w:hideMark/>
          </w:tcPr>
          <w:p w:rsidR="00F24971" w:rsidRPr="004D5FA1" w:rsidRDefault="00A35E98" w:rsidP="004D5FA1">
            <w:pPr>
              <w:spacing w:after="0"/>
              <w:rPr>
                <w:rFonts w:ascii="Verdana" w:eastAsia="Times New Roman" w:hAnsi="Verdana"/>
                <w:sz w:val="18"/>
                <w:szCs w:val="18"/>
              </w:rPr>
            </w:pPr>
            <w:r w:rsidRPr="004D5FA1">
              <w:rPr>
                <w:rFonts w:ascii="Verdana" w:hAnsi="Verdana"/>
                <w:sz w:val="18"/>
                <w:szCs w:val="18"/>
              </w:rPr>
              <w:t>3.1</w:t>
            </w:r>
          </w:p>
        </w:tc>
        <w:tc>
          <w:tcPr>
            <w:tcW w:w="81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81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63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99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99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r>
      <w:tr w:rsidR="00F24971" w:rsidRPr="005B6074" w:rsidTr="00F24971">
        <w:trPr>
          <w:trHeight w:val="330"/>
        </w:trPr>
        <w:tc>
          <w:tcPr>
            <w:tcW w:w="2340" w:type="dxa"/>
            <w:vMerge w:val="restart"/>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PA 4: Support for EP and CCP when implementing ESIF</w:t>
            </w:r>
          </w:p>
        </w:tc>
        <w:tc>
          <w:tcPr>
            <w:tcW w:w="1260" w:type="dxa"/>
            <w:shd w:val="clear" w:color="000000" w:fill="C6D9F1"/>
            <w:vAlign w:val="center"/>
            <w:hideMark/>
          </w:tcPr>
          <w:p w:rsidR="00F24971" w:rsidRPr="004D5FA1" w:rsidRDefault="00A35E98" w:rsidP="004D5FA1">
            <w:pPr>
              <w:spacing w:after="0"/>
              <w:rPr>
                <w:rFonts w:ascii="Verdana" w:eastAsia="Times New Roman" w:hAnsi="Verdana"/>
                <w:sz w:val="18"/>
                <w:szCs w:val="18"/>
              </w:rPr>
            </w:pPr>
            <w:r w:rsidRPr="004D5FA1">
              <w:rPr>
                <w:rFonts w:ascii="Verdana" w:hAnsi="Verdana"/>
                <w:sz w:val="18"/>
                <w:szCs w:val="18"/>
              </w:rPr>
              <w:t>4.1</w:t>
            </w:r>
          </w:p>
        </w:tc>
        <w:tc>
          <w:tcPr>
            <w:tcW w:w="81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81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63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99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99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r>
      <w:tr w:rsidR="00F24971" w:rsidRPr="005B6074" w:rsidTr="00F24971">
        <w:trPr>
          <w:trHeight w:val="330"/>
        </w:trPr>
        <w:tc>
          <w:tcPr>
            <w:tcW w:w="2340" w:type="dxa"/>
            <w:vMerge/>
            <w:shd w:val="clear" w:color="auto" w:fill="548DD4"/>
            <w:vAlign w:val="center"/>
            <w:hideMark/>
          </w:tcPr>
          <w:p w:rsidR="00F24971" w:rsidRPr="005B6074" w:rsidRDefault="00F24971" w:rsidP="00F24971">
            <w:pPr>
              <w:spacing w:after="0" w:line="240" w:lineRule="auto"/>
              <w:rPr>
                <w:rFonts w:ascii="Verdana" w:eastAsia="Times New Roman" w:hAnsi="Verdana"/>
                <w:bCs/>
                <w:color w:val="FFFFFF"/>
                <w:sz w:val="18"/>
                <w:szCs w:val="18"/>
              </w:rPr>
            </w:pPr>
          </w:p>
        </w:tc>
        <w:tc>
          <w:tcPr>
            <w:tcW w:w="1260" w:type="dxa"/>
            <w:shd w:val="clear" w:color="000000" w:fill="C6D9F1"/>
            <w:vAlign w:val="center"/>
            <w:hideMark/>
          </w:tcPr>
          <w:p w:rsidR="00F24971" w:rsidRPr="004D5FA1" w:rsidRDefault="00A35E98" w:rsidP="004D5FA1">
            <w:pPr>
              <w:spacing w:after="0"/>
              <w:rPr>
                <w:rFonts w:ascii="Verdana" w:eastAsia="Times New Roman" w:hAnsi="Verdana"/>
                <w:sz w:val="18"/>
                <w:szCs w:val="18"/>
              </w:rPr>
            </w:pPr>
            <w:r w:rsidRPr="004D5FA1">
              <w:rPr>
                <w:rFonts w:ascii="Verdana" w:hAnsi="Verdana"/>
                <w:sz w:val="18"/>
                <w:szCs w:val="18"/>
              </w:rPr>
              <w:t>4.2</w:t>
            </w:r>
          </w:p>
        </w:tc>
        <w:tc>
          <w:tcPr>
            <w:tcW w:w="81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81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72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63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99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c>
          <w:tcPr>
            <w:tcW w:w="990" w:type="dxa"/>
            <w:shd w:val="clear" w:color="auto" w:fill="auto"/>
            <w:vAlign w:val="center"/>
            <w:hideMark/>
          </w:tcPr>
          <w:p w:rsidR="00F24971" w:rsidRPr="004D5FA1" w:rsidRDefault="00F24971" w:rsidP="004D5FA1">
            <w:pPr>
              <w:spacing w:after="0"/>
              <w:rPr>
                <w:rFonts w:ascii="Verdana" w:eastAsia="Times New Roman" w:hAnsi="Verdana"/>
                <w:color w:val="0070C0"/>
                <w:sz w:val="18"/>
                <w:szCs w:val="18"/>
              </w:rPr>
            </w:pPr>
          </w:p>
        </w:tc>
      </w:tr>
    </w:tbl>
    <w:p w:rsidR="00F24971" w:rsidRPr="005B6074" w:rsidRDefault="00A35E98" w:rsidP="00F24971">
      <w:pPr>
        <w:spacing w:before="120"/>
        <w:rPr>
          <w:rFonts w:ascii="Verdana" w:hAnsi="Verdana"/>
          <w:i/>
          <w:sz w:val="18"/>
          <w:szCs w:val="18"/>
        </w:rPr>
      </w:pPr>
      <w:r w:rsidRPr="005B6074">
        <w:rPr>
          <w:rFonts w:ascii="Verdana" w:hAnsi="Verdana"/>
          <w:i/>
          <w:sz w:val="18"/>
        </w:rPr>
        <w:t xml:space="preserve">Legend: </w:t>
      </w:r>
      <w:r w:rsidRPr="005B6074">
        <w:rPr>
          <w:rFonts w:ascii="Wingdings 2" w:hAnsi="Wingdings 2"/>
          <w:color w:val="0070C0"/>
          <w:sz w:val="26"/>
        </w:rPr>
        <w:t></w:t>
      </w:r>
      <w:r w:rsidRPr="005B6074">
        <w:rPr>
          <w:rFonts w:ascii="Verdana" w:hAnsi="Verdana"/>
          <w:i/>
          <w:sz w:val="18"/>
        </w:rPr>
        <w:t xml:space="preserve"> - weak connection, </w:t>
      </w:r>
      <w:r w:rsidRPr="005B6074">
        <w:rPr>
          <w:rFonts w:ascii="Wingdings 2" w:hAnsi="Wingdings 2"/>
          <w:color w:val="0070C0"/>
          <w:sz w:val="26"/>
        </w:rPr>
        <w:t></w:t>
      </w:r>
      <w:r w:rsidRPr="005B6074">
        <w:rPr>
          <w:rFonts w:ascii="Wingdings 2" w:hAnsi="Wingdings 2"/>
          <w:color w:val="0070C0"/>
          <w:sz w:val="26"/>
        </w:rPr>
        <w:t></w:t>
      </w:r>
      <w:r w:rsidRPr="005B6074">
        <w:rPr>
          <w:rFonts w:ascii="Verdana" w:hAnsi="Verdana"/>
          <w:sz w:val="26"/>
        </w:rPr>
        <w:t xml:space="preserve">- </w:t>
      </w:r>
      <w:r w:rsidRPr="005B6074">
        <w:rPr>
          <w:rFonts w:ascii="Verdana" w:hAnsi="Verdana"/>
          <w:i/>
          <w:sz w:val="18"/>
        </w:rPr>
        <w:t xml:space="preserve">average connection, </w:t>
      </w:r>
      <w:r w:rsidRPr="005B6074">
        <w:rPr>
          <w:rFonts w:ascii="Wingdings 2" w:hAnsi="Wingdings 2"/>
          <w:color w:val="0070C0"/>
          <w:sz w:val="26"/>
        </w:rPr>
        <w:t></w:t>
      </w:r>
      <w:r w:rsidRPr="005B6074">
        <w:rPr>
          <w:rFonts w:ascii="Wingdings 2" w:hAnsi="Wingdings 2"/>
          <w:color w:val="0070C0"/>
          <w:sz w:val="26"/>
        </w:rPr>
        <w:t></w:t>
      </w:r>
      <w:r w:rsidRPr="005B6074">
        <w:rPr>
          <w:rFonts w:ascii="Wingdings 2" w:hAnsi="Wingdings 2"/>
          <w:color w:val="0070C0"/>
          <w:sz w:val="26"/>
        </w:rPr>
        <w:t></w:t>
      </w:r>
      <w:r w:rsidRPr="005B6074">
        <w:rPr>
          <w:rFonts w:ascii="Verdana" w:hAnsi="Verdana"/>
          <w:i/>
          <w:sz w:val="18"/>
        </w:rPr>
        <w:t xml:space="preserve"> - strong connection</w:t>
      </w:r>
    </w:p>
    <w:p w:rsidR="00F24971" w:rsidRPr="005B6074" w:rsidRDefault="00A35E98" w:rsidP="00F24971">
      <w:pPr>
        <w:keepNext/>
        <w:spacing w:before="240" w:after="120"/>
        <w:rPr>
          <w:rFonts w:ascii="Verdana" w:hAnsi="Verdana"/>
          <w:b/>
          <w:color w:val="548DD4"/>
          <w:sz w:val="20"/>
          <w:szCs w:val="20"/>
        </w:rPr>
      </w:pPr>
      <w:bookmarkStart w:id="75" w:name="_Toc390257062"/>
      <w:bookmarkStart w:id="76" w:name="_Toc396225601"/>
      <w:r w:rsidRPr="005B6074">
        <w:rPr>
          <w:rFonts w:ascii="Verdana" w:hAnsi="Verdana"/>
          <w:b/>
          <w:color w:val="548DD4"/>
          <w:sz w:val="20"/>
        </w:rPr>
        <w:lastRenderedPageBreak/>
        <w:t xml:space="preserve">Table </w:t>
      </w:r>
      <w:r w:rsidRPr="005B6074">
        <w:rPr>
          <w:rFonts w:ascii="Verdana" w:hAnsi="Verdana"/>
          <w:b/>
          <w:color w:val="548DD4"/>
          <w:sz w:val="20"/>
        </w:rPr>
        <w:fldChar w:fldCharType="begin"/>
      </w:r>
      <w:r w:rsidRPr="005B6074">
        <w:rPr>
          <w:rFonts w:ascii="Verdana" w:hAnsi="Verdana"/>
          <w:b/>
          <w:color w:val="548DD4"/>
          <w:sz w:val="20"/>
        </w:rPr>
        <w:instrText>SEQ таблица \* ARABIC</w:instrText>
      </w:r>
      <w:r w:rsidRPr="005B6074">
        <w:rPr>
          <w:rFonts w:ascii="Verdana" w:hAnsi="Verdana"/>
          <w:b/>
          <w:color w:val="548DD4"/>
          <w:sz w:val="20"/>
        </w:rPr>
        <w:fldChar w:fldCharType="separate"/>
      </w:r>
      <w:r w:rsidR="009330F5">
        <w:rPr>
          <w:rFonts w:ascii="Verdana" w:hAnsi="Verdana"/>
          <w:b/>
          <w:noProof/>
          <w:color w:val="548DD4"/>
          <w:sz w:val="20"/>
        </w:rPr>
        <w:t>6</w:t>
      </w:r>
      <w:r w:rsidRPr="005B6074">
        <w:rPr>
          <w:rFonts w:ascii="Verdana" w:hAnsi="Verdana"/>
          <w:b/>
          <w:color w:val="548DD4"/>
          <w:sz w:val="20"/>
        </w:rPr>
        <w:fldChar w:fldCharType="end"/>
      </w:r>
      <w:r w:rsidRPr="005B6074">
        <w:rPr>
          <w:rFonts w:ascii="Verdana" w:hAnsi="Verdana"/>
          <w:b/>
          <w:color w:val="548DD4"/>
          <w:sz w:val="20"/>
        </w:rPr>
        <w:t xml:space="preserve">. Complementarity and Demarcation of </w:t>
      </w:r>
      <w:r w:rsidR="005B35A7">
        <w:rPr>
          <w:rFonts w:ascii="Verdana" w:hAnsi="Verdana"/>
          <w:b/>
          <w:color w:val="548DD4"/>
          <w:sz w:val="20"/>
        </w:rPr>
        <w:t>OPSESG</w:t>
      </w:r>
      <w:r w:rsidRPr="005B6074">
        <w:rPr>
          <w:rFonts w:ascii="Verdana" w:hAnsi="Verdana"/>
          <w:b/>
          <w:color w:val="548DD4"/>
          <w:sz w:val="20"/>
        </w:rPr>
        <w:t xml:space="preserve"> and OPE</w:t>
      </w:r>
      <w:bookmarkEnd w:id="75"/>
      <w:bookmarkEnd w:id="76"/>
    </w:p>
    <w:tbl>
      <w:tblPr>
        <w:tblW w:w="91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7043"/>
      </w:tblGrid>
      <w:tr w:rsidR="00F24971" w:rsidRPr="005B6074" w:rsidTr="00B2073D">
        <w:tc>
          <w:tcPr>
            <w:tcW w:w="2155" w:type="dxa"/>
            <w:shd w:val="clear" w:color="auto" w:fill="548DD4"/>
          </w:tcPr>
          <w:p w:rsidR="00F24971" w:rsidRPr="00931B15" w:rsidRDefault="00A35E98" w:rsidP="00931B15">
            <w:pPr>
              <w:rPr>
                <w:rFonts w:ascii="Verdana" w:hAnsi="Verdana"/>
                <w:color w:val="FFFFFF" w:themeColor="background1"/>
                <w:sz w:val="20"/>
                <w:szCs w:val="20"/>
              </w:rPr>
            </w:pPr>
            <w:r w:rsidRPr="00931B15">
              <w:rPr>
                <w:rFonts w:ascii="Verdana" w:hAnsi="Verdana"/>
                <w:color w:val="FFFFFF" w:themeColor="background1"/>
                <w:sz w:val="20"/>
                <w:szCs w:val="20"/>
              </w:rPr>
              <w:t xml:space="preserve">Complementarity / Demarcation </w:t>
            </w:r>
            <w:r w:rsidR="00F52AAA" w:rsidRPr="00931B15">
              <w:rPr>
                <w:rFonts w:ascii="Verdana" w:hAnsi="Verdana"/>
                <w:color w:val="FFFFFF" w:themeColor="background1"/>
                <w:sz w:val="20"/>
                <w:szCs w:val="20"/>
              </w:rPr>
              <w:t>noted in the OPSESG</w:t>
            </w:r>
          </w:p>
        </w:tc>
        <w:tc>
          <w:tcPr>
            <w:tcW w:w="7043" w:type="dxa"/>
          </w:tcPr>
          <w:p w:rsidR="00F24971" w:rsidRPr="005B6074" w:rsidRDefault="00A35E98" w:rsidP="00931B15">
            <w:pPr>
              <w:spacing w:after="0"/>
              <w:rPr>
                <w:rFonts w:ascii="Verdana" w:hAnsi="Verdana"/>
                <w:sz w:val="20"/>
                <w:szCs w:val="20"/>
              </w:rPr>
            </w:pPr>
            <w:r w:rsidRPr="00931B15">
              <w:rPr>
                <w:rFonts w:ascii="Verdana" w:hAnsi="Verdana"/>
                <w:b/>
                <w:sz w:val="20"/>
                <w:szCs w:val="20"/>
              </w:rPr>
              <w:t>Complementarity and demarcation</w:t>
            </w:r>
            <w:r w:rsidRPr="00931B15">
              <w:rPr>
                <w:rFonts w:ascii="Verdana" w:hAnsi="Verdana"/>
                <w:sz w:val="20"/>
                <w:szCs w:val="20"/>
              </w:rPr>
              <w:t xml:space="preserve"> – taken into account. </w:t>
            </w:r>
            <w:r w:rsidR="005B35A7">
              <w:rPr>
                <w:rFonts w:ascii="Verdana" w:hAnsi="Verdana"/>
                <w:sz w:val="20"/>
                <w:szCs w:val="20"/>
              </w:rPr>
              <w:t>OPSESG</w:t>
            </w:r>
            <w:r w:rsidRPr="00931B15">
              <w:rPr>
                <w:rFonts w:ascii="Verdana" w:hAnsi="Verdana"/>
                <w:sz w:val="20"/>
                <w:szCs w:val="20"/>
              </w:rPr>
              <w:t xml:space="preserve"> specifies that there is no overlapping of thematic objectives between the two programmes and the definition of demarcation lines is not necessary. It is also noted that there could be complementarity of the programmes in the implementation of scientific projects on topics related to OPE priorities and in the financing of scientific infrastructure in the area of environment.</w:t>
            </w:r>
          </w:p>
        </w:tc>
      </w:tr>
      <w:tr w:rsidR="00F24971" w:rsidRPr="005B6074" w:rsidTr="00B2073D">
        <w:tc>
          <w:tcPr>
            <w:tcW w:w="2155" w:type="dxa"/>
            <w:shd w:val="clear" w:color="auto" w:fill="548DD4"/>
          </w:tcPr>
          <w:p w:rsidR="00F24971" w:rsidRPr="00931B15" w:rsidRDefault="00A35E98" w:rsidP="00931B15">
            <w:pPr>
              <w:rPr>
                <w:rFonts w:ascii="Verdana" w:hAnsi="Verdana"/>
                <w:color w:val="FFFFFF" w:themeColor="background1"/>
                <w:sz w:val="20"/>
                <w:szCs w:val="20"/>
              </w:rPr>
            </w:pPr>
            <w:r w:rsidRPr="00931B15">
              <w:rPr>
                <w:rFonts w:ascii="Verdana" w:hAnsi="Verdana"/>
                <w:color w:val="FFFFFF" w:themeColor="background1"/>
                <w:sz w:val="20"/>
                <w:szCs w:val="20"/>
              </w:rPr>
              <w:t>Comments</w:t>
            </w:r>
          </w:p>
        </w:tc>
        <w:tc>
          <w:tcPr>
            <w:tcW w:w="7043" w:type="dxa"/>
          </w:tcPr>
          <w:p w:rsidR="00F24971" w:rsidRPr="005B6074" w:rsidRDefault="00A35E98" w:rsidP="00931B15">
            <w:pPr>
              <w:spacing w:after="0"/>
              <w:rPr>
                <w:rFonts w:ascii="Verdana" w:hAnsi="Verdana"/>
                <w:sz w:val="20"/>
                <w:szCs w:val="20"/>
              </w:rPr>
            </w:pPr>
            <w:r w:rsidRPr="00931B15">
              <w:rPr>
                <w:rFonts w:ascii="Verdana" w:hAnsi="Verdana"/>
                <w:sz w:val="20"/>
                <w:szCs w:val="20"/>
              </w:rPr>
              <w:t>There is no direct connection between the two programmes</w:t>
            </w:r>
          </w:p>
        </w:tc>
      </w:tr>
      <w:tr w:rsidR="00F24971" w:rsidRPr="005B6074" w:rsidTr="00B2073D">
        <w:tc>
          <w:tcPr>
            <w:tcW w:w="2155" w:type="dxa"/>
            <w:shd w:val="clear" w:color="auto" w:fill="548DD4"/>
          </w:tcPr>
          <w:p w:rsidR="00F24971" w:rsidRPr="00931B15" w:rsidRDefault="00A35E98" w:rsidP="00931B15">
            <w:pPr>
              <w:rPr>
                <w:rFonts w:ascii="Verdana" w:hAnsi="Verdana"/>
                <w:color w:val="FFFFFF" w:themeColor="background1"/>
                <w:sz w:val="20"/>
                <w:szCs w:val="20"/>
              </w:rPr>
            </w:pPr>
            <w:r w:rsidRPr="00931B15">
              <w:rPr>
                <w:rFonts w:ascii="Verdana" w:hAnsi="Verdana"/>
                <w:color w:val="FFFFFF" w:themeColor="background1"/>
                <w:sz w:val="20"/>
                <w:szCs w:val="20"/>
              </w:rPr>
              <w:t>Recommendation</w:t>
            </w:r>
          </w:p>
        </w:tc>
        <w:tc>
          <w:tcPr>
            <w:tcW w:w="7043" w:type="dxa"/>
          </w:tcPr>
          <w:p w:rsidR="00F24971" w:rsidRPr="005B6074" w:rsidRDefault="00A35E98" w:rsidP="00931B15">
            <w:pPr>
              <w:spacing w:after="0"/>
              <w:rPr>
                <w:rFonts w:ascii="Verdana" w:hAnsi="Verdana"/>
                <w:sz w:val="20"/>
                <w:szCs w:val="20"/>
              </w:rPr>
            </w:pPr>
            <w:r w:rsidRPr="00931B15">
              <w:rPr>
                <w:rFonts w:ascii="Verdana" w:hAnsi="Verdana"/>
                <w:sz w:val="20"/>
                <w:szCs w:val="20"/>
              </w:rPr>
              <w:t>N/A</w:t>
            </w:r>
          </w:p>
        </w:tc>
      </w:tr>
    </w:tbl>
    <w:p w:rsidR="00F24971" w:rsidRPr="005B6074" w:rsidRDefault="00F24971" w:rsidP="00F24971">
      <w:pPr>
        <w:ind w:left="360"/>
        <w:rPr>
          <w:rFonts w:ascii="Verdana" w:hAnsi="Verdana"/>
          <w:sz w:val="20"/>
          <w:szCs w:val="20"/>
        </w:rPr>
      </w:pP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Operational Programme Transport and Transport Infrastructure (OPTTI) 2014–2020</w:t>
      </w:r>
    </w:p>
    <w:p w:rsidR="00F24971" w:rsidRPr="005B6074" w:rsidRDefault="00A35E98" w:rsidP="00F24971">
      <w:pPr>
        <w:pBdr>
          <w:top w:val="single" w:sz="4" w:space="1" w:color="auto"/>
          <w:bottom w:val="single" w:sz="4" w:space="1" w:color="auto"/>
        </w:pBdr>
        <w:shd w:val="clear" w:color="auto" w:fill="548DD4"/>
        <w:tabs>
          <w:tab w:val="left" w:pos="540"/>
        </w:tabs>
        <w:spacing w:before="120" w:after="120" w:line="240" w:lineRule="auto"/>
        <w:ind w:left="540" w:hanging="540"/>
        <w:contextualSpacing/>
        <w:jc w:val="both"/>
        <w:rPr>
          <w:rFonts w:ascii="Verdana" w:hAnsi="Verdana"/>
          <w:color w:val="FFFFFF"/>
          <w:sz w:val="20"/>
          <w:szCs w:val="20"/>
        </w:rPr>
      </w:pPr>
      <w:r w:rsidRPr="005B6074">
        <w:rPr>
          <w:rFonts w:ascii="Verdana" w:hAnsi="Verdana"/>
          <w:color w:val="FFFFFF"/>
          <w:sz w:val="20"/>
        </w:rPr>
        <w:t>PA 1: Development of Railway Infrastructure along the “Core” and “Comprehensive” Trans-European Transport Network</w:t>
      </w:r>
    </w:p>
    <w:p w:rsidR="00F24971" w:rsidRPr="005B6074" w:rsidRDefault="00A35E98" w:rsidP="00181A22">
      <w:pPr>
        <w:pStyle w:val="Default"/>
        <w:numPr>
          <w:ilvl w:val="0"/>
          <w:numId w:val="42"/>
        </w:numPr>
        <w:tabs>
          <w:tab w:val="left" w:pos="1080"/>
        </w:tabs>
        <w:spacing w:after="120" w:line="276" w:lineRule="auto"/>
        <w:ind w:left="990" w:hanging="450"/>
        <w:jc w:val="both"/>
        <w:rPr>
          <w:rFonts w:ascii="Verdana" w:hAnsi="Verdana"/>
          <w:sz w:val="20"/>
          <w:szCs w:val="20"/>
        </w:rPr>
      </w:pPr>
      <w:r w:rsidRPr="005B6074">
        <w:rPr>
          <w:rFonts w:ascii="Verdana" w:hAnsi="Verdana"/>
          <w:sz w:val="20"/>
        </w:rPr>
        <w:t xml:space="preserve">Supporting a multi-modal Single European Transport Area by investing in Trans-European transport network; </w:t>
      </w:r>
    </w:p>
    <w:p w:rsidR="00F24971" w:rsidRPr="005B6074" w:rsidRDefault="00A35E98" w:rsidP="00181A22">
      <w:pPr>
        <w:pStyle w:val="Default"/>
        <w:numPr>
          <w:ilvl w:val="0"/>
          <w:numId w:val="42"/>
        </w:numPr>
        <w:tabs>
          <w:tab w:val="left" w:pos="1080"/>
        </w:tabs>
        <w:spacing w:after="120" w:line="276" w:lineRule="auto"/>
        <w:ind w:left="990" w:hanging="450"/>
        <w:jc w:val="both"/>
        <w:rPr>
          <w:rFonts w:ascii="Verdana" w:hAnsi="Verdana"/>
          <w:sz w:val="20"/>
          <w:szCs w:val="20"/>
        </w:rPr>
      </w:pPr>
      <w:r w:rsidRPr="005B6074">
        <w:rPr>
          <w:rFonts w:ascii="Verdana" w:hAnsi="Verdana"/>
          <w:sz w:val="20"/>
        </w:rPr>
        <w:t>Developing and rehabilitating comprehensive, high quality and interoperable railway systems, and promoting noise-reduction measures.</w:t>
      </w:r>
    </w:p>
    <w:p w:rsidR="00F24971" w:rsidRPr="005B6074" w:rsidRDefault="00A35E98" w:rsidP="00F24971">
      <w:pPr>
        <w:pBdr>
          <w:top w:val="single" w:sz="4" w:space="1" w:color="auto"/>
          <w:bottom w:val="single" w:sz="4" w:space="1" w:color="auto"/>
        </w:pBdr>
        <w:shd w:val="clear" w:color="auto" w:fill="548DD4"/>
        <w:tabs>
          <w:tab w:val="left" w:pos="540"/>
        </w:tabs>
        <w:spacing w:before="120" w:after="120" w:line="240" w:lineRule="auto"/>
        <w:ind w:left="540" w:hanging="540"/>
        <w:contextualSpacing/>
        <w:rPr>
          <w:rFonts w:ascii="Verdana" w:hAnsi="Verdana"/>
          <w:color w:val="FFFFFF"/>
          <w:sz w:val="20"/>
          <w:szCs w:val="20"/>
        </w:rPr>
      </w:pPr>
      <w:r w:rsidRPr="005B6074">
        <w:rPr>
          <w:rFonts w:ascii="Verdana" w:hAnsi="Verdana"/>
          <w:color w:val="FFFFFF"/>
          <w:sz w:val="20"/>
        </w:rPr>
        <w:t>PA 2: Development of Road Infrastructure along the “Core” Trans-European Transport Network</w:t>
      </w:r>
    </w:p>
    <w:p w:rsidR="00F24971" w:rsidRPr="005B6074" w:rsidRDefault="00A35E98" w:rsidP="00181A22">
      <w:pPr>
        <w:pStyle w:val="Default"/>
        <w:numPr>
          <w:ilvl w:val="0"/>
          <w:numId w:val="43"/>
        </w:numPr>
        <w:spacing w:after="120" w:line="276" w:lineRule="auto"/>
        <w:ind w:left="1080" w:hanging="540"/>
        <w:jc w:val="both"/>
        <w:rPr>
          <w:rFonts w:ascii="Verdana" w:hAnsi="Verdana"/>
          <w:sz w:val="20"/>
          <w:szCs w:val="20"/>
        </w:rPr>
      </w:pPr>
      <w:r w:rsidRPr="005B6074">
        <w:rPr>
          <w:rFonts w:ascii="Verdana" w:hAnsi="Verdana"/>
          <w:sz w:val="20"/>
        </w:rPr>
        <w:t>Supporting a multi-modal Single European Transport Area by investing in Trans-European transport network;</w:t>
      </w:r>
    </w:p>
    <w:p w:rsidR="00F24971" w:rsidRPr="005B6074" w:rsidRDefault="00A35E98" w:rsidP="00181A22">
      <w:pPr>
        <w:pStyle w:val="ListParagraph"/>
        <w:numPr>
          <w:ilvl w:val="0"/>
          <w:numId w:val="43"/>
        </w:numPr>
        <w:spacing w:after="120"/>
        <w:ind w:left="1080" w:hanging="540"/>
        <w:contextualSpacing/>
        <w:jc w:val="both"/>
        <w:rPr>
          <w:rFonts w:ascii="Verdana" w:hAnsi="Verdana"/>
          <w:sz w:val="20"/>
          <w:szCs w:val="20"/>
        </w:rPr>
      </w:pPr>
      <w:r w:rsidRPr="005B6074">
        <w:rPr>
          <w:rFonts w:ascii="Verdana" w:hAnsi="Verdana"/>
          <w:sz w:val="20"/>
        </w:rPr>
        <w:t>Development of railway infrastructure along the “core” Trans-European Transport Network</w:t>
      </w:r>
    </w:p>
    <w:p w:rsidR="00F24971" w:rsidRPr="005B6074" w:rsidRDefault="00A35E98" w:rsidP="00F24971">
      <w:pPr>
        <w:pBdr>
          <w:top w:val="single" w:sz="4" w:space="1" w:color="auto"/>
          <w:bottom w:val="single" w:sz="4" w:space="1" w:color="auto"/>
        </w:pBdr>
        <w:shd w:val="clear" w:color="auto" w:fill="548DD4"/>
        <w:tabs>
          <w:tab w:val="left" w:pos="540"/>
        </w:tabs>
        <w:spacing w:before="120" w:after="120" w:line="240" w:lineRule="auto"/>
        <w:ind w:left="540" w:hanging="540"/>
        <w:contextualSpacing/>
        <w:rPr>
          <w:rFonts w:ascii="Verdana" w:hAnsi="Verdana"/>
          <w:color w:val="FFFFFF"/>
          <w:sz w:val="20"/>
          <w:szCs w:val="20"/>
        </w:rPr>
      </w:pPr>
      <w:r w:rsidRPr="005B6074">
        <w:rPr>
          <w:rFonts w:ascii="Verdana" w:hAnsi="Verdana"/>
          <w:color w:val="FFFFFF"/>
          <w:sz w:val="20"/>
        </w:rPr>
        <w:t xml:space="preserve">PA 3: Improvement of Intermodal Transport Services for Passengers and Freights and Development of Sustainable Urban Transport </w:t>
      </w:r>
    </w:p>
    <w:p w:rsidR="00F24971" w:rsidRPr="005B6074" w:rsidRDefault="00A35E98" w:rsidP="00F24971">
      <w:pPr>
        <w:pStyle w:val="Default"/>
        <w:spacing w:after="120" w:line="276" w:lineRule="auto"/>
        <w:ind w:left="1080" w:hanging="540"/>
        <w:jc w:val="both"/>
        <w:rPr>
          <w:rFonts w:ascii="Verdana" w:hAnsi="Verdana"/>
          <w:sz w:val="20"/>
          <w:szCs w:val="20"/>
        </w:rPr>
      </w:pPr>
      <w:r w:rsidRPr="005B6074">
        <w:rPr>
          <w:rFonts w:ascii="Verdana" w:hAnsi="Verdana"/>
          <w:sz w:val="20"/>
        </w:rPr>
        <w:t>3.1.</w:t>
      </w:r>
      <w:r w:rsidRPr="005B6074">
        <w:rPr>
          <w:rFonts w:ascii="Verdana" w:hAnsi="Verdana"/>
          <w:sz w:val="20"/>
        </w:rPr>
        <w:tab/>
        <w:t>Supporting a multi-modal Single European Transport Area by investing in Trans-European transport network;</w:t>
      </w:r>
    </w:p>
    <w:p w:rsidR="00F24971" w:rsidRPr="005B6074" w:rsidRDefault="00A35E98" w:rsidP="00F24971">
      <w:pPr>
        <w:pStyle w:val="Default"/>
        <w:spacing w:after="120" w:line="276" w:lineRule="auto"/>
        <w:ind w:left="1080" w:hanging="540"/>
        <w:jc w:val="both"/>
        <w:rPr>
          <w:rFonts w:ascii="Verdana" w:hAnsi="Verdana"/>
          <w:sz w:val="20"/>
          <w:szCs w:val="20"/>
        </w:rPr>
      </w:pPr>
      <w:r w:rsidRPr="005B6074">
        <w:rPr>
          <w:rFonts w:ascii="Verdana" w:hAnsi="Verdana"/>
          <w:sz w:val="20"/>
        </w:rPr>
        <w:t>3.2.</w:t>
      </w:r>
      <w:r w:rsidRPr="005B6074">
        <w:rPr>
          <w:rFonts w:ascii="Verdana" w:hAnsi="Verdana"/>
          <w:sz w:val="20"/>
        </w:rPr>
        <w:tab/>
        <w:t>Promoting low-carbon strategies for all types of territories, in particular for urban areas, including the promotion of sustainable multimodal urban mobility and mitigation-relevant adaptation measures.</w:t>
      </w:r>
    </w:p>
    <w:p w:rsidR="00F24971" w:rsidRPr="005B6074" w:rsidRDefault="00A35E98" w:rsidP="00F24971">
      <w:pPr>
        <w:pBdr>
          <w:top w:val="single" w:sz="4" w:space="1" w:color="auto"/>
          <w:bottom w:val="single" w:sz="4" w:space="1" w:color="auto"/>
        </w:pBdr>
        <w:shd w:val="clear" w:color="auto" w:fill="548DD4"/>
        <w:tabs>
          <w:tab w:val="left" w:pos="540"/>
        </w:tabs>
        <w:spacing w:before="120" w:after="120" w:line="240" w:lineRule="auto"/>
        <w:ind w:left="540" w:hanging="540"/>
        <w:contextualSpacing/>
        <w:rPr>
          <w:rFonts w:ascii="Verdana" w:hAnsi="Verdana"/>
          <w:color w:val="FFFFFF"/>
          <w:sz w:val="20"/>
          <w:szCs w:val="20"/>
        </w:rPr>
      </w:pPr>
      <w:r w:rsidRPr="005B6074">
        <w:rPr>
          <w:rFonts w:ascii="Verdana" w:hAnsi="Verdana"/>
          <w:color w:val="FFFFFF"/>
          <w:sz w:val="20"/>
        </w:rPr>
        <w:t>PA 4: Innovations in Management and Services - Establishment of Modern Infrastructure for Traffic Management and Transport Safety Improvement</w:t>
      </w:r>
    </w:p>
    <w:p w:rsidR="00F24971" w:rsidRPr="005B6074" w:rsidRDefault="00A35E98" w:rsidP="00F24971">
      <w:pPr>
        <w:spacing w:after="120"/>
        <w:ind w:left="1080" w:hanging="540"/>
        <w:contextualSpacing/>
        <w:jc w:val="both"/>
        <w:rPr>
          <w:rFonts w:ascii="Verdana" w:hAnsi="Verdana"/>
          <w:sz w:val="20"/>
          <w:szCs w:val="20"/>
        </w:rPr>
      </w:pPr>
      <w:r w:rsidRPr="005B6074">
        <w:rPr>
          <w:rFonts w:ascii="Verdana" w:hAnsi="Verdana"/>
          <w:sz w:val="20"/>
        </w:rPr>
        <w:t>4.1.</w:t>
      </w:r>
      <w:r w:rsidRPr="005B6074">
        <w:rPr>
          <w:rFonts w:ascii="Verdana" w:hAnsi="Verdana"/>
          <w:sz w:val="20"/>
        </w:rPr>
        <w:tab/>
        <w:t>Developing and improving environmentally-friendly, including low-noise and low-carbon, transport systems including inland waterways and maritime transport, ports, multimodal links and airport infrastructure, in order to promote sustainable regional and local mobility;</w:t>
      </w:r>
    </w:p>
    <w:p w:rsidR="00F24971" w:rsidRPr="005B6074" w:rsidRDefault="00A35E98" w:rsidP="00F24971">
      <w:pPr>
        <w:pStyle w:val="Default"/>
        <w:spacing w:after="120" w:line="276" w:lineRule="auto"/>
        <w:ind w:left="1080" w:hanging="540"/>
        <w:jc w:val="both"/>
        <w:rPr>
          <w:rFonts w:ascii="Verdana" w:hAnsi="Verdana"/>
          <w:sz w:val="20"/>
          <w:szCs w:val="20"/>
        </w:rPr>
      </w:pPr>
      <w:r w:rsidRPr="005B6074">
        <w:rPr>
          <w:rFonts w:ascii="Verdana" w:hAnsi="Verdana"/>
          <w:sz w:val="20"/>
        </w:rPr>
        <w:t>4.2.</w:t>
      </w:r>
      <w:r w:rsidRPr="005B6074">
        <w:rPr>
          <w:rFonts w:ascii="Verdana" w:hAnsi="Verdana"/>
          <w:sz w:val="20"/>
        </w:rPr>
        <w:tab/>
        <w:t>Developing and rehabilitating comprehensive, high quality and interoperable railway systems, and promoting noise-reduction measures".</w:t>
      </w:r>
    </w:p>
    <w:p w:rsidR="00F24971" w:rsidRPr="005B6074" w:rsidRDefault="00A35E98" w:rsidP="00F24971">
      <w:pPr>
        <w:keepNext/>
        <w:spacing w:before="240" w:after="120"/>
        <w:rPr>
          <w:rFonts w:ascii="Verdana" w:hAnsi="Verdana"/>
          <w:b/>
          <w:color w:val="548DD4"/>
          <w:sz w:val="20"/>
          <w:szCs w:val="20"/>
        </w:rPr>
      </w:pPr>
      <w:bookmarkStart w:id="77" w:name="_Toc390257063"/>
      <w:bookmarkStart w:id="78" w:name="_Toc396225602"/>
      <w:r w:rsidRPr="005B6074">
        <w:rPr>
          <w:rFonts w:ascii="Verdana" w:hAnsi="Verdana"/>
          <w:b/>
          <w:color w:val="548DD4"/>
          <w:sz w:val="20"/>
        </w:rPr>
        <w:lastRenderedPageBreak/>
        <w:t xml:space="preserve">Table </w:t>
      </w:r>
      <w:r w:rsidRPr="005B6074">
        <w:rPr>
          <w:rFonts w:ascii="Verdana" w:hAnsi="Verdana"/>
          <w:b/>
          <w:color w:val="548DD4"/>
          <w:sz w:val="20"/>
        </w:rPr>
        <w:fldChar w:fldCharType="begin"/>
      </w:r>
      <w:r w:rsidRPr="005B6074">
        <w:rPr>
          <w:rFonts w:ascii="Verdana" w:hAnsi="Verdana"/>
          <w:b/>
          <w:color w:val="548DD4"/>
          <w:sz w:val="20"/>
        </w:rPr>
        <w:instrText xml:space="preserve"> SEQ Таблица \* ARABIC </w:instrText>
      </w:r>
      <w:r w:rsidRPr="005B6074">
        <w:rPr>
          <w:rFonts w:ascii="Verdana" w:hAnsi="Verdana"/>
          <w:b/>
          <w:color w:val="548DD4"/>
          <w:sz w:val="20"/>
        </w:rPr>
        <w:fldChar w:fldCharType="separate"/>
      </w:r>
      <w:r w:rsidR="009330F5">
        <w:rPr>
          <w:rFonts w:ascii="Verdana" w:hAnsi="Verdana"/>
          <w:b/>
          <w:noProof/>
          <w:color w:val="548DD4"/>
          <w:sz w:val="20"/>
        </w:rPr>
        <w:t>7</w:t>
      </w:r>
      <w:r w:rsidRPr="005B6074">
        <w:rPr>
          <w:rFonts w:ascii="Verdana" w:hAnsi="Verdana"/>
          <w:b/>
          <w:color w:val="548DD4"/>
          <w:sz w:val="20"/>
        </w:rPr>
        <w:fldChar w:fldCharType="end"/>
      </w:r>
      <w:r w:rsidRPr="005B6074">
        <w:rPr>
          <w:rFonts w:ascii="Verdana" w:hAnsi="Verdana"/>
          <w:b/>
          <w:color w:val="548DD4"/>
          <w:sz w:val="20"/>
        </w:rPr>
        <w:t xml:space="preserve">. Connection between the Priorities of </w:t>
      </w:r>
      <w:r w:rsidR="005B35A7">
        <w:rPr>
          <w:rFonts w:ascii="Verdana" w:hAnsi="Verdana"/>
          <w:b/>
          <w:color w:val="548DD4"/>
          <w:sz w:val="20"/>
        </w:rPr>
        <w:t>OPSESG</w:t>
      </w:r>
      <w:r w:rsidRPr="005B6074">
        <w:rPr>
          <w:rFonts w:ascii="Verdana" w:hAnsi="Verdana"/>
          <w:b/>
          <w:color w:val="548DD4"/>
          <w:sz w:val="20"/>
        </w:rPr>
        <w:t xml:space="preserve"> and OPTTI</w:t>
      </w:r>
      <w:bookmarkEnd w:id="77"/>
      <w:bookmarkEnd w:id="78"/>
    </w:p>
    <w:tbl>
      <w:tblPr>
        <w:tblW w:w="10160" w:type="dxa"/>
        <w:jc w:val="center"/>
        <w:tblLook w:val="04A0" w:firstRow="1" w:lastRow="0" w:firstColumn="1" w:lastColumn="0" w:noHBand="0" w:noVBand="1"/>
      </w:tblPr>
      <w:tblGrid>
        <w:gridCol w:w="2822"/>
        <w:gridCol w:w="1311"/>
        <w:gridCol w:w="878"/>
        <w:gridCol w:w="866"/>
        <w:gridCol w:w="843"/>
        <w:gridCol w:w="730"/>
        <w:gridCol w:w="786"/>
        <w:gridCol w:w="900"/>
        <w:gridCol w:w="1024"/>
      </w:tblGrid>
      <w:tr w:rsidR="00F24971" w:rsidRPr="005B6074" w:rsidTr="00F24971">
        <w:trPr>
          <w:trHeight w:val="510"/>
          <w:jc w:val="center"/>
        </w:trPr>
        <w:tc>
          <w:tcPr>
            <w:tcW w:w="2822"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Operational Programme / Priority Axis</w:t>
            </w:r>
          </w:p>
        </w:tc>
        <w:tc>
          <w:tcPr>
            <w:tcW w:w="1311" w:type="dxa"/>
            <w:tcBorders>
              <w:top w:val="single" w:sz="4" w:space="0" w:color="auto"/>
              <w:left w:val="nil"/>
              <w:bottom w:val="single" w:sz="4" w:space="0" w:color="auto"/>
              <w:right w:val="single" w:sz="4" w:space="0" w:color="auto"/>
            </w:tcBorders>
            <w:shd w:val="clear" w:color="000000" w:fill="548DD4"/>
            <w:vAlign w:val="center"/>
            <w:hideMark/>
          </w:tcPr>
          <w:p w:rsidR="00F24971" w:rsidRPr="004D5FA1" w:rsidRDefault="005B35A7" w:rsidP="004D5FA1">
            <w:pPr>
              <w:jc w:val="center"/>
              <w:rPr>
                <w:rFonts w:ascii="Verdana" w:hAnsi="Verdana"/>
                <w:color w:val="FFFFFF" w:themeColor="background1"/>
                <w:sz w:val="18"/>
                <w:szCs w:val="18"/>
              </w:rPr>
            </w:pPr>
            <w:r>
              <w:rPr>
                <w:rFonts w:ascii="Verdana" w:hAnsi="Verdana"/>
                <w:color w:val="FFFFFF" w:themeColor="background1"/>
                <w:sz w:val="18"/>
                <w:szCs w:val="18"/>
              </w:rPr>
              <w:t>OPSESG</w:t>
            </w:r>
          </w:p>
        </w:tc>
        <w:tc>
          <w:tcPr>
            <w:tcW w:w="1744" w:type="dxa"/>
            <w:gridSpan w:val="2"/>
            <w:tcBorders>
              <w:top w:val="single" w:sz="4" w:space="0" w:color="auto"/>
              <w:left w:val="nil"/>
              <w:bottom w:val="single" w:sz="4" w:space="0" w:color="auto"/>
              <w:right w:val="single" w:sz="4" w:space="0" w:color="auto"/>
            </w:tcBorders>
            <w:shd w:val="clear" w:color="000000" w:fill="548DD4"/>
            <w:vAlign w:val="center"/>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PA 1: Scientific Research and Technological Development</w:t>
            </w:r>
          </w:p>
        </w:tc>
        <w:tc>
          <w:tcPr>
            <w:tcW w:w="2359" w:type="dxa"/>
            <w:gridSpan w:val="3"/>
            <w:tcBorders>
              <w:top w:val="single" w:sz="4" w:space="0" w:color="auto"/>
              <w:left w:val="nil"/>
              <w:bottom w:val="single" w:sz="4" w:space="0" w:color="auto"/>
              <w:right w:val="single" w:sz="4" w:space="0" w:color="auto"/>
            </w:tcBorders>
            <w:shd w:val="clear" w:color="000000" w:fill="548DD4"/>
            <w:vAlign w:val="center"/>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PA 2: Education and Lifelong Learning</w:t>
            </w:r>
          </w:p>
        </w:tc>
        <w:tc>
          <w:tcPr>
            <w:tcW w:w="1924" w:type="dxa"/>
            <w:gridSpan w:val="2"/>
            <w:tcBorders>
              <w:top w:val="single" w:sz="4" w:space="0" w:color="auto"/>
              <w:left w:val="nil"/>
              <w:bottom w:val="single" w:sz="4" w:space="0" w:color="auto"/>
              <w:right w:val="single" w:sz="4" w:space="0" w:color="auto"/>
            </w:tcBorders>
            <w:shd w:val="clear" w:color="000000" w:fill="548DD4"/>
            <w:vAlign w:val="center"/>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PA 3: Educational Environment for Active Social Inclusion</w:t>
            </w:r>
          </w:p>
        </w:tc>
      </w:tr>
      <w:tr w:rsidR="00F24971" w:rsidRPr="005B6074" w:rsidTr="00F24971">
        <w:trPr>
          <w:trHeight w:val="300"/>
          <w:jc w:val="center"/>
        </w:trPr>
        <w:tc>
          <w:tcPr>
            <w:tcW w:w="2822" w:type="dxa"/>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OPTTI</w:t>
            </w:r>
          </w:p>
        </w:tc>
        <w:tc>
          <w:tcPr>
            <w:tcW w:w="1311" w:type="dxa"/>
            <w:tcBorders>
              <w:top w:val="nil"/>
              <w:left w:val="nil"/>
              <w:bottom w:val="single" w:sz="4" w:space="0" w:color="auto"/>
              <w:right w:val="single" w:sz="4" w:space="0" w:color="auto"/>
            </w:tcBorders>
            <w:shd w:val="clear" w:color="000000" w:fill="C6D9F1"/>
            <w:vAlign w:val="bottom"/>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Priority</w:t>
            </w:r>
          </w:p>
        </w:tc>
        <w:tc>
          <w:tcPr>
            <w:tcW w:w="878"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1.1</w:t>
            </w:r>
          </w:p>
        </w:tc>
        <w:tc>
          <w:tcPr>
            <w:tcW w:w="866"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1.2</w:t>
            </w:r>
          </w:p>
        </w:tc>
        <w:tc>
          <w:tcPr>
            <w:tcW w:w="843"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2.1</w:t>
            </w:r>
          </w:p>
        </w:tc>
        <w:tc>
          <w:tcPr>
            <w:tcW w:w="730"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2.2</w:t>
            </w:r>
          </w:p>
        </w:tc>
        <w:tc>
          <w:tcPr>
            <w:tcW w:w="786"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2.3</w:t>
            </w:r>
          </w:p>
        </w:tc>
        <w:tc>
          <w:tcPr>
            <w:tcW w:w="900"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3.1</w:t>
            </w:r>
          </w:p>
        </w:tc>
        <w:tc>
          <w:tcPr>
            <w:tcW w:w="1024"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3.2</w:t>
            </w:r>
          </w:p>
        </w:tc>
      </w:tr>
      <w:tr w:rsidR="00F24971" w:rsidRPr="005B6074" w:rsidTr="00F24971">
        <w:trPr>
          <w:trHeight w:val="330"/>
          <w:jc w:val="center"/>
        </w:trPr>
        <w:tc>
          <w:tcPr>
            <w:tcW w:w="2822" w:type="dxa"/>
            <w:vMerge w:val="restart"/>
            <w:tcBorders>
              <w:top w:val="nil"/>
              <w:left w:val="single" w:sz="4" w:space="0" w:color="auto"/>
              <w:bottom w:val="single" w:sz="4" w:space="0" w:color="auto"/>
              <w:right w:val="single" w:sz="4" w:space="0" w:color="auto"/>
            </w:tcBorders>
            <w:shd w:val="clear" w:color="auto" w:fill="548DD4"/>
            <w:vAlign w:val="bottom"/>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PA 1: Development of Railway Infrastructure along the “Core” and “Comprehensive” Trans-European Transport Network</w:t>
            </w:r>
          </w:p>
        </w:tc>
        <w:tc>
          <w:tcPr>
            <w:tcW w:w="1311" w:type="dxa"/>
            <w:tcBorders>
              <w:top w:val="nil"/>
              <w:left w:val="nil"/>
              <w:bottom w:val="single" w:sz="4" w:space="0" w:color="auto"/>
              <w:right w:val="single" w:sz="4" w:space="0" w:color="auto"/>
            </w:tcBorders>
            <w:shd w:val="clear" w:color="000000" w:fill="C6D9F1"/>
            <w:vAlign w:val="bottom"/>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1.1</w:t>
            </w:r>
          </w:p>
        </w:tc>
        <w:tc>
          <w:tcPr>
            <w:tcW w:w="878"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8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10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0000"/>
                <w:sz w:val="18"/>
                <w:szCs w:val="18"/>
              </w:rPr>
            </w:pPr>
          </w:p>
        </w:tc>
      </w:tr>
      <w:tr w:rsidR="00F24971" w:rsidRPr="005B6074" w:rsidTr="00F24971">
        <w:trPr>
          <w:trHeight w:val="330"/>
          <w:jc w:val="center"/>
        </w:trPr>
        <w:tc>
          <w:tcPr>
            <w:tcW w:w="2822"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4D5FA1">
            <w:pPr>
              <w:jc w:val="center"/>
              <w:rPr>
                <w:rFonts w:ascii="Verdana" w:hAnsi="Verdana"/>
                <w:color w:val="FFFFFF" w:themeColor="background1"/>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1.2</w:t>
            </w:r>
          </w:p>
        </w:tc>
        <w:tc>
          <w:tcPr>
            <w:tcW w:w="878"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8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10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0000"/>
                <w:sz w:val="18"/>
                <w:szCs w:val="18"/>
              </w:rPr>
            </w:pPr>
          </w:p>
        </w:tc>
      </w:tr>
      <w:tr w:rsidR="00F24971" w:rsidRPr="005B6074" w:rsidTr="00F24971">
        <w:trPr>
          <w:trHeight w:val="330"/>
          <w:jc w:val="center"/>
        </w:trPr>
        <w:tc>
          <w:tcPr>
            <w:tcW w:w="2822"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4D5FA1">
            <w:pPr>
              <w:jc w:val="center"/>
              <w:rPr>
                <w:rFonts w:ascii="Verdana" w:hAnsi="Verdana"/>
                <w:color w:val="FFFFFF" w:themeColor="background1"/>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1.3</w:t>
            </w:r>
          </w:p>
        </w:tc>
        <w:tc>
          <w:tcPr>
            <w:tcW w:w="878"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8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10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jc w:val="center"/>
        </w:trPr>
        <w:tc>
          <w:tcPr>
            <w:tcW w:w="2822" w:type="dxa"/>
            <w:vMerge w:val="restart"/>
            <w:tcBorders>
              <w:top w:val="nil"/>
              <w:left w:val="single" w:sz="4" w:space="0" w:color="auto"/>
              <w:bottom w:val="single" w:sz="4" w:space="0" w:color="auto"/>
              <w:right w:val="single" w:sz="4" w:space="0" w:color="auto"/>
            </w:tcBorders>
            <w:shd w:val="clear" w:color="auto" w:fill="548DD4"/>
            <w:vAlign w:val="bottom"/>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PA 2: Development of Road Infrastructure along the “Core” Trans-European Transport Network</w:t>
            </w: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2.1</w:t>
            </w:r>
          </w:p>
        </w:tc>
        <w:tc>
          <w:tcPr>
            <w:tcW w:w="878"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8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10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jc w:val="center"/>
        </w:trPr>
        <w:tc>
          <w:tcPr>
            <w:tcW w:w="2822"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4D5FA1">
            <w:pPr>
              <w:jc w:val="center"/>
              <w:rPr>
                <w:rFonts w:ascii="Verdana" w:hAnsi="Verdana"/>
                <w:color w:val="FFFFFF" w:themeColor="background1"/>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2.2</w:t>
            </w:r>
          </w:p>
        </w:tc>
        <w:tc>
          <w:tcPr>
            <w:tcW w:w="878"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8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10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jc w:val="center"/>
        </w:trPr>
        <w:tc>
          <w:tcPr>
            <w:tcW w:w="2822"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4D5FA1">
            <w:pPr>
              <w:jc w:val="center"/>
              <w:rPr>
                <w:rFonts w:ascii="Verdana" w:hAnsi="Verdana"/>
                <w:color w:val="FFFFFF" w:themeColor="background1"/>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2.3</w:t>
            </w:r>
          </w:p>
        </w:tc>
        <w:tc>
          <w:tcPr>
            <w:tcW w:w="878"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8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10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782"/>
          <w:jc w:val="center"/>
        </w:trPr>
        <w:tc>
          <w:tcPr>
            <w:tcW w:w="2822" w:type="dxa"/>
            <w:vMerge w:val="restart"/>
            <w:tcBorders>
              <w:top w:val="nil"/>
              <w:left w:val="single" w:sz="4" w:space="0" w:color="auto"/>
              <w:bottom w:val="single" w:sz="4" w:space="0" w:color="auto"/>
              <w:right w:val="single" w:sz="4" w:space="0" w:color="auto"/>
            </w:tcBorders>
            <w:shd w:val="clear" w:color="auto" w:fill="548DD4"/>
            <w:vAlign w:val="bottom"/>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PA 3: Improvement of Intermodal Transport Services for Passengers and Freights and Development of Sustainable Urban Transport</w:t>
            </w: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3.1</w:t>
            </w:r>
          </w:p>
        </w:tc>
        <w:tc>
          <w:tcPr>
            <w:tcW w:w="878"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8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10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jc w:val="center"/>
        </w:trPr>
        <w:tc>
          <w:tcPr>
            <w:tcW w:w="2822"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4D5FA1">
            <w:pPr>
              <w:jc w:val="center"/>
              <w:rPr>
                <w:rFonts w:ascii="Verdana" w:hAnsi="Verdana"/>
                <w:color w:val="FFFFFF" w:themeColor="background1"/>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3.2</w:t>
            </w:r>
          </w:p>
        </w:tc>
        <w:tc>
          <w:tcPr>
            <w:tcW w:w="878"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8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10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710"/>
          <w:jc w:val="center"/>
        </w:trPr>
        <w:tc>
          <w:tcPr>
            <w:tcW w:w="2822" w:type="dxa"/>
            <w:vMerge w:val="restart"/>
            <w:tcBorders>
              <w:top w:val="nil"/>
              <w:left w:val="single" w:sz="4" w:space="0" w:color="auto"/>
              <w:bottom w:val="single" w:sz="4" w:space="0" w:color="auto"/>
              <w:right w:val="single" w:sz="4" w:space="0" w:color="auto"/>
            </w:tcBorders>
            <w:shd w:val="clear" w:color="auto" w:fill="548DD4"/>
            <w:vAlign w:val="bottom"/>
            <w:hideMark/>
          </w:tcPr>
          <w:p w:rsidR="00F24971" w:rsidRPr="004D5FA1" w:rsidRDefault="00A35E98" w:rsidP="004D5FA1">
            <w:pPr>
              <w:jc w:val="center"/>
              <w:rPr>
                <w:rFonts w:ascii="Verdana" w:hAnsi="Verdana"/>
                <w:color w:val="FFFFFF" w:themeColor="background1"/>
                <w:sz w:val="18"/>
                <w:szCs w:val="18"/>
              </w:rPr>
            </w:pPr>
            <w:r w:rsidRPr="004D5FA1">
              <w:rPr>
                <w:rFonts w:ascii="Verdana" w:hAnsi="Verdana"/>
                <w:color w:val="FFFFFF" w:themeColor="background1"/>
                <w:sz w:val="18"/>
                <w:szCs w:val="18"/>
              </w:rPr>
              <w:t>PA 4: Innovations in Management and Services - Establishment of Modern Infrastructure for Traffic Management and Transport Safety Improvement</w:t>
            </w: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4.1</w:t>
            </w:r>
          </w:p>
        </w:tc>
        <w:tc>
          <w:tcPr>
            <w:tcW w:w="878"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8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10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620"/>
          <w:jc w:val="center"/>
        </w:trPr>
        <w:tc>
          <w:tcPr>
            <w:tcW w:w="2822"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rPr>
                <w:rFonts w:ascii="Verdana" w:eastAsia="Times New Roman" w:hAnsi="Verdana"/>
                <w:bCs/>
                <w:color w:val="FFFFFF"/>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4.2</w:t>
            </w:r>
          </w:p>
        </w:tc>
        <w:tc>
          <w:tcPr>
            <w:tcW w:w="878"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8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10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jc w:val="center"/>
        </w:trPr>
        <w:tc>
          <w:tcPr>
            <w:tcW w:w="2822"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rPr>
                <w:rFonts w:ascii="Verdana" w:eastAsia="Times New Roman" w:hAnsi="Verdana"/>
                <w:bCs/>
                <w:color w:val="FFFFFF"/>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4.1</w:t>
            </w:r>
          </w:p>
        </w:tc>
        <w:tc>
          <w:tcPr>
            <w:tcW w:w="878"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86"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10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bl>
    <w:p w:rsidR="00F24971" w:rsidRPr="005B6074" w:rsidRDefault="00A35E98" w:rsidP="00F24971">
      <w:pPr>
        <w:spacing w:before="120"/>
        <w:rPr>
          <w:rFonts w:ascii="Verdana" w:hAnsi="Verdana"/>
          <w:i/>
          <w:sz w:val="18"/>
          <w:szCs w:val="18"/>
        </w:rPr>
      </w:pPr>
      <w:r w:rsidRPr="005B6074">
        <w:rPr>
          <w:rFonts w:ascii="Verdana" w:hAnsi="Verdana"/>
          <w:i/>
          <w:sz w:val="18"/>
        </w:rPr>
        <w:t xml:space="preserve">Legend: </w:t>
      </w:r>
      <w:r w:rsidRPr="005B6074">
        <w:rPr>
          <w:rFonts w:ascii="Wingdings 2" w:hAnsi="Wingdings 2"/>
          <w:color w:val="0070C0"/>
          <w:sz w:val="26"/>
        </w:rPr>
        <w:t></w:t>
      </w:r>
      <w:r w:rsidRPr="005B6074">
        <w:rPr>
          <w:rFonts w:ascii="Verdana" w:hAnsi="Verdana"/>
          <w:i/>
          <w:sz w:val="18"/>
        </w:rPr>
        <w:t xml:space="preserve"> - weak connection, </w:t>
      </w:r>
      <w:r w:rsidRPr="005B6074">
        <w:rPr>
          <w:rFonts w:ascii="Wingdings 2" w:hAnsi="Wingdings 2"/>
          <w:color w:val="0070C0"/>
          <w:sz w:val="26"/>
        </w:rPr>
        <w:t></w:t>
      </w:r>
      <w:r w:rsidRPr="005B6074">
        <w:rPr>
          <w:rFonts w:ascii="Wingdings 2" w:hAnsi="Wingdings 2"/>
          <w:color w:val="0070C0"/>
          <w:sz w:val="26"/>
        </w:rPr>
        <w:t></w:t>
      </w:r>
      <w:r w:rsidRPr="005B6074">
        <w:rPr>
          <w:rFonts w:ascii="Verdana" w:hAnsi="Verdana"/>
          <w:sz w:val="26"/>
        </w:rPr>
        <w:t xml:space="preserve">- </w:t>
      </w:r>
      <w:r w:rsidRPr="005B6074">
        <w:rPr>
          <w:rFonts w:ascii="Verdana" w:hAnsi="Verdana"/>
          <w:i/>
          <w:sz w:val="18"/>
        </w:rPr>
        <w:t xml:space="preserve">average connection, </w:t>
      </w:r>
      <w:r w:rsidRPr="005B6074">
        <w:rPr>
          <w:rFonts w:ascii="Wingdings 2" w:hAnsi="Wingdings 2"/>
          <w:color w:val="0070C0"/>
          <w:sz w:val="26"/>
        </w:rPr>
        <w:t></w:t>
      </w:r>
      <w:r w:rsidRPr="005B6074">
        <w:rPr>
          <w:rFonts w:ascii="Wingdings 2" w:hAnsi="Wingdings 2"/>
          <w:color w:val="0070C0"/>
          <w:sz w:val="26"/>
        </w:rPr>
        <w:t></w:t>
      </w:r>
      <w:r w:rsidRPr="005B6074">
        <w:rPr>
          <w:rFonts w:ascii="Wingdings 2" w:hAnsi="Wingdings 2"/>
          <w:color w:val="0070C0"/>
          <w:sz w:val="26"/>
        </w:rPr>
        <w:t></w:t>
      </w:r>
      <w:r w:rsidRPr="005B6074">
        <w:rPr>
          <w:rFonts w:ascii="Verdana" w:hAnsi="Verdana"/>
          <w:i/>
          <w:sz w:val="18"/>
        </w:rPr>
        <w:t xml:space="preserve"> - strong connection</w:t>
      </w:r>
    </w:p>
    <w:p w:rsidR="00F24971" w:rsidRPr="005B6074" w:rsidRDefault="00A35E98" w:rsidP="00F24971">
      <w:pPr>
        <w:keepNext/>
        <w:spacing w:before="240" w:after="120"/>
        <w:rPr>
          <w:rFonts w:ascii="Verdana" w:hAnsi="Verdana"/>
          <w:b/>
          <w:color w:val="548DD4"/>
          <w:sz w:val="20"/>
          <w:szCs w:val="20"/>
        </w:rPr>
      </w:pPr>
      <w:bookmarkStart w:id="79" w:name="_Toc390257064"/>
      <w:bookmarkStart w:id="80" w:name="_Toc396225603"/>
      <w:r w:rsidRPr="005B6074">
        <w:rPr>
          <w:rFonts w:ascii="Verdana" w:hAnsi="Verdana"/>
          <w:b/>
          <w:color w:val="548DD4"/>
          <w:sz w:val="20"/>
        </w:rPr>
        <w:t xml:space="preserve">Table </w:t>
      </w:r>
      <w:r w:rsidRPr="005B6074">
        <w:rPr>
          <w:rFonts w:ascii="Verdana" w:hAnsi="Verdana"/>
          <w:b/>
          <w:color w:val="548DD4"/>
          <w:sz w:val="20"/>
        </w:rPr>
        <w:fldChar w:fldCharType="begin"/>
      </w:r>
      <w:r w:rsidRPr="005B6074">
        <w:rPr>
          <w:rFonts w:ascii="Verdana" w:hAnsi="Verdana"/>
          <w:b/>
          <w:color w:val="548DD4"/>
          <w:sz w:val="20"/>
        </w:rPr>
        <w:instrText>SEQ таблица \* ARABIC</w:instrText>
      </w:r>
      <w:r w:rsidRPr="005B6074">
        <w:rPr>
          <w:rFonts w:ascii="Verdana" w:hAnsi="Verdana"/>
          <w:b/>
          <w:color w:val="548DD4"/>
          <w:sz w:val="20"/>
        </w:rPr>
        <w:fldChar w:fldCharType="separate"/>
      </w:r>
      <w:r w:rsidR="009330F5">
        <w:rPr>
          <w:rFonts w:ascii="Verdana" w:hAnsi="Verdana"/>
          <w:b/>
          <w:noProof/>
          <w:color w:val="548DD4"/>
          <w:sz w:val="20"/>
        </w:rPr>
        <w:t>8</w:t>
      </w:r>
      <w:r w:rsidRPr="005B6074">
        <w:rPr>
          <w:rFonts w:ascii="Verdana" w:hAnsi="Verdana"/>
          <w:b/>
          <w:color w:val="548DD4"/>
          <w:sz w:val="20"/>
        </w:rPr>
        <w:fldChar w:fldCharType="end"/>
      </w:r>
      <w:r w:rsidRPr="005B6074">
        <w:rPr>
          <w:rFonts w:ascii="Verdana" w:hAnsi="Verdana"/>
          <w:b/>
          <w:color w:val="548DD4"/>
          <w:sz w:val="20"/>
        </w:rPr>
        <w:t xml:space="preserve">. Complementarity and Demarcation of </w:t>
      </w:r>
      <w:r w:rsidR="005B35A7">
        <w:rPr>
          <w:rFonts w:ascii="Verdana" w:hAnsi="Verdana"/>
          <w:b/>
          <w:color w:val="548DD4"/>
          <w:sz w:val="20"/>
        </w:rPr>
        <w:t>OPSESG</w:t>
      </w:r>
      <w:r w:rsidRPr="005B6074">
        <w:rPr>
          <w:rFonts w:ascii="Verdana" w:hAnsi="Verdana"/>
          <w:b/>
          <w:color w:val="548DD4"/>
          <w:sz w:val="20"/>
        </w:rPr>
        <w:t xml:space="preserve"> and OPTTI</w:t>
      </w:r>
      <w:bookmarkEnd w:id="79"/>
      <w:bookmarkEnd w:id="80"/>
    </w:p>
    <w:tbl>
      <w:tblPr>
        <w:tblW w:w="90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6651"/>
      </w:tblGrid>
      <w:tr w:rsidR="00F24971" w:rsidRPr="005B6074" w:rsidTr="004D5FA1">
        <w:tc>
          <w:tcPr>
            <w:tcW w:w="2439" w:type="dxa"/>
            <w:shd w:val="clear" w:color="auto" w:fill="548DD4"/>
          </w:tcPr>
          <w:p w:rsidR="00F24971" w:rsidRPr="00931B15" w:rsidRDefault="00A35E98" w:rsidP="00931B15">
            <w:pPr>
              <w:rPr>
                <w:rFonts w:ascii="Verdana" w:hAnsi="Verdana"/>
                <w:color w:val="FFFFFF" w:themeColor="background1"/>
                <w:sz w:val="20"/>
                <w:szCs w:val="20"/>
              </w:rPr>
            </w:pPr>
            <w:r w:rsidRPr="00931B15">
              <w:rPr>
                <w:rFonts w:ascii="Verdana" w:hAnsi="Verdana"/>
                <w:color w:val="FFFFFF" w:themeColor="background1"/>
                <w:sz w:val="20"/>
                <w:szCs w:val="20"/>
              </w:rPr>
              <w:t xml:space="preserve">Complementarity/ Demarcation </w:t>
            </w:r>
            <w:r w:rsidR="00F52AAA" w:rsidRPr="00931B15">
              <w:rPr>
                <w:rFonts w:ascii="Verdana" w:hAnsi="Verdana"/>
                <w:color w:val="FFFFFF" w:themeColor="background1"/>
                <w:sz w:val="20"/>
                <w:szCs w:val="20"/>
              </w:rPr>
              <w:t>noted in the OPSESG</w:t>
            </w:r>
          </w:p>
        </w:tc>
        <w:tc>
          <w:tcPr>
            <w:tcW w:w="6651" w:type="dxa"/>
          </w:tcPr>
          <w:p w:rsidR="00F24971" w:rsidRPr="005B6074" w:rsidRDefault="00A35E98" w:rsidP="00931B15">
            <w:pPr>
              <w:spacing w:after="0"/>
              <w:rPr>
                <w:rFonts w:ascii="Verdana" w:hAnsi="Verdana"/>
                <w:sz w:val="20"/>
                <w:szCs w:val="20"/>
              </w:rPr>
            </w:pPr>
            <w:r w:rsidRPr="004D5FA1">
              <w:rPr>
                <w:rFonts w:ascii="Verdana" w:hAnsi="Verdana"/>
                <w:b/>
                <w:sz w:val="20"/>
                <w:szCs w:val="20"/>
              </w:rPr>
              <w:t>Complementarity and demarcation</w:t>
            </w:r>
            <w:r w:rsidRPr="00931B15">
              <w:rPr>
                <w:rFonts w:ascii="Verdana" w:hAnsi="Verdana"/>
                <w:sz w:val="20"/>
                <w:szCs w:val="20"/>
              </w:rPr>
              <w:t>: It is noted that there is no overlapping between the two programmes</w:t>
            </w:r>
          </w:p>
        </w:tc>
      </w:tr>
      <w:tr w:rsidR="00F24971" w:rsidRPr="005B6074" w:rsidTr="004D5FA1">
        <w:tc>
          <w:tcPr>
            <w:tcW w:w="2439" w:type="dxa"/>
            <w:shd w:val="clear" w:color="auto" w:fill="548DD4"/>
          </w:tcPr>
          <w:p w:rsidR="00F24971" w:rsidRPr="00931B15" w:rsidRDefault="00A35E98" w:rsidP="00931B15">
            <w:pPr>
              <w:rPr>
                <w:rFonts w:ascii="Verdana" w:hAnsi="Verdana"/>
                <w:color w:val="FFFFFF" w:themeColor="background1"/>
                <w:sz w:val="20"/>
                <w:szCs w:val="20"/>
              </w:rPr>
            </w:pPr>
            <w:r w:rsidRPr="00931B15">
              <w:rPr>
                <w:rFonts w:ascii="Verdana" w:hAnsi="Verdana"/>
                <w:color w:val="FFFFFF" w:themeColor="background1"/>
                <w:sz w:val="20"/>
                <w:szCs w:val="20"/>
              </w:rPr>
              <w:t>Comments</w:t>
            </w:r>
          </w:p>
        </w:tc>
        <w:tc>
          <w:tcPr>
            <w:tcW w:w="6651" w:type="dxa"/>
          </w:tcPr>
          <w:p w:rsidR="00F24971" w:rsidRPr="005B6074" w:rsidRDefault="00A35E98" w:rsidP="00931B15">
            <w:pPr>
              <w:spacing w:after="0"/>
              <w:rPr>
                <w:rFonts w:ascii="Verdana" w:hAnsi="Verdana"/>
                <w:sz w:val="20"/>
                <w:szCs w:val="20"/>
              </w:rPr>
            </w:pPr>
            <w:r w:rsidRPr="00931B15">
              <w:rPr>
                <w:rFonts w:ascii="Verdana" w:hAnsi="Verdana"/>
                <w:sz w:val="20"/>
                <w:szCs w:val="20"/>
              </w:rPr>
              <w:t>There is no common ground between the two programmes.</w:t>
            </w:r>
          </w:p>
        </w:tc>
      </w:tr>
      <w:tr w:rsidR="00F24971" w:rsidRPr="005B6074" w:rsidTr="004D5FA1">
        <w:tc>
          <w:tcPr>
            <w:tcW w:w="2439" w:type="dxa"/>
            <w:shd w:val="clear" w:color="auto" w:fill="548DD4"/>
          </w:tcPr>
          <w:p w:rsidR="00F24971" w:rsidRPr="00931B15" w:rsidRDefault="00A35E98" w:rsidP="00931B15">
            <w:pPr>
              <w:rPr>
                <w:rFonts w:ascii="Verdana" w:hAnsi="Verdana"/>
                <w:color w:val="FFFFFF" w:themeColor="background1"/>
                <w:sz w:val="20"/>
                <w:szCs w:val="20"/>
              </w:rPr>
            </w:pPr>
            <w:r w:rsidRPr="00931B15">
              <w:rPr>
                <w:rFonts w:ascii="Verdana" w:hAnsi="Verdana"/>
                <w:color w:val="FFFFFF" w:themeColor="background1"/>
                <w:sz w:val="20"/>
                <w:szCs w:val="20"/>
              </w:rPr>
              <w:t>Recommendation</w:t>
            </w:r>
          </w:p>
        </w:tc>
        <w:tc>
          <w:tcPr>
            <w:tcW w:w="6651" w:type="dxa"/>
          </w:tcPr>
          <w:p w:rsidR="00F24971" w:rsidRPr="005B6074" w:rsidRDefault="00A35E98" w:rsidP="00931B15">
            <w:pPr>
              <w:spacing w:after="0"/>
              <w:rPr>
                <w:rFonts w:ascii="Verdana" w:hAnsi="Verdana"/>
                <w:sz w:val="20"/>
                <w:szCs w:val="20"/>
              </w:rPr>
            </w:pPr>
            <w:r w:rsidRPr="00931B15">
              <w:rPr>
                <w:rFonts w:ascii="Verdana" w:hAnsi="Verdana"/>
                <w:sz w:val="20"/>
                <w:szCs w:val="20"/>
              </w:rPr>
              <w:t>N/A</w:t>
            </w:r>
          </w:p>
        </w:tc>
      </w:tr>
    </w:tbl>
    <w:p w:rsidR="00F24971" w:rsidRPr="005B6074" w:rsidRDefault="00A35E98" w:rsidP="009330F5">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lastRenderedPageBreak/>
        <w:t>Operational Programme Good Governance (OPGG) 2014–2020</w:t>
      </w:r>
    </w:p>
    <w:p w:rsidR="00F24971" w:rsidRPr="005B6074" w:rsidRDefault="00A35E98" w:rsidP="009330F5">
      <w:pPr>
        <w:keepNext/>
        <w:pBdr>
          <w:top w:val="single" w:sz="4" w:space="1" w:color="auto"/>
          <w:bottom w:val="single" w:sz="4" w:space="1" w:color="auto"/>
        </w:pBdr>
        <w:shd w:val="clear" w:color="auto" w:fill="548DD4"/>
        <w:spacing w:after="120"/>
        <w:rPr>
          <w:rFonts w:ascii="Verdana" w:hAnsi="Verdana"/>
          <w:b/>
          <w:color w:val="FFFFFF"/>
          <w:sz w:val="20"/>
          <w:szCs w:val="20"/>
        </w:rPr>
      </w:pPr>
      <w:r w:rsidRPr="005B6074">
        <w:rPr>
          <w:rFonts w:ascii="Verdana" w:hAnsi="Verdana"/>
          <w:b/>
          <w:color w:val="FFFFFF"/>
          <w:sz w:val="20"/>
        </w:rPr>
        <w:t>Priority Axis 1: Administrative Services and e-Government</w:t>
      </w:r>
    </w:p>
    <w:p w:rsidR="00F24971" w:rsidRPr="005B6074" w:rsidRDefault="00A35E98" w:rsidP="00181A22">
      <w:pPr>
        <w:pStyle w:val="ListParagraph"/>
        <w:numPr>
          <w:ilvl w:val="0"/>
          <w:numId w:val="44"/>
        </w:numPr>
        <w:tabs>
          <w:tab w:val="left" w:pos="720"/>
        </w:tabs>
        <w:spacing w:after="120"/>
        <w:ind w:left="720" w:hanging="540"/>
        <w:jc w:val="both"/>
        <w:rPr>
          <w:rFonts w:ascii="Verdana" w:hAnsi="Verdana"/>
          <w:bCs/>
          <w:iCs/>
          <w:sz w:val="20"/>
          <w:szCs w:val="20"/>
        </w:rPr>
      </w:pPr>
      <w:r w:rsidRPr="005B6074">
        <w:rPr>
          <w:rFonts w:ascii="Verdana" w:hAnsi="Verdana"/>
          <w:sz w:val="20"/>
        </w:rPr>
        <w:t xml:space="preserve">Improvement of the administrative services to citizens and businesses by standardisation of services, introduction of comprehensive administrative services and introduction of quality management systems </w:t>
      </w:r>
    </w:p>
    <w:p w:rsidR="00F24971" w:rsidRPr="005B6074" w:rsidRDefault="00A35E98" w:rsidP="00181A22">
      <w:pPr>
        <w:pStyle w:val="ListParagraph"/>
        <w:numPr>
          <w:ilvl w:val="0"/>
          <w:numId w:val="44"/>
        </w:numPr>
        <w:tabs>
          <w:tab w:val="left" w:pos="720"/>
        </w:tabs>
        <w:spacing w:after="120"/>
        <w:ind w:left="720" w:hanging="540"/>
        <w:jc w:val="both"/>
        <w:rPr>
          <w:rFonts w:ascii="Verdana" w:hAnsi="Verdana"/>
          <w:bCs/>
          <w:iCs/>
          <w:sz w:val="20"/>
          <w:szCs w:val="20"/>
        </w:rPr>
      </w:pPr>
      <w:r w:rsidRPr="005B6074">
        <w:rPr>
          <w:rFonts w:ascii="Verdana" w:hAnsi="Verdana"/>
          <w:sz w:val="20"/>
        </w:rPr>
        <w:t xml:space="preserve">Creation of a competitive business environment by reduction of the regulatory burden </w:t>
      </w:r>
    </w:p>
    <w:p w:rsidR="00F24971" w:rsidRPr="005B6074" w:rsidRDefault="00A35E98" w:rsidP="00181A22">
      <w:pPr>
        <w:pStyle w:val="ListParagraph"/>
        <w:numPr>
          <w:ilvl w:val="0"/>
          <w:numId w:val="44"/>
        </w:numPr>
        <w:tabs>
          <w:tab w:val="left" w:pos="720"/>
        </w:tabs>
        <w:spacing w:after="120"/>
        <w:ind w:left="720" w:hanging="540"/>
        <w:jc w:val="both"/>
        <w:rPr>
          <w:rFonts w:ascii="Verdana" w:hAnsi="Verdana"/>
          <w:bCs/>
          <w:iCs/>
          <w:sz w:val="20"/>
          <w:szCs w:val="20"/>
        </w:rPr>
      </w:pPr>
      <w:r w:rsidRPr="005B6074">
        <w:rPr>
          <w:rFonts w:ascii="Verdana" w:hAnsi="Verdana"/>
          <w:sz w:val="20"/>
        </w:rPr>
        <w:t xml:space="preserve">Modernisation of the administration by introduction of e-government </w:t>
      </w:r>
    </w:p>
    <w:p w:rsidR="00F24971" w:rsidRPr="005B6074" w:rsidRDefault="00A35E98" w:rsidP="00F24971">
      <w:pPr>
        <w:pBdr>
          <w:top w:val="single" w:sz="4" w:space="1" w:color="auto"/>
          <w:bottom w:val="single" w:sz="4" w:space="1" w:color="auto"/>
        </w:pBdr>
        <w:shd w:val="clear" w:color="auto" w:fill="548DD4"/>
        <w:spacing w:after="120"/>
        <w:rPr>
          <w:rFonts w:ascii="Verdana" w:hAnsi="Verdana"/>
          <w:b/>
          <w:color w:val="FFFFFF"/>
          <w:sz w:val="20"/>
          <w:szCs w:val="20"/>
        </w:rPr>
      </w:pPr>
      <w:r w:rsidRPr="005B6074">
        <w:rPr>
          <w:rFonts w:ascii="Verdana" w:hAnsi="Verdana"/>
          <w:b/>
          <w:color w:val="FFFFFF"/>
          <w:sz w:val="20"/>
        </w:rPr>
        <w:t>Priority Axis 2: Effective and Professional Governance in Partnership with Civil Society and Businesses</w:t>
      </w:r>
    </w:p>
    <w:p w:rsidR="00F24971" w:rsidRPr="005B6074" w:rsidRDefault="00A35E98" w:rsidP="00181A22">
      <w:pPr>
        <w:pStyle w:val="ListParagraph"/>
        <w:numPr>
          <w:ilvl w:val="0"/>
          <w:numId w:val="46"/>
        </w:numPr>
        <w:spacing w:after="120"/>
        <w:ind w:left="720" w:hanging="540"/>
        <w:jc w:val="both"/>
        <w:rPr>
          <w:rFonts w:ascii="Verdana" w:hAnsi="Verdana"/>
          <w:bCs/>
          <w:iCs/>
          <w:sz w:val="20"/>
          <w:szCs w:val="20"/>
        </w:rPr>
      </w:pPr>
      <w:r w:rsidRPr="005B6074">
        <w:rPr>
          <w:rFonts w:ascii="Verdana" w:hAnsi="Verdana"/>
          <w:sz w:val="20"/>
        </w:rPr>
        <w:t xml:space="preserve">Enhancing of the process of strategic planning and programme budgeting </w:t>
      </w:r>
    </w:p>
    <w:p w:rsidR="00F24971" w:rsidRPr="005B6074" w:rsidRDefault="00A35E98" w:rsidP="00181A22">
      <w:pPr>
        <w:pStyle w:val="ListParagraph"/>
        <w:numPr>
          <w:ilvl w:val="0"/>
          <w:numId w:val="46"/>
        </w:numPr>
        <w:spacing w:after="120"/>
        <w:ind w:left="720" w:hanging="540"/>
        <w:jc w:val="both"/>
        <w:rPr>
          <w:rFonts w:ascii="Verdana" w:hAnsi="Verdana"/>
          <w:bCs/>
          <w:iCs/>
          <w:sz w:val="20"/>
          <w:szCs w:val="20"/>
        </w:rPr>
      </w:pPr>
      <w:r w:rsidRPr="005B6074">
        <w:rPr>
          <w:rFonts w:ascii="Verdana" w:hAnsi="Verdana"/>
          <w:sz w:val="20"/>
        </w:rPr>
        <w:t xml:space="preserve">Modern human resource management, including by increasing the competence of staff </w:t>
      </w:r>
    </w:p>
    <w:p w:rsidR="00F24971" w:rsidRPr="005B6074" w:rsidRDefault="00A35E98" w:rsidP="00181A22">
      <w:pPr>
        <w:pStyle w:val="ListParagraph"/>
        <w:numPr>
          <w:ilvl w:val="0"/>
          <w:numId w:val="46"/>
        </w:numPr>
        <w:spacing w:after="120"/>
        <w:ind w:left="720" w:hanging="540"/>
        <w:jc w:val="both"/>
        <w:rPr>
          <w:rFonts w:ascii="Verdana" w:hAnsi="Verdana"/>
          <w:bCs/>
          <w:iCs/>
          <w:sz w:val="20"/>
          <w:szCs w:val="20"/>
        </w:rPr>
      </w:pPr>
      <w:r w:rsidRPr="005B6074">
        <w:rPr>
          <w:rFonts w:ascii="Verdana" w:hAnsi="Verdana"/>
          <w:sz w:val="20"/>
        </w:rPr>
        <w:t>Enhancing of the access to public information and increasing the participation of civil society and businesses in governance</w:t>
      </w:r>
    </w:p>
    <w:p w:rsidR="00F24971" w:rsidRPr="005B6074" w:rsidRDefault="00A35E98" w:rsidP="00F24971">
      <w:pPr>
        <w:pBdr>
          <w:top w:val="single" w:sz="4" w:space="1" w:color="auto"/>
          <w:bottom w:val="single" w:sz="4" w:space="1" w:color="auto"/>
        </w:pBdr>
        <w:shd w:val="clear" w:color="auto" w:fill="548DD4"/>
        <w:spacing w:after="120"/>
        <w:rPr>
          <w:rFonts w:ascii="Verdana" w:hAnsi="Verdana"/>
          <w:b/>
          <w:color w:val="FFFFFF"/>
          <w:sz w:val="20"/>
          <w:szCs w:val="20"/>
        </w:rPr>
      </w:pPr>
      <w:r w:rsidRPr="005B6074">
        <w:rPr>
          <w:rFonts w:ascii="Verdana" w:hAnsi="Verdana"/>
          <w:b/>
          <w:color w:val="FFFFFF"/>
          <w:sz w:val="20"/>
        </w:rPr>
        <w:t>Priority Axis 3: Transparent and Effective Judiciary</w:t>
      </w:r>
    </w:p>
    <w:p w:rsidR="00F24971" w:rsidRPr="005B6074" w:rsidRDefault="00A35E98" w:rsidP="00181A22">
      <w:pPr>
        <w:pStyle w:val="ListParagraph"/>
        <w:numPr>
          <w:ilvl w:val="0"/>
          <w:numId w:val="47"/>
        </w:numPr>
        <w:spacing w:after="120"/>
        <w:ind w:left="720" w:hanging="540"/>
        <w:jc w:val="both"/>
        <w:rPr>
          <w:rFonts w:ascii="Verdana" w:hAnsi="Verdana"/>
          <w:bCs/>
          <w:iCs/>
          <w:sz w:val="20"/>
          <w:szCs w:val="20"/>
        </w:rPr>
      </w:pPr>
      <w:r w:rsidRPr="005B6074">
        <w:rPr>
          <w:rFonts w:ascii="Verdana" w:hAnsi="Verdana"/>
          <w:sz w:val="20"/>
        </w:rPr>
        <w:t xml:space="preserve">Enhancing of the quality and speeding up of law enforcement and modernisation of the judiciary through reforms in the structure, procedures and organisation </w:t>
      </w:r>
    </w:p>
    <w:p w:rsidR="00F24971" w:rsidRPr="005B6074" w:rsidRDefault="00A35E98" w:rsidP="00181A22">
      <w:pPr>
        <w:pStyle w:val="ListParagraph"/>
        <w:numPr>
          <w:ilvl w:val="0"/>
          <w:numId w:val="47"/>
        </w:numPr>
        <w:spacing w:after="120"/>
        <w:ind w:left="720" w:hanging="540"/>
        <w:jc w:val="both"/>
        <w:rPr>
          <w:rFonts w:ascii="Verdana" w:hAnsi="Verdana"/>
          <w:bCs/>
          <w:iCs/>
          <w:sz w:val="20"/>
          <w:szCs w:val="20"/>
        </w:rPr>
      </w:pPr>
      <w:r w:rsidRPr="005B6074">
        <w:rPr>
          <w:rFonts w:ascii="Verdana" w:hAnsi="Verdana"/>
          <w:sz w:val="20"/>
        </w:rPr>
        <w:t xml:space="preserve">Expanding the scope and enhancing the quality of training in the judiciary </w:t>
      </w:r>
    </w:p>
    <w:p w:rsidR="00F24971" w:rsidRPr="005B6074" w:rsidRDefault="00A35E98" w:rsidP="00F24971">
      <w:pPr>
        <w:pBdr>
          <w:top w:val="single" w:sz="4" w:space="1" w:color="auto"/>
          <w:bottom w:val="single" w:sz="4" w:space="1" w:color="auto"/>
        </w:pBdr>
        <w:shd w:val="clear" w:color="auto" w:fill="548DD4"/>
        <w:spacing w:after="120"/>
        <w:rPr>
          <w:rFonts w:ascii="Verdana" w:hAnsi="Verdana"/>
          <w:b/>
          <w:color w:val="FFFFFF"/>
          <w:sz w:val="20"/>
          <w:szCs w:val="20"/>
        </w:rPr>
      </w:pPr>
      <w:r w:rsidRPr="005B6074">
        <w:rPr>
          <w:rFonts w:ascii="Verdana" w:hAnsi="Verdana"/>
          <w:b/>
          <w:color w:val="FFFFFF"/>
          <w:sz w:val="20"/>
        </w:rPr>
        <w:t>Priority Axis 4: Technical Assistance for the Administrative Structures Participating in ESIF Management and Absorption</w:t>
      </w:r>
    </w:p>
    <w:p w:rsidR="00F24971" w:rsidRPr="005B6074" w:rsidRDefault="00A35E98" w:rsidP="00181A22">
      <w:pPr>
        <w:pStyle w:val="ListParagraph"/>
        <w:numPr>
          <w:ilvl w:val="0"/>
          <w:numId w:val="45"/>
        </w:numPr>
        <w:tabs>
          <w:tab w:val="left" w:pos="709"/>
        </w:tabs>
        <w:spacing w:after="120"/>
        <w:ind w:left="709" w:hanging="567"/>
        <w:jc w:val="both"/>
        <w:rPr>
          <w:rFonts w:ascii="Verdana" w:hAnsi="Verdana"/>
          <w:sz w:val="20"/>
          <w:szCs w:val="20"/>
        </w:rPr>
      </w:pPr>
      <w:r w:rsidRPr="005B6074">
        <w:rPr>
          <w:rFonts w:ascii="Verdana" w:hAnsi="Verdana"/>
          <w:sz w:val="20"/>
        </w:rPr>
        <w:t>Support of the horizontal structures responsible for ESIF implementation through measures aimed at capacity strengthening in accordance with the needs identified.</w:t>
      </w:r>
    </w:p>
    <w:p w:rsidR="00F24971" w:rsidRPr="005B6074" w:rsidRDefault="00A35E98" w:rsidP="00181A22">
      <w:pPr>
        <w:pStyle w:val="ListParagraph"/>
        <w:numPr>
          <w:ilvl w:val="0"/>
          <w:numId w:val="45"/>
        </w:numPr>
        <w:tabs>
          <w:tab w:val="left" w:pos="709"/>
        </w:tabs>
        <w:spacing w:after="120"/>
        <w:ind w:left="709" w:hanging="567"/>
        <w:jc w:val="both"/>
        <w:rPr>
          <w:rFonts w:ascii="Verdana" w:hAnsi="Verdana"/>
          <w:sz w:val="20"/>
          <w:szCs w:val="20"/>
        </w:rPr>
      </w:pPr>
      <w:r w:rsidRPr="005B6074">
        <w:rPr>
          <w:rFonts w:ascii="Verdana" w:hAnsi="Verdana"/>
          <w:sz w:val="20"/>
        </w:rPr>
        <w:t>Ensuring of the functioning of MIS 2020 in accordance with the needs of CIS, CCU, the Certifying Authority, the Audit Authority, the Managing Authorities of OPs, the European Commission, applicants, beneficiaries and the general public</w:t>
      </w:r>
    </w:p>
    <w:p w:rsidR="00F24971" w:rsidRPr="005B6074" w:rsidRDefault="00A35E98" w:rsidP="00181A22">
      <w:pPr>
        <w:pStyle w:val="ListParagraph"/>
        <w:numPr>
          <w:ilvl w:val="0"/>
          <w:numId w:val="45"/>
        </w:numPr>
        <w:tabs>
          <w:tab w:val="left" w:pos="709"/>
        </w:tabs>
        <w:spacing w:after="120"/>
        <w:ind w:left="709" w:hanging="567"/>
        <w:jc w:val="both"/>
        <w:rPr>
          <w:rFonts w:ascii="Verdana" w:hAnsi="Verdana"/>
          <w:sz w:val="20"/>
          <w:szCs w:val="20"/>
        </w:rPr>
      </w:pPr>
      <w:r w:rsidRPr="005B6074">
        <w:rPr>
          <w:rFonts w:ascii="Verdana" w:hAnsi="Verdana"/>
          <w:sz w:val="20"/>
        </w:rPr>
        <w:t>Increasing public awareness of the ESIF possibilities and outcome in Bulgaria, as well as strengthening of the beneficiaries' capacity</w:t>
      </w:r>
    </w:p>
    <w:p w:rsidR="00F24971" w:rsidRPr="005B6074" w:rsidRDefault="00A35E98" w:rsidP="00F24971">
      <w:pPr>
        <w:keepNext/>
        <w:spacing w:before="240" w:after="120"/>
        <w:rPr>
          <w:rFonts w:ascii="Verdana" w:hAnsi="Verdana"/>
          <w:b/>
          <w:color w:val="548DD4"/>
          <w:sz w:val="20"/>
          <w:szCs w:val="20"/>
        </w:rPr>
      </w:pPr>
      <w:bookmarkStart w:id="81" w:name="_Toc390257065"/>
      <w:bookmarkStart w:id="82" w:name="_Toc396225604"/>
      <w:r w:rsidRPr="005B6074">
        <w:rPr>
          <w:rFonts w:ascii="Verdana" w:hAnsi="Verdana"/>
          <w:b/>
          <w:color w:val="548DD4"/>
          <w:sz w:val="20"/>
        </w:rPr>
        <w:t xml:space="preserve">Table </w:t>
      </w:r>
      <w:r w:rsidRPr="005B6074">
        <w:rPr>
          <w:rFonts w:ascii="Verdana" w:hAnsi="Verdana"/>
          <w:b/>
          <w:color w:val="548DD4"/>
          <w:sz w:val="20"/>
        </w:rPr>
        <w:fldChar w:fldCharType="begin"/>
      </w:r>
      <w:r w:rsidRPr="005B6074">
        <w:rPr>
          <w:rFonts w:ascii="Verdana" w:hAnsi="Verdana"/>
          <w:b/>
          <w:color w:val="548DD4"/>
          <w:sz w:val="20"/>
        </w:rPr>
        <w:instrText xml:space="preserve"> SEQ Таблица \* ARABIC </w:instrText>
      </w:r>
      <w:r w:rsidRPr="005B6074">
        <w:rPr>
          <w:rFonts w:ascii="Verdana" w:hAnsi="Verdana"/>
          <w:b/>
          <w:color w:val="548DD4"/>
          <w:sz w:val="20"/>
        </w:rPr>
        <w:fldChar w:fldCharType="separate"/>
      </w:r>
      <w:r w:rsidR="009330F5">
        <w:rPr>
          <w:rFonts w:ascii="Verdana" w:hAnsi="Verdana"/>
          <w:b/>
          <w:noProof/>
          <w:color w:val="548DD4"/>
          <w:sz w:val="20"/>
        </w:rPr>
        <w:t>9</w:t>
      </w:r>
      <w:r w:rsidRPr="005B6074">
        <w:rPr>
          <w:rFonts w:ascii="Verdana" w:hAnsi="Verdana"/>
          <w:b/>
          <w:color w:val="548DD4"/>
          <w:sz w:val="20"/>
        </w:rPr>
        <w:fldChar w:fldCharType="end"/>
      </w:r>
      <w:r w:rsidRPr="005B6074">
        <w:rPr>
          <w:rFonts w:ascii="Verdana" w:hAnsi="Verdana"/>
          <w:b/>
          <w:color w:val="548DD4"/>
          <w:sz w:val="20"/>
        </w:rPr>
        <w:t xml:space="preserve">. Connection between the Priorities of </w:t>
      </w:r>
      <w:r w:rsidR="005B35A7">
        <w:rPr>
          <w:rFonts w:ascii="Verdana" w:hAnsi="Verdana"/>
          <w:b/>
          <w:color w:val="548DD4"/>
          <w:sz w:val="20"/>
        </w:rPr>
        <w:t>OPSESG</w:t>
      </w:r>
      <w:r w:rsidRPr="005B6074">
        <w:rPr>
          <w:rFonts w:ascii="Verdana" w:hAnsi="Verdana"/>
          <w:b/>
          <w:color w:val="548DD4"/>
          <w:sz w:val="20"/>
        </w:rPr>
        <w:t xml:space="preserve"> and OPGG</w:t>
      </w:r>
      <w:bookmarkEnd w:id="81"/>
      <w:bookmarkEnd w:id="82"/>
    </w:p>
    <w:tbl>
      <w:tblPr>
        <w:tblW w:w="9644" w:type="dxa"/>
        <w:tblInd w:w="94" w:type="dxa"/>
        <w:tblLayout w:type="fixed"/>
        <w:tblLook w:val="04A0" w:firstRow="1" w:lastRow="0" w:firstColumn="1" w:lastColumn="0" w:noHBand="0" w:noVBand="1"/>
      </w:tblPr>
      <w:tblGrid>
        <w:gridCol w:w="2392"/>
        <w:gridCol w:w="1222"/>
        <w:gridCol w:w="900"/>
        <w:gridCol w:w="810"/>
        <w:gridCol w:w="810"/>
        <w:gridCol w:w="810"/>
        <w:gridCol w:w="810"/>
        <w:gridCol w:w="900"/>
        <w:gridCol w:w="990"/>
      </w:tblGrid>
      <w:tr w:rsidR="00F24971" w:rsidRPr="005B6074" w:rsidTr="00F24971">
        <w:trPr>
          <w:trHeight w:val="510"/>
        </w:trPr>
        <w:tc>
          <w:tcPr>
            <w:tcW w:w="2392"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F24971" w:rsidRPr="00931B15" w:rsidRDefault="00A35E98" w:rsidP="00931B15">
            <w:pPr>
              <w:spacing w:after="0" w:line="240" w:lineRule="auto"/>
              <w:jc w:val="center"/>
              <w:rPr>
                <w:rFonts w:ascii="Verdana" w:hAnsi="Verdana"/>
                <w:color w:val="FFFFFF"/>
                <w:sz w:val="18"/>
              </w:rPr>
            </w:pPr>
            <w:r w:rsidRPr="005B6074">
              <w:rPr>
                <w:rFonts w:ascii="Verdana" w:hAnsi="Verdana"/>
                <w:color w:val="FFFFFF"/>
                <w:sz w:val="18"/>
              </w:rPr>
              <w:t>Operational Programme / Priority Axis</w:t>
            </w:r>
          </w:p>
        </w:tc>
        <w:tc>
          <w:tcPr>
            <w:tcW w:w="1222" w:type="dxa"/>
            <w:tcBorders>
              <w:top w:val="single" w:sz="4" w:space="0" w:color="auto"/>
              <w:left w:val="nil"/>
              <w:bottom w:val="single" w:sz="4" w:space="0" w:color="auto"/>
              <w:right w:val="single" w:sz="4" w:space="0" w:color="auto"/>
            </w:tcBorders>
            <w:shd w:val="clear" w:color="000000" w:fill="548DD4"/>
            <w:vAlign w:val="center"/>
            <w:hideMark/>
          </w:tcPr>
          <w:p w:rsidR="00F24971" w:rsidRPr="00931B15" w:rsidRDefault="005B35A7" w:rsidP="00931B15">
            <w:pPr>
              <w:spacing w:after="0" w:line="240" w:lineRule="auto"/>
              <w:jc w:val="center"/>
              <w:rPr>
                <w:rFonts w:ascii="Verdana" w:hAnsi="Verdana"/>
                <w:color w:val="FFFFFF"/>
                <w:sz w:val="18"/>
              </w:rPr>
            </w:pPr>
            <w:r>
              <w:rPr>
                <w:rFonts w:ascii="Verdana" w:hAnsi="Verdana"/>
                <w:color w:val="FFFFFF"/>
                <w:sz w:val="18"/>
              </w:rPr>
              <w:t>OPSESG</w:t>
            </w:r>
          </w:p>
        </w:tc>
        <w:tc>
          <w:tcPr>
            <w:tcW w:w="1710" w:type="dxa"/>
            <w:gridSpan w:val="2"/>
            <w:tcBorders>
              <w:top w:val="single" w:sz="4" w:space="0" w:color="auto"/>
              <w:left w:val="nil"/>
              <w:bottom w:val="single" w:sz="4" w:space="0" w:color="auto"/>
              <w:right w:val="single" w:sz="4" w:space="0" w:color="auto"/>
            </w:tcBorders>
            <w:shd w:val="clear" w:color="000000" w:fill="548DD4"/>
            <w:vAlign w:val="center"/>
            <w:hideMark/>
          </w:tcPr>
          <w:p w:rsidR="00F24971" w:rsidRPr="00931B15" w:rsidRDefault="00A35E98" w:rsidP="00931B15">
            <w:pPr>
              <w:spacing w:after="0" w:line="240" w:lineRule="auto"/>
              <w:jc w:val="center"/>
              <w:rPr>
                <w:rFonts w:ascii="Verdana" w:hAnsi="Verdana"/>
                <w:color w:val="FFFFFF"/>
                <w:sz w:val="18"/>
              </w:rPr>
            </w:pPr>
            <w:r w:rsidRPr="005B6074">
              <w:rPr>
                <w:rFonts w:ascii="Verdana" w:hAnsi="Verdana"/>
                <w:color w:val="FFFFFF"/>
                <w:sz w:val="18"/>
              </w:rPr>
              <w:t>PA 1: Scientific Research and Technological Development</w:t>
            </w:r>
          </w:p>
        </w:tc>
        <w:tc>
          <w:tcPr>
            <w:tcW w:w="2430" w:type="dxa"/>
            <w:gridSpan w:val="3"/>
            <w:tcBorders>
              <w:top w:val="single" w:sz="4" w:space="0" w:color="auto"/>
              <w:left w:val="nil"/>
              <w:bottom w:val="single" w:sz="4" w:space="0" w:color="auto"/>
              <w:right w:val="single" w:sz="4" w:space="0" w:color="auto"/>
            </w:tcBorders>
            <w:shd w:val="clear" w:color="000000" w:fill="548DD4"/>
            <w:vAlign w:val="center"/>
            <w:hideMark/>
          </w:tcPr>
          <w:p w:rsidR="00F24971" w:rsidRPr="00931B15" w:rsidRDefault="00A35E98" w:rsidP="00931B15">
            <w:pPr>
              <w:spacing w:after="0" w:line="240" w:lineRule="auto"/>
              <w:jc w:val="center"/>
              <w:rPr>
                <w:rFonts w:ascii="Verdana" w:hAnsi="Verdana"/>
                <w:color w:val="FFFFFF"/>
                <w:sz w:val="18"/>
              </w:rPr>
            </w:pPr>
            <w:r w:rsidRPr="005B6074">
              <w:rPr>
                <w:rFonts w:ascii="Verdana" w:hAnsi="Verdana"/>
                <w:color w:val="FFFFFF"/>
                <w:sz w:val="18"/>
              </w:rPr>
              <w:t>PA 2: Education and Lifelong Learning</w:t>
            </w:r>
          </w:p>
        </w:tc>
        <w:tc>
          <w:tcPr>
            <w:tcW w:w="1890" w:type="dxa"/>
            <w:gridSpan w:val="2"/>
            <w:tcBorders>
              <w:top w:val="single" w:sz="4" w:space="0" w:color="auto"/>
              <w:left w:val="nil"/>
              <w:bottom w:val="single" w:sz="4" w:space="0" w:color="auto"/>
              <w:right w:val="single" w:sz="4" w:space="0" w:color="auto"/>
            </w:tcBorders>
            <w:shd w:val="clear" w:color="000000" w:fill="548DD4"/>
            <w:vAlign w:val="center"/>
            <w:hideMark/>
          </w:tcPr>
          <w:p w:rsidR="00F24971" w:rsidRPr="00931B15" w:rsidRDefault="00A35E98" w:rsidP="00931B15">
            <w:pPr>
              <w:spacing w:after="0" w:line="240" w:lineRule="auto"/>
              <w:ind w:left="-100" w:right="-72"/>
              <w:jc w:val="center"/>
              <w:rPr>
                <w:rFonts w:ascii="Verdana" w:hAnsi="Verdana"/>
                <w:color w:val="FFFFFF"/>
                <w:sz w:val="18"/>
              </w:rPr>
            </w:pPr>
            <w:r w:rsidRPr="005B6074">
              <w:rPr>
                <w:rFonts w:ascii="Verdana" w:hAnsi="Verdana"/>
                <w:color w:val="FFFFFF"/>
                <w:sz w:val="18"/>
              </w:rPr>
              <w:t>PA 3: Educational Environment for Active Social Inclusion</w:t>
            </w:r>
          </w:p>
        </w:tc>
      </w:tr>
      <w:tr w:rsidR="00F24971" w:rsidRPr="005B6074" w:rsidTr="00F24971">
        <w:trPr>
          <w:trHeight w:val="300"/>
        </w:trPr>
        <w:tc>
          <w:tcPr>
            <w:tcW w:w="2392" w:type="dxa"/>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A35E98" w:rsidP="004D5FA1">
            <w:pPr>
              <w:spacing w:after="0" w:line="240" w:lineRule="auto"/>
              <w:jc w:val="center"/>
              <w:rPr>
                <w:rFonts w:ascii="Verdana" w:hAnsi="Verdana"/>
                <w:color w:val="FFFFFF"/>
                <w:sz w:val="18"/>
              </w:rPr>
            </w:pPr>
            <w:r w:rsidRPr="005B6074">
              <w:rPr>
                <w:rFonts w:ascii="Verdana" w:hAnsi="Verdana"/>
                <w:color w:val="FFFFFF"/>
                <w:sz w:val="18"/>
              </w:rPr>
              <w:t>OPGG</w:t>
            </w:r>
          </w:p>
        </w:tc>
        <w:tc>
          <w:tcPr>
            <w:tcW w:w="1222" w:type="dxa"/>
            <w:tcBorders>
              <w:top w:val="nil"/>
              <w:left w:val="nil"/>
              <w:bottom w:val="single" w:sz="4" w:space="0" w:color="auto"/>
              <w:right w:val="single" w:sz="4" w:space="0" w:color="auto"/>
            </w:tcBorders>
            <w:shd w:val="clear" w:color="000000" w:fill="C6D9F1"/>
            <w:vAlign w:val="bottom"/>
            <w:hideMark/>
          </w:tcPr>
          <w:p w:rsidR="00F24971" w:rsidRPr="004D5FA1" w:rsidRDefault="00A35E98" w:rsidP="004D5FA1">
            <w:pPr>
              <w:spacing w:after="0"/>
              <w:jc w:val="center"/>
              <w:rPr>
                <w:rFonts w:ascii="Verdana" w:eastAsia="Times New Roman" w:hAnsi="Verdana" w:cs="Arial"/>
                <w:sz w:val="18"/>
                <w:szCs w:val="18"/>
              </w:rPr>
            </w:pPr>
            <w:r w:rsidRPr="004D5FA1">
              <w:rPr>
                <w:rFonts w:ascii="Verdana" w:hAnsi="Verdana" w:cs="Arial"/>
                <w:sz w:val="18"/>
                <w:szCs w:val="18"/>
              </w:rPr>
              <w:t>Priority</w:t>
            </w:r>
          </w:p>
        </w:tc>
        <w:tc>
          <w:tcPr>
            <w:tcW w:w="900"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cs="Arial"/>
                <w:sz w:val="18"/>
                <w:szCs w:val="18"/>
              </w:rPr>
            </w:pPr>
            <w:r w:rsidRPr="004D5FA1">
              <w:rPr>
                <w:rFonts w:ascii="Verdana" w:hAnsi="Verdana" w:cs="Arial"/>
                <w:sz w:val="18"/>
                <w:szCs w:val="18"/>
              </w:rPr>
              <w:t>1.1</w:t>
            </w:r>
          </w:p>
        </w:tc>
        <w:tc>
          <w:tcPr>
            <w:tcW w:w="810"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cs="Arial"/>
                <w:sz w:val="18"/>
                <w:szCs w:val="18"/>
              </w:rPr>
            </w:pPr>
            <w:r w:rsidRPr="004D5FA1">
              <w:rPr>
                <w:rFonts w:ascii="Verdana" w:hAnsi="Verdana" w:cs="Arial"/>
                <w:sz w:val="18"/>
                <w:szCs w:val="18"/>
              </w:rPr>
              <w:t>1.2</w:t>
            </w:r>
          </w:p>
        </w:tc>
        <w:tc>
          <w:tcPr>
            <w:tcW w:w="810"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cs="Arial"/>
                <w:sz w:val="18"/>
                <w:szCs w:val="18"/>
              </w:rPr>
            </w:pPr>
            <w:r w:rsidRPr="004D5FA1">
              <w:rPr>
                <w:rFonts w:ascii="Verdana" w:hAnsi="Verdana" w:cs="Arial"/>
                <w:sz w:val="18"/>
                <w:szCs w:val="18"/>
              </w:rPr>
              <w:t>2.1</w:t>
            </w:r>
          </w:p>
        </w:tc>
        <w:tc>
          <w:tcPr>
            <w:tcW w:w="810"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cs="Arial"/>
                <w:sz w:val="18"/>
                <w:szCs w:val="18"/>
              </w:rPr>
            </w:pPr>
            <w:r w:rsidRPr="004D5FA1">
              <w:rPr>
                <w:rFonts w:ascii="Verdana" w:hAnsi="Verdana" w:cs="Arial"/>
                <w:sz w:val="18"/>
                <w:szCs w:val="18"/>
              </w:rPr>
              <w:t>2.2</w:t>
            </w:r>
          </w:p>
        </w:tc>
        <w:tc>
          <w:tcPr>
            <w:tcW w:w="810"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cs="Arial"/>
                <w:sz w:val="18"/>
                <w:szCs w:val="18"/>
              </w:rPr>
            </w:pPr>
            <w:r w:rsidRPr="004D5FA1">
              <w:rPr>
                <w:rFonts w:ascii="Verdana" w:hAnsi="Verdana" w:cs="Arial"/>
                <w:sz w:val="18"/>
                <w:szCs w:val="18"/>
              </w:rPr>
              <w:t>2.3</w:t>
            </w:r>
          </w:p>
        </w:tc>
        <w:tc>
          <w:tcPr>
            <w:tcW w:w="900"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cs="Arial"/>
                <w:sz w:val="18"/>
                <w:szCs w:val="18"/>
              </w:rPr>
            </w:pPr>
            <w:r w:rsidRPr="004D5FA1">
              <w:rPr>
                <w:rFonts w:ascii="Verdana" w:hAnsi="Verdana" w:cs="Arial"/>
                <w:sz w:val="18"/>
                <w:szCs w:val="18"/>
              </w:rPr>
              <w:t>3.1</w:t>
            </w:r>
          </w:p>
        </w:tc>
        <w:tc>
          <w:tcPr>
            <w:tcW w:w="990"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cs="Arial"/>
                <w:sz w:val="18"/>
                <w:szCs w:val="18"/>
              </w:rPr>
            </w:pPr>
            <w:r w:rsidRPr="004D5FA1">
              <w:rPr>
                <w:rFonts w:ascii="Verdana" w:hAnsi="Verdana" w:cs="Arial"/>
                <w:sz w:val="18"/>
                <w:szCs w:val="18"/>
              </w:rPr>
              <w:t>3.2</w:t>
            </w:r>
          </w:p>
        </w:tc>
      </w:tr>
      <w:tr w:rsidR="00F24971" w:rsidRPr="005B6074" w:rsidTr="00F24971">
        <w:trPr>
          <w:trHeight w:val="330"/>
        </w:trPr>
        <w:tc>
          <w:tcPr>
            <w:tcW w:w="2392" w:type="dxa"/>
            <w:vMerge w:val="restart"/>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A35E98" w:rsidP="004D5FA1">
            <w:pPr>
              <w:spacing w:after="0" w:line="240" w:lineRule="auto"/>
              <w:jc w:val="center"/>
              <w:rPr>
                <w:rFonts w:ascii="Verdana" w:hAnsi="Verdana"/>
                <w:color w:val="FFFFFF"/>
                <w:sz w:val="18"/>
              </w:rPr>
            </w:pPr>
            <w:r w:rsidRPr="005B6074">
              <w:rPr>
                <w:rFonts w:ascii="Verdana" w:hAnsi="Verdana"/>
                <w:color w:val="FFFFFF"/>
                <w:sz w:val="18"/>
              </w:rPr>
              <w:t>PA 1: Administrative Services and e-Government</w:t>
            </w:r>
          </w:p>
        </w:tc>
        <w:tc>
          <w:tcPr>
            <w:tcW w:w="1222"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cs="Arial"/>
                <w:sz w:val="18"/>
                <w:szCs w:val="18"/>
              </w:rPr>
            </w:pPr>
            <w:r w:rsidRPr="004D5FA1">
              <w:rPr>
                <w:rFonts w:ascii="Verdana" w:hAnsi="Verdana" w:cs="Arial"/>
                <w:sz w:val="18"/>
                <w:szCs w:val="18"/>
              </w:rPr>
              <w:t>1.1</w:t>
            </w: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B2073D">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B2073D">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B2073D">
            <w:pPr>
              <w:spacing w:after="0"/>
              <w:jc w:val="center"/>
            </w:pPr>
            <w:r w:rsidRPr="005B6074">
              <w:rPr>
                <w:rFonts w:ascii="Wingdings 2" w:hAnsi="Wingdings 2"/>
                <w:color w:val="0070C0"/>
                <w:sz w:val="26"/>
              </w:rPr>
              <w:t></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B2073D">
            <w:pPr>
              <w:spacing w:after="0"/>
              <w:jc w:val="center"/>
            </w:pPr>
            <w:r w:rsidRPr="005B6074">
              <w:rPr>
                <w:rFonts w:ascii="Wingdings 2" w:hAnsi="Wingdings 2"/>
                <w:color w:val="0070C0"/>
                <w:sz w:val="26"/>
              </w:rPr>
              <w:t></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B2073D">
            <w:pPr>
              <w:spacing w:after="0"/>
              <w:jc w:val="center"/>
            </w:pPr>
            <w:r w:rsidRPr="005B6074">
              <w:rPr>
                <w:rFonts w:ascii="Wingdings 2" w:hAnsi="Wingdings 2"/>
                <w:color w:val="0070C0"/>
                <w:sz w:val="26"/>
              </w:rPr>
              <w:t></w:t>
            </w: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B2073D">
            <w:pPr>
              <w:spacing w:after="0" w:line="240" w:lineRule="auto"/>
              <w:jc w:val="center"/>
              <w:rPr>
                <w:rFonts w:ascii="Verdana" w:eastAsia="Times New Roman" w:hAnsi="Verdana"/>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B2073D">
            <w:pPr>
              <w:spacing w:after="0" w:line="240" w:lineRule="auto"/>
              <w:jc w:val="center"/>
              <w:rPr>
                <w:rFonts w:ascii="Verdana" w:eastAsia="Times New Roman" w:hAnsi="Verdana"/>
                <w:color w:val="000000"/>
                <w:sz w:val="18"/>
                <w:szCs w:val="18"/>
              </w:rPr>
            </w:pPr>
          </w:p>
        </w:tc>
      </w:tr>
      <w:tr w:rsidR="00F24971" w:rsidRPr="005B6074" w:rsidTr="00F24971">
        <w:trPr>
          <w:trHeight w:val="330"/>
        </w:trPr>
        <w:tc>
          <w:tcPr>
            <w:tcW w:w="2392"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F24971">
            <w:pPr>
              <w:spacing w:after="0" w:line="240" w:lineRule="auto"/>
              <w:jc w:val="center"/>
              <w:rPr>
                <w:rFonts w:ascii="Verdana" w:hAnsi="Verdana"/>
                <w:color w:val="FFFFFF"/>
                <w:sz w:val="18"/>
              </w:rPr>
            </w:pPr>
          </w:p>
        </w:tc>
        <w:tc>
          <w:tcPr>
            <w:tcW w:w="1222"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cs="Arial"/>
                <w:sz w:val="18"/>
                <w:szCs w:val="18"/>
              </w:rPr>
            </w:pPr>
            <w:r w:rsidRPr="004D5FA1">
              <w:rPr>
                <w:rFonts w:ascii="Verdana" w:hAnsi="Verdana" w:cs="Arial"/>
                <w:sz w:val="18"/>
                <w:szCs w:val="18"/>
              </w:rPr>
              <w:t>1.2</w:t>
            </w: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jc w:val="center"/>
            </w:pPr>
            <w:r w:rsidRPr="005B6074">
              <w:rPr>
                <w:rFonts w:ascii="Wingdings 2" w:hAnsi="Wingdings 2"/>
                <w:color w:val="0070C0"/>
                <w:sz w:val="26"/>
              </w:rPr>
              <w:t></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jc w:val="center"/>
            </w:pPr>
            <w:r w:rsidRPr="005B6074">
              <w:rPr>
                <w:rFonts w:ascii="Wingdings 2" w:hAnsi="Wingdings 2"/>
                <w:color w:val="0070C0"/>
                <w:sz w:val="26"/>
              </w:rPr>
              <w:t></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jc w:val="center"/>
            </w:pPr>
            <w:r w:rsidRPr="005B6074">
              <w:rPr>
                <w:rFonts w:ascii="Wingdings 2" w:hAnsi="Wingdings 2"/>
                <w:color w:val="0070C0"/>
                <w:sz w:val="26"/>
              </w:rPr>
              <w:t></w:t>
            </w: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0000"/>
                <w:sz w:val="18"/>
                <w:szCs w:val="18"/>
              </w:rPr>
            </w:pPr>
          </w:p>
        </w:tc>
      </w:tr>
      <w:tr w:rsidR="00F24971" w:rsidRPr="005B6074" w:rsidTr="00F24971">
        <w:trPr>
          <w:trHeight w:val="330"/>
        </w:trPr>
        <w:tc>
          <w:tcPr>
            <w:tcW w:w="2392"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F24971">
            <w:pPr>
              <w:spacing w:after="0" w:line="240" w:lineRule="auto"/>
              <w:jc w:val="center"/>
              <w:rPr>
                <w:rFonts w:ascii="Verdana" w:hAnsi="Verdana"/>
                <w:color w:val="FFFFFF"/>
                <w:sz w:val="18"/>
              </w:rPr>
            </w:pPr>
          </w:p>
        </w:tc>
        <w:tc>
          <w:tcPr>
            <w:tcW w:w="1222"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cs="Arial"/>
                <w:sz w:val="18"/>
                <w:szCs w:val="18"/>
              </w:rPr>
            </w:pPr>
            <w:r w:rsidRPr="004D5FA1">
              <w:rPr>
                <w:rFonts w:ascii="Verdana" w:hAnsi="Verdana" w:cs="Arial"/>
                <w:sz w:val="18"/>
                <w:szCs w:val="18"/>
              </w:rPr>
              <w:t>1.3</w:t>
            </w: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jc w:val="center"/>
            </w:pPr>
            <w:r w:rsidRPr="005B6074">
              <w:rPr>
                <w:rFonts w:ascii="Wingdings 2" w:hAnsi="Wingdings 2"/>
                <w:color w:val="0070C0"/>
                <w:sz w:val="26"/>
              </w:rPr>
              <w:t></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jc w:val="center"/>
            </w:pPr>
            <w:r w:rsidRPr="005B6074">
              <w:rPr>
                <w:rFonts w:ascii="Wingdings 2" w:hAnsi="Wingdings 2"/>
                <w:color w:val="0070C0"/>
                <w:sz w:val="26"/>
              </w:rPr>
              <w:t></w:t>
            </w: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jc w:val="center"/>
            </w:pPr>
            <w:r w:rsidRPr="005B6074">
              <w:rPr>
                <w:rFonts w:ascii="Wingdings 2" w:hAnsi="Wingdings 2"/>
                <w:color w:val="0070C0"/>
                <w:sz w:val="26"/>
              </w:rPr>
              <w:t></w:t>
            </w: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476"/>
        </w:trPr>
        <w:tc>
          <w:tcPr>
            <w:tcW w:w="2392" w:type="dxa"/>
            <w:vMerge w:val="restart"/>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A35E98" w:rsidP="00F24971">
            <w:pPr>
              <w:spacing w:after="0" w:line="240" w:lineRule="auto"/>
              <w:jc w:val="center"/>
              <w:rPr>
                <w:rFonts w:ascii="Verdana" w:hAnsi="Verdana"/>
                <w:color w:val="FFFFFF"/>
                <w:sz w:val="18"/>
              </w:rPr>
            </w:pPr>
            <w:r w:rsidRPr="005B6074">
              <w:rPr>
                <w:rFonts w:ascii="Verdana" w:hAnsi="Verdana"/>
                <w:color w:val="FFFFFF"/>
                <w:sz w:val="18"/>
              </w:rPr>
              <w:lastRenderedPageBreak/>
              <w:t>PA 2: Effective and Professional Governance in Partnership with Civil Society and Businesses</w:t>
            </w:r>
          </w:p>
        </w:tc>
        <w:tc>
          <w:tcPr>
            <w:tcW w:w="1222"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cs="Arial"/>
                <w:sz w:val="18"/>
                <w:szCs w:val="18"/>
              </w:rPr>
            </w:pPr>
            <w:r w:rsidRPr="004D5FA1">
              <w:rPr>
                <w:rFonts w:ascii="Verdana" w:hAnsi="Verdana" w:cs="Arial"/>
                <w:sz w:val="18"/>
                <w:szCs w:val="18"/>
              </w:rPr>
              <w:t>2.1</w:t>
            </w: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485"/>
        </w:trPr>
        <w:tc>
          <w:tcPr>
            <w:tcW w:w="2392"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F24971">
            <w:pPr>
              <w:spacing w:after="0" w:line="240" w:lineRule="auto"/>
              <w:jc w:val="center"/>
              <w:rPr>
                <w:rFonts w:ascii="Verdana" w:hAnsi="Verdana"/>
                <w:color w:val="FFFFFF"/>
                <w:sz w:val="18"/>
              </w:rPr>
            </w:pPr>
          </w:p>
        </w:tc>
        <w:tc>
          <w:tcPr>
            <w:tcW w:w="1222"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cs="Arial"/>
                <w:sz w:val="18"/>
                <w:szCs w:val="18"/>
              </w:rPr>
            </w:pPr>
            <w:r w:rsidRPr="004D5FA1">
              <w:rPr>
                <w:rFonts w:ascii="Verdana" w:hAnsi="Verdana" w:cs="Arial"/>
                <w:sz w:val="18"/>
                <w:szCs w:val="18"/>
              </w:rPr>
              <w:t>2.2</w:t>
            </w: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trPr>
        <w:tc>
          <w:tcPr>
            <w:tcW w:w="2392"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F24971">
            <w:pPr>
              <w:spacing w:after="0" w:line="240" w:lineRule="auto"/>
              <w:jc w:val="center"/>
              <w:rPr>
                <w:rFonts w:ascii="Verdana" w:hAnsi="Verdana"/>
                <w:color w:val="FFFFFF"/>
                <w:sz w:val="18"/>
              </w:rPr>
            </w:pPr>
          </w:p>
        </w:tc>
        <w:tc>
          <w:tcPr>
            <w:tcW w:w="1222"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cs="Arial"/>
                <w:sz w:val="18"/>
                <w:szCs w:val="18"/>
              </w:rPr>
            </w:pPr>
            <w:r w:rsidRPr="004D5FA1">
              <w:rPr>
                <w:rFonts w:ascii="Verdana" w:hAnsi="Verdana" w:cs="Arial"/>
                <w:sz w:val="18"/>
                <w:szCs w:val="18"/>
              </w:rPr>
              <w:t>2.3</w:t>
            </w: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trPr>
        <w:tc>
          <w:tcPr>
            <w:tcW w:w="2392" w:type="dxa"/>
            <w:vMerge w:val="restart"/>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A35E98" w:rsidP="00F24971">
            <w:pPr>
              <w:spacing w:after="0" w:line="240" w:lineRule="auto"/>
              <w:jc w:val="center"/>
              <w:rPr>
                <w:rFonts w:ascii="Verdana" w:hAnsi="Verdana"/>
                <w:color w:val="FFFFFF"/>
                <w:sz w:val="18"/>
              </w:rPr>
            </w:pPr>
            <w:r w:rsidRPr="005B6074">
              <w:rPr>
                <w:rFonts w:ascii="Verdana" w:hAnsi="Verdana"/>
                <w:color w:val="FFFFFF"/>
                <w:sz w:val="18"/>
              </w:rPr>
              <w:t>PA 3: Transparent and Effective Judiciary</w:t>
            </w:r>
          </w:p>
        </w:tc>
        <w:tc>
          <w:tcPr>
            <w:tcW w:w="1222"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cs="Arial"/>
                <w:sz w:val="18"/>
                <w:szCs w:val="18"/>
              </w:rPr>
            </w:pPr>
            <w:r w:rsidRPr="004D5FA1">
              <w:rPr>
                <w:rFonts w:ascii="Verdana" w:hAnsi="Verdana" w:cs="Arial"/>
                <w:sz w:val="18"/>
                <w:szCs w:val="18"/>
              </w:rPr>
              <w:t>3.1</w:t>
            </w: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trPr>
        <w:tc>
          <w:tcPr>
            <w:tcW w:w="2392"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F24971">
            <w:pPr>
              <w:spacing w:after="0" w:line="240" w:lineRule="auto"/>
              <w:jc w:val="center"/>
              <w:rPr>
                <w:rFonts w:ascii="Verdana" w:hAnsi="Verdana"/>
                <w:color w:val="FFFFFF"/>
                <w:sz w:val="18"/>
              </w:rPr>
            </w:pPr>
          </w:p>
        </w:tc>
        <w:tc>
          <w:tcPr>
            <w:tcW w:w="1222"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cs="Arial"/>
                <w:sz w:val="18"/>
                <w:szCs w:val="18"/>
              </w:rPr>
            </w:pPr>
            <w:r w:rsidRPr="004D5FA1">
              <w:rPr>
                <w:rFonts w:ascii="Verdana" w:hAnsi="Verdana" w:cs="Arial"/>
                <w:sz w:val="18"/>
                <w:szCs w:val="18"/>
              </w:rPr>
              <w:t>3.2</w:t>
            </w: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455"/>
        </w:trPr>
        <w:tc>
          <w:tcPr>
            <w:tcW w:w="2392" w:type="dxa"/>
            <w:vMerge w:val="restart"/>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A35E98" w:rsidP="004D5FA1">
            <w:pPr>
              <w:spacing w:after="0" w:line="240" w:lineRule="auto"/>
              <w:jc w:val="center"/>
              <w:rPr>
                <w:rFonts w:ascii="Verdana" w:hAnsi="Verdana"/>
                <w:color w:val="FFFFFF"/>
                <w:sz w:val="18"/>
              </w:rPr>
            </w:pPr>
            <w:r w:rsidRPr="005B6074">
              <w:rPr>
                <w:rFonts w:ascii="Verdana" w:hAnsi="Verdana"/>
                <w:color w:val="FFFFFF"/>
                <w:sz w:val="18"/>
              </w:rPr>
              <w:t>PA 4: Technical Assistance for the Administrative Structures Participating in ESIF Management and Absorption</w:t>
            </w:r>
          </w:p>
        </w:tc>
        <w:tc>
          <w:tcPr>
            <w:tcW w:w="1222"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cs="Arial"/>
                <w:sz w:val="18"/>
                <w:szCs w:val="18"/>
              </w:rPr>
            </w:pPr>
            <w:r w:rsidRPr="004D5FA1">
              <w:rPr>
                <w:rFonts w:ascii="Verdana" w:hAnsi="Verdana" w:cs="Arial"/>
                <w:sz w:val="18"/>
                <w:szCs w:val="18"/>
              </w:rPr>
              <w:t>4.1</w:t>
            </w: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440"/>
        </w:trPr>
        <w:tc>
          <w:tcPr>
            <w:tcW w:w="2392"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rPr>
                <w:rFonts w:ascii="Verdana" w:eastAsia="Times New Roman" w:hAnsi="Verdana"/>
                <w:bCs/>
                <w:color w:val="FFFFFF"/>
                <w:sz w:val="18"/>
                <w:szCs w:val="18"/>
              </w:rPr>
            </w:pPr>
          </w:p>
        </w:tc>
        <w:tc>
          <w:tcPr>
            <w:tcW w:w="1222"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cs="Arial"/>
                <w:sz w:val="18"/>
                <w:szCs w:val="18"/>
              </w:rPr>
            </w:pPr>
            <w:r w:rsidRPr="004D5FA1">
              <w:rPr>
                <w:rFonts w:ascii="Verdana" w:hAnsi="Verdana" w:cs="Arial"/>
                <w:sz w:val="18"/>
                <w:szCs w:val="18"/>
              </w:rPr>
              <w:t>4.2</w:t>
            </w: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59"/>
        </w:trPr>
        <w:tc>
          <w:tcPr>
            <w:tcW w:w="2392"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rPr>
                <w:rFonts w:ascii="Verdana" w:eastAsia="Times New Roman" w:hAnsi="Verdana"/>
                <w:bCs/>
                <w:color w:val="FFFFFF"/>
                <w:sz w:val="18"/>
                <w:szCs w:val="18"/>
              </w:rPr>
            </w:pPr>
          </w:p>
        </w:tc>
        <w:tc>
          <w:tcPr>
            <w:tcW w:w="1222"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cs="Arial"/>
                <w:sz w:val="18"/>
                <w:szCs w:val="18"/>
              </w:rPr>
            </w:pPr>
            <w:r w:rsidRPr="004D5FA1">
              <w:rPr>
                <w:rFonts w:ascii="Verdana" w:hAnsi="Verdana" w:cs="Arial"/>
                <w:sz w:val="18"/>
                <w:szCs w:val="18"/>
              </w:rPr>
              <w:t>4.1</w:t>
            </w: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1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bl>
    <w:p w:rsidR="00F24971" w:rsidRPr="005B6074" w:rsidRDefault="00A35E98" w:rsidP="00F24971">
      <w:pPr>
        <w:spacing w:before="120"/>
        <w:rPr>
          <w:rFonts w:ascii="Verdana" w:hAnsi="Verdana"/>
          <w:i/>
          <w:sz w:val="18"/>
          <w:szCs w:val="18"/>
        </w:rPr>
      </w:pPr>
      <w:r w:rsidRPr="005B6074">
        <w:rPr>
          <w:rFonts w:ascii="Verdana" w:hAnsi="Verdana"/>
          <w:i/>
          <w:sz w:val="18"/>
        </w:rPr>
        <w:t xml:space="preserve">Legend: </w:t>
      </w:r>
      <w:r w:rsidRPr="005B6074">
        <w:rPr>
          <w:rFonts w:ascii="Wingdings 2" w:hAnsi="Wingdings 2"/>
          <w:color w:val="0070C0"/>
          <w:sz w:val="26"/>
        </w:rPr>
        <w:t></w:t>
      </w:r>
      <w:r w:rsidRPr="005B6074">
        <w:rPr>
          <w:rFonts w:ascii="Verdana" w:hAnsi="Verdana"/>
          <w:i/>
          <w:sz w:val="18"/>
        </w:rPr>
        <w:t xml:space="preserve"> - weak connection, </w:t>
      </w:r>
      <w:r w:rsidRPr="005B6074">
        <w:rPr>
          <w:rFonts w:ascii="Wingdings 2" w:hAnsi="Wingdings 2"/>
          <w:color w:val="0070C0"/>
          <w:sz w:val="26"/>
        </w:rPr>
        <w:t></w:t>
      </w:r>
      <w:r w:rsidRPr="005B6074">
        <w:rPr>
          <w:rFonts w:ascii="Wingdings 2" w:hAnsi="Wingdings 2"/>
          <w:color w:val="0070C0"/>
          <w:sz w:val="26"/>
        </w:rPr>
        <w:t></w:t>
      </w:r>
      <w:r w:rsidRPr="005B6074">
        <w:rPr>
          <w:rFonts w:ascii="Verdana" w:hAnsi="Verdana"/>
          <w:sz w:val="26"/>
        </w:rPr>
        <w:t xml:space="preserve">- </w:t>
      </w:r>
      <w:r w:rsidRPr="005B6074">
        <w:rPr>
          <w:rFonts w:ascii="Verdana" w:hAnsi="Verdana"/>
          <w:i/>
          <w:sz w:val="18"/>
        </w:rPr>
        <w:t xml:space="preserve">average connection, </w:t>
      </w:r>
      <w:r w:rsidRPr="005B6074">
        <w:rPr>
          <w:rFonts w:ascii="Wingdings 2" w:hAnsi="Wingdings 2"/>
          <w:color w:val="0070C0"/>
          <w:sz w:val="26"/>
        </w:rPr>
        <w:t></w:t>
      </w:r>
      <w:r w:rsidRPr="005B6074">
        <w:rPr>
          <w:rFonts w:ascii="Wingdings 2" w:hAnsi="Wingdings 2"/>
          <w:color w:val="0070C0"/>
          <w:sz w:val="26"/>
        </w:rPr>
        <w:t></w:t>
      </w:r>
      <w:r w:rsidRPr="005B6074">
        <w:rPr>
          <w:rFonts w:ascii="Wingdings 2" w:hAnsi="Wingdings 2"/>
          <w:color w:val="0070C0"/>
          <w:sz w:val="26"/>
        </w:rPr>
        <w:t></w:t>
      </w:r>
      <w:r w:rsidRPr="005B6074">
        <w:rPr>
          <w:rFonts w:ascii="Verdana" w:hAnsi="Verdana"/>
          <w:i/>
          <w:sz w:val="18"/>
        </w:rPr>
        <w:t xml:space="preserve"> - strong connection</w:t>
      </w:r>
    </w:p>
    <w:p w:rsidR="00F24971" w:rsidRPr="005B6074" w:rsidRDefault="00A35E98" w:rsidP="00F24971">
      <w:pPr>
        <w:keepNext/>
        <w:spacing w:before="240" w:after="120"/>
        <w:rPr>
          <w:rFonts w:ascii="Verdana" w:hAnsi="Verdana"/>
          <w:b/>
          <w:color w:val="548DD4"/>
          <w:sz w:val="20"/>
          <w:szCs w:val="20"/>
        </w:rPr>
      </w:pPr>
      <w:bookmarkStart w:id="83" w:name="_Toc390257066"/>
      <w:bookmarkStart w:id="84" w:name="_Toc396225605"/>
      <w:r w:rsidRPr="005B6074">
        <w:rPr>
          <w:rFonts w:ascii="Verdana" w:hAnsi="Verdana"/>
          <w:b/>
          <w:color w:val="548DD4"/>
          <w:sz w:val="20"/>
        </w:rPr>
        <w:t xml:space="preserve">Table </w:t>
      </w:r>
      <w:r w:rsidRPr="005B6074">
        <w:rPr>
          <w:rFonts w:ascii="Verdana" w:hAnsi="Verdana"/>
          <w:b/>
          <w:color w:val="548DD4"/>
          <w:sz w:val="20"/>
        </w:rPr>
        <w:fldChar w:fldCharType="begin"/>
      </w:r>
      <w:r w:rsidRPr="005B6074">
        <w:rPr>
          <w:rFonts w:ascii="Verdana" w:hAnsi="Verdana"/>
          <w:b/>
          <w:color w:val="548DD4"/>
          <w:sz w:val="20"/>
        </w:rPr>
        <w:instrText>SEQ таблица \* ARABIC</w:instrText>
      </w:r>
      <w:r w:rsidRPr="005B6074">
        <w:rPr>
          <w:rFonts w:ascii="Verdana" w:hAnsi="Verdana"/>
          <w:b/>
          <w:color w:val="548DD4"/>
          <w:sz w:val="20"/>
        </w:rPr>
        <w:fldChar w:fldCharType="separate"/>
      </w:r>
      <w:r w:rsidR="009330F5">
        <w:rPr>
          <w:rFonts w:ascii="Verdana" w:hAnsi="Verdana"/>
          <w:b/>
          <w:noProof/>
          <w:color w:val="548DD4"/>
          <w:sz w:val="20"/>
        </w:rPr>
        <w:t>10</w:t>
      </w:r>
      <w:r w:rsidRPr="005B6074">
        <w:rPr>
          <w:rFonts w:ascii="Verdana" w:hAnsi="Verdana"/>
          <w:b/>
          <w:color w:val="548DD4"/>
          <w:sz w:val="20"/>
        </w:rPr>
        <w:fldChar w:fldCharType="end"/>
      </w:r>
      <w:r w:rsidRPr="005B6074">
        <w:rPr>
          <w:rFonts w:ascii="Verdana" w:hAnsi="Verdana"/>
          <w:b/>
          <w:color w:val="548DD4"/>
          <w:sz w:val="20"/>
        </w:rPr>
        <w:t xml:space="preserve">. Complementarity and Demarcation of </w:t>
      </w:r>
      <w:r w:rsidR="005B35A7">
        <w:rPr>
          <w:rFonts w:ascii="Verdana" w:hAnsi="Verdana"/>
          <w:b/>
          <w:color w:val="548DD4"/>
          <w:sz w:val="20"/>
        </w:rPr>
        <w:t>OPSESG</w:t>
      </w:r>
      <w:r w:rsidRPr="005B6074">
        <w:rPr>
          <w:rFonts w:ascii="Verdana" w:hAnsi="Verdana"/>
          <w:b/>
          <w:color w:val="548DD4"/>
          <w:sz w:val="20"/>
        </w:rPr>
        <w:t xml:space="preserve"> and OPGG</w:t>
      </w:r>
      <w:bookmarkEnd w:id="83"/>
      <w:bookmarkEnd w:id="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97"/>
        <w:gridCol w:w="6675"/>
      </w:tblGrid>
      <w:tr w:rsidR="00F24971" w:rsidRPr="005B6074" w:rsidTr="00B2073D">
        <w:tc>
          <w:tcPr>
            <w:tcW w:w="2297" w:type="dxa"/>
            <w:shd w:val="clear" w:color="auto" w:fill="548DD4"/>
          </w:tcPr>
          <w:p w:rsidR="00F24971" w:rsidRPr="00931B15" w:rsidRDefault="00A35E98" w:rsidP="00931B15">
            <w:pPr>
              <w:rPr>
                <w:rFonts w:ascii="Verdana" w:hAnsi="Verdana"/>
                <w:color w:val="FFFFFF" w:themeColor="background1"/>
                <w:sz w:val="20"/>
                <w:szCs w:val="20"/>
              </w:rPr>
            </w:pPr>
            <w:r w:rsidRPr="00931B15">
              <w:rPr>
                <w:rFonts w:ascii="Verdana" w:hAnsi="Verdana"/>
                <w:color w:val="FFFFFF" w:themeColor="background1"/>
                <w:sz w:val="20"/>
                <w:szCs w:val="20"/>
              </w:rPr>
              <w:t xml:space="preserve">Complementarity / Demarcation </w:t>
            </w:r>
            <w:r w:rsidR="00F52AAA" w:rsidRPr="00931B15">
              <w:rPr>
                <w:rFonts w:ascii="Verdana" w:hAnsi="Verdana"/>
                <w:color w:val="FFFFFF" w:themeColor="background1"/>
                <w:sz w:val="20"/>
                <w:szCs w:val="20"/>
              </w:rPr>
              <w:t>noted in the OPSESG</w:t>
            </w:r>
          </w:p>
        </w:tc>
        <w:tc>
          <w:tcPr>
            <w:tcW w:w="6675" w:type="dxa"/>
          </w:tcPr>
          <w:p w:rsidR="00F24971" w:rsidRPr="005B6074" w:rsidRDefault="00A35E98" w:rsidP="004D5FA1">
            <w:pPr>
              <w:spacing w:after="0"/>
              <w:rPr>
                <w:rFonts w:ascii="Verdana" w:hAnsi="Verdana"/>
                <w:sz w:val="20"/>
                <w:szCs w:val="20"/>
              </w:rPr>
            </w:pPr>
            <w:r w:rsidRPr="004D5FA1">
              <w:rPr>
                <w:rFonts w:ascii="Verdana" w:hAnsi="Verdana"/>
                <w:b/>
                <w:sz w:val="20"/>
                <w:szCs w:val="20"/>
              </w:rPr>
              <w:t>Complementarity:</w:t>
            </w:r>
            <w:r w:rsidRPr="004D5FA1">
              <w:rPr>
                <w:rFonts w:ascii="Verdana" w:hAnsi="Verdana"/>
                <w:sz w:val="20"/>
                <w:szCs w:val="20"/>
              </w:rPr>
              <w:t xml:space="preserve"> It is mentioned that OPGG will be conducive to the strengthening of the capacity of NGOs which are potential beneficiaries of </w:t>
            </w:r>
            <w:r w:rsidR="005B35A7">
              <w:rPr>
                <w:rFonts w:ascii="Verdana" w:hAnsi="Verdana"/>
                <w:sz w:val="20"/>
                <w:szCs w:val="20"/>
              </w:rPr>
              <w:t>OPSESG</w:t>
            </w:r>
            <w:r w:rsidRPr="004D5FA1">
              <w:rPr>
                <w:rFonts w:ascii="Verdana" w:hAnsi="Verdana"/>
                <w:sz w:val="20"/>
                <w:szCs w:val="20"/>
              </w:rPr>
              <w:t>.</w:t>
            </w:r>
          </w:p>
          <w:p w:rsidR="00F24971" w:rsidRPr="005B6074" w:rsidRDefault="00A35E98" w:rsidP="004D5FA1">
            <w:pPr>
              <w:spacing w:after="0"/>
              <w:rPr>
                <w:rFonts w:ascii="Verdana" w:hAnsi="Verdana"/>
                <w:sz w:val="20"/>
                <w:szCs w:val="20"/>
              </w:rPr>
            </w:pPr>
            <w:r w:rsidRPr="004D5FA1">
              <w:rPr>
                <w:rFonts w:ascii="Verdana" w:hAnsi="Verdana"/>
                <w:b/>
                <w:sz w:val="20"/>
                <w:szCs w:val="20"/>
              </w:rPr>
              <w:t>Demarcation:</w:t>
            </w:r>
            <w:r w:rsidRPr="004D5FA1">
              <w:rPr>
                <w:rFonts w:ascii="Verdana" w:hAnsi="Verdana"/>
                <w:sz w:val="20"/>
                <w:szCs w:val="20"/>
              </w:rPr>
              <w:t xml:space="preserve"> There is a description of the demarcation lines between the two programmes where there could be potential overlapping and double financing – e-government, financing of NGOs, traineeship schemes/practices. </w:t>
            </w:r>
          </w:p>
        </w:tc>
      </w:tr>
      <w:tr w:rsidR="00F24971" w:rsidRPr="005B6074" w:rsidTr="00B2073D">
        <w:tc>
          <w:tcPr>
            <w:tcW w:w="2297" w:type="dxa"/>
            <w:shd w:val="clear" w:color="auto" w:fill="548DD4"/>
          </w:tcPr>
          <w:p w:rsidR="00F24971" w:rsidRPr="00931B15" w:rsidRDefault="00A35E98" w:rsidP="00931B15">
            <w:pPr>
              <w:rPr>
                <w:rFonts w:ascii="Verdana" w:hAnsi="Verdana"/>
                <w:color w:val="FFFFFF" w:themeColor="background1"/>
                <w:sz w:val="20"/>
                <w:szCs w:val="20"/>
              </w:rPr>
            </w:pPr>
            <w:r w:rsidRPr="00931B15">
              <w:rPr>
                <w:rFonts w:ascii="Verdana" w:hAnsi="Verdana"/>
                <w:color w:val="FFFFFF" w:themeColor="background1"/>
                <w:sz w:val="20"/>
                <w:szCs w:val="20"/>
              </w:rPr>
              <w:t>Comments</w:t>
            </w:r>
          </w:p>
        </w:tc>
        <w:tc>
          <w:tcPr>
            <w:tcW w:w="6675" w:type="dxa"/>
          </w:tcPr>
          <w:p w:rsidR="00F24971" w:rsidRPr="005B6074" w:rsidRDefault="00A35E98" w:rsidP="004D5FA1">
            <w:pPr>
              <w:spacing w:after="0"/>
              <w:rPr>
                <w:rFonts w:ascii="Verdana" w:hAnsi="Verdana"/>
                <w:sz w:val="20"/>
                <w:szCs w:val="20"/>
              </w:rPr>
            </w:pPr>
            <w:r w:rsidRPr="004D5FA1">
              <w:rPr>
                <w:rFonts w:ascii="Verdana" w:hAnsi="Verdana"/>
                <w:sz w:val="20"/>
                <w:szCs w:val="20"/>
              </w:rPr>
              <w:t>Complementarity and demarcation are well described.</w:t>
            </w:r>
          </w:p>
        </w:tc>
      </w:tr>
      <w:tr w:rsidR="00F24971" w:rsidRPr="005B6074" w:rsidTr="00B2073D">
        <w:tc>
          <w:tcPr>
            <w:tcW w:w="2297" w:type="dxa"/>
            <w:shd w:val="clear" w:color="auto" w:fill="548DD4"/>
          </w:tcPr>
          <w:p w:rsidR="00F24971" w:rsidRPr="00931B15" w:rsidRDefault="00A35E98" w:rsidP="00931B15">
            <w:pPr>
              <w:rPr>
                <w:rFonts w:ascii="Verdana" w:hAnsi="Verdana"/>
                <w:color w:val="FFFFFF" w:themeColor="background1"/>
                <w:sz w:val="20"/>
                <w:szCs w:val="20"/>
              </w:rPr>
            </w:pPr>
            <w:r w:rsidRPr="00931B15">
              <w:rPr>
                <w:rFonts w:ascii="Verdana" w:hAnsi="Verdana"/>
                <w:color w:val="FFFFFF" w:themeColor="background1"/>
                <w:sz w:val="20"/>
                <w:szCs w:val="20"/>
              </w:rPr>
              <w:t>Recommendation</w:t>
            </w:r>
          </w:p>
        </w:tc>
        <w:tc>
          <w:tcPr>
            <w:tcW w:w="6675" w:type="dxa"/>
          </w:tcPr>
          <w:p w:rsidR="00F24971" w:rsidRPr="005B6074" w:rsidRDefault="00A35E98" w:rsidP="004D5FA1">
            <w:pPr>
              <w:spacing w:after="0"/>
              <w:rPr>
                <w:rFonts w:ascii="Verdana" w:hAnsi="Verdana"/>
                <w:sz w:val="20"/>
                <w:szCs w:val="20"/>
              </w:rPr>
            </w:pPr>
            <w:r w:rsidRPr="004D5FA1">
              <w:rPr>
                <w:rFonts w:ascii="Verdana" w:hAnsi="Verdana"/>
                <w:sz w:val="20"/>
                <w:szCs w:val="20"/>
              </w:rPr>
              <w:t>N/A</w:t>
            </w:r>
          </w:p>
        </w:tc>
      </w:tr>
    </w:tbl>
    <w:p w:rsidR="00F24971" w:rsidRPr="005B6074" w:rsidRDefault="00F24971" w:rsidP="00F24971">
      <w:pPr>
        <w:ind w:left="360"/>
        <w:rPr>
          <w:rFonts w:ascii="Verdana" w:hAnsi="Verdana"/>
          <w:sz w:val="20"/>
          <w:szCs w:val="20"/>
        </w:rPr>
      </w:pP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Human Resources Development Operational Programme (HRD OP) 2014–2020</w:t>
      </w:r>
    </w:p>
    <w:tbl>
      <w:tblPr>
        <w:tblW w:w="0" w:type="auto"/>
        <w:tblInd w:w="108" w:type="dxa"/>
        <w:tblLook w:val="04A0" w:firstRow="1" w:lastRow="0" w:firstColumn="1" w:lastColumn="0" w:noHBand="0" w:noVBand="1"/>
      </w:tblPr>
      <w:tblGrid>
        <w:gridCol w:w="8982"/>
      </w:tblGrid>
      <w:tr w:rsidR="00F24971" w:rsidRPr="005B6074" w:rsidTr="00F24971">
        <w:tc>
          <w:tcPr>
            <w:tcW w:w="9104" w:type="dxa"/>
            <w:tcBorders>
              <w:bottom w:val="single" w:sz="4" w:space="0" w:color="auto"/>
            </w:tcBorders>
            <w:shd w:val="clear" w:color="auto" w:fill="auto"/>
          </w:tcPr>
          <w:p w:rsidR="00F24971" w:rsidRPr="005B6074" w:rsidRDefault="00A35E98" w:rsidP="00F24971">
            <w:pPr>
              <w:pBdr>
                <w:top w:val="single" w:sz="4" w:space="0" w:color="auto"/>
                <w:left w:val="single" w:sz="4" w:space="4" w:color="auto"/>
                <w:bottom w:val="single" w:sz="4" w:space="1" w:color="auto"/>
                <w:right w:val="single" w:sz="4" w:space="4" w:color="auto"/>
              </w:pBdr>
              <w:shd w:val="clear" w:color="auto" w:fill="548DD4"/>
              <w:autoSpaceDE w:val="0"/>
              <w:autoSpaceDN w:val="0"/>
              <w:adjustRightInd w:val="0"/>
              <w:spacing w:after="120"/>
              <w:rPr>
                <w:rFonts w:ascii="Verdana" w:hAnsi="Verdana"/>
                <w:color w:val="FFFFFF"/>
                <w:sz w:val="20"/>
                <w:szCs w:val="20"/>
              </w:rPr>
            </w:pPr>
            <w:r w:rsidRPr="005B6074">
              <w:rPr>
                <w:rFonts w:ascii="Verdana" w:hAnsi="Verdana"/>
                <w:color w:val="FFFFFF"/>
                <w:sz w:val="20"/>
              </w:rPr>
              <w:t>Priority Axis 1:  Improving the Access to Employment and the Quality of Jobs</w:t>
            </w:r>
          </w:p>
          <w:p w:rsidR="00F24971" w:rsidRPr="005B6074" w:rsidRDefault="00A35E98" w:rsidP="00181A22">
            <w:pPr>
              <w:pStyle w:val="ListParagraph"/>
              <w:numPr>
                <w:ilvl w:val="1"/>
                <w:numId w:val="48"/>
              </w:numPr>
              <w:spacing w:after="120"/>
              <w:ind w:left="522" w:hanging="522"/>
              <w:jc w:val="both"/>
              <w:rPr>
                <w:rFonts w:ascii="Verdana" w:hAnsi="Verdana"/>
                <w:sz w:val="20"/>
                <w:szCs w:val="20"/>
              </w:rPr>
            </w:pPr>
            <w:r w:rsidRPr="005B6074">
              <w:rPr>
                <w:rFonts w:ascii="Verdana" w:hAnsi="Verdana"/>
                <w:sz w:val="20"/>
              </w:rPr>
              <w:t>"Access to employment for job-seekers and inactive people, including the long-term unemployed and people far from the labour market, also through local employment initiatives and support for labour mobility"</w:t>
            </w:r>
          </w:p>
          <w:p w:rsidR="00F24971" w:rsidRPr="005B6074" w:rsidRDefault="00A35E98" w:rsidP="00181A22">
            <w:pPr>
              <w:pStyle w:val="ListParagraph"/>
              <w:numPr>
                <w:ilvl w:val="1"/>
                <w:numId w:val="48"/>
              </w:numPr>
              <w:spacing w:after="120"/>
              <w:ind w:left="522" w:hanging="522"/>
              <w:jc w:val="both"/>
              <w:rPr>
                <w:rFonts w:ascii="Verdana" w:hAnsi="Verdana"/>
                <w:sz w:val="20"/>
                <w:szCs w:val="20"/>
              </w:rPr>
            </w:pPr>
            <w:r w:rsidRPr="005B6074">
              <w:rPr>
                <w:rFonts w:ascii="Verdana" w:hAnsi="Verdana"/>
                <w:sz w:val="20"/>
              </w:rPr>
              <w:t>Sustainable integration into the labour market of young people, in particular those not in employment, education or training, including young people at risk of social exclusion and young people from marginalised communities, including through the implementation of the Youth Guarantee</w:t>
            </w:r>
          </w:p>
          <w:p w:rsidR="00F24971" w:rsidRPr="005B6074" w:rsidRDefault="00A35E98" w:rsidP="00181A22">
            <w:pPr>
              <w:pStyle w:val="ListParagraph"/>
              <w:numPr>
                <w:ilvl w:val="1"/>
                <w:numId w:val="48"/>
              </w:numPr>
              <w:spacing w:after="120"/>
              <w:ind w:left="522" w:hanging="522"/>
              <w:jc w:val="both"/>
              <w:rPr>
                <w:rFonts w:ascii="Verdana" w:hAnsi="Verdana"/>
                <w:sz w:val="20"/>
                <w:szCs w:val="20"/>
              </w:rPr>
            </w:pPr>
            <w:r w:rsidRPr="005B6074">
              <w:rPr>
                <w:rFonts w:ascii="Verdana" w:hAnsi="Verdana"/>
                <w:sz w:val="20"/>
              </w:rPr>
              <w:t>"Self-employment, entrepreneurship and business creation including innovative micro, small and medium sized enterprises"</w:t>
            </w:r>
          </w:p>
          <w:p w:rsidR="00F24971" w:rsidRPr="005B6074" w:rsidRDefault="00A35E98" w:rsidP="00181A22">
            <w:pPr>
              <w:pStyle w:val="ListParagraph"/>
              <w:numPr>
                <w:ilvl w:val="1"/>
                <w:numId w:val="48"/>
              </w:numPr>
              <w:spacing w:after="120"/>
              <w:ind w:left="522" w:hanging="522"/>
              <w:jc w:val="both"/>
              <w:rPr>
                <w:rFonts w:ascii="Verdana" w:hAnsi="Verdana"/>
                <w:sz w:val="20"/>
                <w:szCs w:val="20"/>
              </w:rPr>
            </w:pPr>
            <w:r w:rsidRPr="005B6074">
              <w:rPr>
                <w:rFonts w:ascii="Verdana" w:hAnsi="Verdana"/>
                <w:sz w:val="20"/>
              </w:rPr>
              <w:t>Enhancing equal access to lifelong learning for all age groups in formal, non-formal and informal settings, upgrading the knowledge, skills and competences of the workforce, and promoting flexible learning pathways including through career guidance and validation of acquired competences</w:t>
            </w:r>
          </w:p>
          <w:p w:rsidR="00F24971" w:rsidRPr="005B6074" w:rsidRDefault="00A35E98" w:rsidP="00181A22">
            <w:pPr>
              <w:pStyle w:val="ListParagraph"/>
              <w:numPr>
                <w:ilvl w:val="1"/>
                <w:numId w:val="48"/>
              </w:numPr>
              <w:spacing w:after="120"/>
              <w:ind w:left="522" w:hanging="522"/>
              <w:jc w:val="both"/>
              <w:rPr>
                <w:rFonts w:ascii="Verdana" w:hAnsi="Verdana"/>
                <w:sz w:val="20"/>
                <w:szCs w:val="20"/>
              </w:rPr>
            </w:pPr>
            <w:r w:rsidRPr="005B6074">
              <w:rPr>
                <w:rFonts w:ascii="Verdana" w:hAnsi="Verdana"/>
                <w:sz w:val="20"/>
              </w:rPr>
              <w:lastRenderedPageBreak/>
              <w:t>"Adaptation of workers, enterprises and entrepreneurs to change"</w:t>
            </w:r>
          </w:p>
        </w:tc>
      </w:tr>
      <w:tr w:rsidR="00F24971" w:rsidRPr="005B6074" w:rsidTr="00F24971">
        <w:trPr>
          <w:trHeight w:val="337"/>
        </w:trPr>
        <w:tc>
          <w:tcPr>
            <w:tcW w:w="9104" w:type="dxa"/>
            <w:tcBorders>
              <w:top w:val="single" w:sz="4" w:space="0" w:color="auto"/>
              <w:bottom w:val="single" w:sz="4" w:space="0" w:color="auto"/>
            </w:tcBorders>
            <w:shd w:val="clear" w:color="auto" w:fill="548DD4"/>
          </w:tcPr>
          <w:p w:rsidR="00F24971" w:rsidRPr="005B6074" w:rsidRDefault="00A35E98" w:rsidP="00F24971">
            <w:pPr>
              <w:keepNext/>
              <w:autoSpaceDE w:val="0"/>
              <w:autoSpaceDN w:val="0"/>
              <w:adjustRightInd w:val="0"/>
              <w:spacing w:after="120" w:line="240" w:lineRule="auto"/>
              <w:rPr>
                <w:rFonts w:ascii="Verdana" w:hAnsi="Verdana"/>
                <w:color w:val="FFFFFF"/>
                <w:sz w:val="20"/>
                <w:szCs w:val="20"/>
              </w:rPr>
            </w:pPr>
            <w:r w:rsidRPr="005B6074">
              <w:rPr>
                <w:rFonts w:ascii="Verdana" w:hAnsi="Verdana"/>
                <w:color w:val="FFFFFF"/>
                <w:sz w:val="20"/>
              </w:rPr>
              <w:lastRenderedPageBreak/>
              <w:t>Priority Axis 2: Reducing Poverty and Promoting Social Inclusion</w:t>
            </w:r>
          </w:p>
        </w:tc>
      </w:tr>
      <w:tr w:rsidR="00F24971" w:rsidRPr="005B6074" w:rsidTr="00F24971">
        <w:trPr>
          <w:trHeight w:val="1005"/>
        </w:trPr>
        <w:tc>
          <w:tcPr>
            <w:tcW w:w="9104" w:type="dxa"/>
            <w:tcBorders>
              <w:top w:val="single" w:sz="4" w:space="0" w:color="auto"/>
              <w:bottom w:val="single" w:sz="4" w:space="0" w:color="auto"/>
            </w:tcBorders>
            <w:shd w:val="clear" w:color="auto" w:fill="auto"/>
          </w:tcPr>
          <w:p w:rsidR="00F24971" w:rsidRPr="005B6074" w:rsidRDefault="00A35E98" w:rsidP="00181A22">
            <w:pPr>
              <w:pStyle w:val="ListParagraph"/>
              <w:numPr>
                <w:ilvl w:val="0"/>
                <w:numId w:val="49"/>
              </w:numPr>
              <w:tabs>
                <w:tab w:val="left" w:pos="522"/>
              </w:tabs>
              <w:autoSpaceDE w:val="0"/>
              <w:autoSpaceDN w:val="0"/>
              <w:adjustRightInd w:val="0"/>
              <w:spacing w:after="120"/>
              <w:ind w:left="522" w:hanging="522"/>
              <w:jc w:val="both"/>
              <w:rPr>
                <w:rFonts w:ascii="Verdana" w:hAnsi="Verdana"/>
                <w:sz w:val="20"/>
                <w:szCs w:val="20"/>
              </w:rPr>
            </w:pPr>
            <w:r w:rsidRPr="005B6074">
              <w:rPr>
                <w:rFonts w:ascii="Verdana" w:hAnsi="Verdana"/>
                <w:sz w:val="20"/>
              </w:rPr>
              <w:t>"Socio-economic integration of marginalised communities such as the Roma"</w:t>
            </w:r>
          </w:p>
          <w:p w:rsidR="00F24971" w:rsidRPr="005B6074" w:rsidRDefault="00A35E98" w:rsidP="00181A22">
            <w:pPr>
              <w:pStyle w:val="ListParagraph"/>
              <w:numPr>
                <w:ilvl w:val="0"/>
                <w:numId w:val="49"/>
              </w:numPr>
              <w:tabs>
                <w:tab w:val="left" w:pos="522"/>
              </w:tabs>
              <w:autoSpaceDE w:val="0"/>
              <w:autoSpaceDN w:val="0"/>
              <w:adjustRightInd w:val="0"/>
              <w:spacing w:after="120"/>
              <w:ind w:left="522" w:hanging="522"/>
              <w:jc w:val="both"/>
              <w:rPr>
                <w:rFonts w:ascii="Verdana" w:hAnsi="Verdana"/>
                <w:sz w:val="20"/>
                <w:szCs w:val="20"/>
              </w:rPr>
            </w:pPr>
            <w:r w:rsidRPr="005B6074">
              <w:rPr>
                <w:rFonts w:ascii="Verdana" w:hAnsi="Verdana"/>
                <w:sz w:val="20"/>
              </w:rPr>
              <w:t>"Active inclusion, including with a view to promoting equal opportunities and active participation, and improving employability"</w:t>
            </w:r>
          </w:p>
          <w:p w:rsidR="00F24971" w:rsidRPr="005B6074" w:rsidRDefault="00A35E98" w:rsidP="00181A22">
            <w:pPr>
              <w:pStyle w:val="ListParagraph"/>
              <w:numPr>
                <w:ilvl w:val="0"/>
                <w:numId w:val="49"/>
              </w:numPr>
              <w:tabs>
                <w:tab w:val="left" w:pos="522"/>
              </w:tabs>
              <w:autoSpaceDE w:val="0"/>
              <w:autoSpaceDN w:val="0"/>
              <w:adjustRightInd w:val="0"/>
              <w:spacing w:after="120"/>
              <w:ind w:left="522" w:hanging="522"/>
              <w:jc w:val="both"/>
              <w:rPr>
                <w:rFonts w:ascii="Verdana" w:hAnsi="Verdana"/>
                <w:sz w:val="20"/>
                <w:szCs w:val="20"/>
              </w:rPr>
            </w:pPr>
            <w:r w:rsidRPr="005B6074">
              <w:rPr>
                <w:rFonts w:ascii="Verdana" w:hAnsi="Verdana"/>
                <w:sz w:val="20"/>
              </w:rPr>
              <w:t>"Promoting social entrepreneurship and vocational integration in social enterprises and the social and solidarity economy in order to facilitate access to employment"</w:t>
            </w:r>
          </w:p>
        </w:tc>
      </w:tr>
      <w:tr w:rsidR="00F24971" w:rsidRPr="005B6074" w:rsidTr="00F24971">
        <w:trPr>
          <w:trHeight w:val="530"/>
        </w:trPr>
        <w:tc>
          <w:tcPr>
            <w:tcW w:w="9104" w:type="dxa"/>
            <w:tcBorders>
              <w:top w:val="single" w:sz="4" w:space="0" w:color="auto"/>
              <w:bottom w:val="single" w:sz="4" w:space="0" w:color="auto"/>
            </w:tcBorders>
            <w:shd w:val="clear" w:color="auto" w:fill="548DD4"/>
          </w:tcPr>
          <w:p w:rsidR="00F24971" w:rsidRPr="005B6074" w:rsidRDefault="00A35E98" w:rsidP="00F24971">
            <w:pPr>
              <w:pStyle w:val="ListParagraph"/>
              <w:tabs>
                <w:tab w:val="left" w:pos="0"/>
              </w:tabs>
              <w:autoSpaceDE w:val="0"/>
              <w:autoSpaceDN w:val="0"/>
              <w:adjustRightInd w:val="0"/>
              <w:spacing w:after="120"/>
              <w:ind w:left="-18"/>
              <w:jc w:val="both"/>
              <w:rPr>
                <w:rFonts w:ascii="Verdana" w:hAnsi="Verdana"/>
                <w:sz w:val="20"/>
                <w:szCs w:val="20"/>
              </w:rPr>
            </w:pPr>
            <w:r w:rsidRPr="005B6074">
              <w:rPr>
                <w:rFonts w:ascii="Verdana" w:hAnsi="Verdana"/>
                <w:color w:val="FFFFFF"/>
                <w:sz w:val="20"/>
              </w:rPr>
              <w:t>Priority Axis 3: Modernisation of Labour Market, Social Inclusion and Healthcare Institutions</w:t>
            </w:r>
          </w:p>
        </w:tc>
      </w:tr>
      <w:tr w:rsidR="00F24971" w:rsidRPr="005B6074" w:rsidTr="00F24971">
        <w:trPr>
          <w:trHeight w:val="1005"/>
        </w:trPr>
        <w:tc>
          <w:tcPr>
            <w:tcW w:w="9104" w:type="dxa"/>
            <w:tcBorders>
              <w:top w:val="single" w:sz="4" w:space="0" w:color="auto"/>
              <w:bottom w:val="single" w:sz="4" w:space="0" w:color="auto"/>
            </w:tcBorders>
            <w:shd w:val="clear" w:color="auto" w:fill="auto"/>
          </w:tcPr>
          <w:p w:rsidR="00F24971" w:rsidRPr="005B6074" w:rsidRDefault="00A35E98" w:rsidP="00181A22">
            <w:pPr>
              <w:pStyle w:val="ListParagraph"/>
              <w:numPr>
                <w:ilvl w:val="0"/>
                <w:numId w:val="50"/>
              </w:numPr>
              <w:tabs>
                <w:tab w:val="left" w:pos="522"/>
              </w:tabs>
              <w:autoSpaceDE w:val="0"/>
              <w:autoSpaceDN w:val="0"/>
              <w:adjustRightInd w:val="0"/>
              <w:spacing w:after="120"/>
              <w:ind w:left="522" w:hanging="522"/>
              <w:jc w:val="both"/>
              <w:rPr>
                <w:rFonts w:ascii="Verdana" w:hAnsi="Verdana"/>
                <w:sz w:val="20"/>
                <w:szCs w:val="20"/>
              </w:rPr>
            </w:pPr>
            <w:r w:rsidRPr="005B6074">
              <w:rPr>
                <w:rFonts w:ascii="Verdana" w:hAnsi="Verdana"/>
                <w:sz w:val="20"/>
              </w:rPr>
              <w:t xml:space="preserve">"Capacity building of all stakeholders implementing policies in the area of education, lifelong learning, training, employment and social policies, including through </w:t>
            </w:r>
            <w:proofErr w:type="spellStart"/>
            <w:r w:rsidRPr="005B6074">
              <w:rPr>
                <w:rFonts w:ascii="Verdana" w:hAnsi="Verdana"/>
                <w:sz w:val="20"/>
              </w:rPr>
              <w:t>sectoral</w:t>
            </w:r>
            <w:proofErr w:type="spellEnd"/>
            <w:r w:rsidRPr="005B6074">
              <w:rPr>
                <w:rFonts w:ascii="Verdana" w:hAnsi="Verdana"/>
                <w:sz w:val="20"/>
              </w:rPr>
              <w:t xml:space="preserve"> and territorial mobilisation pacts at the national, regional and local levels with a view to reforms"</w:t>
            </w:r>
          </w:p>
          <w:p w:rsidR="00F24971" w:rsidRPr="005B6074" w:rsidRDefault="00A35E98" w:rsidP="00181A22">
            <w:pPr>
              <w:pStyle w:val="ListParagraph"/>
              <w:numPr>
                <w:ilvl w:val="0"/>
                <w:numId w:val="50"/>
              </w:numPr>
              <w:tabs>
                <w:tab w:val="left" w:pos="522"/>
              </w:tabs>
              <w:spacing w:after="120"/>
              <w:ind w:left="522" w:hanging="522"/>
              <w:jc w:val="both"/>
              <w:rPr>
                <w:rFonts w:ascii="Verdana" w:hAnsi="Verdana"/>
                <w:sz w:val="20"/>
                <w:szCs w:val="20"/>
              </w:rPr>
            </w:pPr>
            <w:r w:rsidRPr="005B6074">
              <w:rPr>
                <w:rFonts w:ascii="Verdana" w:hAnsi="Verdana"/>
                <w:sz w:val="20"/>
              </w:rPr>
              <w:t xml:space="preserve">"Capacity building of stakeholders providing education, forms of lifelong learning, training, employment and social policies, including through </w:t>
            </w:r>
            <w:proofErr w:type="spellStart"/>
            <w:r w:rsidRPr="005B6074">
              <w:rPr>
                <w:rFonts w:ascii="Verdana" w:hAnsi="Verdana"/>
                <w:sz w:val="20"/>
              </w:rPr>
              <w:t>sectoral</w:t>
            </w:r>
            <w:proofErr w:type="spellEnd"/>
            <w:r w:rsidRPr="005B6074">
              <w:rPr>
                <w:rFonts w:ascii="Verdana" w:hAnsi="Verdana"/>
                <w:sz w:val="20"/>
              </w:rPr>
              <w:t xml:space="preserve"> and territorial mobilisation pacts at the national, regional and local levels with a view to reforms"</w:t>
            </w:r>
          </w:p>
        </w:tc>
      </w:tr>
      <w:tr w:rsidR="00F24971" w:rsidRPr="005B6074" w:rsidTr="00F24971">
        <w:trPr>
          <w:trHeight w:val="376"/>
        </w:trPr>
        <w:tc>
          <w:tcPr>
            <w:tcW w:w="9104" w:type="dxa"/>
            <w:tcBorders>
              <w:top w:val="single" w:sz="4" w:space="0" w:color="auto"/>
              <w:bottom w:val="single" w:sz="4" w:space="0" w:color="auto"/>
            </w:tcBorders>
            <w:shd w:val="clear" w:color="auto" w:fill="548DD4"/>
          </w:tcPr>
          <w:p w:rsidR="00F24971" w:rsidRPr="005B6074" w:rsidRDefault="00A35E98" w:rsidP="00F24971">
            <w:pPr>
              <w:autoSpaceDE w:val="0"/>
              <w:autoSpaceDN w:val="0"/>
              <w:adjustRightInd w:val="0"/>
              <w:spacing w:after="120"/>
              <w:rPr>
                <w:rFonts w:ascii="Verdana" w:hAnsi="Verdana"/>
                <w:color w:val="FFFFFF"/>
                <w:sz w:val="20"/>
                <w:szCs w:val="20"/>
              </w:rPr>
            </w:pPr>
            <w:r w:rsidRPr="005B6074">
              <w:rPr>
                <w:rFonts w:ascii="Verdana" w:hAnsi="Verdana"/>
                <w:color w:val="FFFFFF"/>
                <w:sz w:val="20"/>
              </w:rPr>
              <w:t>Priority Axis 4: Transnational Cooperation</w:t>
            </w:r>
          </w:p>
        </w:tc>
      </w:tr>
    </w:tbl>
    <w:p w:rsidR="00F24971" w:rsidRPr="005B6074" w:rsidRDefault="00F24971" w:rsidP="00F24971">
      <w:pPr>
        <w:pStyle w:val="Caption"/>
        <w:jc w:val="center"/>
        <w:rPr>
          <w:rFonts w:ascii="Verdana" w:hAnsi="Verdana"/>
          <w:color w:val="006CB6"/>
        </w:rPr>
      </w:pPr>
      <w:bookmarkStart w:id="85" w:name="_Toc376515426"/>
    </w:p>
    <w:p w:rsidR="00F24971" w:rsidRPr="005B6074" w:rsidRDefault="00A35E98" w:rsidP="00F24971">
      <w:pPr>
        <w:keepNext/>
        <w:spacing w:before="240" w:after="120"/>
        <w:rPr>
          <w:rFonts w:ascii="Verdana" w:hAnsi="Verdana"/>
          <w:b/>
          <w:color w:val="548DD4"/>
          <w:sz w:val="20"/>
          <w:szCs w:val="20"/>
        </w:rPr>
      </w:pPr>
      <w:bookmarkStart w:id="86" w:name="_Toc390257067"/>
      <w:bookmarkStart w:id="87" w:name="_Toc396225606"/>
      <w:r w:rsidRPr="005B6074">
        <w:rPr>
          <w:rFonts w:ascii="Verdana" w:hAnsi="Verdana"/>
          <w:b/>
          <w:color w:val="548DD4"/>
          <w:sz w:val="20"/>
        </w:rPr>
        <w:t xml:space="preserve">Table </w:t>
      </w:r>
      <w:r w:rsidRPr="005B6074">
        <w:rPr>
          <w:rFonts w:ascii="Verdana" w:hAnsi="Verdana"/>
          <w:b/>
          <w:color w:val="548DD4"/>
          <w:sz w:val="20"/>
        </w:rPr>
        <w:fldChar w:fldCharType="begin"/>
      </w:r>
      <w:r w:rsidRPr="005B6074">
        <w:rPr>
          <w:rFonts w:ascii="Verdana" w:hAnsi="Verdana"/>
          <w:b/>
          <w:color w:val="548DD4"/>
          <w:sz w:val="20"/>
        </w:rPr>
        <w:instrText xml:space="preserve"> SEQ Таблица \* ARABIC </w:instrText>
      </w:r>
      <w:r w:rsidRPr="005B6074">
        <w:rPr>
          <w:rFonts w:ascii="Verdana" w:hAnsi="Verdana"/>
          <w:b/>
          <w:color w:val="548DD4"/>
          <w:sz w:val="20"/>
        </w:rPr>
        <w:fldChar w:fldCharType="separate"/>
      </w:r>
      <w:r w:rsidR="009330F5">
        <w:rPr>
          <w:rFonts w:ascii="Verdana" w:hAnsi="Verdana"/>
          <w:b/>
          <w:noProof/>
          <w:color w:val="548DD4"/>
          <w:sz w:val="20"/>
        </w:rPr>
        <w:t>11</w:t>
      </w:r>
      <w:r w:rsidRPr="005B6074">
        <w:rPr>
          <w:rFonts w:ascii="Verdana" w:hAnsi="Verdana"/>
          <w:b/>
          <w:color w:val="548DD4"/>
          <w:sz w:val="20"/>
        </w:rPr>
        <w:fldChar w:fldCharType="end"/>
      </w:r>
      <w:r w:rsidRPr="005B6074">
        <w:rPr>
          <w:rFonts w:ascii="Verdana" w:hAnsi="Verdana"/>
          <w:b/>
          <w:color w:val="548DD4"/>
          <w:sz w:val="20"/>
        </w:rPr>
        <w:t xml:space="preserve">: Connection between the Priorities of </w:t>
      </w:r>
      <w:r w:rsidR="005B35A7">
        <w:rPr>
          <w:rFonts w:ascii="Verdana" w:hAnsi="Verdana"/>
          <w:b/>
          <w:color w:val="548DD4"/>
          <w:sz w:val="20"/>
        </w:rPr>
        <w:t>OPSESG</w:t>
      </w:r>
      <w:r w:rsidRPr="005B6074">
        <w:rPr>
          <w:rFonts w:ascii="Verdana" w:hAnsi="Verdana"/>
          <w:b/>
          <w:color w:val="548DD4"/>
          <w:sz w:val="20"/>
        </w:rPr>
        <w:t xml:space="preserve"> and HRD OP</w:t>
      </w:r>
      <w:bookmarkEnd w:id="86"/>
      <w:bookmarkEnd w:id="87"/>
    </w:p>
    <w:tbl>
      <w:tblPr>
        <w:tblW w:w="10200" w:type="dxa"/>
        <w:jc w:val="center"/>
        <w:tblLook w:val="04A0" w:firstRow="1" w:lastRow="0" w:firstColumn="1" w:lastColumn="0" w:noHBand="0" w:noVBand="1"/>
      </w:tblPr>
      <w:tblGrid>
        <w:gridCol w:w="2599"/>
        <w:gridCol w:w="1311"/>
        <w:gridCol w:w="893"/>
        <w:gridCol w:w="924"/>
        <w:gridCol w:w="869"/>
        <w:gridCol w:w="887"/>
        <w:gridCol w:w="830"/>
        <w:gridCol w:w="980"/>
        <w:gridCol w:w="907"/>
      </w:tblGrid>
      <w:tr w:rsidR="00F24971" w:rsidRPr="005B6074" w:rsidTr="00F24971">
        <w:trPr>
          <w:trHeight w:val="780"/>
          <w:jc w:val="center"/>
        </w:trPr>
        <w:tc>
          <w:tcPr>
            <w:tcW w:w="2599" w:type="dxa"/>
            <w:tcBorders>
              <w:top w:val="single" w:sz="4" w:space="0" w:color="auto"/>
              <w:left w:val="single" w:sz="4" w:space="0" w:color="auto"/>
              <w:bottom w:val="single" w:sz="4" w:space="0" w:color="auto"/>
              <w:right w:val="single" w:sz="4" w:space="0" w:color="auto"/>
            </w:tcBorders>
            <w:shd w:val="clear" w:color="000000"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Operational Programme / Priority Axis</w:t>
            </w:r>
          </w:p>
        </w:tc>
        <w:tc>
          <w:tcPr>
            <w:tcW w:w="1311" w:type="dxa"/>
            <w:tcBorders>
              <w:top w:val="single" w:sz="4" w:space="0" w:color="auto"/>
              <w:left w:val="nil"/>
              <w:bottom w:val="single" w:sz="4" w:space="0" w:color="auto"/>
              <w:right w:val="single" w:sz="4" w:space="0" w:color="auto"/>
            </w:tcBorders>
            <w:shd w:val="clear" w:color="000000" w:fill="548DD4"/>
            <w:vAlign w:val="center"/>
            <w:hideMark/>
          </w:tcPr>
          <w:p w:rsidR="00F24971" w:rsidRPr="004D5FA1" w:rsidRDefault="005B35A7" w:rsidP="004D5FA1">
            <w:pPr>
              <w:spacing w:after="0"/>
              <w:jc w:val="center"/>
              <w:rPr>
                <w:rFonts w:ascii="Verdana" w:hAnsi="Verdana"/>
                <w:color w:val="FFFFFF" w:themeColor="background1"/>
                <w:sz w:val="18"/>
                <w:szCs w:val="18"/>
              </w:rPr>
            </w:pPr>
            <w:r>
              <w:rPr>
                <w:rFonts w:ascii="Verdana" w:hAnsi="Verdana"/>
                <w:color w:val="FFFFFF" w:themeColor="background1"/>
                <w:sz w:val="18"/>
                <w:szCs w:val="18"/>
              </w:rPr>
              <w:t>OPSESG</w:t>
            </w:r>
          </w:p>
        </w:tc>
        <w:tc>
          <w:tcPr>
            <w:tcW w:w="1817" w:type="dxa"/>
            <w:gridSpan w:val="2"/>
            <w:tcBorders>
              <w:top w:val="single" w:sz="4" w:space="0" w:color="auto"/>
              <w:left w:val="nil"/>
              <w:bottom w:val="single" w:sz="4" w:space="0" w:color="auto"/>
              <w:right w:val="single" w:sz="4" w:space="0" w:color="auto"/>
            </w:tcBorders>
            <w:shd w:val="clear" w:color="000000"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PA 1: Scientific Research and</w:t>
            </w:r>
          </w:p>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Technological Development</w:t>
            </w:r>
          </w:p>
        </w:tc>
        <w:tc>
          <w:tcPr>
            <w:tcW w:w="2586" w:type="dxa"/>
            <w:gridSpan w:val="3"/>
            <w:tcBorders>
              <w:top w:val="single" w:sz="4" w:space="0" w:color="auto"/>
              <w:left w:val="nil"/>
              <w:bottom w:val="single" w:sz="4" w:space="0" w:color="auto"/>
              <w:right w:val="single" w:sz="4" w:space="0" w:color="auto"/>
            </w:tcBorders>
            <w:shd w:val="clear" w:color="000000"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PA 2: Education and Lifelong Learning</w:t>
            </w:r>
          </w:p>
        </w:tc>
        <w:tc>
          <w:tcPr>
            <w:tcW w:w="1887" w:type="dxa"/>
            <w:gridSpan w:val="2"/>
            <w:tcBorders>
              <w:top w:val="single" w:sz="4" w:space="0" w:color="auto"/>
              <w:left w:val="nil"/>
              <w:bottom w:val="single" w:sz="4" w:space="0" w:color="auto"/>
              <w:right w:val="single" w:sz="4" w:space="0" w:color="auto"/>
            </w:tcBorders>
            <w:shd w:val="clear" w:color="000000"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PA 3: Educational Environment for Active Social Inclusion</w:t>
            </w:r>
          </w:p>
        </w:tc>
      </w:tr>
      <w:tr w:rsidR="00F24971" w:rsidRPr="005B6074" w:rsidTr="00F24971">
        <w:trPr>
          <w:trHeight w:val="255"/>
          <w:jc w:val="center"/>
        </w:trPr>
        <w:tc>
          <w:tcPr>
            <w:tcW w:w="2599" w:type="dxa"/>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HRD OP</w:t>
            </w:r>
          </w:p>
        </w:tc>
        <w:tc>
          <w:tcPr>
            <w:tcW w:w="1311" w:type="dxa"/>
            <w:tcBorders>
              <w:top w:val="nil"/>
              <w:left w:val="nil"/>
              <w:bottom w:val="single" w:sz="4" w:space="0" w:color="auto"/>
              <w:right w:val="single" w:sz="4" w:space="0" w:color="auto"/>
            </w:tcBorders>
            <w:shd w:val="clear" w:color="000000" w:fill="C6D9F1"/>
            <w:vAlign w:val="bottom"/>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Priority</w:t>
            </w:r>
          </w:p>
        </w:tc>
        <w:tc>
          <w:tcPr>
            <w:tcW w:w="893"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1.1</w:t>
            </w:r>
          </w:p>
        </w:tc>
        <w:tc>
          <w:tcPr>
            <w:tcW w:w="924"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1.2</w:t>
            </w:r>
          </w:p>
        </w:tc>
        <w:tc>
          <w:tcPr>
            <w:tcW w:w="869"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2.1</w:t>
            </w:r>
          </w:p>
        </w:tc>
        <w:tc>
          <w:tcPr>
            <w:tcW w:w="887"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2.2</w:t>
            </w:r>
          </w:p>
        </w:tc>
        <w:tc>
          <w:tcPr>
            <w:tcW w:w="830"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2.3</w:t>
            </w:r>
          </w:p>
        </w:tc>
        <w:tc>
          <w:tcPr>
            <w:tcW w:w="980"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3.1</w:t>
            </w:r>
          </w:p>
        </w:tc>
        <w:tc>
          <w:tcPr>
            <w:tcW w:w="907"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3.2</w:t>
            </w:r>
          </w:p>
        </w:tc>
      </w:tr>
      <w:tr w:rsidR="00F24971" w:rsidRPr="005B6074" w:rsidTr="00F24971">
        <w:trPr>
          <w:trHeight w:val="330"/>
          <w:jc w:val="center"/>
        </w:trPr>
        <w:tc>
          <w:tcPr>
            <w:tcW w:w="2599" w:type="dxa"/>
            <w:vMerge w:val="restart"/>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PA 1: Improving the Access to Employment and the Quality of Jobs</w:t>
            </w: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1.1</w:t>
            </w:r>
          </w:p>
        </w:tc>
        <w:tc>
          <w:tcPr>
            <w:tcW w:w="89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B2073D">
            <w:pPr>
              <w:spacing w:after="0" w:line="240" w:lineRule="auto"/>
              <w:jc w:val="center"/>
              <w:rPr>
                <w:rFonts w:ascii="Verdana" w:eastAsia="Times New Roman" w:hAnsi="Verdana"/>
                <w:color w:val="0070C0"/>
                <w:sz w:val="18"/>
                <w:szCs w:val="18"/>
              </w:rPr>
            </w:pPr>
          </w:p>
        </w:tc>
        <w:tc>
          <w:tcPr>
            <w:tcW w:w="9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B2073D">
            <w:pPr>
              <w:spacing w:after="0" w:line="240" w:lineRule="auto"/>
              <w:jc w:val="center"/>
              <w:rPr>
                <w:rFonts w:ascii="Verdana" w:eastAsia="Times New Roman" w:hAnsi="Verdana"/>
                <w:color w:val="0070C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B2073D">
            <w:pPr>
              <w:spacing w:after="0" w:line="240" w:lineRule="auto"/>
              <w:jc w:val="center"/>
              <w:rPr>
                <w:rFonts w:ascii="Verdana" w:eastAsia="Times New Roman" w:hAnsi="Verdana"/>
                <w:color w:val="0070C0"/>
                <w:sz w:val="18"/>
                <w:szCs w:val="18"/>
              </w:rPr>
            </w:pPr>
          </w:p>
        </w:tc>
        <w:tc>
          <w:tcPr>
            <w:tcW w:w="88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B2073D">
            <w:pPr>
              <w:spacing w:after="0" w:line="240" w:lineRule="auto"/>
              <w:jc w:val="center"/>
              <w:rPr>
                <w:rFonts w:ascii="Verdana" w:eastAsia="Times New Roman" w:hAnsi="Verdana"/>
                <w:color w:val="0070C0"/>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B2073D">
            <w:pPr>
              <w:spacing w:after="0" w:line="240" w:lineRule="auto"/>
              <w:jc w:val="center"/>
            </w:pPr>
            <w:r w:rsidRPr="005B6074">
              <w:rPr>
                <w:rFonts w:ascii="Wingdings 2" w:hAnsi="Wingdings 2"/>
                <w:color w:val="0070C0"/>
                <w:sz w:val="26"/>
              </w:rPr>
              <w:t></w:t>
            </w:r>
          </w:p>
        </w:tc>
        <w:tc>
          <w:tcPr>
            <w:tcW w:w="98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B2073D">
            <w:pPr>
              <w:spacing w:after="0" w:line="240" w:lineRule="auto"/>
              <w:jc w:val="center"/>
              <w:rPr>
                <w:rFonts w:ascii="Verdana" w:eastAsia="Times New Roman" w:hAnsi="Verdana"/>
                <w:color w:val="0070C0"/>
                <w:sz w:val="18"/>
                <w:szCs w:val="18"/>
              </w:rPr>
            </w:pPr>
          </w:p>
        </w:tc>
        <w:tc>
          <w:tcPr>
            <w:tcW w:w="90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B2073D">
            <w:pPr>
              <w:spacing w:after="0" w:line="240" w:lineRule="auto"/>
              <w:jc w:val="center"/>
              <w:rPr>
                <w:rFonts w:ascii="Verdana" w:eastAsia="Times New Roman" w:hAnsi="Verdana"/>
                <w:color w:val="000000"/>
                <w:sz w:val="18"/>
                <w:szCs w:val="18"/>
              </w:rPr>
            </w:pPr>
          </w:p>
        </w:tc>
      </w:tr>
      <w:tr w:rsidR="00F24971" w:rsidRPr="005B6074" w:rsidTr="00F24971">
        <w:trPr>
          <w:trHeight w:val="330"/>
          <w:jc w:val="center"/>
        </w:trPr>
        <w:tc>
          <w:tcPr>
            <w:tcW w:w="2599"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1.2</w:t>
            </w:r>
          </w:p>
        </w:tc>
        <w:tc>
          <w:tcPr>
            <w:tcW w:w="89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8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pPr>
            <w:r w:rsidRPr="005B6074">
              <w:rPr>
                <w:rFonts w:ascii="Wingdings 2" w:hAnsi="Wingdings 2"/>
                <w:color w:val="0070C0"/>
                <w:sz w:val="26"/>
              </w:rPr>
              <w:t></w:t>
            </w:r>
          </w:p>
        </w:tc>
        <w:tc>
          <w:tcPr>
            <w:tcW w:w="98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0000"/>
                <w:sz w:val="18"/>
                <w:szCs w:val="18"/>
              </w:rPr>
            </w:pPr>
          </w:p>
        </w:tc>
      </w:tr>
      <w:tr w:rsidR="00F24971" w:rsidRPr="005B6074" w:rsidTr="00F24971">
        <w:trPr>
          <w:trHeight w:val="330"/>
          <w:jc w:val="center"/>
        </w:trPr>
        <w:tc>
          <w:tcPr>
            <w:tcW w:w="2599"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1.3</w:t>
            </w:r>
          </w:p>
        </w:tc>
        <w:tc>
          <w:tcPr>
            <w:tcW w:w="89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8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pPr>
            <w:r w:rsidRPr="005B6074">
              <w:rPr>
                <w:rFonts w:ascii="Wingdings 2" w:hAnsi="Wingdings 2"/>
                <w:color w:val="0070C0"/>
                <w:sz w:val="26"/>
              </w:rPr>
              <w:t></w:t>
            </w:r>
          </w:p>
        </w:tc>
        <w:tc>
          <w:tcPr>
            <w:tcW w:w="98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jc w:val="center"/>
        </w:trPr>
        <w:tc>
          <w:tcPr>
            <w:tcW w:w="2599"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1.4</w:t>
            </w:r>
          </w:p>
        </w:tc>
        <w:tc>
          <w:tcPr>
            <w:tcW w:w="89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24"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Verdana" w:eastAsia="Times New Roman" w:hAnsi="Verdana"/>
                <w:color w:val="0070C0"/>
                <w:sz w:val="18"/>
                <w:szCs w:val="18"/>
              </w:rPr>
            </w:pPr>
            <w:r w:rsidRPr="005B6074">
              <w:rPr>
                <w:rFonts w:ascii="Wingdings 2" w:hAnsi="Wingdings 2"/>
                <w:color w:val="0070C0"/>
                <w:sz w:val="26"/>
              </w:rPr>
              <w:t></w:t>
            </w:r>
            <w:r w:rsidRPr="005B6074">
              <w:rPr>
                <w:rFonts w:ascii="Wingdings 2" w:hAnsi="Wingdings 2"/>
                <w:color w:val="0070C0"/>
                <w:sz w:val="26"/>
              </w:rPr>
              <w:t></w:t>
            </w:r>
            <w:r w:rsidRPr="005B6074">
              <w:rPr>
                <w:rFonts w:ascii="Wingdings 2" w:hAnsi="Wingdings 2"/>
                <w:color w:val="0070C0"/>
                <w:sz w:val="26"/>
              </w:rPr>
              <w:t></w:t>
            </w:r>
          </w:p>
        </w:tc>
        <w:tc>
          <w:tcPr>
            <w:tcW w:w="86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8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pPr>
            <w:r w:rsidRPr="005B6074">
              <w:rPr>
                <w:rFonts w:ascii="Wingdings 2" w:hAnsi="Wingdings 2"/>
                <w:color w:val="0070C0"/>
                <w:sz w:val="26"/>
              </w:rPr>
              <w:t></w:t>
            </w:r>
          </w:p>
        </w:tc>
        <w:tc>
          <w:tcPr>
            <w:tcW w:w="98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jc w:val="center"/>
        </w:trPr>
        <w:tc>
          <w:tcPr>
            <w:tcW w:w="2599"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1.5</w:t>
            </w:r>
          </w:p>
        </w:tc>
        <w:tc>
          <w:tcPr>
            <w:tcW w:w="89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8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jc w:val="center"/>
        </w:trPr>
        <w:tc>
          <w:tcPr>
            <w:tcW w:w="2599" w:type="dxa"/>
            <w:vMerge w:val="restart"/>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PA 2: Reducing Poverty and Promoting Social Inclusion</w:t>
            </w: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2.1</w:t>
            </w:r>
          </w:p>
        </w:tc>
        <w:tc>
          <w:tcPr>
            <w:tcW w:w="89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8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Verdana" w:eastAsia="Times New Roman" w:hAnsi="Verdana"/>
                <w:color w:val="0070C0"/>
                <w:sz w:val="18"/>
                <w:szCs w:val="18"/>
              </w:rPr>
            </w:pPr>
            <w:r w:rsidRPr="005B6074">
              <w:rPr>
                <w:rFonts w:ascii="Wingdings 2" w:hAnsi="Wingdings 2"/>
                <w:color w:val="0070C0"/>
                <w:sz w:val="26"/>
              </w:rPr>
              <w:t></w:t>
            </w:r>
            <w:r w:rsidRPr="005B6074">
              <w:rPr>
                <w:rFonts w:ascii="Wingdings 2" w:hAnsi="Wingdings 2"/>
                <w:color w:val="0070C0"/>
                <w:sz w:val="26"/>
              </w:rPr>
              <w:t></w:t>
            </w:r>
          </w:p>
        </w:tc>
        <w:tc>
          <w:tcPr>
            <w:tcW w:w="907"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Verdana" w:eastAsia="Times New Roman" w:hAnsi="Verdana"/>
                <w:color w:val="0070C0"/>
                <w:sz w:val="18"/>
                <w:szCs w:val="18"/>
              </w:rPr>
            </w:pPr>
            <w:r w:rsidRPr="005B6074">
              <w:rPr>
                <w:rFonts w:ascii="Wingdings 2" w:hAnsi="Wingdings 2"/>
                <w:color w:val="0070C0"/>
                <w:sz w:val="26"/>
              </w:rPr>
              <w:t></w:t>
            </w:r>
          </w:p>
        </w:tc>
      </w:tr>
      <w:tr w:rsidR="00F24971" w:rsidRPr="005B6074" w:rsidTr="00F24971">
        <w:trPr>
          <w:trHeight w:val="330"/>
          <w:jc w:val="center"/>
        </w:trPr>
        <w:tc>
          <w:tcPr>
            <w:tcW w:w="2599"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2.2</w:t>
            </w:r>
          </w:p>
        </w:tc>
        <w:tc>
          <w:tcPr>
            <w:tcW w:w="89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8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Verdana" w:eastAsia="Times New Roman" w:hAnsi="Verdana"/>
                <w:color w:val="0070C0"/>
                <w:sz w:val="18"/>
                <w:szCs w:val="18"/>
              </w:rPr>
            </w:pPr>
            <w:r w:rsidRPr="005B6074">
              <w:rPr>
                <w:rFonts w:ascii="Wingdings 2" w:hAnsi="Wingdings 2"/>
                <w:color w:val="0070C0"/>
                <w:sz w:val="26"/>
              </w:rPr>
              <w:t></w:t>
            </w:r>
            <w:r w:rsidRPr="005B6074">
              <w:rPr>
                <w:rFonts w:ascii="Wingdings 2" w:hAnsi="Wingdings 2"/>
                <w:color w:val="0070C0"/>
                <w:sz w:val="26"/>
              </w:rPr>
              <w:t></w:t>
            </w:r>
          </w:p>
        </w:tc>
        <w:tc>
          <w:tcPr>
            <w:tcW w:w="90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jc w:val="center"/>
        </w:trPr>
        <w:tc>
          <w:tcPr>
            <w:tcW w:w="2599"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2.3</w:t>
            </w:r>
          </w:p>
        </w:tc>
        <w:tc>
          <w:tcPr>
            <w:tcW w:w="89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8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548"/>
          <w:jc w:val="center"/>
        </w:trPr>
        <w:tc>
          <w:tcPr>
            <w:tcW w:w="2599" w:type="dxa"/>
            <w:vMerge w:val="restart"/>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PA 3: Modernisation of Labour Market, Social Inclusion and Healthcare Institutions</w:t>
            </w: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3.1</w:t>
            </w:r>
          </w:p>
        </w:tc>
        <w:tc>
          <w:tcPr>
            <w:tcW w:w="89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8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jc w:val="center"/>
        </w:trPr>
        <w:tc>
          <w:tcPr>
            <w:tcW w:w="2599"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3.2</w:t>
            </w:r>
          </w:p>
        </w:tc>
        <w:tc>
          <w:tcPr>
            <w:tcW w:w="89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8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jc w:val="center"/>
        </w:trPr>
        <w:tc>
          <w:tcPr>
            <w:tcW w:w="2599" w:type="dxa"/>
            <w:vMerge w:val="restart"/>
            <w:tcBorders>
              <w:top w:val="nil"/>
              <w:left w:val="single" w:sz="4" w:space="0" w:color="auto"/>
              <w:bottom w:val="single" w:sz="4" w:space="0" w:color="auto"/>
              <w:right w:val="single" w:sz="4" w:space="0" w:color="auto"/>
            </w:tcBorders>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PA 4: Transnational Cooperation</w:t>
            </w: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4.1</w:t>
            </w:r>
          </w:p>
        </w:tc>
        <w:tc>
          <w:tcPr>
            <w:tcW w:w="89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8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jc w:val="center"/>
        </w:trPr>
        <w:tc>
          <w:tcPr>
            <w:tcW w:w="2599"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rPr>
                <w:rFonts w:ascii="Verdana" w:eastAsia="Times New Roman" w:hAnsi="Verdana"/>
                <w:color w:val="FFFFFF"/>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4.2</w:t>
            </w:r>
          </w:p>
        </w:tc>
        <w:tc>
          <w:tcPr>
            <w:tcW w:w="893"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24"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8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3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80"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07"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bl>
    <w:p w:rsidR="00F24971" w:rsidRPr="005B6074" w:rsidRDefault="00A35E98" w:rsidP="00F24971">
      <w:pPr>
        <w:spacing w:before="120"/>
        <w:rPr>
          <w:rFonts w:ascii="Verdana" w:hAnsi="Verdana"/>
          <w:i/>
          <w:sz w:val="18"/>
          <w:szCs w:val="18"/>
        </w:rPr>
      </w:pPr>
      <w:bookmarkStart w:id="88" w:name="_Toc373747248"/>
      <w:bookmarkStart w:id="89" w:name="_Toc376528239"/>
      <w:bookmarkEnd w:id="85"/>
      <w:r w:rsidRPr="005B6074">
        <w:rPr>
          <w:rFonts w:ascii="Verdana" w:hAnsi="Verdana"/>
          <w:i/>
          <w:sz w:val="18"/>
        </w:rPr>
        <w:t xml:space="preserve">Legend: </w:t>
      </w:r>
      <w:r w:rsidRPr="005B6074">
        <w:rPr>
          <w:rFonts w:ascii="Wingdings 2" w:hAnsi="Wingdings 2"/>
          <w:color w:val="0070C0"/>
          <w:sz w:val="26"/>
        </w:rPr>
        <w:t></w:t>
      </w:r>
      <w:r w:rsidRPr="005B6074">
        <w:rPr>
          <w:rFonts w:ascii="Verdana" w:hAnsi="Verdana"/>
          <w:i/>
          <w:sz w:val="18"/>
        </w:rPr>
        <w:t xml:space="preserve"> - weak connection, </w:t>
      </w:r>
      <w:r w:rsidRPr="005B6074">
        <w:rPr>
          <w:rFonts w:ascii="Wingdings 2" w:hAnsi="Wingdings 2"/>
          <w:color w:val="0070C0"/>
          <w:sz w:val="26"/>
        </w:rPr>
        <w:t></w:t>
      </w:r>
      <w:r w:rsidRPr="005B6074">
        <w:rPr>
          <w:rFonts w:ascii="Wingdings 2" w:hAnsi="Wingdings 2"/>
          <w:color w:val="0070C0"/>
          <w:sz w:val="26"/>
        </w:rPr>
        <w:t></w:t>
      </w:r>
      <w:r w:rsidRPr="005B6074">
        <w:rPr>
          <w:rFonts w:ascii="Verdana" w:hAnsi="Verdana"/>
          <w:sz w:val="26"/>
        </w:rPr>
        <w:t xml:space="preserve">- </w:t>
      </w:r>
      <w:r w:rsidRPr="005B6074">
        <w:rPr>
          <w:rFonts w:ascii="Verdana" w:hAnsi="Verdana"/>
          <w:i/>
          <w:sz w:val="18"/>
        </w:rPr>
        <w:t xml:space="preserve">average connection, </w:t>
      </w:r>
      <w:r w:rsidRPr="005B6074">
        <w:rPr>
          <w:rFonts w:ascii="Wingdings 2" w:hAnsi="Wingdings 2"/>
          <w:color w:val="0070C0"/>
          <w:sz w:val="26"/>
        </w:rPr>
        <w:t></w:t>
      </w:r>
      <w:r w:rsidRPr="005B6074">
        <w:rPr>
          <w:rFonts w:ascii="Wingdings 2" w:hAnsi="Wingdings 2"/>
          <w:color w:val="0070C0"/>
          <w:sz w:val="26"/>
        </w:rPr>
        <w:t></w:t>
      </w:r>
      <w:r w:rsidRPr="005B6074">
        <w:rPr>
          <w:rFonts w:ascii="Wingdings 2" w:hAnsi="Wingdings 2"/>
          <w:color w:val="0070C0"/>
          <w:sz w:val="26"/>
        </w:rPr>
        <w:t></w:t>
      </w:r>
      <w:r w:rsidRPr="005B6074">
        <w:rPr>
          <w:rFonts w:ascii="Verdana" w:hAnsi="Verdana"/>
          <w:i/>
          <w:sz w:val="18"/>
        </w:rPr>
        <w:t xml:space="preserve"> - strong connection</w:t>
      </w:r>
    </w:p>
    <w:p w:rsidR="00F24971" w:rsidRPr="005B6074" w:rsidRDefault="00A35E98" w:rsidP="00F24971">
      <w:pPr>
        <w:keepNext/>
        <w:spacing w:before="240" w:after="120"/>
        <w:rPr>
          <w:rFonts w:ascii="Verdana" w:hAnsi="Verdana"/>
          <w:b/>
          <w:color w:val="548DD4"/>
          <w:sz w:val="20"/>
          <w:szCs w:val="20"/>
        </w:rPr>
      </w:pPr>
      <w:bookmarkStart w:id="90" w:name="_Toc390257068"/>
      <w:bookmarkStart w:id="91" w:name="_Toc396225607"/>
      <w:r w:rsidRPr="005B6074">
        <w:rPr>
          <w:rFonts w:ascii="Verdana" w:hAnsi="Verdana"/>
          <w:b/>
          <w:color w:val="548DD4"/>
          <w:sz w:val="20"/>
        </w:rPr>
        <w:lastRenderedPageBreak/>
        <w:t xml:space="preserve">Table </w:t>
      </w:r>
      <w:r w:rsidRPr="005B6074">
        <w:rPr>
          <w:rFonts w:ascii="Verdana" w:hAnsi="Verdana"/>
          <w:b/>
          <w:color w:val="548DD4"/>
          <w:sz w:val="20"/>
        </w:rPr>
        <w:fldChar w:fldCharType="begin"/>
      </w:r>
      <w:r w:rsidRPr="005B6074">
        <w:rPr>
          <w:rFonts w:ascii="Verdana" w:hAnsi="Verdana"/>
          <w:b/>
          <w:color w:val="548DD4"/>
          <w:sz w:val="20"/>
        </w:rPr>
        <w:instrText>SEQ таблица \* ARABIC</w:instrText>
      </w:r>
      <w:r w:rsidRPr="005B6074">
        <w:rPr>
          <w:rFonts w:ascii="Verdana" w:hAnsi="Verdana"/>
          <w:b/>
          <w:color w:val="548DD4"/>
          <w:sz w:val="20"/>
        </w:rPr>
        <w:fldChar w:fldCharType="separate"/>
      </w:r>
      <w:r w:rsidR="009330F5">
        <w:rPr>
          <w:rFonts w:ascii="Verdana" w:hAnsi="Verdana"/>
          <w:b/>
          <w:noProof/>
          <w:color w:val="548DD4"/>
          <w:sz w:val="20"/>
        </w:rPr>
        <w:t>12</w:t>
      </w:r>
      <w:r w:rsidRPr="005B6074">
        <w:rPr>
          <w:rFonts w:ascii="Verdana" w:hAnsi="Verdana"/>
          <w:b/>
          <w:color w:val="548DD4"/>
          <w:sz w:val="20"/>
        </w:rPr>
        <w:fldChar w:fldCharType="end"/>
      </w:r>
      <w:r w:rsidRPr="005B6074">
        <w:rPr>
          <w:rFonts w:ascii="Verdana" w:hAnsi="Verdana"/>
          <w:b/>
          <w:color w:val="548DD4"/>
          <w:sz w:val="20"/>
        </w:rPr>
        <w:t xml:space="preserve">. Complementarity and Demarcation of </w:t>
      </w:r>
      <w:r w:rsidR="005B35A7">
        <w:rPr>
          <w:rFonts w:ascii="Verdana" w:hAnsi="Verdana"/>
          <w:b/>
          <w:color w:val="548DD4"/>
          <w:sz w:val="20"/>
        </w:rPr>
        <w:t>OPSESG</w:t>
      </w:r>
      <w:r w:rsidRPr="005B6074">
        <w:rPr>
          <w:rFonts w:ascii="Verdana" w:hAnsi="Verdana"/>
          <w:b/>
          <w:color w:val="548DD4"/>
          <w:sz w:val="20"/>
        </w:rPr>
        <w:t xml:space="preserve"> and HRD</w:t>
      </w:r>
      <w:bookmarkEnd w:id="88"/>
      <w:bookmarkEnd w:id="89"/>
      <w:r w:rsidRPr="005B6074">
        <w:rPr>
          <w:rFonts w:ascii="Verdana" w:hAnsi="Verdana"/>
          <w:b/>
          <w:color w:val="548DD4"/>
          <w:sz w:val="20"/>
        </w:rPr>
        <w:t>OP</w:t>
      </w:r>
      <w:bookmarkEnd w:id="90"/>
      <w:bookmarkEnd w:id="9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1"/>
        <w:gridCol w:w="7011"/>
      </w:tblGrid>
      <w:tr w:rsidR="00F24971" w:rsidRPr="005B6074" w:rsidTr="00F24971">
        <w:tc>
          <w:tcPr>
            <w:tcW w:w="1710" w:type="dxa"/>
            <w:shd w:val="clear" w:color="auto" w:fill="548DD4"/>
          </w:tcPr>
          <w:p w:rsidR="00F24971" w:rsidRPr="00931B15" w:rsidRDefault="00A35E98" w:rsidP="00931B15">
            <w:pPr>
              <w:spacing w:after="0"/>
              <w:rPr>
                <w:rFonts w:ascii="Verdana" w:hAnsi="Verdana"/>
                <w:color w:val="FFFFFF" w:themeColor="background1"/>
                <w:sz w:val="20"/>
                <w:szCs w:val="20"/>
              </w:rPr>
            </w:pPr>
            <w:r w:rsidRPr="00931B15">
              <w:rPr>
                <w:rFonts w:ascii="Verdana" w:hAnsi="Verdana"/>
                <w:color w:val="FFFFFF" w:themeColor="background1"/>
                <w:sz w:val="20"/>
                <w:szCs w:val="20"/>
              </w:rPr>
              <w:t xml:space="preserve">Complementarity / Demarcation of </w:t>
            </w:r>
            <w:r w:rsidR="00F52AAA" w:rsidRPr="00931B15">
              <w:rPr>
                <w:rFonts w:ascii="Verdana" w:hAnsi="Verdana"/>
                <w:color w:val="FFFFFF" w:themeColor="background1"/>
                <w:sz w:val="20"/>
                <w:szCs w:val="20"/>
              </w:rPr>
              <w:t>noted in the OPSESG</w:t>
            </w:r>
          </w:p>
        </w:tc>
        <w:tc>
          <w:tcPr>
            <w:tcW w:w="7380" w:type="dxa"/>
          </w:tcPr>
          <w:p w:rsidR="00F24971" w:rsidRPr="005B6074" w:rsidRDefault="00A35E98" w:rsidP="004D5FA1">
            <w:pPr>
              <w:spacing w:after="0"/>
              <w:rPr>
                <w:rFonts w:ascii="Verdana" w:hAnsi="Verdana"/>
                <w:sz w:val="20"/>
                <w:szCs w:val="20"/>
              </w:rPr>
            </w:pPr>
            <w:r w:rsidRPr="004D5FA1">
              <w:rPr>
                <w:rFonts w:ascii="Verdana" w:hAnsi="Verdana"/>
                <w:b/>
                <w:sz w:val="20"/>
                <w:szCs w:val="20"/>
              </w:rPr>
              <w:t>Complementarity:</w:t>
            </w:r>
            <w:r w:rsidRPr="004D5FA1">
              <w:rPr>
                <w:rFonts w:ascii="Verdana" w:hAnsi="Verdana"/>
                <w:sz w:val="20"/>
                <w:szCs w:val="20"/>
              </w:rPr>
              <w:t xml:space="preserve"> It is noted that by means of coordinated implementation mechanisms and "integrated operations" OPSESG will complement OPHRD initiatives, thus providing support for improving the access to education of target groups. Likewise, by means of coordinated implementation mechanisms OPHRD and OPSESG will support children's deinstitutionalisation reforms in Bulgaria.</w:t>
            </w:r>
          </w:p>
          <w:p w:rsidR="00F24971" w:rsidRPr="005B6074" w:rsidRDefault="00A35E98" w:rsidP="004D5FA1">
            <w:pPr>
              <w:spacing w:after="0"/>
              <w:rPr>
                <w:rFonts w:ascii="Verdana" w:hAnsi="Verdana"/>
                <w:sz w:val="20"/>
                <w:szCs w:val="20"/>
              </w:rPr>
            </w:pPr>
            <w:r w:rsidRPr="004D5FA1">
              <w:rPr>
                <w:rFonts w:ascii="Verdana" w:hAnsi="Verdana"/>
                <w:b/>
                <w:sz w:val="20"/>
                <w:szCs w:val="20"/>
              </w:rPr>
              <w:t>Demarcation:</w:t>
            </w:r>
            <w:r w:rsidRPr="004D5FA1">
              <w:rPr>
                <w:rFonts w:ascii="Verdana" w:hAnsi="Verdana"/>
                <w:sz w:val="20"/>
                <w:szCs w:val="20"/>
              </w:rPr>
              <w:t xml:space="preserve"> Concerning the participation of the population in various forms of lifelong learning, it is noted that OPHRD will support only training of inactive, unemployed and employed people outside the system of formal education, while OPSESG will support the participation of the population in various forms of lifelong learning within formal education.</w:t>
            </w:r>
          </w:p>
          <w:p w:rsidR="00F24971" w:rsidRPr="005B6074" w:rsidRDefault="00A35E98" w:rsidP="004D5FA1">
            <w:pPr>
              <w:spacing w:after="0"/>
              <w:rPr>
                <w:rFonts w:ascii="Verdana" w:hAnsi="Verdana"/>
                <w:sz w:val="20"/>
                <w:szCs w:val="20"/>
              </w:rPr>
            </w:pPr>
            <w:r w:rsidRPr="004D5FA1">
              <w:rPr>
                <w:rFonts w:ascii="Verdana" w:hAnsi="Verdana"/>
                <w:sz w:val="20"/>
                <w:szCs w:val="20"/>
              </w:rPr>
              <w:t>OPHRD plans to support initiatives providing access to education until the moment when children and pupils join the process of education.</w:t>
            </w:r>
          </w:p>
        </w:tc>
      </w:tr>
      <w:tr w:rsidR="00F24971" w:rsidRPr="005B6074" w:rsidTr="00F24971">
        <w:tc>
          <w:tcPr>
            <w:tcW w:w="1710" w:type="dxa"/>
            <w:shd w:val="clear" w:color="auto" w:fill="548DD4"/>
          </w:tcPr>
          <w:p w:rsidR="00F24971" w:rsidRPr="00931B15" w:rsidRDefault="00A35E98" w:rsidP="00931B15">
            <w:pPr>
              <w:spacing w:after="0"/>
              <w:rPr>
                <w:rFonts w:ascii="Verdana" w:hAnsi="Verdana"/>
                <w:color w:val="FFFFFF" w:themeColor="background1"/>
                <w:sz w:val="20"/>
                <w:szCs w:val="20"/>
              </w:rPr>
            </w:pPr>
            <w:r w:rsidRPr="00931B15">
              <w:rPr>
                <w:rFonts w:ascii="Verdana" w:hAnsi="Verdana"/>
                <w:color w:val="FFFFFF" w:themeColor="background1"/>
                <w:sz w:val="20"/>
                <w:szCs w:val="20"/>
              </w:rPr>
              <w:t>Comments</w:t>
            </w:r>
          </w:p>
        </w:tc>
        <w:tc>
          <w:tcPr>
            <w:tcW w:w="7380" w:type="dxa"/>
          </w:tcPr>
          <w:p w:rsidR="00F24971" w:rsidRPr="005B6074" w:rsidRDefault="00A35E98" w:rsidP="004D5FA1">
            <w:pPr>
              <w:spacing w:after="0"/>
              <w:rPr>
                <w:rFonts w:ascii="Verdana" w:hAnsi="Verdana"/>
                <w:sz w:val="20"/>
                <w:szCs w:val="20"/>
              </w:rPr>
            </w:pPr>
            <w:r w:rsidRPr="004D5FA1">
              <w:rPr>
                <w:rFonts w:ascii="Verdana" w:hAnsi="Verdana"/>
                <w:sz w:val="20"/>
                <w:szCs w:val="20"/>
              </w:rPr>
              <w:t xml:space="preserve">Priority 1.2 of OPSESG plans "education of staff (students, pupils, doctoral candidates, young scientist, etc.) upon request and with the financial participation of businesses through vouchers". Priority 1.4 of OPHRD plans training for enhancing of the professional qualification and/or acquiring new one and training for acquiring key competences, priority 1.5 also plans in-house training. The two activities complement each other in the granting of support for ensuring high-quality staff to the businesses, with </w:t>
            </w:r>
            <w:r w:rsidR="005B35A7">
              <w:rPr>
                <w:rFonts w:ascii="Verdana" w:hAnsi="Verdana"/>
                <w:sz w:val="20"/>
                <w:szCs w:val="20"/>
              </w:rPr>
              <w:t>OPSESG</w:t>
            </w:r>
            <w:r w:rsidRPr="004D5FA1">
              <w:rPr>
                <w:rFonts w:ascii="Verdana" w:hAnsi="Verdana"/>
                <w:sz w:val="20"/>
                <w:szCs w:val="20"/>
              </w:rPr>
              <w:t xml:space="preserve"> being directed towards persons in educational and scientific institutions and OPHRD being directed to unemployed and employed persons.</w:t>
            </w:r>
          </w:p>
          <w:p w:rsidR="00F24971" w:rsidRPr="005B6074" w:rsidRDefault="00A35E98" w:rsidP="004D5FA1">
            <w:pPr>
              <w:spacing w:after="0"/>
              <w:rPr>
                <w:rFonts w:ascii="Verdana" w:hAnsi="Verdana"/>
                <w:sz w:val="20"/>
                <w:szCs w:val="20"/>
              </w:rPr>
            </w:pPr>
            <w:r w:rsidRPr="004D5FA1">
              <w:rPr>
                <w:rFonts w:ascii="Verdana" w:hAnsi="Verdana"/>
                <w:sz w:val="20"/>
                <w:szCs w:val="20"/>
              </w:rPr>
              <w:t>Priority 2.3 of OPSESG plans support for increasing the professional qualification of employed persons in the area of education, and Priority 1.4 of OPHRD for enhancing professional qualification (in general for all sectors). Priorities 1.1, 1.2 and 1.3 of OPHRD also envisage training for enhancing the professional qualification and development of entrepreneurship and business skills as part of the employment measures.</w:t>
            </w:r>
          </w:p>
          <w:p w:rsidR="00F24971" w:rsidRPr="005B6074" w:rsidRDefault="00A35E98" w:rsidP="004D5FA1">
            <w:pPr>
              <w:spacing w:after="0"/>
              <w:rPr>
                <w:rFonts w:ascii="Verdana" w:hAnsi="Verdana"/>
                <w:sz w:val="20"/>
                <w:szCs w:val="20"/>
              </w:rPr>
            </w:pPr>
            <w:r w:rsidRPr="004D5FA1">
              <w:rPr>
                <w:rFonts w:ascii="Verdana" w:hAnsi="Verdana"/>
                <w:sz w:val="20"/>
                <w:szCs w:val="20"/>
              </w:rPr>
              <w:t xml:space="preserve">Priority 3.2 of OPSESG envisages support for integration into the system of education for pupils and young people from ethnic minorities, from migrant and refugee families, thus complementing Priority 2.1 of </w:t>
            </w:r>
            <w:proofErr w:type="gramStart"/>
            <w:r w:rsidRPr="004D5FA1">
              <w:rPr>
                <w:rFonts w:ascii="Verdana" w:hAnsi="Verdana"/>
                <w:sz w:val="20"/>
                <w:szCs w:val="20"/>
              </w:rPr>
              <w:t>OPHRD  in</w:t>
            </w:r>
            <w:proofErr w:type="gramEnd"/>
            <w:r w:rsidRPr="004D5FA1">
              <w:rPr>
                <w:rFonts w:ascii="Verdana" w:hAnsi="Verdana"/>
                <w:sz w:val="20"/>
                <w:szCs w:val="20"/>
              </w:rPr>
              <w:t xml:space="preserve"> the part concerning access to education of children from marginalised communities.</w:t>
            </w:r>
          </w:p>
        </w:tc>
      </w:tr>
      <w:tr w:rsidR="00F24971" w:rsidRPr="005B6074" w:rsidTr="00F24971">
        <w:tc>
          <w:tcPr>
            <w:tcW w:w="1710" w:type="dxa"/>
            <w:shd w:val="clear" w:color="auto" w:fill="548DD4"/>
          </w:tcPr>
          <w:p w:rsidR="00F24971" w:rsidRPr="00931B15" w:rsidRDefault="00A35E98" w:rsidP="00931B15">
            <w:pPr>
              <w:spacing w:after="0"/>
              <w:rPr>
                <w:rFonts w:ascii="Verdana" w:hAnsi="Verdana"/>
                <w:color w:val="FFFFFF" w:themeColor="background1"/>
                <w:sz w:val="20"/>
                <w:szCs w:val="20"/>
              </w:rPr>
            </w:pPr>
            <w:r w:rsidRPr="00931B15">
              <w:rPr>
                <w:rFonts w:ascii="Verdana" w:hAnsi="Verdana"/>
                <w:color w:val="FFFFFF" w:themeColor="background1"/>
                <w:sz w:val="20"/>
                <w:szCs w:val="20"/>
              </w:rPr>
              <w:t>Recommendation</w:t>
            </w:r>
          </w:p>
        </w:tc>
        <w:tc>
          <w:tcPr>
            <w:tcW w:w="7380" w:type="dxa"/>
          </w:tcPr>
          <w:p w:rsidR="00F24971" w:rsidRPr="005B6074" w:rsidRDefault="00A35E98" w:rsidP="004D5FA1">
            <w:pPr>
              <w:spacing w:after="0"/>
              <w:rPr>
                <w:rFonts w:ascii="Verdana" w:hAnsi="Verdana"/>
                <w:sz w:val="20"/>
                <w:szCs w:val="20"/>
              </w:rPr>
            </w:pPr>
            <w:r w:rsidRPr="004D5FA1">
              <w:rPr>
                <w:rFonts w:ascii="Verdana" w:hAnsi="Verdana"/>
                <w:sz w:val="20"/>
                <w:szCs w:val="20"/>
              </w:rPr>
              <w:t>N/A</w:t>
            </w:r>
          </w:p>
        </w:tc>
      </w:tr>
    </w:tbl>
    <w:p w:rsidR="00F24971" w:rsidRPr="005B6074" w:rsidRDefault="00F24971" w:rsidP="00F24971">
      <w:pPr>
        <w:ind w:left="360"/>
        <w:rPr>
          <w:rFonts w:ascii="Verdana" w:hAnsi="Verdana"/>
          <w:sz w:val="20"/>
          <w:szCs w:val="20"/>
        </w:rPr>
      </w:pP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lastRenderedPageBreak/>
        <w:t>Rural Development Programme (RDP) 2014–2020</w:t>
      </w:r>
    </w:p>
    <w:tbl>
      <w:tblPr>
        <w:tblW w:w="0" w:type="auto"/>
        <w:tblInd w:w="108" w:type="dxa"/>
        <w:tblLook w:val="04A0" w:firstRow="1" w:lastRow="0" w:firstColumn="1" w:lastColumn="0" w:noHBand="0" w:noVBand="1"/>
      </w:tblPr>
      <w:tblGrid>
        <w:gridCol w:w="8982"/>
      </w:tblGrid>
      <w:tr w:rsidR="00F24971" w:rsidRPr="005B6074" w:rsidTr="009330F5">
        <w:tc>
          <w:tcPr>
            <w:tcW w:w="8982" w:type="dxa"/>
            <w:tcBorders>
              <w:top w:val="single" w:sz="4" w:space="0" w:color="auto"/>
            </w:tcBorders>
            <w:shd w:val="clear" w:color="auto" w:fill="auto"/>
          </w:tcPr>
          <w:p w:rsidR="00F24971" w:rsidRPr="005B6074" w:rsidRDefault="00A35E98" w:rsidP="009330F5">
            <w:pPr>
              <w:keepNext/>
              <w:pBdr>
                <w:top w:val="single" w:sz="4" w:space="0" w:color="auto"/>
                <w:left w:val="single" w:sz="4" w:space="4" w:color="auto"/>
                <w:bottom w:val="single" w:sz="4" w:space="1" w:color="auto"/>
                <w:right w:val="single" w:sz="4" w:space="4" w:color="auto"/>
              </w:pBdr>
              <w:shd w:val="clear" w:color="auto" w:fill="548DD4"/>
              <w:autoSpaceDE w:val="0"/>
              <w:autoSpaceDN w:val="0"/>
              <w:adjustRightInd w:val="0"/>
              <w:spacing w:after="120"/>
              <w:jc w:val="both"/>
              <w:rPr>
                <w:rFonts w:ascii="Verdana" w:hAnsi="Verdana"/>
                <w:color w:val="FFFFFF"/>
                <w:sz w:val="20"/>
                <w:szCs w:val="20"/>
              </w:rPr>
            </w:pPr>
            <w:r w:rsidRPr="005B6074">
              <w:rPr>
                <w:rFonts w:ascii="Verdana" w:hAnsi="Verdana"/>
                <w:color w:val="FFFFFF"/>
                <w:sz w:val="20"/>
                <w:u w:val="single"/>
              </w:rPr>
              <w:t>Priority 1:</w:t>
            </w:r>
            <w:r w:rsidRPr="005B6074">
              <w:rPr>
                <w:rFonts w:ascii="Verdana" w:hAnsi="Verdana"/>
                <w:color w:val="FFFFFF"/>
                <w:sz w:val="20"/>
              </w:rPr>
              <w:t xml:space="preserve"> Fostering knowledge transfer and innovation in agriculture, forestry, and rural areas</w:t>
            </w:r>
          </w:p>
          <w:p w:rsidR="00F24971" w:rsidRPr="005B6074" w:rsidRDefault="00A35E98" w:rsidP="009330F5">
            <w:pPr>
              <w:keepNext/>
              <w:spacing w:after="120"/>
              <w:jc w:val="both"/>
              <w:rPr>
                <w:rFonts w:ascii="Verdana" w:hAnsi="Verdana"/>
                <w:sz w:val="20"/>
                <w:szCs w:val="20"/>
              </w:rPr>
            </w:pPr>
            <w:r w:rsidRPr="005B6074">
              <w:rPr>
                <w:rFonts w:ascii="Verdana" w:hAnsi="Verdana"/>
                <w:sz w:val="20"/>
              </w:rPr>
              <w:t>PA 1А - Fostering innovation, cooperation, and the development of the knowledge base in rural areas</w:t>
            </w:r>
          </w:p>
          <w:p w:rsidR="00F24971" w:rsidRPr="005B6074" w:rsidRDefault="00A35E98" w:rsidP="009330F5">
            <w:pPr>
              <w:keepNext/>
              <w:spacing w:after="120"/>
              <w:jc w:val="both"/>
              <w:rPr>
                <w:rFonts w:ascii="Verdana" w:hAnsi="Verdana"/>
                <w:sz w:val="20"/>
                <w:szCs w:val="20"/>
              </w:rPr>
            </w:pPr>
            <w:r w:rsidRPr="005B6074">
              <w:rPr>
                <w:rFonts w:ascii="Verdana" w:hAnsi="Verdana"/>
                <w:sz w:val="20"/>
              </w:rPr>
              <w:t>PA 1.B - Strengthening the links between agriculture, food production and forestry and research and innovation, including for the purpose of improved environmental management and performance</w:t>
            </w:r>
          </w:p>
        </w:tc>
      </w:tr>
      <w:tr w:rsidR="00F24971" w:rsidRPr="005B6074" w:rsidTr="009330F5">
        <w:tc>
          <w:tcPr>
            <w:tcW w:w="8982" w:type="dxa"/>
            <w:shd w:val="clear" w:color="auto" w:fill="DBE5F1"/>
          </w:tcPr>
          <w:p w:rsidR="00F24971" w:rsidRPr="005B6074" w:rsidRDefault="00A35E98" w:rsidP="00F24971">
            <w:pPr>
              <w:widowControl w:val="0"/>
              <w:pBdr>
                <w:top w:val="single" w:sz="4" w:space="0" w:color="auto"/>
                <w:left w:val="single" w:sz="4" w:space="4" w:color="auto"/>
                <w:bottom w:val="single" w:sz="4" w:space="1" w:color="auto"/>
                <w:right w:val="single" w:sz="4" w:space="4" w:color="auto"/>
              </w:pBdr>
              <w:shd w:val="clear" w:color="auto" w:fill="548DD4"/>
              <w:autoSpaceDE w:val="0"/>
              <w:autoSpaceDN w:val="0"/>
              <w:adjustRightInd w:val="0"/>
              <w:spacing w:after="120" w:line="240" w:lineRule="auto"/>
              <w:jc w:val="both"/>
              <w:rPr>
                <w:rFonts w:ascii="Verdana" w:hAnsi="Verdana"/>
                <w:color w:val="FFFFFF"/>
                <w:sz w:val="20"/>
                <w:szCs w:val="20"/>
              </w:rPr>
            </w:pPr>
            <w:r w:rsidRPr="005B6074">
              <w:rPr>
                <w:rFonts w:ascii="Verdana" w:hAnsi="Verdana"/>
                <w:color w:val="FFFFFF"/>
                <w:sz w:val="20"/>
                <w:u w:val="single"/>
              </w:rPr>
              <w:t>Priority Area 2:</w:t>
            </w:r>
            <w:r w:rsidRPr="005B6074">
              <w:rPr>
                <w:rFonts w:ascii="Verdana" w:hAnsi="Verdana"/>
                <w:color w:val="FFFFFF"/>
                <w:sz w:val="20"/>
              </w:rPr>
              <w:t xml:space="preserve"> Enhancing farm viability and competitiveness of all types of agriculture in all regions and promoting innovative farm technologies and the sustainable management of forests</w:t>
            </w:r>
          </w:p>
        </w:tc>
      </w:tr>
      <w:tr w:rsidR="00F24971" w:rsidRPr="005B6074" w:rsidTr="009330F5">
        <w:tc>
          <w:tcPr>
            <w:tcW w:w="8982" w:type="dxa"/>
            <w:tcBorders>
              <w:bottom w:val="single" w:sz="4" w:space="0" w:color="auto"/>
            </w:tcBorders>
            <w:shd w:val="clear" w:color="auto" w:fill="auto"/>
          </w:tcPr>
          <w:p w:rsidR="00F24971" w:rsidRPr="005B6074" w:rsidRDefault="00A35E98" w:rsidP="00F24971">
            <w:pPr>
              <w:spacing w:after="120"/>
              <w:jc w:val="both"/>
              <w:rPr>
                <w:rStyle w:val="Heading7Char"/>
                <w:rFonts w:ascii="Verdana" w:eastAsia="Times New Roman" w:hAnsi="Verdana"/>
                <w:i w:val="0"/>
                <w:sz w:val="20"/>
                <w:szCs w:val="20"/>
              </w:rPr>
            </w:pPr>
            <w:r w:rsidRPr="005B6074">
              <w:rPr>
                <w:rFonts w:ascii="Verdana" w:hAnsi="Verdana"/>
                <w:sz w:val="20"/>
              </w:rPr>
              <w:t>PA</w:t>
            </w:r>
            <w:r w:rsidRPr="005B6074">
              <w:rPr>
                <w:rFonts w:ascii="Verdana" w:hAnsi="Verdana"/>
                <w:color w:val="212121"/>
                <w:sz w:val="20"/>
              </w:rPr>
              <w:t xml:space="preserve"> 2A:</w:t>
            </w:r>
            <w:r w:rsidRPr="005B6074">
              <w:rPr>
                <w:rStyle w:val="Heading7Char"/>
                <w:rFonts w:ascii="Verdana" w:hAnsi="Verdana"/>
                <w:i w:val="0"/>
                <w:sz w:val="20"/>
              </w:rPr>
              <w:t>Improving the economic performance of all farms and facilitating farm restructuring and modernisation, notably with a view to increasing market participation and orientation as well as agricultural diversification</w:t>
            </w:r>
          </w:p>
          <w:p w:rsidR="00F24971" w:rsidRPr="005B6074" w:rsidRDefault="00A35E98" w:rsidP="00F24971">
            <w:pPr>
              <w:spacing w:after="120"/>
              <w:jc w:val="both"/>
              <w:rPr>
                <w:rFonts w:ascii="Verdana" w:hAnsi="Verdana"/>
                <w:color w:val="212121"/>
                <w:sz w:val="20"/>
                <w:szCs w:val="20"/>
              </w:rPr>
            </w:pPr>
            <w:r w:rsidRPr="005B6074">
              <w:rPr>
                <w:rFonts w:ascii="Verdana" w:hAnsi="Verdana"/>
                <w:sz w:val="20"/>
              </w:rPr>
              <w:t>PA</w:t>
            </w:r>
            <w:r w:rsidRPr="005B6074">
              <w:rPr>
                <w:rFonts w:ascii="Verdana" w:hAnsi="Verdana"/>
                <w:color w:val="212121"/>
                <w:sz w:val="20"/>
              </w:rPr>
              <w:t xml:space="preserve"> 2B: Facilitating the entry of adequately skilled farmers into the agricultural sector and, in particular, generational renewal</w:t>
            </w:r>
          </w:p>
        </w:tc>
      </w:tr>
      <w:tr w:rsidR="00F24971" w:rsidRPr="005B6074" w:rsidTr="009330F5">
        <w:tc>
          <w:tcPr>
            <w:tcW w:w="8982" w:type="dxa"/>
            <w:tcBorders>
              <w:top w:val="single" w:sz="4" w:space="0" w:color="auto"/>
              <w:bottom w:val="single" w:sz="4" w:space="0" w:color="auto"/>
            </w:tcBorders>
            <w:shd w:val="clear" w:color="auto" w:fill="548DD4"/>
          </w:tcPr>
          <w:p w:rsidR="00F24971" w:rsidRPr="005B6074" w:rsidRDefault="00A35E98" w:rsidP="00F24971">
            <w:pPr>
              <w:spacing w:after="120"/>
              <w:jc w:val="both"/>
              <w:rPr>
                <w:rFonts w:ascii="Verdana" w:hAnsi="Verdana"/>
                <w:color w:val="FFFFFF"/>
                <w:sz w:val="20"/>
                <w:szCs w:val="20"/>
              </w:rPr>
            </w:pPr>
            <w:r w:rsidRPr="005B6074">
              <w:rPr>
                <w:rFonts w:ascii="Verdana" w:hAnsi="Verdana"/>
                <w:color w:val="FFFFFF"/>
                <w:sz w:val="20"/>
                <w:u w:val="single"/>
              </w:rPr>
              <w:t>Priority Area 3:</w:t>
            </w:r>
            <w:r w:rsidRPr="005B6074">
              <w:rPr>
                <w:rFonts w:ascii="Verdana" w:hAnsi="Verdana"/>
                <w:color w:val="FFFFFF"/>
                <w:sz w:val="20"/>
              </w:rPr>
              <w:t xml:space="preserve"> Promoting food chain organisation, including processing and marketing of agricultural products, animal welfare and risk management in agriculture</w:t>
            </w:r>
          </w:p>
        </w:tc>
      </w:tr>
      <w:tr w:rsidR="00F24971" w:rsidRPr="005B6074" w:rsidTr="009330F5">
        <w:tc>
          <w:tcPr>
            <w:tcW w:w="8982" w:type="dxa"/>
            <w:tcBorders>
              <w:top w:val="single" w:sz="4" w:space="0" w:color="auto"/>
              <w:bottom w:val="single" w:sz="4" w:space="0" w:color="auto"/>
            </w:tcBorders>
            <w:shd w:val="clear" w:color="auto" w:fill="auto"/>
          </w:tcPr>
          <w:p w:rsidR="00F24971" w:rsidRPr="005B6074" w:rsidRDefault="00A35E98" w:rsidP="00F24971">
            <w:pPr>
              <w:spacing w:after="120"/>
              <w:jc w:val="both"/>
              <w:rPr>
                <w:rFonts w:ascii="Verdana" w:hAnsi="Verdana"/>
                <w:color w:val="212121"/>
                <w:sz w:val="20"/>
                <w:szCs w:val="20"/>
              </w:rPr>
            </w:pPr>
            <w:r w:rsidRPr="005B6074">
              <w:rPr>
                <w:rFonts w:ascii="Verdana" w:hAnsi="Verdana"/>
                <w:sz w:val="20"/>
              </w:rPr>
              <w:t>PA</w:t>
            </w:r>
            <w:r w:rsidRPr="005B6074">
              <w:rPr>
                <w:rFonts w:ascii="Verdana" w:hAnsi="Verdana"/>
                <w:color w:val="212121"/>
                <w:sz w:val="20"/>
              </w:rPr>
              <w:t xml:space="preserve"> 3A</w:t>
            </w:r>
            <w:r w:rsidRPr="005B6074">
              <w:rPr>
                <w:rFonts w:ascii="Verdana" w:hAnsi="Verdana"/>
                <w:sz w:val="20"/>
              </w:rPr>
              <w:t xml:space="preserve">: Improving competitiveness of primary producers by better integrating them into the </w:t>
            </w:r>
            <w:proofErr w:type="spellStart"/>
            <w:r w:rsidRPr="005B6074">
              <w:rPr>
                <w:rFonts w:ascii="Verdana" w:hAnsi="Verdana"/>
                <w:sz w:val="20"/>
              </w:rPr>
              <w:t>agri</w:t>
            </w:r>
            <w:proofErr w:type="spellEnd"/>
            <w:r w:rsidRPr="005B6074">
              <w:rPr>
                <w:rFonts w:ascii="Verdana" w:hAnsi="Verdana"/>
                <w:sz w:val="20"/>
              </w:rPr>
              <w:t>-food chain through quality schemes, adding value to agricultural products, promotion in local markets and short supply circuits, producer groups and organisations and inter-branch organisations</w:t>
            </w:r>
          </w:p>
          <w:p w:rsidR="00F24971" w:rsidRPr="005B6074" w:rsidRDefault="00A35E98" w:rsidP="00F24971">
            <w:pPr>
              <w:spacing w:after="120"/>
              <w:jc w:val="both"/>
              <w:rPr>
                <w:rFonts w:ascii="Verdana" w:hAnsi="Verdana"/>
                <w:sz w:val="20"/>
                <w:szCs w:val="20"/>
              </w:rPr>
            </w:pPr>
            <w:r w:rsidRPr="005B6074">
              <w:rPr>
                <w:rFonts w:ascii="Verdana" w:hAnsi="Verdana"/>
                <w:sz w:val="20"/>
              </w:rPr>
              <w:t>PA</w:t>
            </w:r>
            <w:r w:rsidRPr="005B6074">
              <w:rPr>
                <w:rFonts w:ascii="Verdana" w:hAnsi="Verdana"/>
                <w:color w:val="212121"/>
                <w:sz w:val="20"/>
              </w:rPr>
              <w:t>3B:</w:t>
            </w:r>
            <w:r w:rsidRPr="005B6074">
              <w:rPr>
                <w:rFonts w:ascii="Verdana" w:hAnsi="Verdana"/>
                <w:sz w:val="20"/>
              </w:rPr>
              <w:t xml:space="preserve"> Supporting farm risk prevention and management</w:t>
            </w:r>
          </w:p>
        </w:tc>
      </w:tr>
      <w:tr w:rsidR="00F24971" w:rsidRPr="005B6074" w:rsidTr="009330F5">
        <w:trPr>
          <w:trHeight w:val="337"/>
        </w:trPr>
        <w:tc>
          <w:tcPr>
            <w:tcW w:w="8982" w:type="dxa"/>
            <w:tcBorders>
              <w:top w:val="single" w:sz="4" w:space="0" w:color="auto"/>
              <w:bottom w:val="single" w:sz="4" w:space="0" w:color="auto"/>
            </w:tcBorders>
            <w:shd w:val="clear" w:color="auto" w:fill="548DD4"/>
          </w:tcPr>
          <w:p w:rsidR="00F24971" w:rsidRPr="005B6074" w:rsidRDefault="00A35E98" w:rsidP="00F24971">
            <w:pPr>
              <w:spacing w:after="120"/>
              <w:jc w:val="both"/>
              <w:rPr>
                <w:rFonts w:ascii="Verdana" w:hAnsi="Verdana"/>
                <w:color w:val="FFFFFF"/>
                <w:sz w:val="20"/>
                <w:szCs w:val="20"/>
              </w:rPr>
            </w:pPr>
            <w:r w:rsidRPr="005B6074">
              <w:rPr>
                <w:rFonts w:ascii="Verdana" w:hAnsi="Verdana"/>
                <w:color w:val="FFFFFF"/>
                <w:sz w:val="20"/>
                <w:u w:val="single"/>
              </w:rPr>
              <w:t>Priority Area 4:</w:t>
            </w:r>
            <w:r w:rsidRPr="005B6074">
              <w:rPr>
                <w:rFonts w:ascii="Verdana" w:hAnsi="Verdana"/>
                <w:color w:val="FFFFFF"/>
                <w:sz w:val="20"/>
              </w:rPr>
              <w:t xml:space="preserve"> Restoring, preserving and enhancing ecosystems related to agriculture and forestry</w:t>
            </w:r>
          </w:p>
        </w:tc>
      </w:tr>
      <w:tr w:rsidR="00F24971" w:rsidRPr="005B6074" w:rsidTr="009330F5">
        <w:trPr>
          <w:trHeight w:val="395"/>
        </w:trPr>
        <w:tc>
          <w:tcPr>
            <w:tcW w:w="8982" w:type="dxa"/>
            <w:tcBorders>
              <w:top w:val="single" w:sz="4" w:space="0" w:color="auto"/>
              <w:bottom w:val="single" w:sz="4" w:space="0" w:color="auto"/>
            </w:tcBorders>
            <w:shd w:val="clear" w:color="auto" w:fill="auto"/>
          </w:tcPr>
          <w:p w:rsidR="00F24971" w:rsidRPr="005B6074" w:rsidRDefault="00A35E98" w:rsidP="00F24971">
            <w:pPr>
              <w:spacing w:after="120"/>
              <w:jc w:val="both"/>
              <w:rPr>
                <w:rFonts w:ascii="Verdana" w:hAnsi="Verdana"/>
                <w:sz w:val="20"/>
                <w:szCs w:val="20"/>
              </w:rPr>
            </w:pPr>
            <w:r w:rsidRPr="005B6074">
              <w:rPr>
                <w:rFonts w:ascii="Verdana" w:hAnsi="Verdana"/>
                <w:sz w:val="20"/>
              </w:rPr>
              <w:t>PA</w:t>
            </w:r>
            <w:r w:rsidRPr="005B6074">
              <w:rPr>
                <w:rFonts w:ascii="Verdana" w:hAnsi="Verdana"/>
                <w:color w:val="212121"/>
                <w:sz w:val="20"/>
              </w:rPr>
              <w:t>4A:</w:t>
            </w:r>
            <w:r w:rsidRPr="005B6074">
              <w:rPr>
                <w:rFonts w:ascii="Verdana" w:hAnsi="Verdana"/>
                <w:sz w:val="20"/>
              </w:rPr>
              <w:t xml:space="preserve"> Restoring, preserving and enhancing biodiversity, including in </w:t>
            </w:r>
            <w:proofErr w:type="spellStart"/>
            <w:r w:rsidRPr="005B6074">
              <w:rPr>
                <w:rFonts w:ascii="Verdana" w:hAnsi="Verdana"/>
                <w:sz w:val="20"/>
              </w:rPr>
              <w:t>Natura</w:t>
            </w:r>
            <w:proofErr w:type="spellEnd"/>
            <w:r w:rsidRPr="005B6074">
              <w:rPr>
                <w:rFonts w:ascii="Verdana" w:hAnsi="Verdana"/>
                <w:sz w:val="20"/>
              </w:rPr>
              <w:t xml:space="preserve"> 2000 areas, and in areas facing natural or other specific constraints, and high nature value farming, as well as the state of European landscapes</w:t>
            </w:r>
          </w:p>
          <w:p w:rsidR="00F24971" w:rsidRPr="005B6074" w:rsidRDefault="00A35E98" w:rsidP="00F24971">
            <w:pPr>
              <w:spacing w:after="120"/>
              <w:jc w:val="both"/>
              <w:rPr>
                <w:rFonts w:ascii="Verdana" w:hAnsi="Verdana"/>
                <w:color w:val="000000"/>
                <w:sz w:val="20"/>
                <w:szCs w:val="20"/>
              </w:rPr>
            </w:pPr>
            <w:r w:rsidRPr="005B6074">
              <w:rPr>
                <w:rFonts w:ascii="Verdana" w:hAnsi="Verdana"/>
                <w:sz w:val="20"/>
              </w:rPr>
              <w:t>PA</w:t>
            </w:r>
            <w:r w:rsidRPr="005B6074">
              <w:rPr>
                <w:rFonts w:ascii="Verdana" w:hAnsi="Verdana"/>
                <w:color w:val="212121"/>
                <w:sz w:val="20"/>
              </w:rPr>
              <w:t xml:space="preserve">4B: </w:t>
            </w:r>
            <w:r w:rsidRPr="005B6074">
              <w:rPr>
                <w:rFonts w:ascii="Verdana" w:hAnsi="Verdana"/>
                <w:sz w:val="20"/>
              </w:rPr>
              <w:t>Improving water management, including fertiliser and pesticide management</w:t>
            </w:r>
          </w:p>
          <w:p w:rsidR="00F24971" w:rsidRPr="005B6074" w:rsidRDefault="00A35E98" w:rsidP="00F24971">
            <w:pPr>
              <w:spacing w:after="120"/>
              <w:jc w:val="both"/>
              <w:rPr>
                <w:rFonts w:ascii="Verdana" w:hAnsi="Verdana"/>
                <w:sz w:val="20"/>
                <w:szCs w:val="20"/>
              </w:rPr>
            </w:pPr>
            <w:r w:rsidRPr="005B6074">
              <w:rPr>
                <w:rFonts w:ascii="Verdana" w:hAnsi="Verdana"/>
                <w:sz w:val="20"/>
              </w:rPr>
              <w:t>PA</w:t>
            </w:r>
            <w:r w:rsidRPr="005B6074">
              <w:rPr>
                <w:rFonts w:ascii="Verdana" w:hAnsi="Verdana"/>
                <w:color w:val="212121"/>
                <w:sz w:val="20"/>
              </w:rPr>
              <w:t xml:space="preserve">4C: </w:t>
            </w:r>
            <w:r w:rsidRPr="005B6074">
              <w:rPr>
                <w:rFonts w:ascii="Verdana" w:hAnsi="Verdana"/>
                <w:sz w:val="20"/>
              </w:rPr>
              <w:t>Preventing soil erosion and improving soil management</w:t>
            </w:r>
          </w:p>
        </w:tc>
      </w:tr>
      <w:tr w:rsidR="00F24971" w:rsidRPr="005B6074" w:rsidTr="009330F5">
        <w:trPr>
          <w:trHeight w:val="376"/>
        </w:trPr>
        <w:tc>
          <w:tcPr>
            <w:tcW w:w="8982" w:type="dxa"/>
            <w:tcBorders>
              <w:top w:val="single" w:sz="4" w:space="0" w:color="auto"/>
              <w:bottom w:val="single" w:sz="4" w:space="0" w:color="auto"/>
            </w:tcBorders>
            <w:shd w:val="clear" w:color="auto" w:fill="548DD4"/>
          </w:tcPr>
          <w:p w:rsidR="00F24971" w:rsidRPr="005B6074" w:rsidRDefault="00A35E98" w:rsidP="00F24971">
            <w:pPr>
              <w:spacing w:after="120"/>
              <w:rPr>
                <w:rFonts w:ascii="Verdana" w:hAnsi="Verdana"/>
                <w:color w:val="FFFFFF"/>
                <w:sz w:val="20"/>
                <w:szCs w:val="20"/>
              </w:rPr>
            </w:pPr>
            <w:r w:rsidRPr="005B6074">
              <w:rPr>
                <w:rFonts w:ascii="Verdana" w:hAnsi="Verdana"/>
                <w:color w:val="FFFFFF"/>
                <w:sz w:val="20"/>
                <w:u w:val="single"/>
              </w:rPr>
              <w:t>Priority Area 5:</w:t>
            </w:r>
            <w:r w:rsidRPr="005B6074">
              <w:rPr>
                <w:rFonts w:ascii="Verdana" w:hAnsi="Verdana"/>
                <w:color w:val="FFFFFF"/>
                <w:sz w:val="20"/>
              </w:rPr>
              <w:t xml:space="preserve"> Promoting resource efficiency and supporting the shift towards a low carbon and climate resilient economy in agriculture, food and forestry sectors</w:t>
            </w:r>
          </w:p>
        </w:tc>
      </w:tr>
      <w:tr w:rsidR="00F24971" w:rsidRPr="005B6074" w:rsidTr="009330F5">
        <w:trPr>
          <w:trHeight w:val="552"/>
        </w:trPr>
        <w:tc>
          <w:tcPr>
            <w:tcW w:w="8982" w:type="dxa"/>
            <w:tcBorders>
              <w:top w:val="single" w:sz="4" w:space="0" w:color="auto"/>
              <w:bottom w:val="single" w:sz="4" w:space="0" w:color="auto"/>
            </w:tcBorders>
            <w:shd w:val="clear" w:color="auto" w:fill="auto"/>
          </w:tcPr>
          <w:p w:rsidR="00F24971" w:rsidRPr="005B6074" w:rsidRDefault="00A35E98" w:rsidP="00F24971">
            <w:pPr>
              <w:spacing w:after="120"/>
              <w:jc w:val="both"/>
              <w:rPr>
                <w:rFonts w:ascii="Verdana" w:hAnsi="Verdana"/>
                <w:color w:val="212121"/>
                <w:sz w:val="20"/>
                <w:szCs w:val="20"/>
              </w:rPr>
            </w:pPr>
            <w:r w:rsidRPr="005B6074">
              <w:rPr>
                <w:rFonts w:ascii="Verdana" w:hAnsi="Verdana"/>
                <w:sz w:val="20"/>
              </w:rPr>
              <w:t>PA</w:t>
            </w:r>
            <w:r w:rsidRPr="005B6074">
              <w:rPr>
                <w:rFonts w:ascii="Verdana" w:hAnsi="Verdana"/>
                <w:color w:val="212121"/>
                <w:sz w:val="20"/>
              </w:rPr>
              <w:t xml:space="preserve">5A: </w:t>
            </w:r>
            <w:r w:rsidRPr="005B6074">
              <w:rPr>
                <w:rFonts w:ascii="Verdana" w:hAnsi="Verdana"/>
                <w:sz w:val="20"/>
              </w:rPr>
              <w:t>Increasing efficiency in water use by agriculture</w:t>
            </w:r>
          </w:p>
          <w:p w:rsidR="00F24971" w:rsidRPr="005B6074" w:rsidRDefault="00A35E98" w:rsidP="00F24971">
            <w:pPr>
              <w:widowControl w:val="0"/>
              <w:autoSpaceDE w:val="0"/>
              <w:autoSpaceDN w:val="0"/>
              <w:adjustRightInd w:val="0"/>
              <w:spacing w:after="120"/>
              <w:jc w:val="both"/>
              <w:rPr>
                <w:rFonts w:ascii="Verdana" w:hAnsi="Verdana"/>
                <w:color w:val="212121"/>
                <w:sz w:val="20"/>
                <w:szCs w:val="20"/>
              </w:rPr>
            </w:pPr>
            <w:r w:rsidRPr="005B6074">
              <w:rPr>
                <w:rFonts w:ascii="Verdana" w:hAnsi="Verdana"/>
                <w:sz w:val="20"/>
              </w:rPr>
              <w:t>PA</w:t>
            </w:r>
            <w:r w:rsidRPr="005B6074">
              <w:rPr>
                <w:rFonts w:ascii="Verdana" w:hAnsi="Verdana"/>
                <w:color w:val="212121"/>
                <w:sz w:val="20"/>
              </w:rPr>
              <w:t xml:space="preserve">5B: </w:t>
            </w:r>
            <w:r w:rsidRPr="005B6074">
              <w:rPr>
                <w:rFonts w:ascii="Verdana" w:hAnsi="Verdana"/>
                <w:sz w:val="20"/>
              </w:rPr>
              <w:t>Increasing efficiency in energy use in agriculture and food processing</w:t>
            </w:r>
          </w:p>
          <w:p w:rsidR="00F24971" w:rsidRPr="005B6074" w:rsidRDefault="00A35E98" w:rsidP="00F24971">
            <w:pPr>
              <w:widowControl w:val="0"/>
              <w:autoSpaceDE w:val="0"/>
              <w:autoSpaceDN w:val="0"/>
              <w:adjustRightInd w:val="0"/>
              <w:spacing w:after="120"/>
              <w:ind w:right="51"/>
              <w:jc w:val="both"/>
              <w:rPr>
                <w:rFonts w:ascii="Verdana" w:hAnsi="Verdana"/>
                <w:color w:val="212121"/>
                <w:sz w:val="20"/>
                <w:szCs w:val="20"/>
                <w:u w:val="single"/>
              </w:rPr>
            </w:pPr>
            <w:r w:rsidRPr="005B6074">
              <w:rPr>
                <w:rFonts w:ascii="Verdana" w:hAnsi="Verdana"/>
                <w:sz w:val="20"/>
              </w:rPr>
              <w:t>PA</w:t>
            </w:r>
            <w:r w:rsidRPr="005B6074">
              <w:rPr>
                <w:rFonts w:ascii="Verdana" w:hAnsi="Verdana"/>
                <w:color w:val="212121"/>
                <w:sz w:val="20"/>
              </w:rPr>
              <w:t xml:space="preserve">5C: </w:t>
            </w:r>
            <w:r w:rsidRPr="005B6074">
              <w:rPr>
                <w:rFonts w:ascii="Verdana" w:hAnsi="Verdana"/>
                <w:sz w:val="20"/>
              </w:rPr>
              <w:t>Facilitating the supply and use of renewable sources of energy, of by-products, wastes and residues and of other non-food raw material, for the purposes of the bio-economy</w:t>
            </w:r>
          </w:p>
          <w:p w:rsidR="00F24971" w:rsidRPr="005B6074" w:rsidRDefault="00A35E98" w:rsidP="00F24971">
            <w:pPr>
              <w:spacing w:after="120"/>
              <w:rPr>
                <w:rFonts w:ascii="Verdana" w:hAnsi="Verdana"/>
                <w:sz w:val="20"/>
                <w:szCs w:val="20"/>
              </w:rPr>
            </w:pPr>
            <w:r w:rsidRPr="005B6074">
              <w:rPr>
                <w:rFonts w:ascii="Verdana" w:hAnsi="Verdana"/>
                <w:sz w:val="20"/>
              </w:rPr>
              <w:t>PA</w:t>
            </w:r>
            <w:r w:rsidRPr="005B6074">
              <w:rPr>
                <w:rFonts w:ascii="Verdana" w:hAnsi="Verdana"/>
                <w:color w:val="212121"/>
                <w:sz w:val="20"/>
              </w:rPr>
              <w:t>5D:</w:t>
            </w:r>
            <w:r w:rsidRPr="005B6074">
              <w:rPr>
                <w:rFonts w:ascii="Verdana" w:hAnsi="Verdana"/>
                <w:sz w:val="20"/>
              </w:rPr>
              <w:t xml:space="preserve"> Reducing green-house gas and ammonia emissions from agriculture</w:t>
            </w:r>
          </w:p>
          <w:p w:rsidR="00F24971" w:rsidRPr="005B6074" w:rsidRDefault="00A35E98" w:rsidP="00F24971">
            <w:pPr>
              <w:spacing w:after="120"/>
              <w:jc w:val="both"/>
              <w:rPr>
                <w:rFonts w:ascii="Verdana" w:hAnsi="Verdana"/>
                <w:sz w:val="20"/>
                <w:szCs w:val="20"/>
              </w:rPr>
            </w:pPr>
            <w:r w:rsidRPr="005B6074">
              <w:rPr>
                <w:rFonts w:ascii="Verdana" w:hAnsi="Verdana"/>
                <w:sz w:val="20"/>
              </w:rPr>
              <w:lastRenderedPageBreak/>
              <w:t>PA</w:t>
            </w:r>
            <w:r w:rsidRPr="005B6074">
              <w:rPr>
                <w:rFonts w:ascii="Verdana" w:hAnsi="Verdana"/>
                <w:color w:val="212121"/>
                <w:sz w:val="20"/>
              </w:rPr>
              <w:t>5E:</w:t>
            </w:r>
            <w:r w:rsidRPr="005B6074">
              <w:rPr>
                <w:rFonts w:ascii="Verdana" w:hAnsi="Verdana"/>
                <w:sz w:val="20"/>
              </w:rPr>
              <w:t xml:space="preserve"> Fostering carbon conservation and sequestration in agriculture and forestry</w:t>
            </w:r>
          </w:p>
        </w:tc>
      </w:tr>
      <w:tr w:rsidR="00F24971" w:rsidRPr="005B6074" w:rsidTr="009330F5">
        <w:trPr>
          <w:trHeight w:val="276"/>
        </w:trPr>
        <w:tc>
          <w:tcPr>
            <w:tcW w:w="8982" w:type="dxa"/>
            <w:tcBorders>
              <w:top w:val="single" w:sz="4" w:space="0" w:color="auto"/>
              <w:bottom w:val="single" w:sz="4" w:space="0" w:color="auto"/>
            </w:tcBorders>
            <w:shd w:val="clear" w:color="auto" w:fill="548DD4"/>
          </w:tcPr>
          <w:p w:rsidR="00F24971" w:rsidRPr="005B6074" w:rsidRDefault="00A35E98" w:rsidP="00F24971">
            <w:pPr>
              <w:spacing w:after="120"/>
              <w:rPr>
                <w:rFonts w:ascii="Verdana" w:hAnsi="Verdana"/>
                <w:color w:val="FFFFFF"/>
                <w:sz w:val="20"/>
                <w:szCs w:val="20"/>
              </w:rPr>
            </w:pPr>
            <w:r w:rsidRPr="005B6074">
              <w:rPr>
                <w:rFonts w:ascii="Verdana" w:hAnsi="Verdana"/>
                <w:color w:val="FFFFFF"/>
                <w:sz w:val="20"/>
                <w:u w:val="single"/>
              </w:rPr>
              <w:lastRenderedPageBreak/>
              <w:t>Priority Area 6</w:t>
            </w:r>
            <w:r w:rsidRPr="005B6074">
              <w:rPr>
                <w:rFonts w:ascii="Verdana" w:hAnsi="Verdana"/>
                <w:color w:val="FFFFFF"/>
                <w:sz w:val="20"/>
              </w:rPr>
              <w:t>: Promoting social inclusion, poverty reduction and economic development in rural areas</w:t>
            </w:r>
          </w:p>
        </w:tc>
      </w:tr>
      <w:tr w:rsidR="00F24971" w:rsidRPr="005B6074" w:rsidTr="009330F5">
        <w:trPr>
          <w:trHeight w:val="276"/>
        </w:trPr>
        <w:tc>
          <w:tcPr>
            <w:tcW w:w="8982" w:type="dxa"/>
            <w:tcBorders>
              <w:top w:val="single" w:sz="4" w:space="0" w:color="auto"/>
            </w:tcBorders>
            <w:shd w:val="clear" w:color="auto" w:fill="auto"/>
          </w:tcPr>
          <w:p w:rsidR="00F24971" w:rsidRPr="005B6074" w:rsidRDefault="00A35E98" w:rsidP="00F24971">
            <w:pPr>
              <w:spacing w:after="120"/>
              <w:jc w:val="both"/>
              <w:rPr>
                <w:rFonts w:ascii="Verdana" w:hAnsi="Verdana"/>
                <w:color w:val="000000"/>
                <w:sz w:val="20"/>
                <w:szCs w:val="20"/>
                <w:u w:val="single"/>
              </w:rPr>
            </w:pPr>
            <w:r w:rsidRPr="005B6074">
              <w:rPr>
                <w:rFonts w:ascii="Verdana" w:hAnsi="Verdana"/>
                <w:sz w:val="20"/>
              </w:rPr>
              <w:t>PA</w:t>
            </w:r>
            <w:r w:rsidRPr="005B6074">
              <w:rPr>
                <w:rFonts w:ascii="Verdana" w:hAnsi="Verdana"/>
                <w:color w:val="212121"/>
                <w:sz w:val="20"/>
              </w:rPr>
              <w:t>6A:</w:t>
            </w:r>
            <w:r w:rsidRPr="005B6074">
              <w:rPr>
                <w:rFonts w:ascii="Verdana" w:hAnsi="Verdana"/>
                <w:sz w:val="20"/>
              </w:rPr>
              <w:t xml:space="preserve"> Facilitating diversification, creation and </w:t>
            </w:r>
            <w:r w:rsidRPr="005B6074">
              <w:rPr>
                <w:rFonts w:ascii="Verdana" w:hAnsi="Verdana"/>
                <w:color w:val="000000"/>
                <w:sz w:val="20"/>
              </w:rPr>
              <w:t>development of small enterprises, as well as job creation</w:t>
            </w:r>
          </w:p>
          <w:p w:rsidR="00F24971" w:rsidRPr="005B6074" w:rsidRDefault="00A35E98" w:rsidP="00F24971">
            <w:pPr>
              <w:spacing w:after="120"/>
              <w:jc w:val="both"/>
              <w:rPr>
                <w:rFonts w:ascii="Verdana" w:hAnsi="Verdana"/>
                <w:color w:val="000000"/>
                <w:sz w:val="20"/>
                <w:szCs w:val="20"/>
              </w:rPr>
            </w:pPr>
            <w:r w:rsidRPr="005B6074">
              <w:rPr>
                <w:rFonts w:ascii="Verdana" w:hAnsi="Verdana"/>
                <w:sz w:val="20"/>
              </w:rPr>
              <w:t>PA</w:t>
            </w:r>
            <w:r w:rsidRPr="005B6074">
              <w:rPr>
                <w:rFonts w:ascii="Verdana" w:hAnsi="Verdana"/>
                <w:color w:val="000000"/>
                <w:sz w:val="20"/>
              </w:rPr>
              <w:t>6B: Fostering local development in rural areas</w:t>
            </w:r>
          </w:p>
          <w:p w:rsidR="00F24971" w:rsidRPr="005B6074" w:rsidRDefault="00A35E98" w:rsidP="00F24971">
            <w:pPr>
              <w:spacing w:after="120"/>
              <w:jc w:val="both"/>
              <w:rPr>
                <w:rFonts w:ascii="Verdana" w:hAnsi="Verdana"/>
                <w:i/>
                <w:sz w:val="20"/>
                <w:szCs w:val="20"/>
              </w:rPr>
            </w:pPr>
            <w:r w:rsidRPr="005B6074">
              <w:rPr>
                <w:rFonts w:ascii="Verdana" w:hAnsi="Verdana"/>
                <w:sz w:val="20"/>
              </w:rPr>
              <w:t>PA</w:t>
            </w:r>
            <w:r w:rsidRPr="005B6074">
              <w:rPr>
                <w:rFonts w:ascii="Verdana" w:hAnsi="Verdana"/>
                <w:color w:val="000000"/>
                <w:sz w:val="20"/>
              </w:rPr>
              <w:t>6C:</w:t>
            </w:r>
            <w:r w:rsidRPr="005B6074">
              <w:rPr>
                <w:rStyle w:val="Heading7Char"/>
                <w:rFonts w:ascii="Verdana" w:hAnsi="Verdana"/>
                <w:i w:val="0"/>
                <w:color w:val="000000"/>
                <w:sz w:val="20"/>
              </w:rPr>
              <w:t>Enhancing the accessibility, use and quality of information and communication technologies (ICT) in rural areas</w:t>
            </w:r>
          </w:p>
        </w:tc>
      </w:tr>
    </w:tbl>
    <w:p w:rsidR="00F24971" w:rsidRPr="005B6074" w:rsidRDefault="00A35E98" w:rsidP="00F24971">
      <w:pPr>
        <w:keepNext/>
        <w:spacing w:before="240" w:after="120"/>
        <w:rPr>
          <w:rFonts w:ascii="Verdana" w:hAnsi="Verdana"/>
          <w:b/>
          <w:color w:val="548DD4"/>
          <w:sz w:val="20"/>
          <w:szCs w:val="20"/>
        </w:rPr>
      </w:pPr>
      <w:bookmarkStart w:id="92" w:name="_Toc390257069"/>
      <w:bookmarkStart w:id="93" w:name="_Toc396225608"/>
      <w:r w:rsidRPr="005B6074">
        <w:rPr>
          <w:rFonts w:ascii="Verdana" w:hAnsi="Verdana"/>
          <w:b/>
          <w:color w:val="548DD4"/>
          <w:sz w:val="20"/>
        </w:rPr>
        <w:t xml:space="preserve">Table </w:t>
      </w:r>
      <w:r w:rsidRPr="005B6074">
        <w:rPr>
          <w:rFonts w:ascii="Verdana" w:hAnsi="Verdana"/>
          <w:b/>
          <w:color w:val="548DD4"/>
          <w:sz w:val="20"/>
        </w:rPr>
        <w:fldChar w:fldCharType="begin"/>
      </w:r>
      <w:r w:rsidRPr="005B6074">
        <w:rPr>
          <w:rFonts w:ascii="Verdana" w:hAnsi="Verdana"/>
          <w:b/>
          <w:color w:val="548DD4"/>
          <w:sz w:val="20"/>
        </w:rPr>
        <w:instrText xml:space="preserve"> SEQ Таблица \* ARABIC </w:instrText>
      </w:r>
      <w:r w:rsidRPr="005B6074">
        <w:rPr>
          <w:rFonts w:ascii="Verdana" w:hAnsi="Verdana"/>
          <w:b/>
          <w:color w:val="548DD4"/>
          <w:sz w:val="20"/>
        </w:rPr>
        <w:fldChar w:fldCharType="separate"/>
      </w:r>
      <w:r w:rsidR="009330F5">
        <w:rPr>
          <w:rFonts w:ascii="Verdana" w:hAnsi="Verdana"/>
          <w:b/>
          <w:noProof/>
          <w:color w:val="548DD4"/>
          <w:sz w:val="20"/>
        </w:rPr>
        <w:t>13</w:t>
      </w:r>
      <w:r w:rsidRPr="005B6074">
        <w:rPr>
          <w:rFonts w:ascii="Verdana" w:hAnsi="Verdana"/>
          <w:b/>
          <w:color w:val="548DD4"/>
          <w:sz w:val="20"/>
        </w:rPr>
        <w:fldChar w:fldCharType="end"/>
      </w:r>
      <w:r w:rsidRPr="005B6074">
        <w:rPr>
          <w:rFonts w:ascii="Verdana" w:hAnsi="Verdana"/>
          <w:b/>
          <w:color w:val="548DD4"/>
          <w:sz w:val="20"/>
        </w:rPr>
        <w:t xml:space="preserve">: Connection between the Priorities of </w:t>
      </w:r>
      <w:r w:rsidR="005B35A7">
        <w:rPr>
          <w:rFonts w:ascii="Verdana" w:hAnsi="Verdana"/>
          <w:b/>
          <w:color w:val="548DD4"/>
          <w:sz w:val="20"/>
        </w:rPr>
        <w:t>OPSESG</w:t>
      </w:r>
      <w:r w:rsidRPr="005B6074">
        <w:rPr>
          <w:rFonts w:ascii="Verdana" w:hAnsi="Verdana"/>
          <w:b/>
          <w:color w:val="548DD4"/>
          <w:sz w:val="20"/>
        </w:rPr>
        <w:t xml:space="preserve"> and RDP</w:t>
      </w:r>
      <w:bookmarkEnd w:id="92"/>
      <w:bookmarkEnd w:id="93"/>
    </w:p>
    <w:tbl>
      <w:tblPr>
        <w:tblW w:w="9810" w:type="dxa"/>
        <w:tblInd w:w="-162" w:type="dxa"/>
        <w:tblLook w:val="04A0" w:firstRow="1" w:lastRow="0" w:firstColumn="1" w:lastColumn="0" w:noHBand="0" w:noVBand="1"/>
      </w:tblPr>
      <w:tblGrid>
        <w:gridCol w:w="2825"/>
        <w:gridCol w:w="1311"/>
        <w:gridCol w:w="821"/>
        <w:gridCol w:w="819"/>
        <w:gridCol w:w="701"/>
        <w:gridCol w:w="701"/>
        <w:gridCol w:w="701"/>
        <w:gridCol w:w="899"/>
        <w:gridCol w:w="1032"/>
      </w:tblGrid>
      <w:tr w:rsidR="00F24971" w:rsidRPr="005B6074" w:rsidTr="00F24971">
        <w:trPr>
          <w:trHeight w:val="510"/>
        </w:trPr>
        <w:tc>
          <w:tcPr>
            <w:tcW w:w="2825" w:type="dxa"/>
            <w:tcBorders>
              <w:top w:val="single" w:sz="4" w:space="0" w:color="auto"/>
              <w:left w:val="single" w:sz="4" w:space="0" w:color="auto"/>
              <w:bottom w:val="single" w:sz="4" w:space="0" w:color="auto"/>
              <w:right w:val="single" w:sz="4" w:space="0" w:color="auto"/>
            </w:tcBorders>
            <w:shd w:val="clear" w:color="000000" w:fill="548DD4"/>
            <w:vAlign w:val="bottom"/>
            <w:hideMark/>
          </w:tcPr>
          <w:p w:rsidR="00F24971" w:rsidRPr="00931B15" w:rsidRDefault="00A35E98" w:rsidP="00931B15">
            <w:pPr>
              <w:spacing w:after="0" w:line="240" w:lineRule="auto"/>
              <w:ind w:left="-108" w:right="-163"/>
              <w:jc w:val="center"/>
              <w:rPr>
                <w:rFonts w:ascii="Verdana" w:hAnsi="Verdana"/>
                <w:color w:val="FFFFFF"/>
                <w:sz w:val="18"/>
              </w:rPr>
            </w:pPr>
            <w:r w:rsidRPr="005B6074">
              <w:rPr>
                <w:rFonts w:ascii="Verdana" w:hAnsi="Verdana"/>
                <w:color w:val="FFFFFF"/>
                <w:sz w:val="18"/>
              </w:rPr>
              <w:t>Operational Programme / Priority Axis</w:t>
            </w:r>
          </w:p>
        </w:tc>
        <w:tc>
          <w:tcPr>
            <w:tcW w:w="1311" w:type="dxa"/>
            <w:tcBorders>
              <w:top w:val="single" w:sz="4" w:space="0" w:color="auto"/>
              <w:left w:val="nil"/>
              <w:bottom w:val="single" w:sz="4" w:space="0" w:color="auto"/>
              <w:right w:val="single" w:sz="4" w:space="0" w:color="auto"/>
            </w:tcBorders>
            <w:shd w:val="clear" w:color="000000" w:fill="548DD4"/>
            <w:vAlign w:val="center"/>
            <w:hideMark/>
          </w:tcPr>
          <w:p w:rsidR="00F24971" w:rsidRPr="00931B15" w:rsidRDefault="005B35A7" w:rsidP="00931B15">
            <w:pPr>
              <w:spacing w:after="0" w:line="240" w:lineRule="auto"/>
              <w:ind w:left="-108" w:right="-163"/>
              <w:jc w:val="center"/>
              <w:rPr>
                <w:rFonts w:ascii="Verdana" w:hAnsi="Verdana"/>
                <w:color w:val="FFFFFF"/>
                <w:sz w:val="18"/>
              </w:rPr>
            </w:pPr>
            <w:r>
              <w:rPr>
                <w:rFonts w:ascii="Verdana" w:hAnsi="Verdana"/>
                <w:color w:val="FFFFFF"/>
                <w:sz w:val="18"/>
              </w:rPr>
              <w:t>OPSESG</w:t>
            </w:r>
          </w:p>
        </w:tc>
        <w:tc>
          <w:tcPr>
            <w:tcW w:w="1640" w:type="dxa"/>
            <w:gridSpan w:val="2"/>
            <w:tcBorders>
              <w:top w:val="single" w:sz="4" w:space="0" w:color="auto"/>
              <w:left w:val="nil"/>
              <w:bottom w:val="single" w:sz="4" w:space="0" w:color="auto"/>
              <w:right w:val="single" w:sz="4" w:space="0" w:color="auto"/>
            </w:tcBorders>
            <w:shd w:val="clear" w:color="000000" w:fill="548DD4"/>
            <w:vAlign w:val="center"/>
            <w:hideMark/>
          </w:tcPr>
          <w:p w:rsidR="00F24971" w:rsidRPr="00931B15" w:rsidRDefault="00A35E98" w:rsidP="00931B15">
            <w:pPr>
              <w:spacing w:after="0" w:line="240" w:lineRule="auto"/>
              <w:ind w:left="-108" w:right="-163"/>
              <w:jc w:val="center"/>
              <w:rPr>
                <w:rFonts w:ascii="Verdana" w:hAnsi="Verdana"/>
                <w:color w:val="FFFFFF"/>
                <w:sz w:val="18"/>
              </w:rPr>
            </w:pPr>
            <w:r w:rsidRPr="005B6074">
              <w:rPr>
                <w:rFonts w:ascii="Verdana" w:hAnsi="Verdana"/>
                <w:color w:val="FFFFFF"/>
                <w:sz w:val="18"/>
              </w:rPr>
              <w:t>PA 1: Scientific Research and Technological Development</w:t>
            </w:r>
          </w:p>
        </w:tc>
        <w:tc>
          <w:tcPr>
            <w:tcW w:w="2103" w:type="dxa"/>
            <w:gridSpan w:val="3"/>
            <w:tcBorders>
              <w:top w:val="single" w:sz="4" w:space="0" w:color="auto"/>
              <w:left w:val="nil"/>
              <w:bottom w:val="single" w:sz="4" w:space="0" w:color="auto"/>
              <w:right w:val="single" w:sz="4" w:space="0" w:color="auto"/>
            </w:tcBorders>
            <w:shd w:val="clear" w:color="000000" w:fill="548DD4"/>
            <w:vAlign w:val="center"/>
            <w:hideMark/>
          </w:tcPr>
          <w:p w:rsidR="00F24971" w:rsidRPr="00931B15" w:rsidRDefault="00A35E98" w:rsidP="00931B15">
            <w:pPr>
              <w:spacing w:after="0" w:line="240" w:lineRule="auto"/>
              <w:ind w:left="-108" w:right="-163"/>
              <w:jc w:val="center"/>
              <w:rPr>
                <w:rFonts w:ascii="Verdana" w:hAnsi="Verdana"/>
                <w:color w:val="FFFFFF"/>
                <w:sz w:val="18"/>
              </w:rPr>
            </w:pPr>
            <w:r w:rsidRPr="005B6074">
              <w:rPr>
                <w:rFonts w:ascii="Verdana" w:hAnsi="Verdana"/>
                <w:color w:val="FFFFFF"/>
                <w:sz w:val="18"/>
              </w:rPr>
              <w:t>PA 2: Education and Lifelong Learning</w:t>
            </w:r>
          </w:p>
        </w:tc>
        <w:tc>
          <w:tcPr>
            <w:tcW w:w="1931" w:type="dxa"/>
            <w:gridSpan w:val="2"/>
            <w:tcBorders>
              <w:top w:val="single" w:sz="4" w:space="0" w:color="auto"/>
              <w:left w:val="nil"/>
              <w:bottom w:val="single" w:sz="4" w:space="0" w:color="auto"/>
              <w:right w:val="single" w:sz="4" w:space="0" w:color="auto"/>
            </w:tcBorders>
            <w:shd w:val="clear" w:color="000000" w:fill="548DD4"/>
            <w:vAlign w:val="center"/>
            <w:hideMark/>
          </w:tcPr>
          <w:p w:rsidR="00F24971" w:rsidRPr="00931B15" w:rsidRDefault="00A35E98" w:rsidP="00931B15">
            <w:pPr>
              <w:spacing w:after="0" w:line="240" w:lineRule="auto"/>
              <w:ind w:left="-108" w:right="-163"/>
              <w:jc w:val="center"/>
              <w:rPr>
                <w:rFonts w:ascii="Verdana" w:hAnsi="Verdana"/>
                <w:color w:val="FFFFFF"/>
                <w:sz w:val="18"/>
              </w:rPr>
            </w:pPr>
            <w:r w:rsidRPr="005B6074">
              <w:rPr>
                <w:rFonts w:ascii="Verdana" w:hAnsi="Verdana"/>
                <w:color w:val="FFFFFF"/>
                <w:sz w:val="18"/>
              </w:rPr>
              <w:t>PA 3: Educational Environment for Active Social Inclusion</w:t>
            </w:r>
          </w:p>
        </w:tc>
      </w:tr>
      <w:tr w:rsidR="00F24971" w:rsidRPr="005B6074" w:rsidTr="00F24971">
        <w:trPr>
          <w:trHeight w:val="402"/>
        </w:trPr>
        <w:tc>
          <w:tcPr>
            <w:tcW w:w="2825" w:type="dxa"/>
            <w:tcBorders>
              <w:top w:val="nil"/>
              <w:left w:val="single" w:sz="4" w:space="0" w:color="auto"/>
              <w:bottom w:val="single" w:sz="4" w:space="0" w:color="auto"/>
              <w:right w:val="single" w:sz="4" w:space="0" w:color="auto"/>
            </w:tcBorders>
            <w:shd w:val="clear" w:color="auto" w:fill="548DD4"/>
            <w:vAlign w:val="center"/>
            <w:hideMark/>
          </w:tcPr>
          <w:p w:rsidR="00F24971" w:rsidRPr="00931B15" w:rsidRDefault="00A35E98" w:rsidP="00931B15">
            <w:pPr>
              <w:spacing w:after="0" w:line="240" w:lineRule="auto"/>
              <w:ind w:left="-108" w:right="-163"/>
              <w:jc w:val="center"/>
              <w:rPr>
                <w:rFonts w:ascii="Verdana" w:hAnsi="Verdana"/>
                <w:color w:val="FFFFFF"/>
                <w:sz w:val="18"/>
              </w:rPr>
            </w:pPr>
            <w:r w:rsidRPr="005B6074">
              <w:rPr>
                <w:rFonts w:ascii="Verdana" w:hAnsi="Verdana"/>
                <w:color w:val="FFFFFF"/>
                <w:sz w:val="18"/>
              </w:rPr>
              <w:t>RDP</w:t>
            </w: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Priority</w:t>
            </w:r>
          </w:p>
        </w:tc>
        <w:tc>
          <w:tcPr>
            <w:tcW w:w="82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1.1</w:t>
            </w:r>
          </w:p>
        </w:tc>
        <w:tc>
          <w:tcPr>
            <w:tcW w:w="819"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1.2</w:t>
            </w:r>
          </w:p>
        </w:tc>
        <w:tc>
          <w:tcPr>
            <w:tcW w:w="70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2.1</w:t>
            </w:r>
          </w:p>
        </w:tc>
        <w:tc>
          <w:tcPr>
            <w:tcW w:w="70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2.2</w:t>
            </w:r>
          </w:p>
        </w:tc>
        <w:tc>
          <w:tcPr>
            <w:tcW w:w="70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2.3</w:t>
            </w:r>
          </w:p>
        </w:tc>
        <w:tc>
          <w:tcPr>
            <w:tcW w:w="899"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3.1</w:t>
            </w:r>
          </w:p>
        </w:tc>
        <w:tc>
          <w:tcPr>
            <w:tcW w:w="1032"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3.2</w:t>
            </w:r>
          </w:p>
        </w:tc>
      </w:tr>
      <w:tr w:rsidR="00F24971" w:rsidRPr="005B6074" w:rsidTr="00F24971">
        <w:trPr>
          <w:trHeight w:val="620"/>
        </w:trPr>
        <w:tc>
          <w:tcPr>
            <w:tcW w:w="2825" w:type="dxa"/>
            <w:vMerge w:val="restart"/>
            <w:tcBorders>
              <w:top w:val="single" w:sz="4" w:space="0" w:color="auto"/>
              <w:left w:val="single" w:sz="4" w:space="0" w:color="auto"/>
              <w:bottom w:val="single" w:sz="4" w:space="0" w:color="auto"/>
              <w:right w:val="single" w:sz="4" w:space="0" w:color="auto"/>
            </w:tcBorders>
            <w:shd w:val="clear" w:color="auto" w:fill="548DD4"/>
            <w:vAlign w:val="center"/>
            <w:hideMark/>
          </w:tcPr>
          <w:p w:rsidR="00F24971" w:rsidRPr="00931B15" w:rsidRDefault="00A35E98" w:rsidP="00931B15">
            <w:pPr>
              <w:spacing w:after="0" w:line="240" w:lineRule="auto"/>
              <w:ind w:left="-108" w:right="-163"/>
              <w:jc w:val="center"/>
              <w:rPr>
                <w:rFonts w:ascii="Verdana" w:hAnsi="Verdana"/>
                <w:color w:val="FFFFFF"/>
                <w:sz w:val="18"/>
              </w:rPr>
            </w:pPr>
            <w:r w:rsidRPr="005B6074">
              <w:rPr>
                <w:rFonts w:ascii="Verdana" w:hAnsi="Verdana"/>
                <w:color w:val="FFFFFF"/>
                <w:sz w:val="18"/>
              </w:rPr>
              <w:t>Fostering knowledge transfer and innovation in agriculture, forestry, and rural areas</w:t>
            </w: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1А</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0000"/>
                <w:sz w:val="26"/>
                <w:szCs w:val="26"/>
              </w:rPr>
            </w:pPr>
          </w:p>
        </w:tc>
      </w:tr>
      <w:tr w:rsidR="00F24971" w:rsidRPr="005B6074" w:rsidTr="00F24971">
        <w:trPr>
          <w:trHeight w:val="390"/>
        </w:trPr>
        <w:tc>
          <w:tcPr>
            <w:tcW w:w="2825" w:type="dxa"/>
            <w:vMerge/>
            <w:tcBorders>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ind w:left="-108" w:right="-163"/>
              <w:jc w:val="center"/>
              <w:rPr>
                <w:rFonts w:ascii="Verdana" w:eastAsia="Times New Roman" w:hAnsi="Verdana"/>
                <w:color w:val="FFFFFF"/>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1B</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0000"/>
                <w:sz w:val="26"/>
                <w:szCs w:val="26"/>
              </w:rPr>
            </w:pPr>
          </w:p>
        </w:tc>
      </w:tr>
      <w:tr w:rsidR="00F24971" w:rsidRPr="005B6074" w:rsidTr="00F24971">
        <w:trPr>
          <w:trHeight w:val="647"/>
        </w:trPr>
        <w:tc>
          <w:tcPr>
            <w:tcW w:w="2825" w:type="dxa"/>
            <w:vMerge w:val="restart"/>
            <w:tcBorders>
              <w:top w:val="single" w:sz="4" w:space="0" w:color="auto"/>
              <w:left w:val="single" w:sz="4" w:space="0" w:color="auto"/>
              <w:right w:val="single" w:sz="4" w:space="0" w:color="auto"/>
            </w:tcBorders>
            <w:shd w:val="clear" w:color="auto" w:fill="548DD4"/>
            <w:vAlign w:val="center"/>
            <w:hideMark/>
          </w:tcPr>
          <w:p w:rsidR="00F24971" w:rsidRPr="005B6074" w:rsidRDefault="00A35E98" w:rsidP="00F24971">
            <w:pPr>
              <w:spacing w:after="0" w:line="240" w:lineRule="auto"/>
              <w:ind w:left="-108" w:right="-163"/>
              <w:jc w:val="center"/>
              <w:rPr>
                <w:rFonts w:ascii="Verdana" w:eastAsia="Times New Roman" w:hAnsi="Verdana"/>
                <w:color w:val="FFFFFF"/>
                <w:sz w:val="18"/>
                <w:szCs w:val="18"/>
              </w:rPr>
            </w:pPr>
            <w:r w:rsidRPr="005B6074">
              <w:rPr>
                <w:rFonts w:ascii="Verdana" w:hAnsi="Verdana"/>
                <w:color w:val="FFFFFF"/>
                <w:sz w:val="18"/>
              </w:rPr>
              <w:t>Enhancing farm viability and competitiveness of all types of agriculture</w:t>
            </w: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2А</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0000"/>
                <w:sz w:val="26"/>
                <w:szCs w:val="26"/>
              </w:rPr>
            </w:pPr>
          </w:p>
        </w:tc>
      </w:tr>
      <w:tr w:rsidR="00F24971" w:rsidRPr="005B6074" w:rsidTr="00F24971">
        <w:trPr>
          <w:trHeight w:val="390"/>
        </w:trPr>
        <w:tc>
          <w:tcPr>
            <w:tcW w:w="2825" w:type="dxa"/>
            <w:vMerge/>
            <w:tcBorders>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ind w:left="-108" w:right="-163"/>
              <w:jc w:val="center"/>
              <w:rPr>
                <w:rFonts w:ascii="Verdana" w:eastAsia="Times New Roman" w:hAnsi="Verdana"/>
                <w:color w:val="FFFFFF"/>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2B</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0000"/>
                <w:sz w:val="26"/>
                <w:szCs w:val="26"/>
              </w:rPr>
            </w:pPr>
          </w:p>
        </w:tc>
      </w:tr>
      <w:tr w:rsidR="00F24971" w:rsidRPr="005B6074" w:rsidTr="00F24971">
        <w:trPr>
          <w:trHeight w:val="710"/>
        </w:trPr>
        <w:tc>
          <w:tcPr>
            <w:tcW w:w="2825" w:type="dxa"/>
            <w:vMerge w:val="restart"/>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A35E98" w:rsidP="00F24971">
            <w:pPr>
              <w:spacing w:after="0" w:line="240" w:lineRule="auto"/>
              <w:ind w:left="-108" w:right="-163"/>
              <w:jc w:val="center"/>
              <w:rPr>
                <w:rFonts w:ascii="Verdana" w:eastAsia="Times New Roman" w:hAnsi="Verdana"/>
                <w:color w:val="FFFFFF"/>
                <w:sz w:val="18"/>
                <w:szCs w:val="18"/>
              </w:rPr>
            </w:pPr>
            <w:r w:rsidRPr="005B6074">
              <w:rPr>
                <w:rFonts w:ascii="Verdana" w:hAnsi="Verdana"/>
                <w:color w:val="FFFFFF"/>
                <w:sz w:val="18"/>
              </w:rPr>
              <w:t>Promoting food chain organisation and risk management in agriculture</w:t>
            </w: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3А</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r>
      <w:tr w:rsidR="00F24971" w:rsidRPr="005B6074" w:rsidTr="00F24971">
        <w:trPr>
          <w:trHeight w:val="269"/>
        </w:trPr>
        <w:tc>
          <w:tcPr>
            <w:tcW w:w="2825"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ind w:left="-108" w:right="-163"/>
              <w:jc w:val="center"/>
              <w:rPr>
                <w:rFonts w:ascii="Verdana" w:eastAsia="Times New Roman" w:hAnsi="Verdana"/>
                <w:color w:val="FFFFFF"/>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3B</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r>
      <w:tr w:rsidR="00F24971" w:rsidRPr="005B6074" w:rsidTr="00F24971">
        <w:trPr>
          <w:trHeight w:val="390"/>
        </w:trPr>
        <w:tc>
          <w:tcPr>
            <w:tcW w:w="2825" w:type="dxa"/>
            <w:vMerge w:val="restart"/>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A35E98" w:rsidP="00F24971">
            <w:pPr>
              <w:spacing w:after="0" w:line="240" w:lineRule="auto"/>
              <w:ind w:left="-108" w:right="-163"/>
              <w:jc w:val="center"/>
              <w:rPr>
                <w:rFonts w:ascii="Verdana" w:eastAsia="Times New Roman" w:hAnsi="Verdana"/>
                <w:color w:val="FFFFFF"/>
                <w:sz w:val="18"/>
                <w:szCs w:val="18"/>
              </w:rPr>
            </w:pPr>
            <w:r w:rsidRPr="005B6074">
              <w:rPr>
                <w:rFonts w:ascii="Verdana" w:hAnsi="Verdana"/>
                <w:color w:val="FFFFFF"/>
                <w:sz w:val="18"/>
              </w:rPr>
              <w:t>Restoring, preserving and enhancing ecosystems related to agriculture and forestry</w:t>
            </w: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4А</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r>
      <w:tr w:rsidR="00F24971" w:rsidRPr="005B6074" w:rsidTr="00F24971">
        <w:trPr>
          <w:trHeight w:val="390"/>
        </w:trPr>
        <w:tc>
          <w:tcPr>
            <w:tcW w:w="2825"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ind w:left="-108" w:right="-163"/>
              <w:jc w:val="center"/>
              <w:rPr>
                <w:rFonts w:ascii="Verdana" w:eastAsia="Times New Roman" w:hAnsi="Verdana"/>
                <w:color w:val="FFFFFF"/>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4B</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r>
      <w:tr w:rsidR="00F24971" w:rsidRPr="005B6074" w:rsidTr="00F24971">
        <w:trPr>
          <w:trHeight w:val="390"/>
        </w:trPr>
        <w:tc>
          <w:tcPr>
            <w:tcW w:w="2825"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ind w:left="-108" w:right="-163"/>
              <w:jc w:val="center"/>
              <w:rPr>
                <w:rFonts w:ascii="Verdana" w:eastAsia="Times New Roman" w:hAnsi="Verdana"/>
                <w:color w:val="FFFFFF"/>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4C</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r>
      <w:tr w:rsidR="00F24971" w:rsidRPr="005B6074" w:rsidTr="00F24971">
        <w:trPr>
          <w:trHeight w:val="530"/>
        </w:trPr>
        <w:tc>
          <w:tcPr>
            <w:tcW w:w="2825" w:type="dxa"/>
            <w:vMerge w:val="restart"/>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A35E98" w:rsidP="00F24971">
            <w:pPr>
              <w:spacing w:after="0" w:line="240" w:lineRule="auto"/>
              <w:ind w:left="-108" w:right="-163"/>
              <w:jc w:val="center"/>
              <w:rPr>
                <w:rFonts w:ascii="Verdana" w:eastAsia="Times New Roman" w:hAnsi="Verdana"/>
                <w:color w:val="FFFFFF"/>
                <w:sz w:val="18"/>
                <w:szCs w:val="18"/>
              </w:rPr>
            </w:pPr>
            <w:r w:rsidRPr="005B6074">
              <w:rPr>
                <w:rFonts w:ascii="Verdana" w:hAnsi="Verdana"/>
                <w:color w:val="FFFFFF"/>
                <w:sz w:val="18"/>
              </w:rPr>
              <w:t>Promoting resource efficiency and supporting the shift towards a low carbon and climate resilient economy in agriculture, food and forestry sectors</w:t>
            </w: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5А</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r>
      <w:tr w:rsidR="00F24971" w:rsidRPr="005B6074" w:rsidTr="00F24971">
        <w:trPr>
          <w:trHeight w:val="413"/>
        </w:trPr>
        <w:tc>
          <w:tcPr>
            <w:tcW w:w="2825"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ind w:left="-108" w:right="-163"/>
              <w:jc w:val="center"/>
              <w:rPr>
                <w:rFonts w:ascii="Verdana" w:eastAsia="Times New Roman" w:hAnsi="Verdana"/>
                <w:color w:val="FFFFFF"/>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5B</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r>
      <w:tr w:rsidR="00F24971" w:rsidRPr="005B6074" w:rsidTr="00F24971">
        <w:trPr>
          <w:trHeight w:val="512"/>
        </w:trPr>
        <w:tc>
          <w:tcPr>
            <w:tcW w:w="2825"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ind w:left="-108" w:right="-163"/>
              <w:jc w:val="center"/>
              <w:rPr>
                <w:rFonts w:ascii="Verdana" w:eastAsia="Times New Roman" w:hAnsi="Verdana"/>
                <w:color w:val="FFFFFF"/>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5C</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r>
      <w:tr w:rsidR="00F24971" w:rsidRPr="005B6074" w:rsidTr="00F24971">
        <w:trPr>
          <w:trHeight w:val="548"/>
        </w:trPr>
        <w:tc>
          <w:tcPr>
            <w:tcW w:w="2825"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ind w:left="-108" w:right="-163"/>
              <w:jc w:val="center"/>
              <w:rPr>
                <w:rFonts w:ascii="Verdana" w:eastAsia="Times New Roman" w:hAnsi="Verdana"/>
                <w:color w:val="FFFFFF"/>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5D</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r>
      <w:tr w:rsidR="00F24971" w:rsidRPr="005B6074" w:rsidTr="00F24971">
        <w:trPr>
          <w:trHeight w:val="251"/>
        </w:trPr>
        <w:tc>
          <w:tcPr>
            <w:tcW w:w="2825"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ind w:left="-108" w:right="-163"/>
              <w:jc w:val="center"/>
              <w:rPr>
                <w:rFonts w:ascii="Verdana" w:eastAsia="Times New Roman" w:hAnsi="Verdana"/>
                <w:color w:val="FFFFFF"/>
                <w:sz w:val="18"/>
                <w:szCs w:val="18"/>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5E</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r>
      <w:tr w:rsidR="00F24971" w:rsidRPr="005B6074" w:rsidTr="00F24971">
        <w:trPr>
          <w:trHeight w:val="422"/>
        </w:trPr>
        <w:tc>
          <w:tcPr>
            <w:tcW w:w="2825" w:type="dxa"/>
            <w:vMerge w:val="restart"/>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A35E98" w:rsidP="00F24971">
            <w:pPr>
              <w:spacing w:after="0" w:line="240" w:lineRule="auto"/>
              <w:ind w:left="-108" w:right="-163"/>
              <w:jc w:val="center"/>
              <w:rPr>
                <w:rFonts w:ascii="Verdana" w:eastAsia="Times New Roman" w:hAnsi="Verdana"/>
                <w:color w:val="FFFFFF"/>
                <w:sz w:val="18"/>
                <w:szCs w:val="18"/>
              </w:rPr>
            </w:pPr>
            <w:r w:rsidRPr="005B6074">
              <w:rPr>
                <w:rFonts w:ascii="Verdana" w:hAnsi="Verdana"/>
                <w:color w:val="FFFFFF"/>
                <w:sz w:val="18"/>
              </w:rPr>
              <w:t>Restoring, preserving and enhancing ecosystems related to agriculture and forestry</w:t>
            </w: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6А</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r>
      <w:tr w:rsidR="00F24971" w:rsidRPr="005B6074" w:rsidTr="00F24971">
        <w:trPr>
          <w:trHeight w:val="350"/>
        </w:trPr>
        <w:tc>
          <w:tcPr>
            <w:tcW w:w="2825"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rPr>
                <w:rFonts w:ascii="Verdana" w:eastAsia="Times New Roman" w:hAnsi="Verdana"/>
                <w:color w:val="FFFFFF"/>
                <w:sz w:val="20"/>
                <w:szCs w:val="20"/>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6B</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A35E98" w:rsidP="00F24971">
            <w:pPr>
              <w:spacing w:after="0" w:line="240" w:lineRule="auto"/>
              <w:jc w:val="center"/>
              <w:rPr>
                <w:rFonts w:ascii="Wingdings 2" w:eastAsia="Times New Roman" w:hAnsi="Wingdings 2"/>
                <w:color w:val="0070C0"/>
                <w:sz w:val="26"/>
                <w:szCs w:val="26"/>
              </w:rPr>
            </w:pPr>
            <w:r w:rsidRPr="005B6074">
              <w:rPr>
                <w:rFonts w:ascii="Wingdings 2" w:hAnsi="Wingdings 2"/>
                <w:color w:val="0070C0"/>
                <w:sz w:val="26"/>
              </w:rPr>
              <w:t></w:t>
            </w: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r>
      <w:tr w:rsidR="00F24971" w:rsidRPr="005B6074" w:rsidTr="00F24971">
        <w:trPr>
          <w:trHeight w:val="260"/>
        </w:trPr>
        <w:tc>
          <w:tcPr>
            <w:tcW w:w="2825" w:type="dxa"/>
            <w:vMerge/>
            <w:tcBorders>
              <w:top w:val="nil"/>
              <w:left w:val="single" w:sz="4" w:space="0" w:color="auto"/>
              <w:bottom w:val="single" w:sz="4" w:space="0" w:color="auto"/>
              <w:right w:val="single" w:sz="4" w:space="0" w:color="auto"/>
            </w:tcBorders>
            <w:shd w:val="clear" w:color="auto" w:fill="548DD4"/>
            <w:vAlign w:val="center"/>
            <w:hideMark/>
          </w:tcPr>
          <w:p w:rsidR="00F24971" w:rsidRPr="005B6074" w:rsidRDefault="00F24971" w:rsidP="00F24971">
            <w:pPr>
              <w:spacing w:after="0" w:line="240" w:lineRule="auto"/>
              <w:rPr>
                <w:rFonts w:ascii="Verdana" w:eastAsia="Times New Roman" w:hAnsi="Verdana"/>
                <w:color w:val="FFFFFF"/>
                <w:sz w:val="20"/>
                <w:szCs w:val="20"/>
              </w:rPr>
            </w:pPr>
          </w:p>
        </w:tc>
        <w:tc>
          <w:tcPr>
            <w:tcW w:w="1311" w:type="dxa"/>
            <w:tcBorders>
              <w:top w:val="nil"/>
              <w:left w:val="nil"/>
              <w:bottom w:val="single" w:sz="4" w:space="0" w:color="auto"/>
              <w:right w:val="single" w:sz="4" w:space="0" w:color="auto"/>
            </w:tcBorders>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6C</w:t>
            </w:r>
          </w:p>
        </w:tc>
        <w:tc>
          <w:tcPr>
            <w:tcW w:w="82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1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701"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899"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c>
          <w:tcPr>
            <w:tcW w:w="1032" w:type="dxa"/>
            <w:tcBorders>
              <w:top w:val="nil"/>
              <w:left w:val="nil"/>
              <w:bottom w:val="single" w:sz="4" w:space="0" w:color="auto"/>
              <w:right w:val="single" w:sz="4" w:space="0" w:color="auto"/>
            </w:tcBorders>
            <w:shd w:val="clear" w:color="auto" w:fill="auto"/>
            <w:vAlign w:val="center"/>
            <w:hideMark/>
          </w:tcPr>
          <w:p w:rsidR="00F24971" w:rsidRPr="005B6074" w:rsidRDefault="00F24971" w:rsidP="00F24971">
            <w:pPr>
              <w:spacing w:after="0" w:line="240" w:lineRule="auto"/>
              <w:jc w:val="center"/>
              <w:rPr>
                <w:rFonts w:ascii="Wingdings 2" w:eastAsia="Times New Roman" w:hAnsi="Wingdings 2"/>
                <w:color w:val="0070C0"/>
                <w:sz w:val="26"/>
                <w:szCs w:val="26"/>
              </w:rPr>
            </w:pPr>
          </w:p>
        </w:tc>
      </w:tr>
    </w:tbl>
    <w:p w:rsidR="00F24971" w:rsidRPr="005B6074" w:rsidRDefault="00A35E98" w:rsidP="00F24971">
      <w:pPr>
        <w:spacing w:before="120"/>
        <w:rPr>
          <w:rFonts w:ascii="Verdana" w:hAnsi="Verdana"/>
          <w:i/>
          <w:sz w:val="18"/>
          <w:szCs w:val="18"/>
        </w:rPr>
      </w:pPr>
      <w:r w:rsidRPr="005B6074">
        <w:rPr>
          <w:rFonts w:ascii="Verdana" w:hAnsi="Verdana"/>
          <w:i/>
          <w:sz w:val="18"/>
        </w:rPr>
        <w:t xml:space="preserve">Legend: </w:t>
      </w:r>
      <w:r w:rsidRPr="005B6074">
        <w:rPr>
          <w:rFonts w:ascii="Wingdings 2" w:hAnsi="Wingdings 2"/>
          <w:color w:val="0070C0"/>
          <w:sz w:val="26"/>
        </w:rPr>
        <w:t></w:t>
      </w:r>
      <w:r w:rsidRPr="005B6074">
        <w:rPr>
          <w:rFonts w:ascii="Verdana" w:hAnsi="Verdana"/>
          <w:i/>
          <w:sz w:val="18"/>
        </w:rPr>
        <w:t xml:space="preserve"> - weak connection, </w:t>
      </w:r>
      <w:r w:rsidRPr="005B6074">
        <w:rPr>
          <w:rFonts w:ascii="Wingdings 2" w:hAnsi="Wingdings 2"/>
          <w:color w:val="0070C0"/>
          <w:sz w:val="26"/>
        </w:rPr>
        <w:t></w:t>
      </w:r>
      <w:r w:rsidRPr="005B6074">
        <w:rPr>
          <w:rFonts w:ascii="Wingdings 2" w:hAnsi="Wingdings 2"/>
          <w:color w:val="0070C0"/>
          <w:sz w:val="26"/>
        </w:rPr>
        <w:t></w:t>
      </w:r>
      <w:r w:rsidRPr="005B6074">
        <w:rPr>
          <w:rFonts w:ascii="Verdana" w:hAnsi="Verdana"/>
          <w:sz w:val="26"/>
        </w:rPr>
        <w:t xml:space="preserve">- </w:t>
      </w:r>
      <w:r w:rsidRPr="005B6074">
        <w:rPr>
          <w:rFonts w:ascii="Verdana" w:hAnsi="Verdana"/>
          <w:i/>
          <w:sz w:val="18"/>
        </w:rPr>
        <w:t xml:space="preserve">average connection, </w:t>
      </w:r>
      <w:r w:rsidRPr="005B6074">
        <w:rPr>
          <w:rFonts w:ascii="Wingdings 2" w:hAnsi="Wingdings 2"/>
          <w:color w:val="0070C0"/>
          <w:sz w:val="26"/>
        </w:rPr>
        <w:t></w:t>
      </w:r>
      <w:r w:rsidRPr="005B6074">
        <w:rPr>
          <w:rFonts w:ascii="Wingdings 2" w:hAnsi="Wingdings 2"/>
          <w:color w:val="0070C0"/>
          <w:sz w:val="26"/>
        </w:rPr>
        <w:t></w:t>
      </w:r>
      <w:r w:rsidRPr="005B6074">
        <w:rPr>
          <w:rFonts w:ascii="Wingdings 2" w:hAnsi="Wingdings 2"/>
          <w:color w:val="0070C0"/>
          <w:sz w:val="26"/>
        </w:rPr>
        <w:t></w:t>
      </w:r>
      <w:r w:rsidRPr="005B6074">
        <w:rPr>
          <w:rFonts w:ascii="Verdana" w:hAnsi="Verdana"/>
          <w:i/>
          <w:sz w:val="18"/>
        </w:rPr>
        <w:t xml:space="preserve"> - strong connection</w:t>
      </w:r>
    </w:p>
    <w:p w:rsidR="00F24971" w:rsidRDefault="00A35E98" w:rsidP="00F24971">
      <w:pPr>
        <w:keepNext/>
        <w:spacing w:before="240" w:after="120"/>
        <w:rPr>
          <w:rFonts w:ascii="Verdana" w:hAnsi="Verdana"/>
          <w:b/>
          <w:color w:val="548DD4"/>
          <w:sz w:val="20"/>
        </w:rPr>
      </w:pPr>
      <w:bookmarkStart w:id="94" w:name="_Toc390257070"/>
      <w:bookmarkStart w:id="95" w:name="_Toc396225609"/>
      <w:r w:rsidRPr="005B6074">
        <w:rPr>
          <w:rFonts w:ascii="Verdana" w:hAnsi="Verdana"/>
          <w:b/>
          <w:color w:val="548DD4"/>
          <w:sz w:val="20"/>
        </w:rPr>
        <w:lastRenderedPageBreak/>
        <w:t xml:space="preserve">Table </w:t>
      </w:r>
      <w:r w:rsidRPr="005B6074">
        <w:rPr>
          <w:rFonts w:ascii="Verdana" w:hAnsi="Verdana"/>
          <w:b/>
          <w:color w:val="548DD4"/>
          <w:sz w:val="20"/>
        </w:rPr>
        <w:fldChar w:fldCharType="begin"/>
      </w:r>
      <w:r w:rsidRPr="005B6074">
        <w:rPr>
          <w:rFonts w:ascii="Verdana" w:hAnsi="Verdana"/>
          <w:b/>
          <w:color w:val="548DD4"/>
          <w:sz w:val="20"/>
        </w:rPr>
        <w:instrText>SEQ таблица \* ARABIC</w:instrText>
      </w:r>
      <w:r w:rsidRPr="005B6074">
        <w:rPr>
          <w:rFonts w:ascii="Verdana" w:hAnsi="Verdana"/>
          <w:b/>
          <w:color w:val="548DD4"/>
          <w:sz w:val="20"/>
        </w:rPr>
        <w:fldChar w:fldCharType="separate"/>
      </w:r>
      <w:r w:rsidR="009330F5">
        <w:rPr>
          <w:rFonts w:ascii="Verdana" w:hAnsi="Verdana"/>
          <w:b/>
          <w:noProof/>
          <w:color w:val="548DD4"/>
          <w:sz w:val="20"/>
        </w:rPr>
        <w:t>14</w:t>
      </w:r>
      <w:r w:rsidRPr="005B6074">
        <w:rPr>
          <w:rFonts w:ascii="Verdana" w:hAnsi="Verdana"/>
          <w:b/>
          <w:color w:val="548DD4"/>
          <w:sz w:val="20"/>
        </w:rPr>
        <w:fldChar w:fldCharType="end"/>
      </w:r>
      <w:r w:rsidRPr="005B6074">
        <w:rPr>
          <w:rFonts w:ascii="Verdana" w:hAnsi="Verdana"/>
          <w:b/>
          <w:color w:val="548DD4"/>
          <w:sz w:val="20"/>
        </w:rPr>
        <w:t xml:space="preserve">. Complementarity and Demarcation of </w:t>
      </w:r>
      <w:r w:rsidR="005B35A7">
        <w:rPr>
          <w:rFonts w:ascii="Verdana" w:hAnsi="Verdana"/>
          <w:b/>
          <w:color w:val="548DD4"/>
          <w:sz w:val="20"/>
        </w:rPr>
        <w:t>OPSESG</w:t>
      </w:r>
      <w:r w:rsidRPr="005B6074">
        <w:rPr>
          <w:rFonts w:ascii="Verdana" w:hAnsi="Verdana"/>
          <w:b/>
          <w:color w:val="548DD4"/>
          <w:sz w:val="20"/>
        </w:rPr>
        <w:t xml:space="preserve"> and RDP</w:t>
      </w:r>
      <w:bookmarkEnd w:id="94"/>
      <w:bookmarkEnd w:id="95"/>
    </w:p>
    <w:tbl>
      <w:tblPr>
        <w:tblW w:w="0" w:type="auto"/>
        <w:tblInd w:w="-147"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000" w:firstRow="0" w:lastRow="0" w:firstColumn="0" w:lastColumn="0" w:noHBand="0" w:noVBand="0"/>
      </w:tblPr>
      <w:tblGrid>
        <w:gridCol w:w="1985"/>
        <w:gridCol w:w="6987"/>
      </w:tblGrid>
      <w:tr w:rsidR="00F24971" w:rsidRPr="005B6074" w:rsidTr="00F52AAA">
        <w:tc>
          <w:tcPr>
            <w:tcW w:w="1985" w:type="dxa"/>
            <w:shd w:val="clear" w:color="auto" w:fill="548DD4"/>
          </w:tcPr>
          <w:p w:rsidR="00F24971" w:rsidRPr="00931B15" w:rsidRDefault="00A35E98" w:rsidP="00931B15">
            <w:pPr>
              <w:spacing w:after="0"/>
              <w:rPr>
                <w:rFonts w:ascii="Verdana" w:hAnsi="Verdana"/>
                <w:color w:val="FFFFFF" w:themeColor="background1"/>
                <w:sz w:val="20"/>
                <w:szCs w:val="20"/>
              </w:rPr>
            </w:pPr>
            <w:r w:rsidRPr="00931B15">
              <w:rPr>
                <w:rFonts w:ascii="Verdana" w:hAnsi="Verdana"/>
                <w:color w:val="FFFFFF" w:themeColor="background1"/>
                <w:sz w:val="20"/>
                <w:szCs w:val="20"/>
              </w:rPr>
              <w:t xml:space="preserve">Complementarity / Demarcation </w:t>
            </w:r>
            <w:r w:rsidR="00F52AAA" w:rsidRPr="00931B15">
              <w:rPr>
                <w:rFonts w:ascii="Verdana" w:hAnsi="Verdana"/>
                <w:color w:val="FFFFFF" w:themeColor="background1"/>
                <w:sz w:val="20"/>
                <w:szCs w:val="20"/>
              </w:rPr>
              <w:t>noted in the OPSESG</w:t>
            </w:r>
          </w:p>
        </w:tc>
        <w:tc>
          <w:tcPr>
            <w:tcW w:w="6987" w:type="dxa"/>
          </w:tcPr>
          <w:p w:rsidR="00F24971" w:rsidRPr="005B6074" w:rsidRDefault="00A35E98" w:rsidP="004D5FA1">
            <w:pPr>
              <w:spacing w:after="0"/>
              <w:rPr>
                <w:rFonts w:ascii="Verdana" w:hAnsi="Verdana"/>
                <w:sz w:val="20"/>
                <w:szCs w:val="20"/>
              </w:rPr>
            </w:pPr>
            <w:r w:rsidRPr="004D5FA1">
              <w:rPr>
                <w:rFonts w:ascii="Verdana" w:hAnsi="Verdana"/>
                <w:b/>
                <w:sz w:val="20"/>
                <w:szCs w:val="20"/>
              </w:rPr>
              <w:t>Complementarity:</w:t>
            </w:r>
            <w:r w:rsidRPr="004D5FA1">
              <w:rPr>
                <w:rFonts w:ascii="Verdana" w:hAnsi="Verdana"/>
                <w:sz w:val="20"/>
                <w:szCs w:val="20"/>
              </w:rPr>
              <w:t xml:space="preserve"> It is noted that RDP envisages measures related to the educational infrastructure in rural areas that will complement the infrastructure support under OPRG in urban areas. OPSESG at the same time envisaged possibilities for investment in equipment related to the learning process and mostly to ICT. </w:t>
            </w:r>
          </w:p>
          <w:p w:rsidR="00F24971" w:rsidRPr="004D5FA1" w:rsidRDefault="00A35E98" w:rsidP="004D5FA1">
            <w:pPr>
              <w:spacing w:after="0"/>
              <w:rPr>
                <w:rFonts w:ascii="Verdana" w:hAnsi="Verdana"/>
                <w:sz w:val="20"/>
                <w:szCs w:val="20"/>
              </w:rPr>
            </w:pPr>
            <w:r w:rsidRPr="004D5FA1">
              <w:rPr>
                <w:rFonts w:ascii="Verdana" w:hAnsi="Verdana"/>
                <w:sz w:val="20"/>
                <w:szCs w:val="20"/>
              </w:rPr>
              <w:t xml:space="preserve">Section 8 of OPSESG mentions a possible complementarity with regard to "fostering knowledge transfer and innovation in agriculture, forestry, and rural areas" through optimisation of the system of training in the Agricultural Academy and its structures. The last measure is not laid down in the OPSESG version of May 2014 and is therefore to be reviewed. </w:t>
            </w:r>
          </w:p>
          <w:p w:rsidR="00F24971" w:rsidRPr="005B6074" w:rsidRDefault="00A35E98" w:rsidP="004D5FA1">
            <w:pPr>
              <w:spacing w:after="0"/>
              <w:rPr>
                <w:rFonts w:ascii="Verdana" w:hAnsi="Verdana"/>
                <w:sz w:val="20"/>
                <w:szCs w:val="20"/>
              </w:rPr>
            </w:pPr>
            <w:r w:rsidRPr="004D5FA1">
              <w:rPr>
                <w:rFonts w:ascii="Verdana" w:hAnsi="Verdana"/>
                <w:b/>
                <w:sz w:val="20"/>
                <w:szCs w:val="20"/>
              </w:rPr>
              <w:t>Demarcation:</w:t>
            </w:r>
            <w:r w:rsidRPr="004D5FA1">
              <w:rPr>
                <w:rFonts w:ascii="Verdana" w:hAnsi="Verdana"/>
                <w:sz w:val="20"/>
                <w:szCs w:val="20"/>
              </w:rPr>
              <w:t xml:space="preserve"> Concerning the provision of training, it is noted that RDP training does not include instruction or training courses which are part of any standard programmes or systems of training for secondary or higher schools.  The texts referring to Article 35 of Regulation 1305/2013 are vague.</w:t>
            </w:r>
          </w:p>
        </w:tc>
      </w:tr>
      <w:tr w:rsidR="00F24971" w:rsidRPr="005B6074" w:rsidTr="00F52AAA">
        <w:tc>
          <w:tcPr>
            <w:tcW w:w="1985" w:type="dxa"/>
            <w:shd w:val="clear" w:color="auto" w:fill="548DD4"/>
          </w:tcPr>
          <w:p w:rsidR="00F24971" w:rsidRPr="00931B15" w:rsidRDefault="00A35E98" w:rsidP="00931B15">
            <w:pPr>
              <w:spacing w:after="0"/>
              <w:rPr>
                <w:rFonts w:ascii="Verdana" w:hAnsi="Verdana"/>
                <w:color w:val="FFFFFF" w:themeColor="background1"/>
                <w:sz w:val="20"/>
                <w:szCs w:val="20"/>
              </w:rPr>
            </w:pPr>
            <w:r w:rsidRPr="00931B15">
              <w:rPr>
                <w:rFonts w:ascii="Verdana" w:hAnsi="Verdana"/>
                <w:color w:val="FFFFFF" w:themeColor="background1"/>
                <w:sz w:val="20"/>
                <w:szCs w:val="20"/>
              </w:rPr>
              <w:t>Comments</w:t>
            </w:r>
          </w:p>
        </w:tc>
        <w:tc>
          <w:tcPr>
            <w:tcW w:w="6987" w:type="dxa"/>
          </w:tcPr>
          <w:p w:rsidR="00F24971" w:rsidRPr="005B6074" w:rsidRDefault="00A35E98" w:rsidP="004D5FA1">
            <w:pPr>
              <w:spacing w:after="0"/>
              <w:rPr>
                <w:rFonts w:ascii="Verdana" w:hAnsi="Verdana"/>
                <w:sz w:val="20"/>
                <w:szCs w:val="20"/>
              </w:rPr>
            </w:pPr>
            <w:r w:rsidRPr="004D5FA1">
              <w:rPr>
                <w:rFonts w:ascii="Verdana" w:hAnsi="Verdana"/>
                <w:sz w:val="20"/>
                <w:szCs w:val="20"/>
              </w:rPr>
              <w:t xml:space="preserve">The implementation of the objectives of PA 1 and PA 2 of </w:t>
            </w:r>
            <w:r w:rsidR="005B35A7">
              <w:rPr>
                <w:rFonts w:ascii="Verdana" w:hAnsi="Verdana"/>
                <w:sz w:val="20"/>
                <w:szCs w:val="20"/>
              </w:rPr>
              <w:t>OPSESG</w:t>
            </w:r>
            <w:r w:rsidRPr="004D5FA1">
              <w:rPr>
                <w:rFonts w:ascii="Verdana" w:hAnsi="Verdana"/>
                <w:sz w:val="20"/>
                <w:szCs w:val="20"/>
              </w:rPr>
              <w:t xml:space="preserve"> will be complemented by RDP through sub-measure 1.1 Professional training and skill acquisition" (contributing to Priority Areas 2А; 2B; 3А; 3B; 4А; 4C; 5А; 5B; 5C; 5D; 5E) and sub-measure 1.2 "Demonstration activities and awareness activities" (contributing to Priority Areas 2А; 4B; 4C; 5А; 5B; 5D; 5E). At the same time there is a potential option for doubling of financing for beneficiaries as sub-measure 1.1 of RDP envisages "the purchase or leasing of new machines and equipment for demonstration activities implemented on a demonstration site which may be a testing ground or educational and testing ground or a laboratory of a scientific institute, university or a vocational high schools which train or make research in agriculture, food and forestry" which partially overlaps with some activities laid down in PA 1, IP2 of OPSESG.</w:t>
            </w:r>
          </w:p>
          <w:p w:rsidR="00F24971" w:rsidRPr="005B6074" w:rsidRDefault="00A35E98" w:rsidP="004D5FA1">
            <w:pPr>
              <w:spacing w:after="0"/>
              <w:rPr>
                <w:rFonts w:ascii="Verdana" w:hAnsi="Verdana"/>
                <w:sz w:val="20"/>
                <w:szCs w:val="20"/>
              </w:rPr>
            </w:pPr>
            <w:r w:rsidRPr="004D5FA1">
              <w:rPr>
                <w:rFonts w:ascii="Verdana" w:hAnsi="Verdana"/>
                <w:sz w:val="20"/>
                <w:szCs w:val="20"/>
              </w:rPr>
              <w:t>There is complementarity of the programmes concerning educational infrastructure inasmuch as RDP will be granting financing for reconstruction, repairs, equipment and/or furnishing of educational infrastructure of local importance in rural areas (sub-measure 7.2 of RDP, contributing to priority areas 3А, 5B and 6B), while OPSESG will ensure financing through "soft measures" of educational infrastructure sites (PA 2, IP 1). Complementarity may also be found with regard to ensuring access to information technologies – RDP (Measure 7.3) plans investment for broadband infrastructure while PA 2, IP 1 of OPSESG plans activities related to the introduction of ICT in schools.</w:t>
            </w:r>
          </w:p>
          <w:p w:rsidR="00F24971" w:rsidRPr="005B6074" w:rsidRDefault="00A35E98" w:rsidP="004D5FA1">
            <w:pPr>
              <w:spacing w:after="0"/>
              <w:rPr>
                <w:rFonts w:ascii="Verdana" w:hAnsi="Verdana"/>
                <w:sz w:val="20"/>
                <w:szCs w:val="20"/>
              </w:rPr>
            </w:pPr>
            <w:r w:rsidRPr="004D5FA1">
              <w:rPr>
                <w:rFonts w:ascii="Verdana" w:hAnsi="Verdana"/>
                <w:sz w:val="20"/>
                <w:szCs w:val="20"/>
              </w:rPr>
              <w:t xml:space="preserve">Along with the area of complementarity of the two programmes, it should also be noted that there is a possibility for potential </w:t>
            </w:r>
            <w:r w:rsidRPr="004D5FA1">
              <w:rPr>
                <w:rFonts w:ascii="Verdana" w:hAnsi="Verdana"/>
                <w:sz w:val="20"/>
                <w:szCs w:val="20"/>
              </w:rPr>
              <w:lastRenderedPageBreak/>
              <w:t>overlapping of investment as OPSESG also plans possibilities for investment in school equipment, including rural areas, and mostly ICT (PA2, IP1).</w:t>
            </w:r>
          </w:p>
          <w:p w:rsidR="00F24971" w:rsidRPr="005B6074" w:rsidRDefault="00A35E98" w:rsidP="004D5FA1">
            <w:pPr>
              <w:spacing w:after="0"/>
              <w:rPr>
                <w:rFonts w:ascii="Verdana" w:hAnsi="Verdana"/>
                <w:sz w:val="20"/>
                <w:szCs w:val="20"/>
              </w:rPr>
            </w:pPr>
            <w:r w:rsidRPr="004D5FA1">
              <w:rPr>
                <w:rFonts w:ascii="Verdana" w:hAnsi="Verdana"/>
                <w:sz w:val="20"/>
                <w:szCs w:val="20"/>
              </w:rPr>
              <w:t>In the area of knowledge transfer and innovation, RDP plans "financing of innovative investment projects within the local development strategies (projects directly linked to the introduction of new technologies)". This support will complement OPSESG activities for supporting applied research (PA1, IP2)</w:t>
            </w:r>
          </w:p>
        </w:tc>
      </w:tr>
      <w:tr w:rsidR="00F24971" w:rsidRPr="005B6074" w:rsidTr="00F52AAA">
        <w:tc>
          <w:tcPr>
            <w:tcW w:w="1985" w:type="dxa"/>
            <w:shd w:val="clear" w:color="auto" w:fill="548DD4"/>
          </w:tcPr>
          <w:p w:rsidR="00F24971" w:rsidRPr="00931B15" w:rsidRDefault="00A35E98" w:rsidP="00931B15">
            <w:pPr>
              <w:spacing w:after="0"/>
              <w:rPr>
                <w:rFonts w:ascii="Verdana" w:hAnsi="Verdana"/>
                <w:color w:val="FFFFFF" w:themeColor="background1"/>
                <w:sz w:val="20"/>
                <w:szCs w:val="20"/>
              </w:rPr>
            </w:pPr>
            <w:r w:rsidRPr="00931B15">
              <w:rPr>
                <w:rFonts w:ascii="Verdana" w:hAnsi="Verdana"/>
                <w:color w:val="FFFFFF" w:themeColor="background1"/>
                <w:sz w:val="20"/>
                <w:szCs w:val="20"/>
              </w:rPr>
              <w:lastRenderedPageBreak/>
              <w:t>Recommendation</w:t>
            </w:r>
          </w:p>
        </w:tc>
        <w:tc>
          <w:tcPr>
            <w:tcW w:w="6987" w:type="dxa"/>
          </w:tcPr>
          <w:p w:rsidR="00F24971" w:rsidRPr="005B6074" w:rsidRDefault="00A35E98" w:rsidP="004D5FA1">
            <w:pPr>
              <w:spacing w:after="0"/>
              <w:rPr>
                <w:rFonts w:ascii="Verdana" w:hAnsi="Verdana"/>
                <w:sz w:val="20"/>
                <w:szCs w:val="20"/>
              </w:rPr>
            </w:pPr>
            <w:r w:rsidRPr="004D5FA1">
              <w:rPr>
                <w:rFonts w:ascii="Verdana" w:hAnsi="Verdana"/>
                <w:sz w:val="20"/>
                <w:szCs w:val="20"/>
              </w:rPr>
              <w:t>A clearer demarcation of the programmes is needed with regard to the activities aimed at investment in educational infrastructure and purchase of machines and equipment by scientific institutes/higher education establishments.</w:t>
            </w:r>
          </w:p>
          <w:p w:rsidR="00F24971" w:rsidRPr="005B6074" w:rsidRDefault="00A35E98" w:rsidP="004D5FA1">
            <w:pPr>
              <w:spacing w:after="0"/>
              <w:rPr>
                <w:rFonts w:ascii="Verdana" w:hAnsi="Verdana"/>
                <w:sz w:val="20"/>
                <w:szCs w:val="20"/>
              </w:rPr>
            </w:pPr>
            <w:r w:rsidRPr="004D5FA1">
              <w:rPr>
                <w:rFonts w:ascii="Verdana" w:hAnsi="Verdana"/>
                <w:sz w:val="20"/>
                <w:szCs w:val="20"/>
              </w:rPr>
              <w:t>It is also necessary to make an inventory of the complementarity concerning scientific research and cooperation with businesses in agriculture, as well as to search for more complementarity options in this aspect.</w:t>
            </w:r>
          </w:p>
        </w:tc>
      </w:tr>
    </w:tbl>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Maritime and Fisheries Programme (MFP) 2014–2020</w:t>
      </w:r>
    </w:p>
    <w:p w:rsidR="00F24971" w:rsidRPr="005B6074" w:rsidRDefault="00F24971" w:rsidP="00F24971">
      <w:pPr>
        <w:pStyle w:val="Caption"/>
        <w:jc w:val="center"/>
        <w:rPr>
          <w:rFonts w:ascii="Verdana" w:hAnsi="Verdana"/>
          <w:color w:val="006CB6"/>
        </w:rPr>
      </w:pPr>
    </w:p>
    <w:tbl>
      <w:tblPr>
        <w:tblW w:w="9103" w:type="dxa"/>
        <w:tblInd w:w="95" w:type="dxa"/>
        <w:shd w:val="clear" w:color="auto" w:fill="DBE5F1"/>
        <w:tblLook w:val="04A0" w:firstRow="1" w:lastRow="0" w:firstColumn="1" w:lastColumn="0" w:noHBand="0" w:noVBand="1"/>
      </w:tblPr>
      <w:tblGrid>
        <w:gridCol w:w="9103"/>
      </w:tblGrid>
      <w:tr w:rsidR="00F24971" w:rsidRPr="005B6074" w:rsidTr="00F24971">
        <w:trPr>
          <w:trHeight w:val="300"/>
        </w:trPr>
        <w:tc>
          <w:tcPr>
            <w:tcW w:w="9103" w:type="dxa"/>
            <w:tcBorders>
              <w:top w:val="single" w:sz="4" w:space="0" w:color="auto"/>
              <w:bottom w:val="single" w:sz="4" w:space="0" w:color="auto"/>
            </w:tcBorders>
            <w:shd w:val="clear" w:color="auto" w:fill="548DD4"/>
            <w:hideMark/>
          </w:tcPr>
          <w:p w:rsidR="00F24971" w:rsidRPr="005B6074" w:rsidRDefault="00A35E98" w:rsidP="00F24971">
            <w:pPr>
              <w:spacing w:after="0" w:line="240" w:lineRule="auto"/>
              <w:jc w:val="both"/>
              <w:rPr>
                <w:rFonts w:ascii="Verdana" w:eastAsia="Times New Roman" w:hAnsi="Verdana"/>
                <w:bCs/>
                <w:color w:val="FFFFFF"/>
                <w:sz w:val="20"/>
                <w:szCs w:val="20"/>
              </w:rPr>
            </w:pPr>
            <w:r w:rsidRPr="005B6074">
              <w:rPr>
                <w:rFonts w:ascii="Verdana" w:hAnsi="Verdana"/>
                <w:color w:val="FFFFFF"/>
                <w:sz w:val="20"/>
              </w:rPr>
              <w:t>Chapter I: Sustainable Development of Fisheries</w:t>
            </w:r>
          </w:p>
        </w:tc>
      </w:tr>
      <w:tr w:rsidR="00F24971" w:rsidRPr="005B6074" w:rsidTr="00F24971">
        <w:trPr>
          <w:trHeight w:val="300"/>
        </w:trPr>
        <w:tc>
          <w:tcPr>
            <w:tcW w:w="9103" w:type="dxa"/>
            <w:tcBorders>
              <w:top w:val="single" w:sz="4" w:space="0" w:color="auto"/>
            </w:tcBorders>
            <w:shd w:val="clear" w:color="auto" w:fill="auto"/>
            <w:hideMark/>
          </w:tcPr>
          <w:p w:rsidR="00F24971" w:rsidRPr="005B6074" w:rsidRDefault="00A35E98" w:rsidP="00F24971">
            <w:pPr>
              <w:spacing w:after="0" w:line="240" w:lineRule="auto"/>
              <w:rPr>
                <w:rFonts w:ascii="Verdana" w:eastAsia="Times New Roman" w:hAnsi="Verdana"/>
                <w:color w:val="000000"/>
                <w:sz w:val="20"/>
                <w:szCs w:val="20"/>
              </w:rPr>
            </w:pPr>
            <w:r w:rsidRPr="005B6074">
              <w:rPr>
                <w:rFonts w:ascii="Verdana" w:hAnsi="Verdana"/>
                <w:color w:val="000000"/>
                <w:sz w:val="20"/>
              </w:rPr>
              <w:t xml:space="preserve">1. Innovations in fisheries </w:t>
            </w:r>
          </w:p>
        </w:tc>
      </w:tr>
      <w:tr w:rsidR="00F24971" w:rsidRPr="005B6074" w:rsidTr="00F24971">
        <w:trPr>
          <w:trHeight w:val="300"/>
        </w:trPr>
        <w:tc>
          <w:tcPr>
            <w:tcW w:w="9103" w:type="dxa"/>
            <w:shd w:val="clear" w:color="auto" w:fill="auto"/>
            <w:hideMark/>
          </w:tcPr>
          <w:p w:rsidR="00F24971" w:rsidRPr="005B6074" w:rsidRDefault="00A35E98" w:rsidP="00F24971">
            <w:pPr>
              <w:spacing w:after="0" w:line="240" w:lineRule="auto"/>
              <w:rPr>
                <w:rFonts w:ascii="Verdana" w:eastAsia="Times New Roman" w:hAnsi="Verdana"/>
                <w:color w:val="000000"/>
                <w:sz w:val="20"/>
                <w:szCs w:val="20"/>
              </w:rPr>
            </w:pPr>
            <w:r w:rsidRPr="005B6074">
              <w:rPr>
                <w:rFonts w:ascii="Verdana" w:hAnsi="Verdana"/>
                <w:color w:val="000000"/>
                <w:sz w:val="20"/>
              </w:rPr>
              <w:t>2. New forms of income, diversification and job creation in fisheries</w:t>
            </w:r>
          </w:p>
        </w:tc>
      </w:tr>
      <w:tr w:rsidR="00F24971" w:rsidRPr="005B6074" w:rsidTr="00F24971">
        <w:trPr>
          <w:trHeight w:val="300"/>
        </w:trPr>
        <w:tc>
          <w:tcPr>
            <w:tcW w:w="9103" w:type="dxa"/>
            <w:shd w:val="clear" w:color="auto" w:fill="auto"/>
            <w:hideMark/>
          </w:tcPr>
          <w:p w:rsidR="00F24971" w:rsidRPr="005B6074" w:rsidRDefault="00A35E98" w:rsidP="00F24971">
            <w:pPr>
              <w:spacing w:after="0" w:line="240" w:lineRule="auto"/>
              <w:rPr>
                <w:rFonts w:ascii="Verdana" w:eastAsia="Times New Roman" w:hAnsi="Verdana"/>
                <w:color w:val="000000"/>
                <w:sz w:val="20"/>
                <w:szCs w:val="20"/>
              </w:rPr>
            </w:pPr>
            <w:r w:rsidRPr="005B6074">
              <w:rPr>
                <w:rFonts w:ascii="Verdana" w:hAnsi="Verdana"/>
                <w:color w:val="000000"/>
                <w:sz w:val="20"/>
              </w:rPr>
              <w:t>3. Investments on board</w:t>
            </w:r>
          </w:p>
        </w:tc>
      </w:tr>
      <w:tr w:rsidR="00F24971" w:rsidRPr="005B6074" w:rsidTr="00F24971">
        <w:trPr>
          <w:trHeight w:val="300"/>
        </w:trPr>
        <w:tc>
          <w:tcPr>
            <w:tcW w:w="9103" w:type="dxa"/>
            <w:shd w:val="clear" w:color="auto" w:fill="auto"/>
            <w:hideMark/>
          </w:tcPr>
          <w:p w:rsidR="00F24971" w:rsidRPr="005B6074" w:rsidRDefault="00A35E98" w:rsidP="00F24971">
            <w:pPr>
              <w:spacing w:after="0" w:line="240" w:lineRule="auto"/>
              <w:rPr>
                <w:rFonts w:ascii="Verdana" w:eastAsia="Times New Roman" w:hAnsi="Verdana"/>
                <w:color w:val="000000"/>
                <w:sz w:val="20"/>
                <w:szCs w:val="20"/>
              </w:rPr>
            </w:pPr>
            <w:r w:rsidRPr="005B6074">
              <w:rPr>
                <w:rFonts w:ascii="Verdana" w:hAnsi="Verdana"/>
                <w:color w:val="000000"/>
                <w:sz w:val="20"/>
              </w:rPr>
              <w:t>4. Permanent cessations of fishing activities</w:t>
            </w:r>
          </w:p>
        </w:tc>
      </w:tr>
      <w:tr w:rsidR="00F24971" w:rsidRPr="005B6074" w:rsidTr="00F24971">
        <w:trPr>
          <w:trHeight w:val="300"/>
        </w:trPr>
        <w:tc>
          <w:tcPr>
            <w:tcW w:w="9103" w:type="dxa"/>
            <w:shd w:val="clear" w:color="auto" w:fill="auto"/>
            <w:hideMark/>
          </w:tcPr>
          <w:p w:rsidR="00F24971" w:rsidRPr="005B6074" w:rsidRDefault="00A35E98" w:rsidP="00F24971">
            <w:pPr>
              <w:spacing w:after="0" w:line="240" w:lineRule="auto"/>
              <w:rPr>
                <w:rFonts w:ascii="Verdana" w:eastAsia="Times New Roman" w:hAnsi="Verdana"/>
                <w:color w:val="000000"/>
                <w:sz w:val="20"/>
                <w:szCs w:val="20"/>
              </w:rPr>
            </w:pPr>
            <w:r w:rsidRPr="005B6074">
              <w:rPr>
                <w:rFonts w:ascii="Verdana" w:hAnsi="Verdana"/>
                <w:color w:val="000000"/>
                <w:sz w:val="20"/>
              </w:rPr>
              <w:t>5. Protection of and restoring marine biodiversity and ecosystems</w:t>
            </w:r>
          </w:p>
        </w:tc>
      </w:tr>
      <w:tr w:rsidR="00F24971" w:rsidRPr="005B6074" w:rsidTr="00F24971">
        <w:trPr>
          <w:trHeight w:val="300"/>
        </w:trPr>
        <w:tc>
          <w:tcPr>
            <w:tcW w:w="9103" w:type="dxa"/>
            <w:shd w:val="clear" w:color="auto" w:fill="auto"/>
            <w:hideMark/>
          </w:tcPr>
          <w:p w:rsidR="00F24971" w:rsidRPr="005B6074" w:rsidRDefault="00A35E98" w:rsidP="00F24971">
            <w:pPr>
              <w:spacing w:after="0" w:line="240" w:lineRule="auto"/>
              <w:rPr>
                <w:rFonts w:ascii="Verdana" w:eastAsia="Times New Roman" w:hAnsi="Verdana"/>
                <w:color w:val="000000"/>
                <w:sz w:val="20"/>
                <w:szCs w:val="20"/>
              </w:rPr>
            </w:pPr>
            <w:r w:rsidRPr="005B6074">
              <w:rPr>
                <w:rFonts w:ascii="Verdana" w:hAnsi="Verdana"/>
                <w:color w:val="000000"/>
                <w:sz w:val="20"/>
              </w:rPr>
              <w:t>6. Added value and quality of fisheries products</w:t>
            </w:r>
          </w:p>
        </w:tc>
      </w:tr>
      <w:tr w:rsidR="00F24971" w:rsidRPr="005B6074" w:rsidTr="00F24971">
        <w:trPr>
          <w:trHeight w:val="300"/>
        </w:trPr>
        <w:tc>
          <w:tcPr>
            <w:tcW w:w="9103" w:type="dxa"/>
            <w:tcBorders>
              <w:bottom w:val="single" w:sz="4" w:space="0" w:color="auto"/>
            </w:tcBorders>
            <w:shd w:val="clear" w:color="auto" w:fill="auto"/>
            <w:hideMark/>
          </w:tcPr>
          <w:p w:rsidR="00F24971" w:rsidRPr="005B6074" w:rsidRDefault="00A35E98" w:rsidP="00F24971">
            <w:pPr>
              <w:spacing w:after="0" w:line="240" w:lineRule="auto"/>
              <w:rPr>
                <w:rFonts w:ascii="Verdana" w:eastAsia="Times New Roman" w:hAnsi="Verdana"/>
                <w:color w:val="000000"/>
                <w:sz w:val="20"/>
                <w:szCs w:val="20"/>
              </w:rPr>
            </w:pPr>
            <w:r w:rsidRPr="005B6074">
              <w:rPr>
                <w:rFonts w:ascii="Verdana" w:hAnsi="Verdana"/>
                <w:color w:val="000000"/>
                <w:sz w:val="20"/>
              </w:rPr>
              <w:t>7. Fishing ports, landing sites and shelters</w:t>
            </w:r>
          </w:p>
        </w:tc>
      </w:tr>
      <w:tr w:rsidR="00F24971" w:rsidRPr="005B6074" w:rsidTr="00F24971">
        <w:trPr>
          <w:trHeight w:val="300"/>
        </w:trPr>
        <w:tc>
          <w:tcPr>
            <w:tcW w:w="9103" w:type="dxa"/>
            <w:tcBorders>
              <w:top w:val="single" w:sz="4" w:space="0" w:color="auto"/>
              <w:bottom w:val="single" w:sz="4" w:space="0" w:color="auto"/>
            </w:tcBorders>
            <w:shd w:val="clear" w:color="auto" w:fill="548DD4"/>
            <w:hideMark/>
          </w:tcPr>
          <w:p w:rsidR="00F24971" w:rsidRPr="005B6074" w:rsidRDefault="00A35E98" w:rsidP="00F24971">
            <w:pPr>
              <w:spacing w:after="0" w:line="240" w:lineRule="auto"/>
              <w:jc w:val="both"/>
              <w:rPr>
                <w:rFonts w:ascii="Verdana" w:eastAsia="Times New Roman" w:hAnsi="Verdana"/>
                <w:bCs/>
                <w:color w:val="FFFFFF"/>
                <w:sz w:val="20"/>
                <w:szCs w:val="20"/>
              </w:rPr>
            </w:pPr>
            <w:r w:rsidRPr="005B6074">
              <w:rPr>
                <w:rFonts w:ascii="Verdana" w:hAnsi="Verdana"/>
                <w:color w:val="FFFFFF"/>
                <w:sz w:val="20"/>
              </w:rPr>
              <w:t>Chapter II: Sustainable Development of Aquacultures</w:t>
            </w:r>
          </w:p>
        </w:tc>
      </w:tr>
      <w:tr w:rsidR="00F24971" w:rsidRPr="005B6074" w:rsidTr="00F24971">
        <w:trPr>
          <w:trHeight w:val="300"/>
        </w:trPr>
        <w:tc>
          <w:tcPr>
            <w:tcW w:w="9103" w:type="dxa"/>
            <w:tcBorders>
              <w:top w:val="single" w:sz="4" w:space="0" w:color="auto"/>
            </w:tcBorders>
            <w:shd w:val="clear" w:color="auto" w:fill="auto"/>
            <w:hideMark/>
          </w:tcPr>
          <w:p w:rsidR="00F24971" w:rsidRPr="005B6074" w:rsidRDefault="00A35E98" w:rsidP="00F24971">
            <w:pPr>
              <w:spacing w:after="0" w:line="240" w:lineRule="auto"/>
              <w:rPr>
                <w:rFonts w:ascii="Verdana" w:eastAsia="Times New Roman" w:hAnsi="Verdana"/>
                <w:color w:val="000000"/>
                <w:sz w:val="20"/>
                <w:szCs w:val="20"/>
              </w:rPr>
            </w:pPr>
            <w:r w:rsidRPr="005B6074">
              <w:rPr>
                <w:rFonts w:ascii="Verdana" w:hAnsi="Verdana"/>
                <w:color w:val="000000"/>
                <w:sz w:val="20"/>
              </w:rPr>
              <w:t>8. Innovations in aquaculture</w:t>
            </w:r>
          </w:p>
        </w:tc>
      </w:tr>
      <w:tr w:rsidR="00F24971" w:rsidRPr="005B6074" w:rsidTr="00F24971">
        <w:trPr>
          <w:trHeight w:val="300"/>
        </w:trPr>
        <w:tc>
          <w:tcPr>
            <w:tcW w:w="9103" w:type="dxa"/>
            <w:shd w:val="clear" w:color="auto" w:fill="auto"/>
            <w:hideMark/>
          </w:tcPr>
          <w:p w:rsidR="00F24971" w:rsidRPr="005B6074" w:rsidRDefault="00A35E98" w:rsidP="00F24971">
            <w:pPr>
              <w:spacing w:after="0" w:line="240" w:lineRule="auto"/>
              <w:rPr>
                <w:rFonts w:ascii="Verdana" w:eastAsia="Times New Roman" w:hAnsi="Verdana"/>
                <w:color w:val="000000"/>
                <w:sz w:val="20"/>
                <w:szCs w:val="20"/>
              </w:rPr>
            </w:pPr>
            <w:r w:rsidRPr="005B6074">
              <w:rPr>
                <w:rFonts w:ascii="Verdana" w:hAnsi="Verdana"/>
                <w:color w:val="000000"/>
                <w:sz w:val="20"/>
              </w:rPr>
              <w:t>9. Production investments in aquacultures</w:t>
            </w:r>
          </w:p>
        </w:tc>
      </w:tr>
      <w:tr w:rsidR="00F24971" w:rsidRPr="005B6074" w:rsidTr="00F24971">
        <w:trPr>
          <w:trHeight w:val="300"/>
        </w:trPr>
        <w:tc>
          <w:tcPr>
            <w:tcW w:w="9103" w:type="dxa"/>
            <w:shd w:val="clear" w:color="auto" w:fill="auto"/>
            <w:hideMark/>
          </w:tcPr>
          <w:p w:rsidR="00F24971" w:rsidRPr="005B6074" w:rsidRDefault="00A35E98" w:rsidP="00F24971">
            <w:pPr>
              <w:spacing w:after="0" w:line="240" w:lineRule="auto"/>
              <w:rPr>
                <w:rFonts w:ascii="Verdana" w:eastAsia="Times New Roman" w:hAnsi="Verdana"/>
                <w:color w:val="000000"/>
                <w:sz w:val="20"/>
                <w:szCs w:val="20"/>
              </w:rPr>
            </w:pPr>
            <w:r w:rsidRPr="005B6074">
              <w:rPr>
                <w:rFonts w:ascii="Verdana" w:hAnsi="Verdana"/>
                <w:color w:val="000000"/>
                <w:sz w:val="20"/>
              </w:rPr>
              <w:t>10. New forms of income and added value in aquacultures</w:t>
            </w:r>
          </w:p>
        </w:tc>
      </w:tr>
      <w:tr w:rsidR="00F24971" w:rsidRPr="005B6074" w:rsidTr="00F24971">
        <w:trPr>
          <w:trHeight w:val="300"/>
        </w:trPr>
        <w:tc>
          <w:tcPr>
            <w:tcW w:w="9103" w:type="dxa"/>
            <w:shd w:val="clear" w:color="auto" w:fill="auto"/>
            <w:hideMark/>
          </w:tcPr>
          <w:p w:rsidR="00F24971" w:rsidRPr="005B6074" w:rsidRDefault="00A35E98" w:rsidP="00F24971">
            <w:pPr>
              <w:spacing w:after="0" w:line="240" w:lineRule="auto"/>
              <w:rPr>
                <w:rFonts w:ascii="Verdana" w:eastAsia="Times New Roman" w:hAnsi="Verdana"/>
                <w:color w:val="000000"/>
                <w:sz w:val="20"/>
                <w:szCs w:val="20"/>
              </w:rPr>
            </w:pPr>
            <w:r w:rsidRPr="005B6074">
              <w:rPr>
                <w:rFonts w:ascii="Verdana" w:hAnsi="Verdana"/>
                <w:color w:val="000000"/>
                <w:sz w:val="20"/>
              </w:rPr>
              <w:t xml:space="preserve">11. Environmental and organic production services </w:t>
            </w:r>
          </w:p>
        </w:tc>
      </w:tr>
      <w:tr w:rsidR="00F24971" w:rsidRPr="005B6074" w:rsidTr="00F24971">
        <w:trPr>
          <w:trHeight w:val="300"/>
        </w:trPr>
        <w:tc>
          <w:tcPr>
            <w:tcW w:w="9103" w:type="dxa"/>
            <w:tcBorders>
              <w:bottom w:val="single" w:sz="4" w:space="0" w:color="auto"/>
            </w:tcBorders>
            <w:shd w:val="clear" w:color="auto" w:fill="auto"/>
            <w:hideMark/>
          </w:tcPr>
          <w:p w:rsidR="00F24971" w:rsidRPr="005B6074" w:rsidRDefault="00A35E98" w:rsidP="00F24971">
            <w:pPr>
              <w:spacing w:after="0" w:line="240" w:lineRule="auto"/>
              <w:rPr>
                <w:rFonts w:ascii="Verdana" w:eastAsia="Times New Roman" w:hAnsi="Verdana"/>
                <w:color w:val="000000"/>
                <w:sz w:val="20"/>
                <w:szCs w:val="20"/>
              </w:rPr>
            </w:pPr>
            <w:r w:rsidRPr="005B6074">
              <w:rPr>
                <w:rFonts w:ascii="Verdana" w:hAnsi="Verdana"/>
                <w:color w:val="000000"/>
                <w:sz w:val="20"/>
              </w:rPr>
              <w:t>12. Insurance of aquaculture production</w:t>
            </w:r>
          </w:p>
        </w:tc>
      </w:tr>
      <w:tr w:rsidR="00F24971" w:rsidRPr="005B6074" w:rsidTr="00F24971">
        <w:trPr>
          <w:trHeight w:val="300"/>
        </w:trPr>
        <w:tc>
          <w:tcPr>
            <w:tcW w:w="9103" w:type="dxa"/>
            <w:tcBorders>
              <w:top w:val="single" w:sz="4" w:space="0" w:color="auto"/>
              <w:bottom w:val="single" w:sz="4" w:space="0" w:color="auto"/>
            </w:tcBorders>
            <w:shd w:val="clear" w:color="auto" w:fill="548DD4"/>
            <w:hideMark/>
          </w:tcPr>
          <w:p w:rsidR="00F24971" w:rsidRPr="005B6074" w:rsidRDefault="00A35E98" w:rsidP="00F24971">
            <w:pPr>
              <w:spacing w:after="0" w:line="240" w:lineRule="auto"/>
              <w:jc w:val="both"/>
              <w:rPr>
                <w:rFonts w:ascii="Verdana" w:eastAsia="Times New Roman" w:hAnsi="Verdana"/>
                <w:bCs/>
                <w:color w:val="FFFFFF"/>
                <w:sz w:val="20"/>
                <w:szCs w:val="20"/>
              </w:rPr>
            </w:pPr>
            <w:r w:rsidRPr="005B6074">
              <w:rPr>
                <w:rFonts w:ascii="Verdana" w:hAnsi="Verdana"/>
                <w:color w:val="FFFFFF"/>
                <w:sz w:val="20"/>
              </w:rPr>
              <w:t>Chapter III: Sustainable Development of Fisheries Areas</w:t>
            </w:r>
          </w:p>
        </w:tc>
      </w:tr>
      <w:tr w:rsidR="00F24971" w:rsidRPr="005B6074" w:rsidTr="00F24971">
        <w:trPr>
          <w:trHeight w:val="89"/>
        </w:trPr>
        <w:tc>
          <w:tcPr>
            <w:tcW w:w="9103" w:type="dxa"/>
            <w:tcBorders>
              <w:top w:val="single" w:sz="4" w:space="0" w:color="auto"/>
              <w:bottom w:val="single" w:sz="4" w:space="0" w:color="auto"/>
            </w:tcBorders>
            <w:shd w:val="clear" w:color="auto" w:fill="DBE5F1"/>
            <w:hideMark/>
          </w:tcPr>
          <w:p w:rsidR="00F24971" w:rsidRPr="005B6074" w:rsidRDefault="00F24971" w:rsidP="00F24971">
            <w:pPr>
              <w:spacing w:after="0" w:line="240" w:lineRule="auto"/>
              <w:jc w:val="both"/>
              <w:rPr>
                <w:rFonts w:ascii="Verdana" w:eastAsia="Times New Roman" w:hAnsi="Verdana"/>
                <w:b/>
                <w:bCs/>
                <w:color w:val="FFFFFF"/>
                <w:sz w:val="20"/>
                <w:szCs w:val="20"/>
              </w:rPr>
            </w:pPr>
          </w:p>
        </w:tc>
      </w:tr>
      <w:tr w:rsidR="00F24971" w:rsidRPr="005B6074" w:rsidTr="00F24971">
        <w:trPr>
          <w:trHeight w:val="300"/>
        </w:trPr>
        <w:tc>
          <w:tcPr>
            <w:tcW w:w="9103" w:type="dxa"/>
            <w:tcBorders>
              <w:top w:val="single" w:sz="4" w:space="0" w:color="auto"/>
              <w:bottom w:val="single" w:sz="4" w:space="0" w:color="auto"/>
            </w:tcBorders>
            <w:shd w:val="clear" w:color="auto" w:fill="548DD4"/>
            <w:hideMark/>
          </w:tcPr>
          <w:p w:rsidR="00F24971" w:rsidRPr="005B6074" w:rsidRDefault="00A35E98" w:rsidP="00F24971">
            <w:pPr>
              <w:spacing w:after="0" w:line="240" w:lineRule="auto"/>
              <w:jc w:val="both"/>
              <w:rPr>
                <w:rFonts w:ascii="Verdana" w:eastAsia="Times New Roman" w:hAnsi="Verdana"/>
                <w:bCs/>
                <w:color w:val="FFFFFF"/>
                <w:sz w:val="20"/>
                <w:szCs w:val="20"/>
              </w:rPr>
            </w:pPr>
            <w:r w:rsidRPr="005B6074">
              <w:rPr>
                <w:rFonts w:ascii="Verdana" w:hAnsi="Verdana"/>
                <w:color w:val="FFFFFF"/>
                <w:sz w:val="20"/>
              </w:rPr>
              <w:t>Chapter IV: Marketing and Processing Related Measures</w:t>
            </w:r>
          </w:p>
        </w:tc>
      </w:tr>
      <w:tr w:rsidR="00F24971" w:rsidRPr="005B6074" w:rsidTr="00F24971">
        <w:trPr>
          <w:trHeight w:val="300"/>
        </w:trPr>
        <w:tc>
          <w:tcPr>
            <w:tcW w:w="9103" w:type="dxa"/>
            <w:tcBorders>
              <w:top w:val="single" w:sz="4" w:space="0" w:color="auto"/>
            </w:tcBorders>
            <w:shd w:val="clear" w:color="auto" w:fill="auto"/>
            <w:hideMark/>
          </w:tcPr>
          <w:p w:rsidR="00F24971" w:rsidRPr="005B6074" w:rsidRDefault="00A35E98" w:rsidP="00F24971">
            <w:pPr>
              <w:spacing w:after="0" w:line="240" w:lineRule="auto"/>
              <w:rPr>
                <w:rFonts w:ascii="Verdana" w:eastAsia="Times New Roman" w:hAnsi="Verdana"/>
                <w:color w:val="000000"/>
                <w:sz w:val="20"/>
                <w:szCs w:val="20"/>
              </w:rPr>
            </w:pPr>
            <w:r w:rsidRPr="005B6074">
              <w:rPr>
                <w:rFonts w:ascii="Verdana" w:hAnsi="Verdana"/>
                <w:color w:val="000000"/>
                <w:sz w:val="20"/>
              </w:rPr>
              <w:t>13. Marketing measures</w:t>
            </w:r>
          </w:p>
        </w:tc>
      </w:tr>
      <w:tr w:rsidR="00F24971" w:rsidRPr="005B6074" w:rsidTr="00F24971">
        <w:trPr>
          <w:trHeight w:val="300"/>
        </w:trPr>
        <w:tc>
          <w:tcPr>
            <w:tcW w:w="9103" w:type="dxa"/>
            <w:shd w:val="clear" w:color="auto" w:fill="auto"/>
            <w:hideMark/>
          </w:tcPr>
          <w:p w:rsidR="00F24971" w:rsidRPr="005B6074" w:rsidRDefault="00A35E98" w:rsidP="00F24971">
            <w:pPr>
              <w:spacing w:after="0" w:line="240" w:lineRule="auto"/>
              <w:rPr>
                <w:rFonts w:ascii="Verdana" w:eastAsia="Times New Roman" w:hAnsi="Verdana"/>
                <w:color w:val="000000"/>
                <w:sz w:val="20"/>
                <w:szCs w:val="20"/>
              </w:rPr>
            </w:pPr>
            <w:r w:rsidRPr="005B6074">
              <w:rPr>
                <w:rFonts w:ascii="Verdana" w:hAnsi="Verdana"/>
                <w:color w:val="000000"/>
                <w:sz w:val="20"/>
              </w:rPr>
              <w:t>14. Processing of fisheries and aquaculture products</w:t>
            </w:r>
          </w:p>
        </w:tc>
      </w:tr>
      <w:tr w:rsidR="00F24971" w:rsidRPr="005B6074" w:rsidTr="00F24971">
        <w:trPr>
          <w:trHeight w:val="300"/>
        </w:trPr>
        <w:tc>
          <w:tcPr>
            <w:tcW w:w="9103" w:type="dxa"/>
            <w:tcBorders>
              <w:bottom w:val="single" w:sz="4" w:space="0" w:color="auto"/>
            </w:tcBorders>
            <w:shd w:val="clear" w:color="auto" w:fill="auto"/>
            <w:hideMark/>
          </w:tcPr>
          <w:p w:rsidR="00F24971" w:rsidRPr="005B6074" w:rsidRDefault="00A35E98" w:rsidP="00F24971">
            <w:pPr>
              <w:spacing w:after="0" w:line="240" w:lineRule="auto"/>
              <w:rPr>
                <w:rFonts w:ascii="Verdana" w:eastAsia="Times New Roman" w:hAnsi="Verdana"/>
                <w:color w:val="000000"/>
                <w:sz w:val="20"/>
                <w:szCs w:val="20"/>
              </w:rPr>
            </w:pPr>
            <w:r w:rsidRPr="005B6074">
              <w:rPr>
                <w:rFonts w:ascii="Verdana" w:hAnsi="Verdana"/>
                <w:color w:val="000000"/>
                <w:sz w:val="20"/>
              </w:rPr>
              <w:t xml:space="preserve">15. Control and data collection </w:t>
            </w:r>
          </w:p>
        </w:tc>
      </w:tr>
      <w:tr w:rsidR="00F24971" w:rsidRPr="005B6074" w:rsidTr="00F24971">
        <w:trPr>
          <w:trHeight w:val="450"/>
        </w:trPr>
        <w:tc>
          <w:tcPr>
            <w:tcW w:w="9103" w:type="dxa"/>
            <w:tcBorders>
              <w:top w:val="single" w:sz="4" w:space="0" w:color="auto"/>
              <w:bottom w:val="single" w:sz="4" w:space="0" w:color="auto"/>
            </w:tcBorders>
            <w:shd w:val="clear" w:color="auto" w:fill="548DD4"/>
            <w:hideMark/>
          </w:tcPr>
          <w:p w:rsidR="00F24971" w:rsidRPr="005B6074" w:rsidRDefault="00A35E98" w:rsidP="00F24971">
            <w:pPr>
              <w:spacing w:after="0" w:line="240" w:lineRule="auto"/>
              <w:jc w:val="both"/>
              <w:rPr>
                <w:rFonts w:ascii="Verdana" w:eastAsia="Times New Roman" w:hAnsi="Verdana"/>
                <w:bCs/>
                <w:color w:val="FFFFFF"/>
                <w:sz w:val="20"/>
                <w:szCs w:val="20"/>
              </w:rPr>
            </w:pPr>
            <w:r w:rsidRPr="005B6074">
              <w:rPr>
                <w:rFonts w:ascii="Verdana" w:hAnsi="Verdana"/>
                <w:color w:val="FFFFFF"/>
                <w:sz w:val="20"/>
              </w:rPr>
              <w:t>Chapter VI: Associated Measures for Common Fisheries Policy for Shared Management</w:t>
            </w:r>
          </w:p>
        </w:tc>
      </w:tr>
      <w:tr w:rsidR="00F24971" w:rsidRPr="005B6074" w:rsidTr="00F24971">
        <w:trPr>
          <w:trHeight w:val="85"/>
        </w:trPr>
        <w:tc>
          <w:tcPr>
            <w:tcW w:w="9103" w:type="dxa"/>
            <w:tcBorders>
              <w:top w:val="single" w:sz="4" w:space="0" w:color="auto"/>
            </w:tcBorders>
            <w:shd w:val="clear" w:color="auto" w:fill="DBE5F1"/>
            <w:hideMark/>
          </w:tcPr>
          <w:p w:rsidR="00F24971" w:rsidRPr="005B6074" w:rsidRDefault="00F24971" w:rsidP="00F24971">
            <w:pPr>
              <w:spacing w:after="0" w:line="240" w:lineRule="auto"/>
              <w:jc w:val="both"/>
              <w:rPr>
                <w:rFonts w:ascii="Verdana" w:eastAsia="Times New Roman" w:hAnsi="Verdana"/>
                <w:b/>
                <w:bCs/>
                <w:color w:val="FFFFFF"/>
                <w:sz w:val="20"/>
                <w:szCs w:val="20"/>
              </w:rPr>
            </w:pPr>
          </w:p>
        </w:tc>
      </w:tr>
      <w:tr w:rsidR="00F24971" w:rsidRPr="005B6074" w:rsidTr="00F24971">
        <w:trPr>
          <w:trHeight w:val="300"/>
        </w:trPr>
        <w:tc>
          <w:tcPr>
            <w:tcW w:w="9103" w:type="dxa"/>
            <w:shd w:val="clear" w:color="auto" w:fill="auto"/>
            <w:hideMark/>
          </w:tcPr>
          <w:p w:rsidR="00F24971" w:rsidRPr="005B6074" w:rsidRDefault="00A35E98" w:rsidP="00F24971">
            <w:pPr>
              <w:spacing w:after="0" w:line="240" w:lineRule="auto"/>
              <w:jc w:val="both"/>
              <w:rPr>
                <w:rFonts w:ascii="Verdana" w:eastAsia="Times New Roman" w:hAnsi="Verdana"/>
                <w:sz w:val="20"/>
                <w:szCs w:val="20"/>
              </w:rPr>
            </w:pPr>
            <w:r w:rsidRPr="005B6074">
              <w:rPr>
                <w:rFonts w:ascii="Verdana" w:hAnsi="Verdana"/>
                <w:sz w:val="20"/>
              </w:rPr>
              <w:t>Implementation of local development strategies</w:t>
            </w:r>
          </w:p>
        </w:tc>
      </w:tr>
      <w:tr w:rsidR="00F24971" w:rsidRPr="005B6074" w:rsidTr="00F24971">
        <w:trPr>
          <w:trHeight w:val="300"/>
        </w:trPr>
        <w:tc>
          <w:tcPr>
            <w:tcW w:w="9103" w:type="dxa"/>
            <w:shd w:val="clear" w:color="auto" w:fill="auto"/>
            <w:hideMark/>
          </w:tcPr>
          <w:p w:rsidR="00F24971" w:rsidRPr="005B6074" w:rsidRDefault="00A35E98" w:rsidP="00F24971">
            <w:pPr>
              <w:spacing w:after="0" w:line="240" w:lineRule="auto"/>
              <w:jc w:val="both"/>
              <w:rPr>
                <w:rFonts w:ascii="Verdana" w:eastAsia="Times New Roman" w:hAnsi="Verdana"/>
                <w:sz w:val="20"/>
                <w:szCs w:val="20"/>
              </w:rPr>
            </w:pPr>
            <w:r w:rsidRPr="005B6074">
              <w:rPr>
                <w:rFonts w:ascii="Verdana" w:hAnsi="Verdana"/>
                <w:sz w:val="20"/>
              </w:rPr>
              <w:t>Technical assistance</w:t>
            </w:r>
          </w:p>
        </w:tc>
      </w:tr>
    </w:tbl>
    <w:p w:rsidR="00F24971" w:rsidRPr="005B6074" w:rsidRDefault="00A35E98" w:rsidP="00F24971">
      <w:pPr>
        <w:keepNext/>
        <w:spacing w:before="240" w:after="120"/>
        <w:rPr>
          <w:rFonts w:ascii="Verdana" w:hAnsi="Verdana"/>
          <w:b/>
          <w:color w:val="548DD4"/>
          <w:sz w:val="20"/>
          <w:szCs w:val="20"/>
        </w:rPr>
      </w:pPr>
      <w:bookmarkStart w:id="96" w:name="_Toc390257071"/>
      <w:bookmarkStart w:id="97" w:name="_Toc396225610"/>
      <w:r w:rsidRPr="005B6074">
        <w:rPr>
          <w:rFonts w:ascii="Verdana" w:hAnsi="Verdana"/>
          <w:b/>
          <w:color w:val="548DD4"/>
          <w:sz w:val="20"/>
        </w:rPr>
        <w:lastRenderedPageBreak/>
        <w:t xml:space="preserve">Table </w:t>
      </w:r>
      <w:r w:rsidRPr="005B6074">
        <w:rPr>
          <w:rFonts w:ascii="Verdana" w:hAnsi="Verdana"/>
          <w:b/>
          <w:color w:val="548DD4"/>
          <w:sz w:val="20"/>
        </w:rPr>
        <w:fldChar w:fldCharType="begin"/>
      </w:r>
      <w:r w:rsidRPr="005B6074">
        <w:rPr>
          <w:rFonts w:ascii="Verdana" w:hAnsi="Verdana"/>
          <w:b/>
          <w:color w:val="548DD4"/>
          <w:sz w:val="20"/>
        </w:rPr>
        <w:instrText xml:space="preserve"> SEQ Таблица \* ARABIC </w:instrText>
      </w:r>
      <w:r w:rsidRPr="005B6074">
        <w:rPr>
          <w:rFonts w:ascii="Verdana" w:hAnsi="Verdana"/>
          <w:b/>
          <w:color w:val="548DD4"/>
          <w:sz w:val="20"/>
        </w:rPr>
        <w:fldChar w:fldCharType="separate"/>
      </w:r>
      <w:r w:rsidR="009330F5">
        <w:rPr>
          <w:rFonts w:ascii="Verdana" w:hAnsi="Verdana"/>
          <w:b/>
          <w:noProof/>
          <w:color w:val="548DD4"/>
          <w:sz w:val="20"/>
        </w:rPr>
        <w:t>15</w:t>
      </w:r>
      <w:r w:rsidRPr="005B6074">
        <w:rPr>
          <w:rFonts w:ascii="Verdana" w:hAnsi="Verdana"/>
          <w:b/>
          <w:color w:val="548DD4"/>
          <w:sz w:val="20"/>
        </w:rPr>
        <w:fldChar w:fldCharType="end"/>
      </w:r>
      <w:r w:rsidRPr="005B6074">
        <w:rPr>
          <w:rFonts w:ascii="Verdana" w:hAnsi="Verdana"/>
          <w:b/>
          <w:color w:val="548DD4"/>
          <w:sz w:val="20"/>
        </w:rPr>
        <w:t xml:space="preserve">: Connection between the Priorities of </w:t>
      </w:r>
      <w:r w:rsidR="005B35A7">
        <w:rPr>
          <w:rFonts w:ascii="Verdana" w:hAnsi="Verdana"/>
          <w:b/>
          <w:color w:val="548DD4"/>
          <w:sz w:val="20"/>
        </w:rPr>
        <w:t>OPSESG</w:t>
      </w:r>
      <w:r w:rsidRPr="005B6074">
        <w:rPr>
          <w:rFonts w:ascii="Verdana" w:hAnsi="Verdana"/>
          <w:b/>
          <w:color w:val="548DD4"/>
          <w:sz w:val="20"/>
        </w:rPr>
        <w:t xml:space="preserve"> and MFP</w:t>
      </w:r>
      <w:bookmarkEnd w:id="96"/>
      <w:bookmarkEnd w:id="97"/>
    </w:p>
    <w:tbl>
      <w:tblPr>
        <w:tblW w:w="9090" w:type="dxa"/>
        <w:tblInd w:w="108"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1980"/>
        <w:gridCol w:w="1350"/>
        <w:gridCol w:w="772"/>
        <w:gridCol w:w="848"/>
        <w:gridCol w:w="720"/>
        <w:gridCol w:w="720"/>
        <w:gridCol w:w="720"/>
        <w:gridCol w:w="990"/>
        <w:gridCol w:w="990"/>
      </w:tblGrid>
      <w:tr w:rsidR="00F24971" w:rsidRPr="005B6074" w:rsidTr="00F24971">
        <w:trPr>
          <w:trHeight w:val="510"/>
        </w:trPr>
        <w:tc>
          <w:tcPr>
            <w:tcW w:w="1980" w:type="dxa"/>
            <w:shd w:val="clear" w:color="000000"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Operational Programme / Priority Axis</w:t>
            </w:r>
          </w:p>
        </w:tc>
        <w:tc>
          <w:tcPr>
            <w:tcW w:w="1350" w:type="dxa"/>
            <w:shd w:val="clear" w:color="000000" w:fill="548DD4"/>
            <w:vAlign w:val="center"/>
            <w:hideMark/>
          </w:tcPr>
          <w:p w:rsidR="00F24971" w:rsidRPr="004D5FA1" w:rsidRDefault="005B35A7" w:rsidP="004D5FA1">
            <w:pPr>
              <w:spacing w:after="0"/>
              <w:jc w:val="center"/>
              <w:rPr>
                <w:rFonts w:ascii="Verdana" w:eastAsia="Times New Roman" w:hAnsi="Verdana"/>
                <w:bCs/>
                <w:color w:val="FFFFFF" w:themeColor="background1"/>
                <w:sz w:val="18"/>
                <w:szCs w:val="18"/>
              </w:rPr>
            </w:pPr>
            <w:r>
              <w:rPr>
                <w:rFonts w:ascii="Verdana" w:hAnsi="Verdana"/>
                <w:color w:val="FFFFFF" w:themeColor="background1"/>
                <w:sz w:val="18"/>
                <w:szCs w:val="18"/>
              </w:rPr>
              <w:t>OPSESG</w:t>
            </w:r>
          </w:p>
        </w:tc>
        <w:tc>
          <w:tcPr>
            <w:tcW w:w="1620" w:type="dxa"/>
            <w:gridSpan w:val="2"/>
            <w:shd w:val="clear" w:color="000000" w:fill="548DD4"/>
            <w:vAlign w:val="center"/>
            <w:hideMark/>
          </w:tcPr>
          <w:p w:rsidR="00F24971" w:rsidRPr="004D5FA1" w:rsidRDefault="00A35E98" w:rsidP="004D5FA1">
            <w:pPr>
              <w:spacing w:after="0"/>
              <w:jc w:val="center"/>
              <w:rPr>
                <w:rFonts w:ascii="Verdana" w:eastAsia="Times New Roman" w:hAnsi="Verdana"/>
                <w:color w:val="FFFFFF" w:themeColor="background1"/>
                <w:sz w:val="18"/>
                <w:szCs w:val="18"/>
              </w:rPr>
            </w:pPr>
            <w:r w:rsidRPr="004D5FA1">
              <w:rPr>
                <w:rFonts w:ascii="Verdana" w:hAnsi="Verdana"/>
                <w:color w:val="FFFFFF" w:themeColor="background1"/>
                <w:sz w:val="18"/>
                <w:szCs w:val="18"/>
              </w:rPr>
              <w:t>PA 1: Scientific Research and Technological Development</w:t>
            </w:r>
          </w:p>
        </w:tc>
        <w:tc>
          <w:tcPr>
            <w:tcW w:w="2160" w:type="dxa"/>
            <w:gridSpan w:val="3"/>
            <w:shd w:val="clear" w:color="000000" w:fill="548DD4"/>
            <w:vAlign w:val="center"/>
            <w:hideMark/>
          </w:tcPr>
          <w:p w:rsidR="00F24971" w:rsidRPr="004D5FA1" w:rsidRDefault="00A35E98" w:rsidP="004D5FA1">
            <w:pPr>
              <w:spacing w:after="0"/>
              <w:jc w:val="center"/>
              <w:rPr>
                <w:rFonts w:ascii="Verdana" w:eastAsia="Times New Roman" w:hAnsi="Verdana"/>
                <w:color w:val="FFFFFF" w:themeColor="background1"/>
                <w:sz w:val="18"/>
                <w:szCs w:val="18"/>
              </w:rPr>
            </w:pPr>
            <w:r w:rsidRPr="004D5FA1">
              <w:rPr>
                <w:rFonts w:ascii="Verdana" w:hAnsi="Verdana"/>
                <w:color w:val="FFFFFF" w:themeColor="background1"/>
                <w:sz w:val="18"/>
                <w:szCs w:val="18"/>
              </w:rPr>
              <w:t>PA 2: Education and Lifelong Learning</w:t>
            </w:r>
          </w:p>
        </w:tc>
        <w:tc>
          <w:tcPr>
            <w:tcW w:w="1980" w:type="dxa"/>
            <w:gridSpan w:val="2"/>
            <w:shd w:val="clear" w:color="000000" w:fill="548DD4"/>
            <w:vAlign w:val="center"/>
            <w:hideMark/>
          </w:tcPr>
          <w:p w:rsidR="00F24971" w:rsidRPr="004D5FA1" w:rsidRDefault="00A35E98" w:rsidP="004D5FA1">
            <w:pPr>
              <w:spacing w:after="0"/>
              <w:jc w:val="center"/>
              <w:rPr>
                <w:rFonts w:ascii="Verdana" w:eastAsia="Times New Roman" w:hAnsi="Verdana"/>
                <w:color w:val="FFFFFF" w:themeColor="background1"/>
                <w:sz w:val="18"/>
                <w:szCs w:val="18"/>
              </w:rPr>
            </w:pPr>
            <w:r w:rsidRPr="004D5FA1">
              <w:rPr>
                <w:rFonts w:ascii="Verdana" w:hAnsi="Verdana"/>
                <w:color w:val="FFFFFF" w:themeColor="background1"/>
                <w:sz w:val="18"/>
                <w:szCs w:val="18"/>
              </w:rPr>
              <w:t>PA 3: Educational Environment for Active Social Inclusion</w:t>
            </w:r>
          </w:p>
        </w:tc>
      </w:tr>
      <w:tr w:rsidR="00F24971" w:rsidRPr="005B6074" w:rsidTr="00F24971">
        <w:trPr>
          <w:trHeight w:val="300"/>
        </w:trPr>
        <w:tc>
          <w:tcPr>
            <w:tcW w:w="1980" w:type="dxa"/>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MFP</w:t>
            </w:r>
          </w:p>
        </w:tc>
        <w:tc>
          <w:tcPr>
            <w:tcW w:w="1350" w:type="dxa"/>
            <w:shd w:val="clear" w:color="000000" w:fill="C6D9F1"/>
            <w:vAlign w:val="bottom"/>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Priority</w:t>
            </w:r>
          </w:p>
        </w:tc>
        <w:tc>
          <w:tcPr>
            <w:tcW w:w="772" w:type="dxa"/>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1.1</w:t>
            </w:r>
          </w:p>
        </w:tc>
        <w:tc>
          <w:tcPr>
            <w:tcW w:w="848" w:type="dxa"/>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1.2</w:t>
            </w:r>
          </w:p>
        </w:tc>
        <w:tc>
          <w:tcPr>
            <w:tcW w:w="720" w:type="dxa"/>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2.1</w:t>
            </w:r>
          </w:p>
        </w:tc>
        <w:tc>
          <w:tcPr>
            <w:tcW w:w="720" w:type="dxa"/>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2.2</w:t>
            </w:r>
          </w:p>
        </w:tc>
        <w:tc>
          <w:tcPr>
            <w:tcW w:w="720" w:type="dxa"/>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2.3</w:t>
            </w:r>
          </w:p>
        </w:tc>
        <w:tc>
          <w:tcPr>
            <w:tcW w:w="990" w:type="dxa"/>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3.1</w:t>
            </w:r>
          </w:p>
        </w:tc>
        <w:tc>
          <w:tcPr>
            <w:tcW w:w="990" w:type="dxa"/>
            <w:shd w:val="clear" w:color="000000" w:fill="C6D9F1"/>
            <w:vAlign w:val="center"/>
            <w:hideMark/>
          </w:tcPr>
          <w:p w:rsidR="00F24971" w:rsidRPr="004D5FA1" w:rsidRDefault="00A35E98" w:rsidP="004D5FA1">
            <w:pPr>
              <w:spacing w:after="0"/>
              <w:jc w:val="center"/>
              <w:rPr>
                <w:rFonts w:ascii="Verdana" w:eastAsia="Times New Roman" w:hAnsi="Verdana"/>
                <w:sz w:val="18"/>
                <w:szCs w:val="18"/>
              </w:rPr>
            </w:pPr>
            <w:r w:rsidRPr="004D5FA1">
              <w:rPr>
                <w:rFonts w:ascii="Verdana" w:hAnsi="Verdana"/>
                <w:sz w:val="18"/>
                <w:szCs w:val="18"/>
              </w:rPr>
              <w:t>3.2</w:t>
            </w:r>
          </w:p>
        </w:tc>
      </w:tr>
      <w:tr w:rsidR="00F24971" w:rsidRPr="005B6074" w:rsidTr="00F24971">
        <w:trPr>
          <w:trHeight w:val="330"/>
        </w:trPr>
        <w:tc>
          <w:tcPr>
            <w:tcW w:w="1980" w:type="dxa"/>
            <w:vMerge w:val="restart"/>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Chapter I: Sustainable Development of Fisheries</w:t>
            </w:r>
          </w:p>
        </w:tc>
        <w:tc>
          <w:tcPr>
            <w:tcW w:w="1350" w:type="dxa"/>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1</w:t>
            </w:r>
          </w:p>
        </w:tc>
        <w:tc>
          <w:tcPr>
            <w:tcW w:w="772" w:type="dxa"/>
            <w:shd w:val="clear" w:color="auto" w:fill="auto"/>
            <w:vAlign w:val="center"/>
            <w:hideMark/>
          </w:tcPr>
          <w:p w:rsidR="00F24971" w:rsidRPr="00FA49EF" w:rsidRDefault="00A35E98" w:rsidP="00FA49EF">
            <w:pPr>
              <w:spacing w:after="0" w:line="240" w:lineRule="auto"/>
              <w:jc w:val="center"/>
              <w:rPr>
                <w:rFonts w:ascii="Wingdings 2" w:hAnsi="Wingdings 2"/>
                <w:color w:val="0070C0"/>
                <w:sz w:val="26"/>
              </w:rPr>
            </w:pPr>
            <w:r w:rsidRPr="005B6074">
              <w:rPr>
                <w:rFonts w:ascii="Wingdings 2" w:hAnsi="Wingdings 2"/>
                <w:color w:val="0070C0"/>
                <w:sz w:val="26"/>
              </w:rPr>
              <w:t></w:t>
            </w:r>
          </w:p>
        </w:tc>
        <w:tc>
          <w:tcPr>
            <w:tcW w:w="848" w:type="dxa"/>
            <w:shd w:val="clear" w:color="auto" w:fill="auto"/>
            <w:vAlign w:val="center"/>
            <w:hideMark/>
          </w:tcPr>
          <w:p w:rsidR="00F24971" w:rsidRPr="00FA49EF" w:rsidRDefault="00A35E98" w:rsidP="00FA49EF">
            <w:pPr>
              <w:spacing w:after="0" w:line="240" w:lineRule="auto"/>
              <w:jc w:val="center"/>
              <w:rPr>
                <w:rFonts w:ascii="Wingdings 2" w:hAnsi="Wingdings 2"/>
                <w:color w:val="0070C0"/>
                <w:sz w:val="26"/>
              </w:rPr>
            </w:pPr>
            <w:r w:rsidRPr="005B6074">
              <w:rPr>
                <w:rFonts w:ascii="Wingdings 2" w:hAnsi="Wingdings 2"/>
                <w:color w:val="0070C0"/>
                <w:sz w:val="26"/>
              </w:rPr>
              <w:t></w:t>
            </w: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A35E98" w:rsidP="00F24971">
            <w:pPr>
              <w:spacing w:after="0" w:line="240" w:lineRule="auto"/>
              <w:jc w:val="center"/>
              <w:rPr>
                <w:rFonts w:ascii="Verdana" w:eastAsia="Times New Roman" w:hAnsi="Verdana"/>
                <w:color w:val="0070C0"/>
                <w:sz w:val="18"/>
                <w:szCs w:val="18"/>
              </w:rPr>
            </w:pPr>
            <w:r w:rsidRPr="005B6074">
              <w:rPr>
                <w:rFonts w:ascii="Wingdings 2" w:hAnsi="Wingdings 2"/>
                <w:color w:val="0070C0"/>
                <w:sz w:val="26"/>
              </w:rPr>
              <w:t></w:t>
            </w:r>
            <w:r w:rsidRPr="005B6074">
              <w:rPr>
                <w:rFonts w:ascii="Wingdings 2" w:hAnsi="Wingdings 2"/>
                <w:color w:val="0070C0"/>
                <w:sz w:val="26"/>
              </w:rPr>
              <w:t></w:t>
            </w: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0000"/>
                <w:sz w:val="18"/>
                <w:szCs w:val="18"/>
              </w:rPr>
            </w:pPr>
          </w:p>
        </w:tc>
      </w:tr>
      <w:tr w:rsidR="00F24971" w:rsidRPr="005B6074" w:rsidTr="00F24971">
        <w:trPr>
          <w:trHeight w:val="330"/>
        </w:trPr>
        <w:tc>
          <w:tcPr>
            <w:tcW w:w="1980" w:type="dxa"/>
            <w:vMerge/>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50" w:type="dxa"/>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2</w:t>
            </w:r>
          </w:p>
        </w:tc>
        <w:tc>
          <w:tcPr>
            <w:tcW w:w="772"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8"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0000"/>
                <w:sz w:val="18"/>
                <w:szCs w:val="18"/>
              </w:rPr>
            </w:pPr>
          </w:p>
        </w:tc>
      </w:tr>
      <w:tr w:rsidR="00F24971" w:rsidRPr="005B6074" w:rsidTr="00F24971">
        <w:trPr>
          <w:trHeight w:val="330"/>
        </w:trPr>
        <w:tc>
          <w:tcPr>
            <w:tcW w:w="1980" w:type="dxa"/>
            <w:vMerge/>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50" w:type="dxa"/>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3</w:t>
            </w:r>
          </w:p>
        </w:tc>
        <w:tc>
          <w:tcPr>
            <w:tcW w:w="772"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8"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trPr>
        <w:tc>
          <w:tcPr>
            <w:tcW w:w="1980" w:type="dxa"/>
            <w:vMerge/>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50" w:type="dxa"/>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4</w:t>
            </w:r>
          </w:p>
        </w:tc>
        <w:tc>
          <w:tcPr>
            <w:tcW w:w="772"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8"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trPr>
        <w:tc>
          <w:tcPr>
            <w:tcW w:w="1980" w:type="dxa"/>
            <w:vMerge/>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50" w:type="dxa"/>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5</w:t>
            </w:r>
          </w:p>
        </w:tc>
        <w:tc>
          <w:tcPr>
            <w:tcW w:w="772"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8"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trPr>
        <w:tc>
          <w:tcPr>
            <w:tcW w:w="1980" w:type="dxa"/>
            <w:vMerge/>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50" w:type="dxa"/>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6</w:t>
            </w:r>
          </w:p>
        </w:tc>
        <w:tc>
          <w:tcPr>
            <w:tcW w:w="772"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8"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trPr>
        <w:tc>
          <w:tcPr>
            <w:tcW w:w="1980" w:type="dxa"/>
            <w:vMerge/>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50" w:type="dxa"/>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7</w:t>
            </w:r>
          </w:p>
        </w:tc>
        <w:tc>
          <w:tcPr>
            <w:tcW w:w="772"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8"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trPr>
        <w:tc>
          <w:tcPr>
            <w:tcW w:w="1980" w:type="dxa"/>
            <w:vMerge w:val="restart"/>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Chapter II: Sustainable Development of Aquacultures</w:t>
            </w:r>
          </w:p>
        </w:tc>
        <w:tc>
          <w:tcPr>
            <w:tcW w:w="1350" w:type="dxa"/>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8</w:t>
            </w:r>
          </w:p>
        </w:tc>
        <w:tc>
          <w:tcPr>
            <w:tcW w:w="772" w:type="dxa"/>
            <w:shd w:val="clear" w:color="auto" w:fill="auto"/>
            <w:vAlign w:val="center"/>
            <w:hideMark/>
          </w:tcPr>
          <w:p w:rsidR="00F24971" w:rsidRPr="00FA49EF" w:rsidRDefault="00A35E98" w:rsidP="00F24971">
            <w:pPr>
              <w:spacing w:after="0" w:line="240" w:lineRule="auto"/>
              <w:jc w:val="center"/>
              <w:rPr>
                <w:rFonts w:ascii="Wingdings 2" w:hAnsi="Wingdings 2"/>
                <w:color w:val="0070C0"/>
                <w:sz w:val="26"/>
              </w:rPr>
            </w:pPr>
            <w:r w:rsidRPr="005B6074">
              <w:rPr>
                <w:rFonts w:ascii="Wingdings 2" w:hAnsi="Wingdings 2"/>
                <w:color w:val="0070C0"/>
                <w:sz w:val="26"/>
              </w:rPr>
              <w:t></w:t>
            </w:r>
          </w:p>
        </w:tc>
        <w:tc>
          <w:tcPr>
            <w:tcW w:w="848" w:type="dxa"/>
            <w:shd w:val="clear" w:color="auto" w:fill="auto"/>
            <w:vAlign w:val="center"/>
            <w:hideMark/>
          </w:tcPr>
          <w:p w:rsidR="00F24971" w:rsidRPr="00FA49EF" w:rsidRDefault="00A35E98" w:rsidP="00F24971">
            <w:pPr>
              <w:spacing w:after="0" w:line="240" w:lineRule="auto"/>
              <w:jc w:val="center"/>
              <w:rPr>
                <w:rFonts w:ascii="Wingdings 2" w:hAnsi="Wingdings 2"/>
                <w:color w:val="0070C0"/>
                <w:sz w:val="26"/>
              </w:rPr>
            </w:pPr>
            <w:r w:rsidRPr="005B6074">
              <w:rPr>
                <w:rFonts w:ascii="Wingdings 2" w:hAnsi="Wingdings 2"/>
                <w:color w:val="0070C0"/>
                <w:sz w:val="26"/>
              </w:rPr>
              <w:t></w:t>
            </w:r>
          </w:p>
        </w:tc>
        <w:tc>
          <w:tcPr>
            <w:tcW w:w="720" w:type="dxa"/>
            <w:shd w:val="clear" w:color="auto" w:fill="auto"/>
            <w:vAlign w:val="center"/>
            <w:hideMark/>
          </w:tcPr>
          <w:p w:rsidR="00F24971" w:rsidRPr="00FA49EF" w:rsidRDefault="00F24971" w:rsidP="00F24971">
            <w:pPr>
              <w:spacing w:after="0" w:line="240" w:lineRule="auto"/>
              <w:jc w:val="center"/>
              <w:rPr>
                <w:rFonts w:ascii="Wingdings 2" w:hAnsi="Wingdings 2"/>
                <w:color w:val="0070C0"/>
                <w:sz w:val="26"/>
              </w:rPr>
            </w:pPr>
          </w:p>
        </w:tc>
        <w:tc>
          <w:tcPr>
            <w:tcW w:w="720" w:type="dxa"/>
            <w:shd w:val="clear" w:color="auto" w:fill="auto"/>
            <w:vAlign w:val="center"/>
            <w:hideMark/>
          </w:tcPr>
          <w:p w:rsidR="00F24971" w:rsidRPr="00FA49EF" w:rsidRDefault="00F24971" w:rsidP="00F24971">
            <w:pPr>
              <w:spacing w:after="0" w:line="240" w:lineRule="auto"/>
              <w:jc w:val="center"/>
              <w:rPr>
                <w:rFonts w:ascii="Wingdings 2" w:hAnsi="Wingdings 2"/>
                <w:color w:val="0070C0"/>
                <w:sz w:val="26"/>
              </w:rPr>
            </w:pPr>
          </w:p>
        </w:tc>
        <w:tc>
          <w:tcPr>
            <w:tcW w:w="720" w:type="dxa"/>
            <w:shd w:val="clear" w:color="auto" w:fill="auto"/>
            <w:vAlign w:val="center"/>
            <w:hideMark/>
          </w:tcPr>
          <w:p w:rsidR="00F24971" w:rsidRPr="00FA49EF" w:rsidRDefault="00A35E98" w:rsidP="00F24971">
            <w:pPr>
              <w:spacing w:after="0" w:line="240" w:lineRule="auto"/>
              <w:jc w:val="center"/>
              <w:rPr>
                <w:rFonts w:ascii="Wingdings 2" w:hAnsi="Wingdings 2"/>
                <w:color w:val="0070C0"/>
                <w:sz w:val="26"/>
              </w:rPr>
            </w:pPr>
            <w:r w:rsidRPr="005B6074">
              <w:rPr>
                <w:rFonts w:ascii="Wingdings 2" w:hAnsi="Wingdings 2"/>
                <w:color w:val="0070C0"/>
                <w:sz w:val="26"/>
              </w:rPr>
              <w:t></w:t>
            </w:r>
            <w:r w:rsidRPr="005B6074">
              <w:rPr>
                <w:rFonts w:ascii="Wingdings 2" w:hAnsi="Wingdings 2"/>
                <w:color w:val="0070C0"/>
                <w:sz w:val="26"/>
              </w:rPr>
              <w:t></w:t>
            </w:r>
          </w:p>
        </w:tc>
        <w:tc>
          <w:tcPr>
            <w:tcW w:w="990" w:type="dxa"/>
            <w:shd w:val="clear" w:color="auto" w:fill="auto"/>
            <w:vAlign w:val="center"/>
            <w:hideMark/>
          </w:tcPr>
          <w:p w:rsidR="00F24971" w:rsidRPr="00FA49EF" w:rsidRDefault="00F24971" w:rsidP="00F24971">
            <w:pPr>
              <w:spacing w:after="0" w:line="240" w:lineRule="auto"/>
              <w:jc w:val="center"/>
              <w:rPr>
                <w:rFonts w:ascii="Wingdings 2" w:hAnsi="Wingdings 2"/>
                <w:color w:val="0070C0"/>
                <w:sz w:val="26"/>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trPr>
        <w:tc>
          <w:tcPr>
            <w:tcW w:w="1980" w:type="dxa"/>
            <w:vMerge/>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50" w:type="dxa"/>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9</w:t>
            </w:r>
          </w:p>
        </w:tc>
        <w:tc>
          <w:tcPr>
            <w:tcW w:w="772"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8"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trPr>
        <w:tc>
          <w:tcPr>
            <w:tcW w:w="1980" w:type="dxa"/>
            <w:vMerge/>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50" w:type="dxa"/>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10</w:t>
            </w:r>
          </w:p>
        </w:tc>
        <w:tc>
          <w:tcPr>
            <w:tcW w:w="772"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8"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trPr>
        <w:tc>
          <w:tcPr>
            <w:tcW w:w="1980" w:type="dxa"/>
            <w:vMerge/>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50" w:type="dxa"/>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11</w:t>
            </w:r>
          </w:p>
        </w:tc>
        <w:tc>
          <w:tcPr>
            <w:tcW w:w="772"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8"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trPr>
        <w:tc>
          <w:tcPr>
            <w:tcW w:w="1980" w:type="dxa"/>
            <w:vMerge/>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50" w:type="dxa"/>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12</w:t>
            </w:r>
          </w:p>
        </w:tc>
        <w:tc>
          <w:tcPr>
            <w:tcW w:w="772"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8"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510"/>
        </w:trPr>
        <w:tc>
          <w:tcPr>
            <w:tcW w:w="1980" w:type="dxa"/>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Chapter III: Sustainable Development of Fisheries Areas</w:t>
            </w:r>
          </w:p>
        </w:tc>
        <w:tc>
          <w:tcPr>
            <w:tcW w:w="1350" w:type="dxa"/>
            <w:shd w:val="clear" w:color="000000" w:fill="C6D9F1"/>
            <w:vAlign w:val="center"/>
            <w:hideMark/>
          </w:tcPr>
          <w:p w:rsidR="00F24971" w:rsidRPr="004D5FA1" w:rsidRDefault="00F24971" w:rsidP="004D5FA1">
            <w:pPr>
              <w:spacing w:after="0"/>
              <w:jc w:val="center"/>
              <w:rPr>
                <w:rFonts w:ascii="Verdana" w:hAnsi="Verdana"/>
                <w:sz w:val="18"/>
                <w:szCs w:val="18"/>
              </w:rPr>
            </w:pPr>
          </w:p>
        </w:tc>
        <w:tc>
          <w:tcPr>
            <w:tcW w:w="772"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8"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95"/>
        </w:trPr>
        <w:tc>
          <w:tcPr>
            <w:tcW w:w="1980" w:type="dxa"/>
            <w:vMerge w:val="restart"/>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 xml:space="preserve">Chapter IV: Marketing and Processing Related Measures </w:t>
            </w:r>
          </w:p>
        </w:tc>
        <w:tc>
          <w:tcPr>
            <w:tcW w:w="1350" w:type="dxa"/>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13</w:t>
            </w:r>
          </w:p>
        </w:tc>
        <w:tc>
          <w:tcPr>
            <w:tcW w:w="772"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8"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440"/>
        </w:trPr>
        <w:tc>
          <w:tcPr>
            <w:tcW w:w="1980" w:type="dxa"/>
            <w:vMerge/>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50" w:type="dxa"/>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14</w:t>
            </w:r>
          </w:p>
        </w:tc>
        <w:tc>
          <w:tcPr>
            <w:tcW w:w="772"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8"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30"/>
        </w:trPr>
        <w:tc>
          <w:tcPr>
            <w:tcW w:w="1980" w:type="dxa"/>
            <w:vMerge/>
            <w:shd w:val="clear" w:color="auto" w:fill="548DD4"/>
            <w:vAlign w:val="center"/>
            <w:hideMark/>
          </w:tcPr>
          <w:p w:rsidR="00F24971" w:rsidRPr="004D5FA1" w:rsidRDefault="00F24971" w:rsidP="004D5FA1">
            <w:pPr>
              <w:spacing w:after="0"/>
              <w:jc w:val="center"/>
              <w:rPr>
                <w:rFonts w:ascii="Verdana" w:hAnsi="Verdana"/>
                <w:color w:val="FFFFFF" w:themeColor="background1"/>
                <w:sz w:val="18"/>
                <w:szCs w:val="18"/>
              </w:rPr>
            </w:pPr>
          </w:p>
        </w:tc>
        <w:tc>
          <w:tcPr>
            <w:tcW w:w="1350" w:type="dxa"/>
            <w:shd w:val="clear" w:color="000000" w:fill="C6D9F1"/>
            <w:vAlign w:val="center"/>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15</w:t>
            </w:r>
          </w:p>
        </w:tc>
        <w:tc>
          <w:tcPr>
            <w:tcW w:w="772"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8"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765"/>
        </w:trPr>
        <w:tc>
          <w:tcPr>
            <w:tcW w:w="1980" w:type="dxa"/>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Chapter VI: Associated Measures for Common Fisheries Policy for Shared Management</w:t>
            </w:r>
          </w:p>
        </w:tc>
        <w:tc>
          <w:tcPr>
            <w:tcW w:w="1350" w:type="dxa"/>
            <w:shd w:val="clear" w:color="000000" w:fill="C6D9F1"/>
            <w:vAlign w:val="center"/>
            <w:hideMark/>
          </w:tcPr>
          <w:p w:rsidR="00F24971" w:rsidRPr="004D5FA1" w:rsidRDefault="00F24971" w:rsidP="004D5FA1">
            <w:pPr>
              <w:spacing w:after="0"/>
              <w:jc w:val="center"/>
              <w:rPr>
                <w:rFonts w:ascii="Verdana" w:hAnsi="Verdana"/>
                <w:sz w:val="18"/>
                <w:szCs w:val="18"/>
              </w:rPr>
            </w:pPr>
          </w:p>
        </w:tc>
        <w:tc>
          <w:tcPr>
            <w:tcW w:w="772"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8"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r w:rsidR="00F24971" w:rsidRPr="005B6074" w:rsidTr="00F24971">
        <w:trPr>
          <w:trHeight w:val="300"/>
        </w:trPr>
        <w:tc>
          <w:tcPr>
            <w:tcW w:w="1980" w:type="dxa"/>
            <w:shd w:val="clear" w:color="auto" w:fill="548DD4"/>
            <w:vAlign w:val="center"/>
            <w:hideMark/>
          </w:tcPr>
          <w:p w:rsidR="00F24971" w:rsidRPr="004D5FA1" w:rsidRDefault="00A35E98" w:rsidP="004D5FA1">
            <w:pPr>
              <w:spacing w:after="0"/>
              <w:jc w:val="center"/>
              <w:rPr>
                <w:rFonts w:ascii="Verdana" w:hAnsi="Verdana"/>
                <w:color w:val="FFFFFF" w:themeColor="background1"/>
                <w:sz w:val="18"/>
                <w:szCs w:val="18"/>
              </w:rPr>
            </w:pPr>
            <w:r w:rsidRPr="004D5FA1">
              <w:rPr>
                <w:rFonts w:ascii="Verdana" w:hAnsi="Verdana"/>
                <w:color w:val="FFFFFF" w:themeColor="background1"/>
                <w:sz w:val="18"/>
                <w:szCs w:val="18"/>
              </w:rPr>
              <w:t>Local Development Strategies</w:t>
            </w:r>
          </w:p>
        </w:tc>
        <w:tc>
          <w:tcPr>
            <w:tcW w:w="1350" w:type="dxa"/>
            <w:shd w:val="clear" w:color="000000" w:fill="C6D9F1"/>
            <w:vAlign w:val="bottom"/>
            <w:hideMark/>
          </w:tcPr>
          <w:p w:rsidR="00F24971" w:rsidRPr="004D5FA1" w:rsidRDefault="00A35E98" w:rsidP="004D5FA1">
            <w:pPr>
              <w:spacing w:after="0"/>
              <w:jc w:val="center"/>
              <w:rPr>
                <w:rFonts w:ascii="Verdana" w:hAnsi="Verdana"/>
                <w:sz w:val="18"/>
                <w:szCs w:val="18"/>
              </w:rPr>
            </w:pPr>
            <w:r w:rsidRPr="004D5FA1">
              <w:rPr>
                <w:rFonts w:ascii="Verdana" w:hAnsi="Verdana"/>
                <w:sz w:val="18"/>
                <w:szCs w:val="18"/>
              </w:rPr>
              <w:t> </w:t>
            </w:r>
          </w:p>
        </w:tc>
        <w:tc>
          <w:tcPr>
            <w:tcW w:w="772"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848"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72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c>
          <w:tcPr>
            <w:tcW w:w="990" w:type="dxa"/>
            <w:shd w:val="clear" w:color="auto" w:fill="auto"/>
            <w:vAlign w:val="center"/>
            <w:hideMark/>
          </w:tcPr>
          <w:p w:rsidR="00F24971" w:rsidRPr="005B6074" w:rsidRDefault="00F24971" w:rsidP="00F24971">
            <w:pPr>
              <w:spacing w:after="0" w:line="240" w:lineRule="auto"/>
              <w:jc w:val="center"/>
              <w:rPr>
                <w:rFonts w:ascii="Verdana" w:eastAsia="Times New Roman" w:hAnsi="Verdana"/>
                <w:color w:val="0070C0"/>
                <w:sz w:val="18"/>
                <w:szCs w:val="18"/>
              </w:rPr>
            </w:pPr>
          </w:p>
        </w:tc>
      </w:tr>
    </w:tbl>
    <w:p w:rsidR="00F24971" w:rsidRPr="005B6074" w:rsidRDefault="00A35E98" w:rsidP="00F24971">
      <w:pPr>
        <w:spacing w:before="120"/>
        <w:rPr>
          <w:rFonts w:ascii="Verdana" w:hAnsi="Verdana"/>
          <w:i/>
          <w:sz w:val="18"/>
          <w:szCs w:val="18"/>
        </w:rPr>
      </w:pPr>
      <w:r w:rsidRPr="005B6074">
        <w:rPr>
          <w:rFonts w:ascii="Verdana" w:hAnsi="Verdana"/>
          <w:i/>
          <w:sz w:val="18"/>
        </w:rPr>
        <w:t xml:space="preserve">Legend: </w:t>
      </w:r>
      <w:r w:rsidRPr="005B6074">
        <w:rPr>
          <w:rFonts w:ascii="Wingdings 2" w:hAnsi="Wingdings 2"/>
          <w:color w:val="0070C0"/>
          <w:sz w:val="26"/>
        </w:rPr>
        <w:t></w:t>
      </w:r>
      <w:r w:rsidRPr="005B6074">
        <w:rPr>
          <w:rFonts w:ascii="Verdana" w:hAnsi="Verdana"/>
          <w:i/>
          <w:sz w:val="18"/>
        </w:rPr>
        <w:t xml:space="preserve"> - weak connection, </w:t>
      </w:r>
      <w:r w:rsidRPr="005B6074">
        <w:rPr>
          <w:rFonts w:ascii="Wingdings 2" w:hAnsi="Wingdings 2"/>
          <w:color w:val="0070C0"/>
          <w:sz w:val="26"/>
        </w:rPr>
        <w:t></w:t>
      </w:r>
      <w:r w:rsidRPr="005B6074">
        <w:rPr>
          <w:rFonts w:ascii="Wingdings 2" w:hAnsi="Wingdings 2"/>
          <w:color w:val="0070C0"/>
          <w:sz w:val="26"/>
        </w:rPr>
        <w:t></w:t>
      </w:r>
      <w:r w:rsidRPr="005B6074">
        <w:rPr>
          <w:rFonts w:ascii="Verdana" w:hAnsi="Verdana"/>
          <w:sz w:val="26"/>
        </w:rPr>
        <w:t xml:space="preserve">- </w:t>
      </w:r>
      <w:r w:rsidRPr="005B6074">
        <w:rPr>
          <w:rFonts w:ascii="Verdana" w:hAnsi="Verdana"/>
          <w:i/>
          <w:sz w:val="18"/>
        </w:rPr>
        <w:t xml:space="preserve">average connection, </w:t>
      </w:r>
      <w:r w:rsidRPr="005B6074">
        <w:rPr>
          <w:rFonts w:ascii="Wingdings 2" w:hAnsi="Wingdings 2"/>
          <w:color w:val="0070C0"/>
          <w:sz w:val="26"/>
        </w:rPr>
        <w:t></w:t>
      </w:r>
      <w:r w:rsidRPr="005B6074">
        <w:rPr>
          <w:rFonts w:ascii="Wingdings 2" w:hAnsi="Wingdings 2"/>
          <w:color w:val="0070C0"/>
          <w:sz w:val="26"/>
        </w:rPr>
        <w:t></w:t>
      </w:r>
      <w:r w:rsidRPr="005B6074">
        <w:rPr>
          <w:rFonts w:ascii="Wingdings 2" w:hAnsi="Wingdings 2"/>
          <w:color w:val="0070C0"/>
          <w:sz w:val="26"/>
        </w:rPr>
        <w:t></w:t>
      </w:r>
      <w:r w:rsidRPr="005B6074">
        <w:rPr>
          <w:rFonts w:ascii="Verdana" w:hAnsi="Verdana"/>
          <w:i/>
          <w:sz w:val="18"/>
        </w:rPr>
        <w:t xml:space="preserve"> - strong connection</w:t>
      </w:r>
    </w:p>
    <w:p w:rsidR="00F24971" w:rsidRPr="005B6074" w:rsidRDefault="00A35E98" w:rsidP="00F24971">
      <w:pPr>
        <w:keepNext/>
        <w:spacing w:before="240" w:after="120"/>
        <w:rPr>
          <w:rFonts w:ascii="Verdana" w:hAnsi="Verdana"/>
          <w:b/>
          <w:color w:val="548DD4"/>
          <w:sz w:val="20"/>
          <w:szCs w:val="20"/>
        </w:rPr>
      </w:pPr>
      <w:bookmarkStart w:id="98" w:name="_Toc390257072"/>
      <w:bookmarkStart w:id="99" w:name="_Toc396225611"/>
      <w:r w:rsidRPr="005B6074">
        <w:rPr>
          <w:rFonts w:ascii="Verdana" w:hAnsi="Verdana"/>
          <w:b/>
          <w:color w:val="548DD4"/>
          <w:sz w:val="20"/>
        </w:rPr>
        <w:t xml:space="preserve">Table </w:t>
      </w:r>
      <w:r w:rsidRPr="005B6074">
        <w:rPr>
          <w:rFonts w:ascii="Verdana" w:hAnsi="Verdana"/>
          <w:b/>
          <w:color w:val="548DD4"/>
          <w:sz w:val="20"/>
        </w:rPr>
        <w:fldChar w:fldCharType="begin"/>
      </w:r>
      <w:r w:rsidRPr="005B6074">
        <w:rPr>
          <w:rFonts w:ascii="Verdana" w:hAnsi="Verdana"/>
          <w:b/>
          <w:color w:val="548DD4"/>
          <w:sz w:val="20"/>
        </w:rPr>
        <w:instrText>SEQ таблица \* ARABIC</w:instrText>
      </w:r>
      <w:r w:rsidRPr="005B6074">
        <w:rPr>
          <w:rFonts w:ascii="Verdana" w:hAnsi="Verdana"/>
          <w:b/>
          <w:color w:val="548DD4"/>
          <w:sz w:val="20"/>
        </w:rPr>
        <w:fldChar w:fldCharType="separate"/>
      </w:r>
      <w:r w:rsidR="009330F5">
        <w:rPr>
          <w:rFonts w:ascii="Verdana" w:hAnsi="Verdana"/>
          <w:b/>
          <w:noProof/>
          <w:color w:val="548DD4"/>
          <w:sz w:val="20"/>
        </w:rPr>
        <w:t>16</w:t>
      </w:r>
      <w:r w:rsidRPr="005B6074">
        <w:rPr>
          <w:rFonts w:ascii="Verdana" w:hAnsi="Verdana"/>
          <w:b/>
          <w:color w:val="548DD4"/>
          <w:sz w:val="20"/>
        </w:rPr>
        <w:fldChar w:fldCharType="end"/>
      </w:r>
      <w:r w:rsidRPr="005B6074">
        <w:rPr>
          <w:rFonts w:ascii="Verdana" w:hAnsi="Verdana"/>
          <w:b/>
          <w:color w:val="548DD4"/>
          <w:sz w:val="20"/>
        </w:rPr>
        <w:t xml:space="preserve">. Complementarity and Demarcation of </w:t>
      </w:r>
      <w:r w:rsidR="005B35A7">
        <w:rPr>
          <w:rFonts w:ascii="Verdana" w:hAnsi="Verdana"/>
          <w:b/>
          <w:color w:val="548DD4"/>
          <w:sz w:val="20"/>
        </w:rPr>
        <w:t>OPSESG</w:t>
      </w:r>
      <w:r w:rsidRPr="005B6074">
        <w:rPr>
          <w:rFonts w:ascii="Verdana" w:hAnsi="Verdana"/>
          <w:b/>
          <w:color w:val="548DD4"/>
          <w:sz w:val="20"/>
        </w:rPr>
        <w:t xml:space="preserve"> and MFP</w:t>
      </w:r>
      <w:bookmarkEnd w:id="98"/>
      <w:bookmarkEnd w:id="99"/>
    </w:p>
    <w:tbl>
      <w:tblPr>
        <w:tblW w:w="0" w:type="auto"/>
        <w:tblInd w:w="108"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000" w:firstRow="0" w:lastRow="0" w:firstColumn="0" w:lastColumn="0" w:noHBand="0" w:noVBand="0"/>
      </w:tblPr>
      <w:tblGrid>
        <w:gridCol w:w="1961"/>
        <w:gridCol w:w="7011"/>
      </w:tblGrid>
      <w:tr w:rsidR="00F24971" w:rsidRPr="005B6074" w:rsidTr="00F24971">
        <w:tc>
          <w:tcPr>
            <w:tcW w:w="1710" w:type="dxa"/>
            <w:shd w:val="clear" w:color="auto" w:fill="548DD4"/>
          </w:tcPr>
          <w:p w:rsidR="00F24971" w:rsidRPr="00931B15" w:rsidRDefault="00A35E98" w:rsidP="00931B15">
            <w:pPr>
              <w:spacing w:after="0"/>
              <w:rPr>
                <w:rFonts w:ascii="Verdana" w:hAnsi="Verdana"/>
                <w:color w:val="FFFFFF" w:themeColor="background1"/>
                <w:sz w:val="20"/>
                <w:szCs w:val="20"/>
              </w:rPr>
            </w:pPr>
            <w:r w:rsidRPr="00931B15">
              <w:rPr>
                <w:rFonts w:ascii="Verdana" w:hAnsi="Verdana"/>
                <w:color w:val="FFFFFF" w:themeColor="background1"/>
                <w:sz w:val="20"/>
                <w:szCs w:val="20"/>
              </w:rPr>
              <w:t xml:space="preserve">Complementarity / Demarcation </w:t>
            </w:r>
            <w:r w:rsidR="00F52AAA" w:rsidRPr="00931B15">
              <w:rPr>
                <w:rFonts w:ascii="Verdana" w:hAnsi="Verdana"/>
                <w:color w:val="FFFFFF" w:themeColor="background1"/>
                <w:sz w:val="20"/>
                <w:szCs w:val="20"/>
              </w:rPr>
              <w:t>noted in the OPSESG</w:t>
            </w:r>
          </w:p>
        </w:tc>
        <w:tc>
          <w:tcPr>
            <w:tcW w:w="7380" w:type="dxa"/>
          </w:tcPr>
          <w:p w:rsidR="00F24971" w:rsidRPr="004D5FA1" w:rsidRDefault="00A35E98" w:rsidP="004D5FA1">
            <w:pPr>
              <w:spacing w:after="0"/>
              <w:rPr>
                <w:rFonts w:ascii="Verdana" w:hAnsi="Verdana"/>
                <w:sz w:val="20"/>
                <w:szCs w:val="20"/>
              </w:rPr>
            </w:pPr>
            <w:r w:rsidRPr="004D5FA1">
              <w:rPr>
                <w:rFonts w:ascii="Verdana" w:hAnsi="Verdana"/>
                <w:b/>
                <w:sz w:val="20"/>
                <w:szCs w:val="20"/>
              </w:rPr>
              <w:t>Complementarity</w:t>
            </w:r>
            <w:r w:rsidRPr="004D5FA1">
              <w:rPr>
                <w:rFonts w:ascii="Verdana" w:hAnsi="Verdana"/>
                <w:sz w:val="20"/>
                <w:szCs w:val="20"/>
              </w:rPr>
              <w:t>: The possibility for OPSESG to "complement MFP measures by the planned operations for optimisation of the training system in maritime, fisheries and aquacultures" has been noted.</w:t>
            </w:r>
          </w:p>
          <w:p w:rsidR="00F24971" w:rsidRPr="004D5FA1" w:rsidRDefault="00A35E98" w:rsidP="004D5FA1">
            <w:pPr>
              <w:spacing w:after="0"/>
              <w:rPr>
                <w:rFonts w:ascii="Verdana" w:hAnsi="Verdana"/>
                <w:sz w:val="20"/>
                <w:szCs w:val="20"/>
              </w:rPr>
            </w:pPr>
            <w:r w:rsidRPr="004D5FA1">
              <w:rPr>
                <w:rFonts w:ascii="Verdana" w:hAnsi="Verdana"/>
                <w:b/>
                <w:sz w:val="20"/>
                <w:szCs w:val="20"/>
              </w:rPr>
              <w:t>Demarcation</w:t>
            </w:r>
            <w:r w:rsidRPr="004D5FA1">
              <w:rPr>
                <w:rFonts w:ascii="Verdana" w:hAnsi="Verdana"/>
                <w:sz w:val="20"/>
                <w:szCs w:val="20"/>
              </w:rPr>
              <w:t xml:space="preserve">: It is stated that "all measures related to the dissemination of scientific knowledge; innovative practices; </w:t>
            </w:r>
            <w:r w:rsidRPr="004D5FA1">
              <w:rPr>
                <w:rFonts w:ascii="Verdana" w:hAnsi="Verdana"/>
                <w:sz w:val="20"/>
                <w:szCs w:val="20"/>
              </w:rPr>
              <w:lastRenderedPageBreak/>
              <w:t>acquisition of professional skills; setting up networks, etc. related to fisheries and aquacultures, will be supported by the new MFP." It is also noted that "participation of scientific organisations in validation of the outcome of research of the influence of fishing activities on environment or on the more sustainable use of marine biological resources will be co-financed by the European Maritime and Fisheries Fund.</w:t>
            </w:r>
          </w:p>
        </w:tc>
      </w:tr>
      <w:tr w:rsidR="00F24971" w:rsidRPr="005B6074" w:rsidTr="00F24971">
        <w:tc>
          <w:tcPr>
            <w:tcW w:w="1710" w:type="dxa"/>
            <w:shd w:val="clear" w:color="auto" w:fill="548DD4"/>
          </w:tcPr>
          <w:p w:rsidR="00F24971" w:rsidRPr="00931B15" w:rsidRDefault="00A35E98" w:rsidP="00931B15">
            <w:pPr>
              <w:spacing w:after="0"/>
              <w:rPr>
                <w:rFonts w:ascii="Verdana" w:hAnsi="Verdana"/>
                <w:color w:val="FFFFFF" w:themeColor="background1"/>
                <w:sz w:val="20"/>
                <w:szCs w:val="20"/>
              </w:rPr>
            </w:pPr>
            <w:r w:rsidRPr="00931B15">
              <w:rPr>
                <w:rFonts w:ascii="Verdana" w:hAnsi="Verdana"/>
                <w:color w:val="FFFFFF" w:themeColor="background1"/>
                <w:sz w:val="20"/>
                <w:szCs w:val="20"/>
              </w:rPr>
              <w:lastRenderedPageBreak/>
              <w:t>Comments</w:t>
            </w:r>
          </w:p>
        </w:tc>
        <w:tc>
          <w:tcPr>
            <w:tcW w:w="7380" w:type="dxa"/>
          </w:tcPr>
          <w:p w:rsidR="00F24971" w:rsidRPr="004D5FA1" w:rsidRDefault="00A35E98" w:rsidP="004D5FA1">
            <w:pPr>
              <w:spacing w:after="0"/>
              <w:rPr>
                <w:rFonts w:ascii="Verdana" w:hAnsi="Verdana"/>
                <w:sz w:val="20"/>
                <w:szCs w:val="20"/>
              </w:rPr>
            </w:pPr>
            <w:r w:rsidRPr="004D5FA1">
              <w:rPr>
                <w:rFonts w:ascii="Verdana" w:hAnsi="Verdana"/>
                <w:sz w:val="20"/>
                <w:szCs w:val="20"/>
              </w:rPr>
              <w:t xml:space="preserve">Investment in research and innovation in fisheries and aquacultures through Measure 1. Innovations in fisheries and 8. Innovations in aquaculture complement investment for setting up and development of scientific infrastructure through Investment Priority 1.1. </w:t>
            </w:r>
            <w:proofErr w:type="gramStart"/>
            <w:r w:rsidRPr="004D5FA1">
              <w:rPr>
                <w:rFonts w:ascii="Verdana" w:hAnsi="Verdana"/>
                <w:sz w:val="20"/>
                <w:szCs w:val="20"/>
              </w:rPr>
              <w:t>of</w:t>
            </w:r>
            <w:proofErr w:type="gramEnd"/>
            <w:r w:rsidRPr="004D5FA1">
              <w:rPr>
                <w:rFonts w:ascii="Verdana" w:hAnsi="Verdana"/>
                <w:sz w:val="20"/>
                <w:szCs w:val="20"/>
              </w:rPr>
              <w:t xml:space="preserve"> OPSESG which envisages activities for the setting up of scientific centres and modernising of scientific infrastructure.</w:t>
            </w:r>
          </w:p>
          <w:p w:rsidR="00F24971" w:rsidRPr="004D5FA1" w:rsidRDefault="00A35E98" w:rsidP="004D5FA1">
            <w:pPr>
              <w:spacing w:after="0"/>
              <w:rPr>
                <w:rFonts w:ascii="Verdana" w:hAnsi="Verdana"/>
                <w:sz w:val="20"/>
                <w:szCs w:val="20"/>
              </w:rPr>
            </w:pPr>
            <w:r w:rsidRPr="004D5FA1">
              <w:rPr>
                <w:rFonts w:ascii="Verdana" w:hAnsi="Verdana"/>
                <w:sz w:val="20"/>
                <w:szCs w:val="20"/>
              </w:rPr>
              <w:t>The OPSESG possibilities for complementing of MFP with regard to optimisation of the training systems in maritime, fisheries and aquacultures are also described.</w:t>
            </w:r>
          </w:p>
        </w:tc>
      </w:tr>
      <w:tr w:rsidR="00F24971" w:rsidRPr="005B6074" w:rsidTr="00F24971">
        <w:tc>
          <w:tcPr>
            <w:tcW w:w="1710" w:type="dxa"/>
            <w:shd w:val="clear" w:color="auto" w:fill="548DD4"/>
          </w:tcPr>
          <w:p w:rsidR="00F24971" w:rsidRPr="00931B15" w:rsidRDefault="00A35E98" w:rsidP="00931B15">
            <w:pPr>
              <w:spacing w:after="0"/>
              <w:rPr>
                <w:rFonts w:ascii="Verdana" w:hAnsi="Verdana"/>
                <w:color w:val="FFFFFF" w:themeColor="background1"/>
                <w:sz w:val="20"/>
                <w:szCs w:val="20"/>
              </w:rPr>
            </w:pPr>
            <w:r w:rsidRPr="00931B15">
              <w:rPr>
                <w:rFonts w:ascii="Verdana" w:hAnsi="Verdana"/>
                <w:color w:val="FFFFFF" w:themeColor="background1"/>
                <w:sz w:val="20"/>
                <w:szCs w:val="20"/>
              </w:rPr>
              <w:t>Recommendation</w:t>
            </w:r>
          </w:p>
        </w:tc>
        <w:tc>
          <w:tcPr>
            <w:tcW w:w="7380" w:type="dxa"/>
            <w:shd w:val="clear" w:color="auto" w:fill="auto"/>
          </w:tcPr>
          <w:p w:rsidR="00F24971" w:rsidRPr="005B6074" w:rsidRDefault="00A35E98" w:rsidP="004D5FA1">
            <w:pPr>
              <w:spacing w:after="0"/>
              <w:rPr>
                <w:rFonts w:ascii="Verdana" w:hAnsi="Verdana"/>
                <w:sz w:val="20"/>
                <w:szCs w:val="20"/>
              </w:rPr>
            </w:pPr>
            <w:r w:rsidRPr="004D5FA1">
              <w:rPr>
                <w:rFonts w:ascii="Verdana" w:hAnsi="Verdana"/>
                <w:sz w:val="20"/>
                <w:szCs w:val="20"/>
              </w:rPr>
              <w:t xml:space="preserve">The operational programme also contains complementarity between Investment Priority 1.1. </w:t>
            </w:r>
            <w:proofErr w:type="gramStart"/>
            <w:r w:rsidRPr="004D5FA1">
              <w:rPr>
                <w:rFonts w:ascii="Verdana" w:hAnsi="Verdana"/>
                <w:sz w:val="20"/>
                <w:szCs w:val="20"/>
              </w:rPr>
              <w:t>of</w:t>
            </w:r>
            <w:proofErr w:type="gramEnd"/>
            <w:r w:rsidRPr="004D5FA1">
              <w:rPr>
                <w:rFonts w:ascii="Verdana" w:hAnsi="Verdana"/>
                <w:sz w:val="20"/>
                <w:szCs w:val="20"/>
              </w:rPr>
              <w:t xml:space="preserve"> OPSESG and measures 1 and 8 of MFP.</w:t>
            </w:r>
          </w:p>
        </w:tc>
      </w:tr>
    </w:tbl>
    <w:p w:rsidR="00F24971" w:rsidRPr="005B6074" w:rsidRDefault="00F24971" w:rsidP="00F24971">
      <w:pPr>
        <w:ind w:left="360"/>
        <w:rPr>
          <w:rFonts w:ascii="Verdana" w:hAnsi="Verdana"/>
          <w:sz w:val="20"/>
          <w:szCs w:val="20"/>
        </w:rPr>
      </w:pP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ERDF-Funded Programmes under the European Territorial Cooperation Goal</w:t>
      </w:r>
    </w:p>
    <w:tbl>
      <w:tblPr>
        <w:tblW w:w="0" w:type="auto"/>
        <w:tblInd w:w="108" w:type="dxa"/>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000" w:firstRow="0" w:lastRow="0" w:firstColumn="0" w:lastColumn="0" w:noHBand="0" w:noVBand="0"/>
      </w:tblPr>
      <w:tblGrid>
        <w:gridCol w:w="1961"/>
        <w:gridCol w:w="7011"/>
      </w:tblGrid>
      <w:tr w:rsidR="00F24971" w:rsidRPr="005B6074" w:rsidTr="00F24971">
        <w:tc>
          <w:tcPr>
            <w:tcW w:w="1883" w:type="dxa"/>
            <w:shd w:val="clear" w:color="auto" w:fill="548DD4"/>
          </w:tcPr>
          <w:p w:rsidR="00F24971" w:rsidRPr="005B6074" w:rsidRDefault="00A35E98" w:rsidP="00F24971">
            <w:pPr>
              <w:spacing w:after="0"/>
              <w:rPr>
                <w:rFonts w:ascii="Verdana" w:hAnsi="Verdana"/>
                <w:sz w:val="20"/>
                <w:szCs w:val="20"/>
              </w:rPr>
            </w:pPr>
            <w:r w:rsidRPr="005B6074">
              <w:rPr>
                <w:rFonts w:ascii="Verdana" w:hAnsi="Verdana"/>
                <w:color w:val="FFFFFF"/>
                <w:sz w:val="20"/>
              </w:rPr>
              <w:t xml:space="preserve">Complementarity / Demarcation </w:t>
            </w:r>
            <w:r w:rsidR="00F52AAA">
              <w:rPr>
                <w:rFonts w:ascii="Verdana" w:hAnsi="Verdana"/>
                <w:color w:val="FFFFFF"/>
                <w:sz w:val="20"/>
              </w:rPr>
              <w:t>noted in the</w:t>
            </w:r>
            <w:r w:rsidR="00F52AAA" w:rsidRPr="005B6074">
              <w:rPr>
                <w:rFonts w:ascii="Verdana" w:hAnsi="Verdana"/>
                <w:color w:val="FFFFFF"/>
                <w:sz w:val="20"/>
              </w:rPr>
              <w:t xml:space="preserve"> OPSESG</w:t>
            </w:r>
          </w:p>
        </w:tc>
        <w:tc>
          <w:tcPr>
            <w:tcW w:w="7207" w:type="dxa"/>
          </w:tcPr>
          <w:p w:rsidR="00F24971" w:rsidRPr="005B6074" w:rsidRDefault="00A35E98" w:rsidP="004D5FA1">
            <w:pPr>
              <w:spacing w:after="0"/>
              <w:rPr>
                <w:rFonts w:ascii="Verdana" w:hAnsi="Verdana"/>
                <w:sz w:val="20"/>
                <w:szCs w:val="20"/>
              </w:rPr>
            </w:pPr>
            <w:r w:rsidRPr="004D5FA1">
              <w:rPr>
                <w:rFonts w:ascii="Verdana" w:hAnsi="Verdana"/>
                <w:sz w:val="20"/>
                <w:szCs w:val="20"/>
              </w:rPr>
              <w:t>It is noted that demarcation at the level of programming is not needed.</w:t>
            </w:r>
          </w:p>
          <w:p w:rsidR="00F24971" w:rsidRPr="005B6074" w:rsidRDefault="00A35E98" w:rsidP="004D5FA1">
            <w:pPr>
              <w:spacing w:after="0"/>
              <w:rPr>
                <w:rFonts w:ascii="Verdana" w:hAnsi="Verdana"/>
                <w:sz w:val="20"/>
                <w:szCs w:val="20"/>
              </w:rPr>
            </w:pPr>
            <w:r w:rsidRPr="004D5FA1">
              <w:rPr>
                <w:rFonts w:ascii="Verdana" w:hAnsi="Verdana"/>
                <w:sz w:val="20"/>
                <w:szCs w:val="20"/>
              </w:rPr>
              <w:t>It is noted that "upon programme launch, there will be checks so as to avoid double financing at the level of target groups, beneficiaries, eligible activities/expenditure, results".</w:t>
            </w:r>
          </w:p>
        </w:tc>
      </w:tr>
      <w:tr w:rsidR="00F24971" w:rsidRPr="005B6074" w:rsidTr="00F24971">
        <w:tc>
          <w:tcPr>
            <w:tcW w:w="1883" w:type="dxa"/>
            <w:shd w:val="clear" w:color="auto" w:fill="548DD4"/>
          </w:tcPr>
          <w:p w:rsidR="00F24971" w:rsidRPr="005B6074" w:rsidRDefault="00A35E98" w:rsidP="00F24971">
            <w:pPr>
              <w:spacing w:after="0"/>
              <w:rPr>
                <w:rFonts w:ascii="Verdana" w:hAnsi="Verdana"/>
                <w:color w:val="FFFFFF"/>
                <w:sz w:val="20"/>
                <w:szCs w:val="20"/>
              </w:rPr>
            </w:pPr>
            <w:r w:rsidRPr="005B6074">
              <w:rPr>
                <w:rFonts w:ascii="Verdana" w:hAnsi="Verdana"/>
                <w:color w:val="FFFFFF"/>
                <w:sz w:val="20"/>
              </w:rPr>
              <w:t>Comments</w:t>
            </w:r>
          </w:p>
        </w:tc>
        <w:tc>
          <w:tcPr>
            <w:tcW w:w="7207" w:type="dxa"/>
          </w:tcPr>
          <w:p w:rsidR="00F24971" w:rsidRPr="005B6074" w:rsidRDefault="00A35E98" w:rsidP="004D5FA1">
            <w:pPr>
              <w:spacing w:after="0"/>
              <w:rPr>
                <w:rFonts w:ascii="Verdana" w:hAnsi="Verdana"/>
                <w:sz w:val="20"/>
                <w:szCs w:val="20"/>
              </w:rPr>
            </w:pPr>
            <w:r w:rsidRPr="004D5FA1">
              <w:rPr>
                <w:rFonts w:ascii="Verdana" w:hAnsi="Verdana"/>
                <w:sz w:val="20"/>
                <w:szCs w:val="20"/>
              </w:rPr>
              <w:t xml:space="preserve">There are no draft versions of the programmes under ETC whose links to </w:t>
            </w:r>
            <w:r w:rsidR="005B35A7">
              <w:rPr>
                <w:rFonts w:ascii="Verdana" w:hAnsi="Verdana"/>
                <w:sz w:val="20"/>
                <w:szCs w:val="20"/>
              </w:rPr>
              <w:t>OPSESG</w:t>
            </w:r>
            <w:r w:rsidRPr="004D5FA1">
              <w:rPr>
                <w:rFonts w:ascii="Verdana" w:hAnsi="Verdana"/>
                <w:sz w:val="20"/>
                <w:szCs w:val="20"/>
              </w:rPr>
              <w:t xml:space="preserve"> to be considered, analysed and assessed.</w:t>
            </w:r>
          </w:p>
        </w:tc>
      </w:tr>
      <w:tr w:rsidR="00F24971" w:rsidRPr="005B6074" w:rsidTr="00F24971">
        <w:tc>
          <w:tcPr>
            <w:tcW w:w="1883" w:type="dxa"/>
            <w:shd w:val="clear" w:color="auto" w:fill="548DD4"/>
          </w:tcPr>
          <w:p w:rsidR="00F24971" w:rsidRPr="005B6074" w:rsidRDefault="00A35E98" w:rsidP="00F24971">
            <w:pPr>
              <w:spacing w:after="0"/>
              <w:rPr>
                <w:rFonts w:ascii="Verdana" w:hAnsi="Verdana"/>
                <w:color w:val="FFFFFF"/>
                <w:sz w:val="20"/>
                <w:szCs w:val="20"/>
              </w:rPr>
            </w:pPr>
            <w:r w:rsidRPr="005B6074">
              <w:rPr>
                <w:rFonts w:ascii="Verdana" w:hAnsi="Verdana"/>
                <w:color w:val="FFFFFF"/>
                <w:sz w:val="20"/>
              </w:rPr>
              <w:t>Recommendation</w:t>
            </w:r>
          </w:p>
        </w:tc>
        <w:tc>
          <w:tcPr>
            <w:tcW w:w="7207" w:type="dxa"/>
          </w:tcPr>
          <w:p w:rsidR="00F24971" w:rsidRPr="005B6074" w:rsidRDefault="00A35E98" w:rsidP="004D5FA1">
            <w:pPr>
              <w:spacing w:after="0"/>
              <w:rPr>
                <w:rFonts w:ascii="Verdana" w:hAnsi="Verdana"/>
                <w:sz w:val="20"/>
                <w:szCs w:val="20"/>
              </w:rPr>
            </w:pPr>
            <w:r w:rsidRPr="004D5FA1">
              <w:rPr>
                <w:rFonts w:ascii="Verdana" w:hAnsi="Verdana"/>
                <w:sz w:val="20"/>
                <w:szCs w:val="20"/>
              </w:rPr>
              <w:t>When drafting the versions of the ETC programmes where under Bulgaria will be party, the wording of item 1.8 of Section 8 should be reviewed and revised, if necessary.</w:t>
            </w:r>
          </w:p>
        </w:tc>
      </w:tr>
    </w:tbl>
    <w:p w:rsidR="00F24971" w:rsidRPr="005B6074" w:rsidRDefault="00F24971" w:rsidP="00F24971">
      <w:pPr>
        <w:ind w:left="360"/>
        <w:rPr>
          <w:rFonts w:ascii="Verdana" w:hAnsi="Verdana"/>
          <w:sz w:val="20"/>
          <w:szCs w:val="20"/>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38"/>
        <w:gridCol w:w="8444"/>
      </w:tblGrid>
      <w:tr w:rsidR="00F24971" w:rsidRPr="005B6074" w:rsidTr="00F24971">
        <w:tc>
          <w:tcPr>
            <w:tcW w:w="540" w:type="dxa"/>
            <w:vAlign w:val="center"/>
          </w:tcPr>
          <w:p w:rsidR="00F24971" w:rsidRPr="005B6074" w:rsidRDefault="00A35E98" w:rsidP="00F24971">
            <w:pPr>
              <w:pStyle w:val="BodyText"/>
              <w:spacing w:after="0" w:line="276" w:lineRule="auto"/>
              <w:jc w:val="center"/>
              <w:rPr>
                <w:rFonts w:ascii="Verdana" w:hAnsi="Verdana"/>
                <w:b/>
                <w:color w:val="548DD4"/>
                <w:sz w:val="20"/>
                <w:szCs w:val="20"/>
              </w:rPr>
            </w:pPr>
            <w:r w:rsidRPr="005B6074">
              <w:rPr>
                <w:rFonts w:ascii="Verdana" w:hAnsi="Verdana"/>
                <w:b/>
                <w:color w:val="548DD4"/>
                <w:sz w:val="36"/>
              </w:rPr>
              <w:t>?</w:t>
            </w:r>
          </w:p>
        </w:tc>
        <w:tc>
          <w:tcPr>
            <w:tcW w:w="8550" w:type="dxa"/>
            <w:shd w:val="clear" w:color="auto" w:fill="B8CCE4"/>
          </w:tcPr>
          <w:p w:rsidR="00F24971" w:rsidRPr="005B6074" w:rsidRDefault="00A35E98">
            <w:pPr>
              <w:suppressAutoHyphens/>
              <w:spacing w:before="120" w:after="120" w:line="240" w:lineRule="auto"/>
              <w:ind w:left="115"/>
              <w:rPr>
                <w:rFonts w:ascii="Verdana" w:hAnsi="Verdana" w:cs="TimesNewRomanPSMT"/>
                <w:sz w:val="20"/>
                <w:szCs w:val="20"/>
              </w:rPr>
            </w:pPr>
            <w:r w:rsidRPr="005B6074">
              <w:rPr>
                <w:rFonts w:ascii="Verdana" w:hAnsi="Verdana"/>
                <w:sz w:val="20"/>
              </w:rPr>
              <w:t xml:space="preserve">Meeting the </w:t>
            </w:r>
            <w:proofErr w:type="spellStart"/>
            <w:r w:rsidRPr="005B6074">
              <w:rPr>
                <w:rFonts w:ascii="Verdana" w:hAnsi="Verdana"/>
                <w:sz w:val="20"/>
              </w:rPr>
              <w:t>conditionalities</w:t>
            </w:r>
            <w:proofErr w:type="spellEnd"/>
            <w:r w:rsidRPr="005B6074">
              <w:rPr>
                <w:rFonts w:ascii="Verdana" w:hAnsi="Verdana"/>
                <w:sz w:val="20"/>
              </w:rPr>
              <w:t xml:space="preserve"> of Annex 4 to the General Regulation concerning the CSF funds</w:t>
            </w:r>
          </w:p>
        </w:tc>
      </w:tr>
    </w:tbl>
    <w:p w:rsidR="00F24971" w:rsidRPr="005B6074" w:rsidRDefault="00A35E98" w:rsidP="00F24971">
      <w:pPr>
        <w:spacing w:before="120" w:after="120"/>
        <w:jc w:val="both"/>
        <w:rPr>
          <w:rFonts w:ascii="Verdana" w:hAnsi="Verdana"/>
          <w:sz w:val="20"/>
          <w:szCs w:val="20"/>
        </w:rPr>
      </w:pPr>
      <w:r w:rsidRPr="005B6074">
        <w:rPr>
          <w:rFonts w:ascii="Verdana" w:hAnsi="Verdana"/>
          <w:sz w:val="20"/>
        </w:rPr>
        <w:t xml:space="preserve">The fulfilment of the </w:t>
      </w:r>
      <w:proofErr w:type="spellStart"/>
      <w:r w:rsidRPr="005B6074">
        <w:rPr>
          <w:rFonts w:ascii="Verdana" w:hAnsi="Verdana"/>
          <w:sz w:val="20"/>
        </w:rPr>
        <w:t>conditionalities</w:t>
      </w:r>
      <w:proofErr w:type="spellEnd"/>
      <w:r w:rsidRPr="005B6074">
        <w:rPr>
          <w:rFonts w:ascii="Verdana" w:hAnsi="Verdana"/>
          <w:sz w:val="20"/>
        </w:rPr>
        <w:t xml:space="preserve"> is monitored at national level. Concerning the meeting of the </w:t>
      </w:r>
      <w:proofErr w:type="spellStart"/>
      <w:r w:rsidRPr="005B6074">
        <w:rPr>
          <w:rFonts w:ascii="Verdana" w:hAnsi="Verdana"/>
          <w:sz w:val="20"/>
        </w:rPr>
        <w:t>conditionalities</w:t>
      </w:r>
      <w:proofErr w:type="spellEnd"/>
      <w:r w:rsidRPr="005B6074">
        <w:rPr>
          <w:rFonts w:ascii="Verdana" w:hAnsi="Verdana"/>
          <w:sz w:val="20"/>
        </w:rPr>
        <w:t xml:space="preserve">, PA states that all conditions are to be met by 31 December 2016 at the latest, while the majority of them are to be met in the first half of 2014. </w:t>
      </w:r>
    </w:p>
    <w:p w:rsidR="00F24971" w:rsidRPr="005B6074" w:rsidRDefault="00A35E98" w:rsidP="00F24971">
      <w:pPr>
        <w:pStyle w:val="BodyText"/>
        <w:tabs>
          <w:tab w:val="left" w:pos="0"/>
          <w:tab w:val="right" w:pos="9214"/>
        </w:tabs>
        <w:autoSpaceDE w:val="0"/>
        <w:autoSpaceDN w:val="0"/>
        <w:adjustRightInd w:val="0"/>
        <w:spacing w:line="276" w:lineRule="auto"/>
        <w:jc w:val="both"/>
        <w:rPr>
          <w:rFonts w:ascii="Verdana" w:hAnsi="Verdana"/>
          <w:bCs/>
          <w:color w:val="000000"/>
          <w:sz w:val="20"/>
          <w:szCs w:val="20"/>
        </w:rPr>
      </w:pPr>
      <w:r w:rsidRPr="005B6074">
        <w:rPr>
          <w:rFonts w:ascii="Verdana" w:hAnsi="Verdana"/>
          <w:sz w:val="20"/>
        </w:rPr>
        <w:t xml:space="preserve">Five of the specific conditions in the area of education and science are directly related to the preparation of OPSESG 2014–2020. </w:t>
      </w:r>
      <w:r w:rsidRPr="005B6074">
        <w:rPr>
          <w:rFonts w:ascii="Verdana" w:hAnsi="Verdana"/>
          <w:color w:val="000000"/>
          <w:sz w:val="20"/>
        </w:rPr>
        <w:t xml:space="preserve">They are in the following thematic areas: </w:t>
      </w:r>
    </w:p>
    <w:p w:rsidR="00F24971" w:rsidRPr="005B6074" w:rsidRDefault="00A35E98" w:rsidP="00181A22">
      <w:pPr>
        <w:pStyle w:val="BodyText"/>
        <w:numPr>
          <w:ilvl w:val="0"/>
          <w:numId w:val="52"/>
        </w:numPr>
        <w:autoSpaceDE w:val="0"/>
        <w:autoSpaceDN w:val="0"/>
        <w:adjustRightInd w:val="0"/>
        <w:spacing w:line="276" w:lineRule="auto"/>
        <w:jc w:val="both"/>
        <w:rPr>
          <w:rFonts w:ascii="Verdana" w:eastAsia="TimesNewRoman" w:hAnsi="Verdana" w:cs="TimesNewRoman"/>
          <w:sz w:val="20"/>
          <w:szCs w:val="20"/>
        </w:rPr>
      </w:pPr>
      <w:r w:rsidRPr="005B6074">
        <w:rPr>
          <w:rFonts w:ascii="Verdana" w:hAnsi="Verdana"/>
          <w:sz w:val="20"/>
        </w:rPr>
        <w:t>Strengthening research, technological development and innovation;</w:t>
      </w:r>
    </w:p>
    <w:p w:rsidR="00F24971" w:rsidRPr="005B6074" w:rsidRDefault="00A35E98" w:rsidP="00181A22">
      <w:pPr>
        <w:pStyle w:val="BodyText"/>
        <w:numPr>
          <w:ilvl w:val="0"/>
          <w:numId w:val="52"/>
        </w:numPr>
        <w:autoSpaceDE w:val="0"/>
        <w:autoSpaceDN w:val="0"/>
        <w:adjustRightInd w:val="0"/>
        <w:spacing w:line="276" w:lineRule="auto"/>
        <w:jc w:val="both"/>
        <w:rPr>
          <w:rFonts w:ascii="Verdana" w:eastAsia="TimesNewRoman" w:hAnsi="Verdana" w:cs="TimesNewRoman"/>
          <w:sz w:val="20"/>
          <w:szCs w:val="20"/>
        </w:rPr>
      </w:pPr>
      <w:r w:rsidRPr="005B6074">
        <w:rPr>
          <w:rFonts w:ascii="Verdana" w:hAnsi="Verdana"/>
          <w:sz w:val="20"/>
        </w:rPr>
        <w:t>Investment in skills, education and lifelong learning.</w:t>
      </w:r>
    </w:p>
    <w:p w:rsidR="00F24971" w:rsidRPr="005B6074" w:rsidRDefault="00A35E98" w:rsidP="00F24971">
      <w:pPr>
        <w:spacing w:after="120"/>
        <w:jc w:val="both"/>
        <w:rPr>
          <w:rFonts w:ascii="Verdana" w:hAnsi="Verdana"/>
          <w:sz w:val="20"/>
          <w:szCs w:val="20"/>
        </w:rPr>
      </w:pPr>
      <w:r w:rsidRPr="005B6074">
        <w:rPr>
          <w:rFonts w:ascii="Verdana" w:hAnsi="Verdana"/>
          <w:sz w:val="20"/>
        </w:rPr>
        <w:lastRenderedPageBreak/>
        <w:t xml:space="preserve">The adoption of the Smart Specialisation Strategy and the Higher Education Strategy, as well as of the Secondary Education Act and of amendments to the Vocational Education and Training Act will support meeting the </w:t>
      </w:r>
      <w:proofErr w:type="spellStart"/>
      <w:r w:rsidRPr="005B6074">
        <w:rPr>
          <w:rFonts w:ascii="Verdana" w:hAnsi="Verdana"/>
          <w:sz w:val="20"/>
        </w:rPr>
        <w:t>conditionalities</w:t>
      </w:r>
      <w:proofErr w:type="spellEnd"/>
      <w:r w:rsidRPr="005B6074">
        <w:rPr>
          <w:rFonts w:ascii="Verdana" w:hAnsi="Verdana"/>
          <w:sz w:val="20"/>
        </w:rPr>
        <w:t>.</w:t>
      </w:r>
    </w:p>
    <w:p w:rsidR="00F24971" w:rsidRPr="005B6074" w:rsidRDefault="00A35E98" w:rsidP="00F24971">
      <w:pPr>
        <w:pStyle w:val="Heading3"/>
        <w:numPr>
          <w:ilvl w:val="0"/>
          <w:numId w:val="0"/>
        </w:numPr>
        <w:spacing w:before="360"/>
        <w:ind w:left="720" w:hanging="720"/>
      </w:pPr>
      <w:bookmarkStart w:id="100" w:name="_Toc362617568"/>
      <w:bookmarkStart w:id="101" w:name="_Toc390262441"/>
      <w:bookmarkStart w:id="102" w:name="_Toc396225556"/>
      <w:r w:rsidRPr="005B6074">
        <w:t>Conclusions and Recommendations</w:t>
      </w:r>
      <w:bookmarkEnd w:id="100"/>
      <w:bookmarkEnd w:id="101"/>
      <w:bookmarkEnd w:id="102"/>
    </w:p>
    <w:p w:rsidR="00F24971" w:rsidRPr="005B6074" w:rsidRDefault="00A35E98" w:rsidP="00F24971">
      <w:pPr>
        <w:pStyle w:val="BodyText"/>
        <w:widowControl w:val="0"/>
        <w:spacing w:line="276" w:lineRule="auto"/>
        <w:jc w:val="both"/>
        <w:rPr>
          <w:rFonts w:ascii="Verdana" w:hAnsi="Verdana"/>
          <w:sz w:val="20"/>
          <w:szCs w:val="20"/>
        </w:rPr>
      </w:pPr>
      <w:bookmarkStart w:id="103" w:name="_Toc319498686"/>
      <w:r w:rsidRPr="005B6074">
        <w:rPr>
          <w:rFonts w:ascii="Verdana" w:hAnsi="Verdana"/>
          <w:sz w:val="20"/>
        </w:rPr>
        <w:t>Some of the recommendations provided have been taken into account and as a result the synergy between the Programme and Horizon 2020 has been strengthened and demarcation from and complementarity to some of the operational programmes improved. The texts of the Programme have been updated in line with the documents' latest versions.</w:t>
      </w:r>
    </w:p>
    <w:p w:rsidR="00F24971" w:rsidRPr="005B6074" w:rsidRDefault="00A35E98" w:rsidP="00F24971">
      <w:pPr>
        <w:autoSpaceDE w:val="0"/>
        <w:autoSpaceDN w:val="0"/>
        <w:adjustRightInd w:val="0"/>
        <w:spacing w:after="120"/>
        <w:jc w:val="both"/>
        <w:rPr>
          <w:rFonts w:ascii="Verdana" w:hAnsi="Verdana"/>
          <w:sz w:val="20"/>
          <w:szCs w:val="20"/>
        </w:rPr>
      </w:pPr>
      <w:r w:rsidRPr="005B6074">
        <w:rPr>
          <w:rFonts w:ascii="Verdana" w:hAnsi="Verdana"/>
          <w:sz w:val="20"/>
        </w:rPr>
        <w:t>Attention should be paid to the following:</w:t>
      </w:r>
    </w:p>
    <w:p w:rsidR="00F24971" w:rsidRPr="005B6074" w:rsidRDefault="008E6270" w:rsidP="00181A22">
      <w:pPr>
        <w:pStyle w:val="ListParagraph"/>
        <w:numPr>
          <w:ilvl w:val="0"/>
          <w:numId w:val="32"/>
        </w:numPr>
        <w:autoSpaceDE w:val="0"/>
        <w:autoSpaceDN w:val="0"/>
        <w:adjustRightInd w:val="0"/>
        <w:spacing w:after="120"/>
        <w:ind w:left="312" w:hanging="284"/>
        <w:jc w:val="both"/>
        <w:rPr>
          <w:rFonts w:ascii="Verdana" w:eastAsia="Calibri" w:hAnsi="Verdana"/>
          <w:sz w:val="20"/>
          <w:szCs w:val="20"/>
        </w:rPr>
      </w:pPr>
      <w:r w:rsidRPr="005B6074">
        <w:rPr>
          <w:rFonts w:ascii="Verdana" w:hAnsi="Verdana"/>
          <w:sz w:val="20"/>
        </w:rPr>
        <w:t>To better address</w:t>
      </w:r>
      <w:r w:rsidR="00A35E98" w:rsidRPr="005B6074">
        <w:rPr>
          <w:rFonts w:ascii="Verdana" w:hAnsi="Verdana"/>
          <w:sz w:val="20"/>
        </w:rPr>
        <w:t xml:space="preserve"> the territorial aspects related to quality of education in small and big settlements.</w:t>
      </w:r>
    </w:p>
    <w:p w:rsidR="00F24971" w:rsidRPr="005B6074" w:rsidRDefault="00A35E98" w:rsidP="00181A22">
      <w:pPr>
        <w:pStyle w:val="ListParagraph"/>
        <w:numPr>
          <w:ilvl w:val="0"/>
          <w:numId w:val="32"/>
        </w:numPr>
        <w:autoSpaceDE w:val="0"/>
        <w:autoSpaceDN w:val="0"/>
        <w:adjustRightInd w:val="0"/>
        <w:spacing w:after="120"/>
        <w:ind w:left="312" w:hanging="284"/>
        <w:jc w:val="both"/>
        <w:rPr>
          <w:rFonts w:ascii="Verdana" w:eastAsia="Calibri" w:hAnsi="Verdana"/>
          <w:sz w:val="20"/>
          <w:szCs w:val="20"/>
        </w:rPr>
      </w:pPr>
      <w:r w:rsidRPr="005B6074">
        <w:rPr>
          <w:rFonts w:ascii="Verdana" w:hAnsi="Verdana"/>
          <w:sz w:val="20"/>
        </w:rPr>
        <w:t>To better reflect into the Programme the PA targets, specifically:</w:t>
      </w:r>
    </w:p>
    <w:p w:rsidR="00F24971" w:rsidRPr="005B6074" w:rsidRDefault="00A35E98" w:rsidP="00181A22">
      <w:pPr>
        <w:pStyle w:val="ListParagraph"/>
        <w:numPr>
          <w:ilvl w:val="1"/>
          <w:numId w:val="32"/>
        </w:numPr>
        <w:autoSpaceDE w:val="0"/>
        <w:autoSpaceDN w:val="0"/>
        <w:adjustRightInd w:val="0"/>
        <w:spacing w:after="120"/>
        <w:jc w:val="both"/>
        <w:rPr>
          <w:rFonts w:ascii="Verdana" w:eastAsia="Calibri" w:hAnsi="Verdana"/>
          <w:sz w:val="20"/>
          <w:szCs w:val="20"/>
        </w:rPr>
      </w:pPr>
      <w:r w:rsidRPr="005B6074">
        <w:rPr>
          <w:rFonts w:ascii="Verdana" w:hAnsi="Verdana"/>
          <w:sz w:val="20"/>
        </w:rPr>
        <w:t>Establishing and enhancing of partnerships among higher education, enterprises and research;</w:t>
      </w:r>
    </w:p>
    <w:p w:rsidR="00F24971" w:rsidRPr="005B6074" w:rsidRDefault="00A35E98" w:rsidP="00181A22">
      <w:pPr>
        <w:pStyle w:val="ListParagraph"/>
        <w:numPr>
          <w:ilvl w:val="1"/>
          <w:numId w:val="32"/>
        </w:numPr>
        <w:autoSpaceDE w:val="0"/>
        <w:autoSpaceDN w:val="0"/>
        <w:adjustRightInd w:val="0"/>
        <w:spacing w:after="120"/>
        <w:jc w:val="both"/>
        <w:rPr>
          <w:rFonts w:ascii="Verdana" w:eastAsia="Calibri" w:hAnsi="Verdana"/>
          <w:sz w:val="20"/>
          <w:szCs w:val="20"/>
        </w:rPr>
      </w:pPr>
      <w:r w:rsidRPr="005B6074">
        <w:rPr>
          <w:rFonts w:ascii="Verdana" w:hAnsi="Verdana"/>
          <w:sz w:val="20"/>
        </w:rPr>
        <w:t>Strengthening of the management capacity of scientific institutes;</w:t>
      </w:r>
    </w:p>
    <w:p w:rsidR="00F24971" w:rsidRPr="005B6074" w:rsidRDefault="00A35E98" w:rsidP="00181A22">
      <w:pPr>
        <w:pStyle w:val="ListParagraph"/>
        <w:numPr>
          <w:ilvl w:val="1"/>
          <w:numId w:val="32"/>
        </w:numPr>
        <w:autoSpaceDE w:val="0"/>
        <w:autoSpaceDN w:val="0"/>
        <w:adjustRightInd w:val="0"/>
        <w:spacing w:after="120"/>
        <w:jc w:val="both"/>
        <w:rPr>
          <w:rFonts w:ascii="Verdana" w:eastAsia="Calibri" w:hAnsi="Verdana"/>
          <w:sz w:val="20"/>
          <w:szCs w:val="20"/>
        </w:rPr>
      </w:pPr>
      <w:r w:rsidRPr="005B6074">
        <w:rPr>
          <w:rFonts w:ascii="Verdana" w:hAnsi="Verdana"/>
          <w:sz w:val="20"/>
        </w:rPr>
        <w:t>Creating of possibilities for researcher traineeships in enterprises;</w:t>
      </w:r>
    </w:p>
    <w:p w:rsidR="00F24971" w:rsidRPr="005B6074" w:rsidRDefault="00A35E98" w:rsidP="00181A22">
      <w:pPr>
        <w:pStyle w:val="ListParagraph"/>
        <w:numPr>
          <w:ilvl w:val="1"/>
          <w:numId w:val="32"/>
        </w:numPr>
        <w:autoSpaceDE w:val="0"/>
        <w:autoSpaceDN w:val="0"/>
        <w:adjustRightInd w:val="0"/>
        <w:spacing w:after="120"/>
        <w:jc w:val="both"/>
        <w:rPr>
          <w:rFonts w:ascii="Verdana" w:eastAsia="Calibri" w:hAnsi="Verdana"/>
          <w:sz w:val="20"/>
          <w:szCs w:val="20"/>
        </w:rPr>
      </w:pPr>
      <w:r w:rsidRPr="005B6074">
        <w:rPr>
          <w:rFonts w:ascii="Verdana" w:hAnsi="Verdana"/>
          <w:sz w:val="20"/>
        </w:rPr>
        <w:t>Providing incentives to the educational institutions to deliver educational services beyond their infrastructure on the basis of partnership with employers, state and municipal institutions and other stakeholders.</w:t>
      </w:r>
    </w:p>
    <w:p w:rsidR="00F24971" w:rsidRPr="005B6074" w:rsidRDefault="00A35E98" w:rsidP="00181A22">
      <w:pPr>
        <w:pStyle w:val="ListParagraph"/>
        <w:numPr>
          <w:ilvl w:val="1"/>
          <w:numId w:val="32"/>
        </w:numPr>
        <w:autoSpaceDE w:val="0"/>
        <w:autoSpaceDN w:val="0"/>
        <w:adjustRightInd w:val="0"/>
        <w:spacing w:after="120"/>
        <w:jc w:val="both"/>
        <w:rPr>
          <w:rFonts w:ascii="Verdana" w:eastAsia="Calibri" w:hAnsi="Verdana"/>
          <w:sz w:val="20"/>
          <w:szCs w:val="20"/>
        </w:rPr>
      </w:pPr>
      <w:r w:rsidRPr="005B6074">
        <w:rPr>
          <w:rFonts w:ascii="Verdana" w:hAnsi="Verdana"/>
          <w:sz w:val="20"/>
        </w:rPr>
        <w:t>Developing of partnerships between business and scientists.</w:t>
      </w:r>
    </w:p>
    <w:p w:rsidR="00F24971" w:rsidRPr="005B6074" w:rsidRDefault="00A35E98" w:rsidP="00181A22">
      <w:pPr>
        <w:pStyle w:val="ListParagraph"/>
        <w:numPr>
          <w:ilvl w:val="0"/>
          <w:numId w:val="32"/>
        </w:numPr>
        <w:autoSpaceDE w:val="0"/>
        <w:autoSpaceDN w:val="0"/>
        <w:adjustRightInd w:val="0"/>
        <w:spacing w:after="120"/>
        <w:ind w:left="312" w:hanging="284"/>
        <w:jc w:val="both"/>
        <w:rPr>
          <w:rFonts w:ascii="Verdana" w:eastAsia="Calibri" w:hAnsi="Verdana"/>
          <w:sz w:val="20"/>
          <w:szCs w:val="20"/>
        </w:rPr>
      </w:pPr>
      <w:r w:rsidRPr="005B6074">
        <w:rPr>
          <w:rFonts w:ascii="Verdana" w:hAnsi="Verdana"/>
          <w:sz w:val="20"/>
        </w:rPr>
        <w:t xml:space="preserve">A better synergy between the Programme and the priorities stated in the Bucharest Communiqué of the Ministers Responsible for Higher Education is possible through provision of support by the </w:t>
      </w:r>
      <w:r w:rsidR="005B35A7">
        <w:rPr>
          <w:rFonts w:ascii="Verdana" w:hAnsi="Verdana"/>
          <w:sz w:val="20"/>
        </w:rPr>
        <w:t>OPSESG</w:t>
      </w:r>
      <w:r w:rsidRPr="005B6074">
        <w:rPr>
          <w:rFonts w:ascii="Verdana" w:hAnsi="Verdana"/>
          <w:sz w:val="20"/>
        </w:rPr>
        <w:t xml:space="preserve"> for elaboration of joint programmes and degrees with other universities, as part of the measures aimed at enhancing the quality and efficiency of higher education.</w:t>
      </w:r>
    </w:p>
    <w:p w:rsidR="00F24971" w:rsidRPr="005B6074" w:rsidRDefault="00A35E98" w:rsidP="00181A22">
      <w:pPr>
        <w:pStyle w:val="ListParagraph"/>
        <w:numPr>
          <w:ilvl w:val="0"/>
          <w:numId w:val="32"/>
        </w:numPr>
        <w:autoSpaceDE w:val="0"/>
        <w:autoSpaceDN w:val="0"/>
        <w:adjustRightInd w:val="0"/>
        <w:spacing w:after="120"/>
        <w:ind w:left="312" w:hanging="284"/>
        <w:jc w:val="both"/>
        <w:rPr>
          <w:rFonts w:ascii="Verdana" w:eastAsia="Calibri" w:hAnsi="Verdana"/>
          <w:sz w:val="20"/>
          <w:szCs w:val="20"/>
        </w:rPr>
      </w:pPr>
      <w:r w:rsidRPr="005B6074">
        <w:rPr>
          <w:rFonts w:ascii="Verdana" w:hAnsi="Verdana"/>
          <w:sz w:val="20"/>
        </w:rPr>
        <w:t>Demarcation from and complementarity to some of the other operational programmes, OPIC in particular, could be improved.</w:t>
      </w:r>
    </w:p>
    <w:p w:rsidR="00F24971" w:rsidRDefault="00F24971" w:rsidP="00F24971">
      <w:pPr>
        <w:autoSpaceDE w:val="0"/>
        <w:autoSpaceDN w:val="0"/>
        <w:adjustRightInd w:val="0"/>
        <w:spacing w:after="60" w:line="240" w:lineRule="auto"/>
        <w:jc w:val="both"/>
        <w:rPr>
          <w:rFonts w:ascii="Verdana" w:eastAsia="Calibri" w:hAnsi="Verdana"/>
          <w:sz w:val="20"/>
          <w:szCs w:val="20"/>
        </w:rPr>
      </w:pPr>
    </w:p>
    <w:p w:rsidR="005A221F" w:rsidRDefault="005A221F" w:rsidP="00F24971">
      <w:pPr>
        <w:autoSpaceDE w:val="0"/>
        <w:autoSpaceDN w:val="0"/>
        <w:adjustRightInd w:val="0"/>
        <w:spacing w:after="60" w:line="240" w:lineRule="auto"/>
        <w:jc w:val="both"/>
        <w:rPr>
          <w:rFonts w:ascii="Verdana" w:eastAsia="Calibri" w:hAnsi="Verdana"/>
          <w:sz w:val="20"/>
          <w:szCs w:val="20"/>
        </w:rPr>
      </w:pPr>
    </w:p>
    <w:p w:rsidR="005A221F" w:rsidRDefault="005A221F" w:rsidP="00F24971">
      <w:pPr>
        <w:autoSpaceDE w:val="0"/>
        <w:autoSpaceDN w:val="0"/>
        <w:adjustRightInd w:val="0"/>
        <w:spacing w:after="60" w:line="240" w:lineRule="auto"/>
        <w:jc w:val="both"/>
        <w:rPr>
          <w:rFonts w:ascii="Verdana" w:eastAsia="Calibri" w:hAnsi="Verdana"/>
          <w:sz w:val="20"/>
          <w:szCs w:val="20"/>
        </w:rPr>
      </w:pPr>
    </w:p>
    <w:p w:rsidR="005A221F" w:rsidRDefault="005A221F" w:rsidP="00F24971">
      <w:pPr>
        <w:autoSpaceDE w:val="0"/>
        <w:autoSpaceDN w:val="0"/>
        <w:adjustRightInd w:val="0"/>
        <w:spacing w:after="60" w:line="240" w:lineRule="auto"/>
        <w:jc w:val="both"/>
        <w:rPr>
          <w:rFonts w:ascii="Verdana" w:eastAsia="Calibri" w:hAnsi="Verdana"/>
          <w:sz w:val="20"/>
          <w:szCs w:val="20"/>
        </w:rPr>
      </w:pPr>
    </w:p>
    <w:p w:rsidR="005A221F" w:rsidRDefault="005A221F" w:rsidP="00F24971">
      <w:pPr>
        <w:autoSpaceDE w:val="0"/>
        <w:autoSpaceDN w:val="0"/>
        <w:adjustRightInd w:val="0"/>
        <w:spacing w:after="60" w:line="240" w:lineRule="auto"/>
        <w:jc w:val="both"/>
        <w:rPr>
          <w:rFonts w:ascii="Verdana" w:eastAsia="Calibri" w:hAnsi="Verdana"/>
          <w:sz w:val="20"/>
          <w:szCs w:val="20"/>
        </w:rPr>
      </w:pPr>
    </w:p>
    <w:p w:rsidR="005A221F" w:rsidRDefault="005A221F" w:rsidP="00F24971">
      <w:pPr>
        <w:autoSpaceDE w:val="0"/>
        <w:autoSpaceDN w:val="0"/>
        <w:adjustRightInd w:val="0"/>
        <w:spacing w:after="60" w:line="240" w:lineRule="auto"/>
        <w:jc w:val="both"/>
        <w:rPr>
          <w:rFonts w:ascii="Verdana" w:eastAsia="Calibri" w:hAnsi="Verdana"/>
          <w:sz w:val="20"/>
          <w:szCs w:val="20"/>
        </w:rPr>
      </w:pPr>
    </w:p>
    <w:p w:rsidR="005A221F" w:rsidRDefault="005A221F" w:rsidP="00F24971">
      <w:pPr>
        <w:autoSpaceDE w:val="0"/>
        <w:autoSpaceDN w:val="0"/>
        <w:adjustRightInd w:val="0"/>
        <w:spacing w:after="60" w:line="240" w:lineRule="auto"/>
        <w:jc w:val="both"/>
        <w:rPr>
          <w:rFonts w:ascii="Verdana" w:eastAsia="Calibri" w:hAnsi="Verdana"/>
          <w:sz w:val="20"/>
          <w:szCs w:val="20"/>
        </w:rPr>
      </w:pPr>
    </w:p>
    <w:p w:rsidR="005A221F" w:rsidRDefault="005A221F" w:rsidP="00F24971">
      <w:pPr>
        <w:autoSpaceDE w:val="0"/>
        <w:autoSpaceDN w:val="0"/>
        <w:adjustRightInd w:val="0"/>
        <w:spacing w:after="60" w:line="240" w:lineRule="auto"/>
        <w:jc w:val="both"/>
        <w:rPr>
          <w:rFonts w:ascii="Verdana" w:eastAsia="Calibri" w:hAnsi="Verdana"/>
          <w:sz w:val="20"/>
          <w:szCs w:val="20"/>
        </w:rPr>
      </w:pPr>
    </w:p>
    <w:p w:rsidR="005A221F" w:rsidRPr="005B6074" w:rsidRDefault="005A221F" w:rsidP="00F24971">
      <w:pPr>
        <w:autoSpaceDE w:val="0"/>
        <w:autoSpaceDN w:val="0"/>
        <w:adjustRightInd w:val="0"/>
        <w:spacing w:after="60" w:line="240" w:lineRule="auto"/>
        <w:jc w:val="both"/>
        <w:rPr>
          <w:rFonts w:ascii="Verdana" w:eastAsia="Calibri" w:hAnsi="Verdana"/>
          <w:sz w:val="20"/>
          <w:szCs w:val="20"/>
        </w:rPr>
      </w:pPr>
    </w:p>
    <w:p w:rsidR="00F24971" w:rsidRPr="005B6074" w:rsidRDefault="00F52AAA" w:rsidP="00F24971">
      <w:pPr>
        <w:pStyle w:val="Heading2"/>
        <w:shd w:val="clear" w:color="auto" w:fill="FFCC99"/>
        <w:spacing w:line="276" w:lineRule="auto"/>
        <w:rPr>
          <w:rFonts w:ascii="Verdana" w:hAnsi="Verdana"/>
          <w:i w:val="0"/>
          <w:iCs/>
          <w:color w:val="0063B8"/>
          <w:sz w:val="26"/>
          <w:szCs w:val="26"/>
        </w:rPr>
      </w:pPr>
      <w:bookmarkStart w:id="104" w:name="_Toc390262442"/>
      <w:bookmarkStart w:id="105" w:name="_Toc396225557"/>
      <w:r>
        <w:rPr>
          <w:rFonts w:ascii="Verdana" w:hAnsi="Verdana"/>
          <w:i w:val="0"/>
          <w:color w:val="0063B8"/>
          <w:sz w:val="26"/>
        </w:rPr>
        <w:lastRenderedPageBreak/>
        <w:t>Evaluation</w:t>
      </w:r>
      <w:r w:rsidR="00A35E98" w:rsidRPr="005B6074">
        <w:rPr>
          <w:rFonts w:ascii="Verdana" w:hAnsi="Verdana"/>
          <w:i w:val="0"/>
          <w:color w:val="0063B8"/>
          <w:sz w:val="26"/>
        </w:rPr>
        <w:t xml:space="preserve"> of Internal Coherence</w:t>
      </w:r>
      <w:bookmarkEnd w:id="104"/>
      <w:bookmarkEnd w:id="105"/>
    </w:p>
    <w:p w:rsidR="00F24971" w:rsidRPr="005B6074" w:rsidRDefault="00A35E98" w:rsidP="00F24971">
      <w:pPr>
        <w:pStyle w:val="Heading3"/>
        <w:numPr>
          <w:ilvl w:val="0"/>
          <w:numId w:val="0"/>
        </w:numPr>
        <w:spacing w:before="360"/>
        <w:ind w:left="720" w:hanging="720"/>
      </w:pPr>
      <w:bookmarkStart w:id="106" w:name="_Toc390262443"/>
      <w:bookmarkStart w:id="107" w:name="_Toc396225558"/>
      <w:bookmarkEnd w:id="103"/>
      <w:r w:rsidRPr="005B6074">
        <w:t>Analysis</w:t>
      </w:r>
      <w:bookmarkEnd w:id="106"/>
      <w:bookmarkEnd w:id="107"/>
    </w:p>
    <w:tbl>
      <w:tblPr>
        <w:tblW w:w="0" w:type="auto"/>
        <w:tblInd w:w="108" w:type="dxa"/>
        <w:tblLook w:val="04A0" w:firstRow="1" w:lastRow="0" w:firstColumn="1" w:lastColumn="0" w:noHBand="0" w:noVBand="1"/>
      </w:tblPr>
      <w:tblGrid>
        <w:gridCol w:w="538"/>
        <w:gridCol w:w="8444"/>
      </w:tblGrid>
      <w:tr w:rsidR="00F24971" w:rsidRPr="005B6074" w:rsidTr="00F24971">
        <w:tc>
          <w:tcPr>
            <w:tcW w:w="538" w:type="dxa"/>
            <w:tcBorders>
              <w:top w:val="single" w:sz="4" w:space="0" w:color="auto"/>
              <w:bottom w:val="single" w:sz="4" w:space="0" w:color="auto"/>
            </w:tcBorders>
            <w:vAlign w:val="center"/>
          </w:tcPr>
          <w:p w:rsidR="00F24971" w:rsidRPr="005B6074" w:rsidRDefault="00A35E98" w:rsidP="00F24971">
            <w:pPr>
              <w:pStyle w:val="BodyText"/>
              <w:spacing w:after="0" w:line="276" w:lineRule="auto"/>
              <w:jc w:val="center"/>
              <w:rPr>
                <w:rFonts w:ascii="Verdana" w:hAnsi="Verdana"/>
                <w:color w:val="548DD4"/>
                <w:sz w:val="20"/>
                <w:szCs w:val="20"/>
              </w:rPr>
            </w:pPr>
            <w:r w:rsidRPr="005B6074">
              <w:rPr>
                <w:rFonts w:ascii="Verdana" w:hAnsi="Verdana"/>
                <w:color w:val="548DD4"/>
                <w:sz w:val="36"/>
              </w:rPr>
              <w:t>?</w:t>
            </w:r>
          </w:p>
        </w:tc>
        <w:tc>
          <w:tcPr>
            <w:tcW w:w="8444" w:type="dxa"/>
            <w:tcBorders>
              <w:top w:val="single" w:sz="4" w:space="0" w:color="auto"/>
              <w:bottom w:val="single" w:sz="4" w:space="0" w:color="auto"/>
            </w:tcBorders>
            <w:shd w:val="clear" w:color="auto" w:fill="B8CCE4"/>
          </w:tcPr>
          <w:p w:rsidR="00F24971" w:rsidRPr="005B6074" w:rsidRDefault="00A35E98" w:rsidP="00F24971">
            <w:pPr>
              <w:autoSpaceDE w:val="0"/>
              <w:autoSpaceDN w:val="0"/>
              <w:adjustRightInd w:val="0"/>
              <w:spacing w:before="120" w:after="120" w:line="240" w:lineRule="auto"/>
              <w:ind w:left="115"/>
              <w:rPr>
                <w:rFonts w:ascii="Verdana" w:hAnsi="Verdana"/>
                <w:sz w:val="20"/>
                <w:szCs w:val="20"/>
              </w:rPr>
            </w:pPr>
            <w:r w:rsidRPr="005B6074">
              <w:rPr>
                <w:rFonts w:ascii="Verdana" w:hAnsi="Verdana"/>
                <w:sz w:val="20"/>
              </w:rPr>
              <w:t>Relevance of the OPSESG Strategy</w:t>
            </w:r>
          </w:p>
        </w:tc>
      </w:tr>
    </w:tbl>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Relevance of the Programme's Strategic Approach as laid down in Section 1.</w:t>
      </w:r>
    </w:p>
    <w:p w:rsidR="00F24971" w:rsidRPr="005B6074" w:rsidRDefault="00A35E98" w:rsidP="00F24971">
      <w:pPr>
        <w:pStyle w:val="BodyText"/>
        <w:tabs>
          <w:tab w:val="left" w:pos="0"/>
          <w:tab w:val="right" w:pos="9214"/>
        </w:tabs>
        <w:spacing w:line="276" w:lineRule="auto"/>
        <w:jc w:val="both"/>
        <w:rPr>
          <w:rFonts w:ascii="Verdana" w:hAnsi="Verdana"/>
          <w:sz w:val="20"/>
          <w:szCs w:val="20"/>
        </w:rPr>
      </w:pPr>
      <w:r w:rsidRPr="005B6074">
        <w:rPr>
          <w:rFonts w:ascii="Verdana" w:hAnsi="Verdana"/>
          <w:sz w:val="20"/>
        </w:rPr>
        <w:t>Section 1 of OPSESG 2014–2020 lays down that the Programme is aimed at the implementation of two main tasks:</w:t>
      </w:r>
    </w:p>
    <w:p w:rsidR="00F24971" w:rsidRPr="005B6074" w:rsidRDefault="00A35E98" w:rsidP="00181A22">
      <w:pPr>
        <w:numPr>
          <w:ilvl w:val="0"/>
          <w:numId w:val="25"/>
        </w:numPr>
        <w:spacing w:after="120"/>
        <w:ind w:left="714" w:hanging="357"/>
        <w:jc w:val="both"/>
        <w:rPr>
          <w:rFonts w:ascii="Verdana" w:hAnsi="Verdana"/>
          <w:i/>
          <w:sz w:val="20"/>
          <w:szCs w:val="20"/>
        </w:rPr>
      </w:pPr>
      <w:r w:rsidRPr="005B6074">
        <w:rPr>
          <w:rFonts w:ascii="Verdana" w:hAnsi="Verdana"/>
          <w:i/>
          <w:sz w:val="20"/>
        </w:rPr>
        <w:t xml:space="preserve">To be among the key instruments that support the achievement of the objectives adopted by Bulgaria within the Europe 2020 Strategy. </w:t>
      </w:r>
    </w:p>
    <w:p w:rsidR="00F24971" w:rsidRPr="005B6074" w:rsidRDefault="00A35E98" w:rsidP="00181A22">
      <w:pPr>
        <w:numPr>
          <w:ilvl w:val="0"/>
          <w:numId w:val="25"/>
        </w:numPr>
        <w:spacing w:after="120"/>
        <w:ind w:left="714" w:hanging="357"/>
        <w:jc w:val="both"/>
        <w:rPr>
          <w:rFonts w:ascii="Verdana" w:hAnsi="Verdana"/>
          <w:i/>
          <w:sz w:val="20"/>
          <w:szCs w:val="20"/>
        </w:rPr>
      </w:pPr>
      <w:r w:rsidRPr="005B6074">
        <w:rPr>
          <w:rFonts w:ascii="Verdana" w:hAnsi="Verdana"/>
          <w:i/>
          <w:sz w:val="20"/>
        </w:rPr>
        <w:t>To serve as an efficient tool for implementation of cohesion policies in accordance with the agenda at national and Community level.</w:t>
      </w:r>
    </w:p>
    <w:p w:rsidR="00F24971" w:rsidRPr="005B6074" w:rsidRDefault="00A35E98" w:rsidP="00F24971">
      <w:pPr>
        <w:pStyle w:val="BodyText"/>
        <w:tabs>
          <w:tab w:val="left" w:pos="0"/>
          <w:tab w:val="right" w:pos="9214"/>
        </w:tabs>
        <w:spacing w:line="276" w:lineRule="auto"/>
        <w:jc w:val="both"/>
        <w:rPr>
          <w:rFonts w:ascii="Verdana" w:hAnsi="Verdana"/>
          <w:sz w:val="20"/>
          <w:szCs w:val="20"/>
        </w:rPr>
      </w:pPr>
      <w:r w:rsidRPr="005B6074">
        <w:rPr>
          <w:rFonts w:ascii="Verdana" w:hAnsi="Verdana"/>
          <w:sz w:val="20"/>
        </w:rPr>
        <w:t>The justification of the Strategy has been built upon the following three topics:</w:t>
      </w:r>
    </w:p>
    <w:p w:rsidR="00F24971" w:rsidRPr="005B6074" w:rsidRDefault="00A35E98" w:rsidP="00F24971">
      <w:pPr>
        <w:pStyle w:val="BodyText"/>
        <w:tabs>
          <w:tab w:val="left" w:pos="0"/>
          <w:tab w:val="right" w:pos="9214"/>
        </w:tabs>
        <w:spacing w:line="276" w:lineRule="auto"/>
        <w:jc w:val="both"/>
        <w:rPr>
          <w:rFonts w:ascii="Verdana" w:hAnsi="Verdana"/>
          <w:sz w:val="20"/>
          <w:szCs w:val="20"/>
        </w:rPr>
      </w:pPr>
      <w:r w:rsidRPr="005B6074">
        <w:rPr>
          <w:rFonts w:ascii="Verdana" w:hAnsi="Verdana"/>
          <w:sz w:val="20"/>
        </w:rPr>
        <w:t xml:space="preserve">The basic needs in the field of </w:t>
      </w:r>
      <w:r w:rsidRPr="005B6074">
        <w:rPr>
          <w:rFonts w:ascii="Verdana" w:hAnsi="Verdana"/>
          <w:color w:val="548DD4"/>
          <w:sz w:val="20"/>
        </w:rPr>
        <w:t xml:space="preserve">research </w:t>
      </w:r>
      <w:r w:rsidRPr="005B6074">
        <w:rPr>
          <w:rFonts w:ascii="Verdana" w:hAnsi="Verdana"/>
          <w:sz w:val="20"/>
        </w:rPr>
        <w:t xml:space="preserve">include: increasing of R&amp;D investment; development of scientific infrastructure; improved incentives, conditions and possibilities for researchers; improving cooperation between science and business and increasing of the innovative potential. The information about the state of the art is illustrated by data specifying the sources of financing (government, business, EU). Concerning the development and retaining of researchers, there are no data about the persons employed in research by age and by sector, nor there </w:t>
      </w:r>
      <w:proofErr w:type="gramStart"/>
      <w:r w:rsidRPr="005B6074">
        <w:rPr>
          <w:rFonts w:ascii="Verdana" w:hAnsi="Verdana"/>
          <w:sz w:val="20"/>
        </w:rPr>
        <w:t>is any</w:t>
      </w:r>
      <w:proofErr w:type="gramEnd"/>
      <w:r w:rsidRPr="005B6074">
        <w:rPr>
          <w:rFonts w:ascii="Verdana" w:hAnsi="Verdana"/>
          <w:sz w:val="20"/>
        </w:rPr>
        <w:t xml:space="preserve"> analysis of their entrepreneurship and mobility possibilities or possibilities for attracting foreign researchers in Bulgarian scientific institutions. The bad commercialisation of scientific work and products and the lack of supporting public policies are stated as one of the key problems concerning the cooperation between science and business. Analysis has been made of the areas with potential for developing the research into commercial products. Concerning the strategic approaches to addressing of needs, it is noted that through the financing from OPSESG supplementary effect to R&amp;D investment will be sought. The Programme is also expected to have a complementary effect with regard to the Horizon 2020 financing. Infrastructure investment is targeted to (1) centres of excellence and competence; (2) infrastructures playing pivotal role in the European Roadmap and (3) investment in modernising scientific institutes and universities, enhancing regional economic growth and productivity. The measures for development and retaining researchers envisage enhancing of the qualification of teachers, possibilities for exchange of experience and mobility, access to international research facilities and financing of publications. The measures do not analyse any possibilities for better remuneration and enhancing career and scientific development. The measures aimed at improving the cooperation between science and business envisage fostering applied research and better coherence between research priorities and scientific advantages. The measures do not address the weaknesses identified, i.e. lack of research commercialisation and lack of supporting public policies.</w:t>
      </w:r>
    </w:p>
    <w:p w:rsidR="00F24971" w:rsidRPr="005B6074" w:rsidRDefault="00A35E98" w:rsidP="00F24971">
      <w:pPr>
        <w:pStyle w:val="BodyText"/>
        <w:tabs>
          <w:tab w:val="left" w:pos="0"/>
          <w:tab w:val="right" w:pos="9214"/>
        </w:tabs>
        <w:spacing w:line="276" w:lineRule="auto"/>
        <w:jc w:val="both"/>
        <w:rPr>
          <w:rFonts w:ascii="Verdana" w:hAnsi="Verdana"/>
          <w:sz w:val="20"/>
          <w:szCs w:val="20"/>
        </w:rPr>
      </w:pPr>
      <w:r w:rsidRPr="005B6074">
        <w:rPr>
          <w:rFonts w:ascii="Verdana" w:hAnsi="Verdana"/>
          <w:sz w:val="20"/>
        </w:rPr>
        <w:t>Analyses of</w:t>
      </w:r>
      <w:r w:rsidRPr="005B6074">
        <w:rPr>
          <w:rFonts w:ascii="Verdana" w:hAnsi="Verdana"/>
          <w:color w:val="548DD4"/>
          <w:sz w:val="20"/>
        </w:rPr>
        <w:t xml:space="preserve"> the system of higher education </w:t>
      </w:r>
      <w:r w:rsidRPr="005B6074">
        <w:rPr>
          <w:rFonts w:ascii="Verdana" w:hAnsi="Verdana"/>
          <w:sz w:val="20"/>
        </w:rPr>
        <w:t xml:space="preserve">point to the following needs: bad structuring of the higher education system with numerous universities, low efficiency of the sector's budget financing, deteriorated quality of education and low realisation of graduates on the </w:t>
      </w:r>
      <w:r w:rsidRPr="005B6074">
        <w:rPr>
          <w:rFonts w:ascii="Verdana" w:hAnsi="Verdana"/>
          <w:sz w:val="20"/>
        </w:rPr>
        <w:lastRenderedPageBreak/>
        <w:t>labour market; considering of universities mostly as educational structures and weak connection with R&amp;D; need for enhancing of the qualification and competence of teaching staff. There is also an analysis of the needs related to the specifics of educational programmes and their suitability for the needs of the economy. The economic sectors with shortage of staff and the specialties preferred are noted. The low percentage of higher education graduates in Bulgaria compared to the rest of the EU despite the upward trend is also mentioned and the reasons for this have been analysed. The approaches to addressing the needs include restructuring and optimisation of the network of higher education structures and better management, including introduction of models linking financing to graduate realisation. Some improvement is planned of the programmes and of the methods of teaching, as well as granting scholarships for areas of economic priority. Conc</w:t>
      </w:r>
      <w:bookmarkStart w:id="108" w:name="_GoBack"/>
      <w:bookmarkEnd w:id="108"/>
      <w:r w:rsidRPr="005B6074">
        <w:rPr>
          <w:rFonts w:ascii="Verdana" w:hAnsi="Verdana"/>
          <w:sz w:val="20"/>
        </w:rPr>
        <w:t>erning the improvement of qualification of the teaching staff, the focus is put on ICT, teachers' mobility and methodical and managerial competencies. The possibilities to improve collaboration between higher education, R&amp;D and businesses have not been analysed as tools for enhancing the professional competences of teachers, as well as the possibilities for inclusion of students and doctoral candidates in extra-class activities, including against payment, which would at the same time address the problem with financial assistance during education. The Programme is planned to provide additional resources for student loans.</w:t>
      </w:r>
    </w:p>
    <w:p w:rsidR="00F24971" w:rsidRPr="005B6074" w:rsidRDefault="00A35E98" w:rsidP="00F24971">
      <w:pPr>
        <w:pStyle w:val="BodyText"/>
        <w:tabs>
          <w:tab w:val="left" w:pos="0"/>
          <w:tab w:val="right" w:pos="9090"/>
        </w:tabs>
        <w:spacing w:line="276" w:lineRule="auto"/>
        <w:jc w:val="both"/>
        <w:rPr>
          <w:rFonts w:ascii="Verdana" w:hAnsi="Verdana"/>
          <w:sz w:val="20"/>
          <w:szCs w:val="20"/>
        </w:rPr>
      </w:pPr>
      <w:r w:rsidRPr="005B6074">
        <w:rPr>
          <w:rFonts w:ascii="Verdana" w:hAnsi="Verdana"/>
          <w:sz w:val="20"/>
        </w:rPr>
        <w:t xml:space="preserve">Under the topic </w:t>
      </w:r>
      <w:r w:rsidRPr="005B6074">
        <w:rPr>
          <w:rFonts w:ascii="Verdana" w:hAnsi="Verdana"/>
          <w:color w:val="548DD4"/>
          <w:sz w:val="20"/>
        </w:rPr>
        <w:t>school education, training and lifelong learning</w:t>
      </w:r>
      <w:r w:rsidRPr="005B6074">
        <w:rPr>
          <w:rFonts w:ascii="Verdana" w:hAnsi="Verdana"/>
          <w:sz w:val="20"/>
        </w:rPr>
        <w:t xml:space="preserve"> following problems have been analysed: dropping out of the system of school education due to social, ethnic and cultural reasons; chronic deficit of the system as infrastructure, learning contents and qualification and preparation of teachers; poor quality of education; missing link between education and labour market; no </w:t>
      </w:r>
      <w:proofErr w:type="spellStart"/>
      <w:r w:rsidRPr="005B6074">
        <w:rPr>
          <w:rFonts w:ascii="Verdana" w:hAnsi="Verdana"/>
          <w:sz w:val="20"/>
        </w:rPr>
        <w:t>mindset</w:t>
      </w:r>
      <w:proofErr w:type="spellEnd"/>
      <w:r w:rsidRPr="005B6074">
        <w:rPr>
          <w:rFonts w:ascii="Verdana" w:hAnsi="Verdana"/>
          <w:sz w:val="20"/>
        </w:rPr>
        <w:t xml:space="preserve"> for lifelong learning; need for adult literacy and additional education for labour force with low education and qualification. The reasons for the low qualification of teachers and the needs in this respect have been analysed. The analysis lacks information about the system of pre-school education and kindergartens. The approaches to addressing the needs include measures aimed at integration of children from ethnic communities, children with specific educational needs (SEN) and prevention of early school leaving. In order to improve the quality of education, measures are planned to introduce ICT in schools, to develop the system of external assessment, to change and adapt curricula, including in line with economic needs, to expand the possibilities for practical training and development of conditions for lifelong learning. There is no analysis of the possibilities for improvement in the process of learning by addressing the individual needs of pupils, out-of-class activities and preparation (including in the light of all-day organisation of the education) and supporting the development of the talents of gifted children and working with children with learning difficulties. The measures related to qualification of pedagogical staff include on-going preparation of specialists, incentives for staying in the profession and career development but do not address the key problem, i.e. the low remuneration.</w:t>
      </w:r>
    </w:p>
    <w:p w:rsidR="00F24971" w:rsidRPr="005B6074" w:rsidRDefault="00A35E98" w:rsidP="00F24971">
      <w:pPr>
        <w:pStyle w:val="BodyText"/>
        <w:tabs>
          <w:tab w:val="left" w:pos="0"/>
          <w:tab w:val="right" w:pos="9214"/>
        </w:tabs>
        <w:spacing w:line="276" w:lineRule="auto"/>
        <w:jc w:val="both"/>
        <w:rPr>
          <w:rFonts w:ascii="Verdana" w:hAnsi="Verdana"/>
          <w:sz w:val="20"/>
          <w:szCs w:val="20"/>
        </w:rPr>
      </w:pPr>
      <w:r w:rsidRPr="005B6074">
        <w:rPr>
          <w:rFonts w:ascii="Verdana" w:hAnsi="Verdana"/>
          <w:sz w:val="20"/>
        </w:rPr>
        <w:t xml:space="preserve">The justification for the choice of investment priorities is given in </w:t>
      </w:r>
      <w:r w:rsidRPr="005B6074">
        <w:rPr>
          <w:rFonts w:ascii="Verdana" w:hAnsi="Verdana"/>
          <w:color w:val="548DD4"/>
          <w:sz w:val="20"/>
        </w:rPr>
        <w:t xml:space="preserve">Table 1 </w:t>
      </w:r>
      <w:r w:rsidRPr="005B6074">
        <w:rPr>
          <w:rFonts w:ascii="Verdana" w:hAnsi="Verdana"/>
          <w:sz w:val="20"/>
        </w:rPr>
        <w:t>of the Programme. The justification has been improved by provision of an individual justification for each investment priority.</w:t>
      </w:r>
    </w:p>
    <w:p w:rsidR="00F24971" w:rsidRPr="005B6074" w:rsidRDefault="00F24971" w:rsidP="00F24971">
      <w:pPr>
        <w:pStyle w:val="BodyText"/>
        <w:tabs>
          <w:tab w:val="left" w:pos="0"/>
          <w:tab w:val="right" w:pos="9214"/>
        </w:tabs>
        <w:spacing w:line="276" w:lineRule="auto"/>
        <w:jc w:val="both"/>
        <w:rPr>
          <w:rFonts w:ascii="Verdana" w:hAnsi="Verdana"/>
          <w:sz w:val="20"/>
          <w:szCs w:val="20"/>
        </w:rPr>
      </w:pPr>
    </w:p>
    <w:tbl>
      <w:tblPr>
        <w:tblW w:w="0" w:type="auto"/>
        <w:tblLook w:val="04A0" w:firstRow="1" w:lastRow="0" w:firstColumn="1" w:lastColumn="0" w:noHBand="0" w:noVBand="1"/>
      </w:tblPr>
      <w:tblGrid>
        <w:gridCol w:w="528"/>
        <w:gridCol w:w="8557"/>
      </w:tblGrid>
      <w:tr w:rsidR="00F24971" w:rsidRPr="005B6074" w:rsidTr="00F24971">
        <w:tc>
          <w:tcPr>
            <w:tcW w:w="531" w:type="dxa"/>
            <w:vAlign w:val="center"/>
          </w:tcPr>
          <w:p w:rsidR="00F24971" w:rsidRPr="005B6074" w:rsidRDefault="00A35E98" w:rsidP="00F24971">
            <w:pPr>
              <w:pStyle w:val="BodyText"/>
              <w:spacing w:after="0" w:line="276" w:lineRule="auto"/>
              <w:jc w:val="center"/>
              <w:rPr>
                <w:rFonts w:ascii="Verdana" w:hAnsi="Verdana"/>
                <w:b/>
                <w:color w:val="548DD4"/>
                <w:sz w:val="36"/>
                <w:szCs w:val="36"/>
              </w:rPr>
            </w:pPr>
            <w:r w:rsidRPr="005B6074">
              <w:rPr>
                <w:rFonts w:ascii="Verdana" w:hAnsi="Verdana"/>
                <w:b/>
                <w:color w:val="548DD4"/>
                <w:sz w:val="36"/>
              </w:rPr>
              <w:lastRenderedPageBreak/>
              <w:t>?</w:t>
            </w:r>
          </w:p>
        </w:tc>
        <w:tc>
          <w:tcPr>
            <w:tcW w:w="8775" w:type="dxa"/>
            <w:tcBorders>
              <w:top w:val="single" w:sz="4" w:space="0" w:color="auto"/>
              <w:bottom w:val="single" w:sz="4" w:space="0" w:color="auto"/>
              <w:right w:val="single" w:sz="4" w:space="0" w:color="auto"/>
            </w:tcBorders>
            <w:shd w:val="clear" w:color="auto" w:fill="B8CCE4"/>
          </w:tcPr>
          <w:p w:rsidR="00F24971" w:rsidRPr="005B6074" w:rsidRDefault="00A35E98" w:rsidP="00F24971">
            <w:pPr>
              <w:pStyle w:val="ListParagraph"/>
              <w:numPr>
                <w:ilvl w:val="0"/>
                <w:numId w:val="7"/>
              </w:numPr>
              <w:autoSpaceDE w:val="0"/>
              <w:autoSpaceDN w:val="0"/>
              <w:adjustRightInd w:val="0"/>
              <w:spacing w:before="120" w:after="120" w:line="240" w:lineRule="auto"/>
              <w:ind w:left="473"/>
              <w:rPr>
                <w:rFonts w:ascii="Verdana" w:hAnsi="Verdana"/>
                <w:sz w:val="18"/>
                <w:szCs w:val="18"/>
              </w:rPr>
            </w:pPr>
            <w:r w:rsidRPr="005B6074">
              <w:rPr>
                <w:rFonts w:ascii="Verdana" w:hAnsi="Verdana"/>
                <w:sz w:val="18"/>
              </w:rPr>
              <w:t>Adequacy of the measures set forth in the Programme and the degree to which they will contribute to achieving its objectives</w:t>
            </w:r>
          </w:p>
        </w:tc>
      </w:tr>
    </w:tbl>
    <w:p w:rsidR="00F24971" w:rsidRPr="005B6074" w:rsidRDefault="00F24971" w:rsidP="00F24971">
      <w:pPr>
        <w:pStyle w:val="BodyText"/>
        <w:tabs>
          <w:tab w:val="left" w:pos="0"/>
          <w:tab w:val="right" w:pos="9214"/>
        </w:tabs>
        <w:spacing w:line="276" w:lineRule="auto"/>
        <w:jc w:val="both"/>
        <w:rPr>
          <w:rFonts w:ascii="Verdana" w:hAnsi="Verdana"/>
          <w:sz w:val="20"/>
          <w:szCs w:val="20"/>
        </w:rPr>
      </w:pPr>
    </w:p>
    <w:p w:rsidR="00F24971" w:rsidRPr="005B6074" w:rsidRDefault="00A35E98" w:rsidP="00F24971">
      <w:pPr>
        <w:pStyle w:val="BodyText"/>
        <w:tabs>
          <w:tab w:val="left" w:pos="0"/>
          <w:tab w:val="right" w:pos="9214"/>
        </w:tabs>
        <w:spacing w:line="276" w:lineRule="auto"/>
        <w:jc w:val="both"/>
        <w:rPr>
          <w:rFonts w:ascii="Verdana" w:hAnsi="Verdana"/>
          <w:sz w:val="20"/>
          <w:szCs w:val="20"/>
        </w:rPr>
      </w:pPr>
      <w:r w:rsidRPr="005B6074">
        <w:rPr>
          <w:rFonts w:ascii="Verdana" w:hAnsi="Verdana"/>
          <w:sz w:val="20"/>
        </w:rPr>
        <w:t xml:space="preserve">The text below analyses, by priority axis, the link between the needs identified, the investment priorities, the activities and the indicators set. As to the indicators, the extent to which those indicators are adequate to the products and specific objectives defined has been considered without analysing the indicators themselves. The indicators are commented on in detail in </w:t>
      </w:r>
      <w:r w:rsidR="00AF2745">
        <w:rPr>
          <w:rFonts w:ascii="Verdana" w:hAnsi="Verdana"/>
          <w:sz w:val="20"/>
        </w:rPr>
        <w:t>Evaluation</w:t>
      </w:r>
      <w:r w:rsidRPr="005B6074">
        <w:rPr>
          <w:rFonts w:ascii="Verdana" w:hAnsi="Verdana"/>
          <w:sz w:val="20"/>
        </w:rPr>
        <w:t xml:space="preserve"> 3. The intervention logic of OPSESG by priority axis illustrates the link between needs, investment priorities, specific objectives, activities and indicators. The graphs are given in Annex 5.</w:t>
      </w:r>
    </w:p>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PA1. Scientific Research and Technological Development</w:t>
      </w:r>
    </w:p>
    <w:p w:rsidR="00F24971" w:rsidRPr="005B6074" w:rsidRDefault="00A35E98" w:rsidP="00F24971">
      <w:pPr>
        <w:pStyle w:val="BodyText"/>
        <w:keepNext/>
        <w:tabs>
          <w:tab w:val="left" w:pos="0"/>
          <w:tab w:val="right" w:pos="9214"/>
        </w:tabs>
        <w:spacing w:before="240" w:line="276" w:lineRule="auto"/>
        <w:jc w:val="both"/>
        <w:rPr>
          <w:rFonts w:ascii="Verdana" w:hAnsi="Verdana"/>
          <w:b/>
          <w:sz w:val="20"/>
          <w:szCs w:val="20"/>
        </w:rPr>
      </w:pPr>
      <w:bookmarkStart w:id="109" w:name="_Ref371086148"/>
      <w:bookmarkStart w:id="110" w:name="_Toc373747254"/>
      <w:bookmarkStart w:id="111" w:name="_Toc379364668"/>
      <w:bookmarkStart w:id="112" w:name="_Toc390257073"/>
      <w:bookmarkStart w:id="113" w:name="_Toc396225612"/>
      <w:r w:rsidRPr="005B6074">
        <w:rPr>
          <w:rFonts w:ascii="Verdana" w:hAnsi="Verdana"/>
          <w:b/>
          <w:color w:val="548DD4"/>
          <w:sz w:val="20"/>
        </w:rPr>
        <w:t xml:space="preserve">Table </w:t>
      </w:r>
      <w:r w:rsidRPr="005B6074">
        <w:rPr>
          <w:rFonts w:ascii="Verdana" w:hAnsi="Verdana"/>
          <w:b/>
          <w:color w:val="548DD4"/>
          <w:sz w:val="20"/>
        </w:rPr>
        <w:fldChar w:fldCharType="begin"/>
      </w:r>
      <w:r w:rsidRPr="005B6074">
        <w:rPr>
          <w:rFonts w:ascii="Verdana" w:hAnsi="Verdana"/>
          <w:b/>
          <w:color w:val="548DD4"/>
          <w:sz w:val="20"/>
        </w:rPr>
        <w:instrText xml:space="preserve"> SEQ таблица \* ARABIC </w:instrText>
      </w:r>
      <w:r w:rsidRPr="005B6074">
        <w:rPr>
          <w:rFonts w:ascii="Verdana" w:hAnsi="Verdana"/>
          <w:b/>
          <w:color w:val="548DD4"/>
          <w:sz w:val="20"/>
        </w:rPr>
        <w:fldChar w:fldCharType="separate"/>
      </w:r>
      <w:r w:rsidR="009330F5">
        <w:rPr>
          <w:rFonts w:ascii="Verdana" w:hAnsi="Verdana"/>
          <w:b/>
          <w:noProof/>
          <w:color w:val="548DD4"/>
          <w:sz w:val="20"/>
        </w:rPr>
        <w:t>17</w:t>
      </w:r>
      <w:r w:rsidRPr="005B6074">
        <w:rPr>
          <w:rFonts w:ascii="Verdana" w:hAnsi="Verdana"/>
          <w:b/>
          <w:color w:val="548DD4"/>
          <w:sz w:val="20"/>
        </w:rPr>
        <w:fldChar w:fldCharType="end"/>
      </w:r>
      <w:bookmarkEnd w:id="109"/>
      <w:r w:rsidRPr="005B6074">
        <w:rPr>
          <w:rFonts w:ascii="Verdana" w:hAnsi="Verdana"/>
          <w:b/>
          <w:color w:val="548DD4"/>
          <w:sz w:val="20"/>
        </w:rPr>
        <w:t>. PA1 - Compliance between Needs, IP, Activities and Indicators</w:t>
      </w:r>
      <w:bookmarkEnd w:id="110"/>
      <w:bookmarkEnd w:id="111"/>
      <w:bookmarkEnd w:id="112"/>
      <w:bookmarkEnd w:id="113"/>
    </w:p>
    <w:tbl>
      <w:tblPr>
        <w:tblW w:w="9090" w:type="dxa"/>
        <w:tblCellSpacing w:w="11" w:type="dxa"/>
        <w:tblInd w:w="130" w:type="dxa"/>
        <w:tblLook w:val="00A0" w:firstRow="1" w:lastRow="0" w:firstColumn="1" w:lastColumn="0" w:noHBand="0" w:noVBand="0"/>
      </w:tblPr>
      <w:tblGrid>
        <w:gridCol w:w="1671"/>
        <w:gridCol w:w="7419"/>
      </w:tblGrid>
      <w:tr w:rsidR="00F24971" w:rsidRPr="005B6074" w:rsidTr="00F24971">
        <w:trPr>
          <w:tblCellSpacing w:w="11" w:type="dxa"/>
        </w:trPr>
        <w:tc>
          <w:tcPr>
            <w:tcW w:w="1638" w:type="dxa"/>
            <w:shd w:val="clear" w:color="auto" w:fill="548DD4"/>
          </w:tcPr>
          <w:p w:rsidR="00F24971" w:rsidRPr="004D5FA1" w:rsidRDefault="00A35E98" w:rsidP="004D5FA1">
            <w:pPr>
              <w:rPr>
                <w:rFonts w:ascii="Verdana" w:hAnsi="Verdana"/>
                <w:b/>
                <w:color w:val="FFFFFF" w:themeColor="background1"/>
                <w:sz w:val="20"/>
                <w:szCs w:val="20"/>
              </w:rPr>
            </w:pPr>
            <w:r w:rsidRPr="004D5FA1">
              <w:rPr>
                <w:rFonts w:ascii="Verdana" w:hAnsi="Verdana"/>
                <w:b/>
                <w:color w:val="FFFFFF" w:themeColor="background1"/>
                <w:sz w:val="20"/>
                <w:szCs w:val="20"/>
              </w:rPr>
              <w:t>Link</w:t>
            </w:r>
          </w:p>
        </w:tc>
        <w:tc>
          <w:tcPr>
            <w:tcW w:w="7386" w:type="dxa"/>
            <w:shd w:val="clear" w:color="auto" w:fill="548DD4"/>
          </w:tcPr>
          <w:p w:rsidR="00F24971" w:rsidRPr="004D5FA1" w:rsidRDefault="00A35E98" w:rsidP="004D5FA1">
            <w:pPr>
              <w:rPr>
                <w:rFonts w:ascii="Verdana" w:hAnsi="Verdana"/>
                <w:b/>
                <w:color w:val="FFFFFF" w:themeColor="background1"/>
                <w:sz w:val="20"/>
                <w:szCs w:val="20"/>
              </w:rPr>
            </w:pPr>
            <w:r w:rsidRPr="004D5FA1">
              <w:rPr>
                <w:rFonts w:ascii="Verdana" w:hAnsi="Verdana"/>
                <w:b/>
                <w:color w:val="FFFFFF" w:themeColor="background1"/>
                <w:sz w:val="20"/>
                <w:szCs w:val="20"/>
              </w:rPr>
              <w:t>Comments</w:t>
            </w:r>
          </w:p>
        </w:tc>
      </w:tr>
      <w:tr w:rsidR="00F24971" w:rsidRPr="005B6074" w:rsidTr="00F24971">
        <w:trPr>
          <w:tblCellSpacing w:w="11" w:type="dxa"/>
        </w:trPr>
        <w:tc>
          <w:tcPr>
            <w:tcW w:w="9046" w:type="dxa"/>
            <w:gridSpan w:val="2"/>
            <w:shd w:val="clear" w:color="auto" w:fill="FBD4B4"/>
          </w:tcPr>
          <w:p w:rsidR="00A511E7" w:rsidRPr="005B6074" w:rsidRDefault="00A35E98" w:rsidP="005B6074">
            <w:pPr>
              <w:pStyle w:val="CM1"/>
              <w:spacing w:before="200" w:after="200"/>
              <w:jc w:val="both"/>
              <w:rPr>
                <w:rFonts w:ascii="Verdana" w:hAnsi="Verdana" w:cs="Arial Narrow"/>
                <w:b/>
                <w:kern w:val="32"/>
                <w:sz w:val="20"/>
                <w:szCs w:val="20"/>
              </w:rPr>
            </w:pPr>
            <w:r w:rsidRPr="005B6074">
              <w:rPr>
                <w:rFonts w:ascii="Verdana" w:hAnsi="Verdana"/>
                <w:b/>
                <w:sz w:val="20"/>
              </w:rPr>
              <w:t>Investment Priority 1</w:t>
            </w:r>
            <w:r w:rsidRPr="005B6074">
              <w:rPr>
                <w:rFonts w:ascii="Verdana" w:hAnsi="Verdana"/>
                <w:sz w:val="20"/>
              </w:rPr>
              <w:t xml:space="preserve">. </w:t>
            </w:r>
            <w:r w:rsidRPr="005B6074">
              <w:rPr>
                <w:rFonts w:ascii="Verdana" w:hAnsi="Verdana"/>
                <w:i/>
                <w:sz w:val="20"/>
              </w:rPr>
              <w:t>E</w:t>
            </w:r>
            <w:r w:rsidRPr="005B6074">
              <w:rPr>
                <w:rFonts w:ascii="Verdana" w:hAnsi="Verdana"/>
                <w:i/>
                <w:sz w:val="20"/>
                <w:szCs w:val="22"/>
              </w:rPr>
              <w:t>nhancing research and innovation (R&amp;I) infrastructure and capacities to develop R&amp;I excellence, and promoting centres of competence, in particular those of European interest</w:t>
            </w:r>
          </w:p>
        </w:tc>
      </w:tr>
      <w:tr w:rsidR="00F24971" w:rsidRPr="00FA49EF" w:rsidTr="00F24971">
        <w:trPr>
          <w:tblCellSpacing w:w="11" w:type="dxa"/>
        </w:trPr>
        <w:tc>
          <w:tcPr>
            <w:tcW w:w="1638" w:type="dxa"/>
            <w:shd w:val="clear" w:color="auto" w:fill="FDE9D9"/>
          </w:tcPr>
          <w:p w:rsidR="00F24971" w:rsidRPr="00FA49EF" w:rsidRDefault="00A35E98" w:rsidP="00FA49EF">
            <w:pPr>
              <w:spacing w:after="120"/>
              <w:rPr>
                <w:rFonts w:ascii="Verdana" w:hAnsi="Verdana"/>
                <w:sz w:val="20"/>
                <w:szCs w:val="20"/>
              </w:rPr>
            </w:pPr>
            <w:r w:rsidRPr="00FA49EF">
              <w:rPr>
                <w:rFonts w:ascii="Verdana" w:hAnsi="Verdana"/>
                <w:sz w:val="20"/>
                <w:szCs w:val="20"/>
              </w:rPr>
              <w:t xml:space="preserve">Needs, investment priority and specific objective </w:t>
            </w:r>
          </w:p>
        </w:tc>
        <w:tc>
          <w:tcPr>
            <w:tcW w:w="7386" w:type="dxa"/>
            <w:shd w:val="clear" w:color="auto" w:fill="DBE5F1"/>
          </w:tcPr>
          <w:p w:rsidR="00F24971" w:rsidRPr="00FA49EF" w:rsidRDefault="00A35E98" w:rsidP="00FA49EF">
            <w:pPr>
              <w:spacing w:after="120"/>
              <w:rPr>
                <w:rFonts w:ascii="Verdana" w:hAnsi="Verdana"/>
                <w:sz w:val="20"/>
                <w:szCs w:val="20"/>
              </w:rPr>
            </w:pPr>
            <w:r w:rsidRPr="00FA49EF">
              <w:rPr>
                <w:rFonts w:ascii="Verdana" w:hAnsi="Verdana"/>
                <w:sz w:val="20"/>
                <w:szCs w:val="20"/>
              </w:rPr>
              <w:t>The investment priority is laid down into two specific objectives addressing the topics stated in the priority: (1) modernisation of existing and setting up new centres of excellence and competence centres and (2) development of research infrastructure.</w:t>
            </w:r>
          </w:p>
          <w:p w:rsidR="00F24971" w:rsidRPr="00FA49EF" w:rsidRDefault="00A35E98" w:rsidP="00FA49EF">
            <w:pPr>
              <w:spacing w:after="120"/>
              <w:rPr>
                <w:rFonts w:ascii="Verdana" w:hAnsi="Verdana"/>
                <w:sz w:val="20"/>
                <w:szCs w:val="20"/>
              </w:rPr>
            </w:pPr>
            <w:r w:rsidRPr="00FA49EF">
              <w:rPr>
                <w:rFonts w:ascii="Verdana" w:hAnsi="Verdana"/>
                <w:sz w:val="20"/>
                <w:szCs w:val="20"/>
              </w:rPr>
              <w:t>The justification of the first specific objectives provides information about the existing centres and about the previous experience gained. The text needs restructuring so as to avoid the listing of all projects financed under the 7th Framework Programme. The text should be edited to summarise and analyse the work and the efficiency of the existing centres. The importance of the centres for improving the country's extremely low indicators in the area of research and their contribution to enhancing the competitiveness of the economy has been mentioned. As to the areas in which the centres will be set up, the justification refers to the National Research Development Strategy and the Innovation Strategy for Smart Specialisation. Furthermore, there is an analysis of the areas of importance for the country and the areas with good results. An analysis has been made of the location of research organisations on the country's territory.</w:t>
            </w:r>
          </w:p>
          <w:p w:rsidR="00F24971" w:rsidRPr="00FA49EF" w:rsidRDefault="00A35E98" w:rsidP="00FA49EF">
            <w:pPr>
              <w:spacing w:after="120"/>
              <w:rPr>
                <w:rFonts w:ascii="Verdana" w:hAnsi="Verdana"/>
                <w:sz w:val="20"/>
                <w:szCs w:val="20"/>
              </w:rPr>
            </w:pPr>
            <w:r w:rsidRPr="00FA49EF">
              <w:rPr>
                <w:rFonts w:ascii="Verdana" w:hAnsi="Verdana"/>
                <w:sz w:val="20"/>
                <w:szCs w:val="20"/>
              </w:rPr>
              <w:t xml:space="preserve">The justification of the second specific objective mentions the importance of research infrastructure for economy and society. An analysis has been made of the institutions with capacity and of the areas where there is no financing but which have a development potential. The territorial distribution of existing research infrastructure has been assessed. The specific objective envisages targeted financing </w:t>
            </w:r>
            <w:r w:rsidRPr="00FA49EF">
              <w:rPr>
                <w:rFonts w:ascii="Verdana" w:hAnsi="Verdana"/>
                <w:sz w:val="20"/>
                <w:szCs w:val="20"/>
              </w:rPr>
              <w:lastRenderedPageBreak/>
              <w:t>for modernisation and setting up of scientific infrastructure in institutes and universities, including investment in information and communication infrastructure, especially those located in less developed parts of the country. Support will also be granted to the sites identified in the National Roadmap for Research Infrastructures in view of the construction of regional partner facilities (RPF) and/or nodes of Pan-European scientific facilities. The possible participation of or partnership with the business has not been commented.</w:t>
            </w:r>
          </w:p>
        </w:tc>
      </w:tr>
      <w:tr w:rsidR="00F24971" w:rsidRPr="005B6074" w:rsidTr="00F24971">
        <w:trPr>
          <w:tblCellSpacing w:w="11" w:type="dxa"/>
        </w:trPr>
        <w:tc>
          <w:tcPr>
            <w:tcW w:w="1638"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lastRenderedPageBreak/>
              <w:t>Needs and activities planned</w:t>
            </w:r>
          </w:p>
        </w:tc>
        <w:tc>
          <w:tcPr>
            <w:tcW w:w="7386" w:type="dxa"/>
            <w:shd w:val="clear" w:color="auto" w:fill="C6D9F1"/>
          </w:tcPr>
          <w:p w:rsidR="00F24971" w:rsidRPr="005B6074" w:rsidRDefault="00A35E98" w:rsidP="00FA49EF">
            <w:pPr>
              <w:spacing w:after="0"/>
              <w:rPr>
                <w:rFonts w:ascii="Verdana" w:hAnsi="Verdana"/>
                <w:sz w:val="20"/>
                <w:szCs w:val="20"/>
              </w:rPr>
            </w:pPr>
            <w:r w:rsidRPr="00FA49EF">
              <w:rPr>
                <w:rFonts w:ascii="Verdana" w:hAnsi="Verdana"/>
                <w:sz w:val="20"/>
                <w:szCs w:val="20"/>
              </w:rPr>
              <w:t>Item .2.А.2.1 lists activities which correspond to the objectives set.</w:t>
            </w:r>
          </w:p>
        </w:tc>
      </w:tr>
      <w:tr w:rsidR="00F24971" w:rsidRPr="005B6074" w:rsidTr="00F24971">
        <w:trPr>
          <w:tblCellSpacing w:w="11" w:type="dxa"/>
        </w:trPr>
        <w:tc>
          <w:tcPr>
            <w:tcW w:w="1638"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Output indicators and activities planned</w:t>
            </w:r>
          </w:p>
        </w:tc>
        <w:tc>
          <w:tcPr>
            <w:tcW w:w="7386" w:type="dxa"/>
            <w:shd w:val="clear" w:color="auto" w:fill="DBE5F1"/>
          </w:tcPr>
          <w:p w:rsidR="00F24971" w:rsidRPr="00FA49EF" w:rsidRDefault="00A35E98" w:rsidP="00FA49EF">
            <w:pPr>
              <w:spacing w:after="120"/>
              <w:rPr>
                <w:rFonts w:ascii="Verdana" w:hAnsi="Verdana"/>
                <w:sz w:val="20"/>
                <w:szCs w:val="20"/>
              </w:rPr>
            </w:pPr>
            <w:r w:rsidRPr="00FA49EF">
              <w:rPr>
                <w:rFonts w:ascii="Verdana" w:hAnsi="Verdana"/>
                <w:sz w:val="20"/>
                <w:szCs w:val="20"/>
              </w:rPr>
              <w:t>Two output indicators are planned which are relevant and correspond to the common output indicators of Regulation 1301/2013:</w:t>
            </w:r>
          </w:p>
          <w:p w:rsidR="00F24971" w:rsidRPr="00FA49EF" w:rsidRDefault="00A35E98" w:rsidP="00181A22">
            <w:pPr>
              <w:pStyle w:val="ListParagraph"/>
              <w:numPr>
                <w:ilvl w:val="0"/>
                <w:numId w:val="94"/>
              </w:numPr>
              <w:spacing w:after="120"/>
              <w:rPr>
                <w:rFonts w:ascii="Verdana" w:hAnsi="Verdana"/>
                <w:i/>
                <w:sz w:val="20"/>
                <w:szCs w:val="20"/>
              </w:rPr>
            </w:pPr>
            <w:r w:rsidRPr="00FA49EF">
              <w:rPr>
                <w:rFonts w:ascii="Verdana" w:hAnsi="Verdana"/>
                <w:i/>
                <w:sz w:val="20"/>
                <w:szCs w:val="20"/>
              </w:rPr>
              <w:t>Number of researchers working in improved research infrastructures;</w:t>
            </w:r>
          </w:p>
          <w:p w:rsidR="00F24971" w:rsidRPr="00FA49EF" w:rsidRDefault="00A35E98" w:rsidP="00181A22">
            <w:pPr>
              <w:pStyle w:val="ListParagraph"/>
              <w:numPr>
                <w:ilvl w:val="0"/>
                <w:numId w:val="94"/>
              </w:numPr>
              <w:spacing w:after="120"/>
              <w:rPr>
                <w:rFonts w:ascii="Verdana" w:hAnsi="Verdana"/>
                <w:i/>
                <w:sz w:val="20"/>
                <w:szCs w:val="20"/>
              </w:rPr>
            </w:pPr>
            <w:r w:rsidRPr="00FA49EF">
              <w:rPr>
                <w:rFonts w:ascii="Verdana" w:hAnsi="Verdana"/>
                <w:i/>
                <w:sz w:val="20"/>
                <w:szCs w:val="20"/>
              </w:rPr>
              <w:t>Number of new researchers in the supported centres of excellence and competence centres.</w:t>
            </w:r>
          </w:p>
        </w:tc>
      </w:tr>
      <w:tr w:rsidR="00F24971" w:rsidRPr="005B6074" w:rsidTr="00F24971">
        <w:trPr>
          <w:tblCellSpacing w:w="11" w:type="dxa"/>
        </w:trPr>
        <w:tc>
          <w:tcPr>
            <w:tcW w:w="1638"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Result indicators and specific objectives</w:t>
            </w:r>
          </w:p>
        </w:tc>
        <w:tc>
          <w:tcPr>
            <w:tcW w:w="7386" w:type="dxa"/>
            <w:shd w:val="clear" w:color="auto" w:fill="C6D9F1"/>
          </w:tcPr>
          <w:p w:rsidR="00F24971" w:rsidRPr="005B6074" w:rsidRDefault="00A35E98" w:rsidP="00FA49EF">
            <w:pPr>
              <w:spacing w:after="120"/>
              <w:rPr>
                <w:rFonts w:ascii="Verdana" w:hAnsi="Verdana"/>
                <w:sz w:val="20"/>
                <w:szCs w:val="20"/>
              </w:rPr>
            </w:pPr>
            <w:r w:rsidRPr="00FA49EF">
              <w:rPr>
                <w:rFonts w:ascii="Verdana" w:hAnsi="Verdana"/>
                <w:sz w:val="20"/>
                <w:szCs w:val="20"/>
              </w:rPr>
              <w:t>One result indicator has been planned:</w:t>
            </w:r>
          </w:p>
          <w:p w:rsidR="00F24971" w:rsidRPr="005B6074" w:rsidRDefault="00A35E98" w:rsidP="00181A22">
            <w:pPr>
              <w:pStyle w:val="ListParagraph"/>
              <w:numPr>
                <w:ilvl w:val="0"/>
                <w:numId w:val="94"/>
              </w:numPr>
              <w:spacing w:after="120"/>
              <w:rPr>
                <w:rFonts w:ascii="Verdana" w:hAnsi="Verdana"/>
                <w:i/>
                <w:sz w:val="20"/>
                <w:szCs w:val="20"/>
              </w:rPr>
            </w:pPr>
            <w:r w:rsidRPr="00FA49EF">
              <w:rPr>
                <w:rFonts w:ascii="Verdana" w:hAnsi="Verdana"/>
                <w:i/>
                <w:sz w:val="20"/>
                <w:szCs w:val="20"/>
              </w:rPr>
              <w:t>Number of supported centres of excellence and competence centres;</w:t>
            </w:r>
          </w:p>
          <w:p w:rsidR="00F24971" w:rsidRPr="005B6074" w:rsidRDefault="00A35E98" w:rsidP="00FA49EF">
            <w:pPr>
              <w:spacing w:after="120"/>
              <w:rPr>
                <w:rFonts w:ascii="Verdana" w:hAnsi="Verdana"/>
                <w:sz w:val="20"/>
                <w:szCs w:val="20"/>
              </w:rPr>
            </w:pPr>
            <w:r w:rsidRPr="00FA49EF">
              <w:rPr>
                <w:rFonts w:ascii="Verdana" w:hAnsi="Verdana"/>
                <w:sz w:val="20"/>
                <w:szCs w:val="20"/>
              </w:rPr>
              <w:t>This indicator is rather an output indicator. No indicator concerning the second specific objective has been proposed.</w:t>
            </w:r>
          </w:p>
        </w:tc>
      </w:tr>
      <w:tr w:rsidR="00F24971" w:rsidRPr="005B6074" w:rsidTr="00F24971">
        <w:trPr>
          <w:tblCellSpacing w:w="11" w:type="dxa"/>
        </w:trPr>
        <w:tc>
          <w:tcPr>
            <w:tcW w:w="9046" w:type="dxa"/>
            <w:gridSpan w:val="2"/>
            <w:shd w:val="clear" w:color="auto" w:fill="FBD4B4"/>
          </w:tcPr>
          <w:p w:rsidR="00A511E7" w:rsidRPr="005B6074" w:rsidRDefault="00A35E98" w:rsidP="00B2073D">
            <w:pPr>
              <w:pStyle w:val="CM1"/>
              <w:spacing w:before="200" w:after="200"/>
              <w:jc w:val="both"/>
              <w:rPr>
                <w:rFonts w:ascii="Verdana" w:hAnsi="Verdana" w:cs="Arial Narrow"/>
                <w:sz w:val="20"/>
                <w:szCs w:val="20"/>
              </w:rPr>
            </w:pPr>
            <w:r w:rsidRPr="005B6074">
              <w:rPr>
                <w:rFonts w:ascii="Verdana" w:hAnsi="Verdana"/>
                <w:b/>
                <w:sz w:val="20"/>
              </w:rPr>
              <w:t>Investment Priority 2</w:t>
            </w:r>
            <w:r w:rsidRPr="005B6074">
              <w:rPr>
                <w:rFonts w:ascii="Verdana" w:hAnsi="Verdana"/>
                <w:sz w:val="20"/>
              </w:rPr>
              <w:t xml:space="preserve">. </w:t>
            </w:r>
            <w:r w:rsidRPr="005B6074">
              <w:rPr>
                <w:rFonts w:ascii="Verdana" w:hAnsi="Verdana"/>
                <w:i/>
                <w:sz w:val="20"/>
              </w:rPr>
              <w:t>P</w:t>
            </w:r>
            <w:r w:rsidRPr="005B6074">
              <w:rPr>
                <w:rFonts w:ascii="Verdana" w:hAnsi="Verdana"/>
                <w:i/>
                <w:sz w:val="20"/>
                <w:szCs w:val="22"/>
              </w:rPr>
              <w:t>romoting business investment in R&amp;I, developing links and synergies between enterprises, research and development centres and the higher education sector, in particular promoting investment in product and service development, technology transfer, social innovation, eco-innovation, public service applications, demand stimulation, networking, clusters and open innovation through smart specialisation, and supporting technological and applied research, pilot lines, early product validation actions, advanced manufacturing capabilities and first production, in particular in key enabling technologies and diffusion of general purpose technologies.</w:t>
            </w:r>
          </w:p>
        </w:tc>
      </w:tr>
      <w:tr w:rsidR="00F24971" w:rsidRPr="005B6074" w:rsidTr="00F24971">
        <w:trPr>
          <w:tblCellSpacing w:w="11" w:type="dxa"/>
        </w:trPr>
        <w:tc>
          <w:tcPr>
            <w:tcW w:w="1638"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Needs, investment priority and specific objective</w:t>
            </w:r>
            <w:r w:rsidRPr="005B6074">
              <w:rPr>
                <w:rFonts w:ascii="Verdana" w:hAnsi="Verdana"/>
                <w:sz w:val="20"/>
              </w:rPr>
              <w:t xml:space="preserve"> </w:t>
            </w:r>
          </w:p>
        </w:tc>
        <w:tc>
          <w:tcPr>
            <w:tcW w:w="7386" w:type="dxa"/>
            <w:shd w:val="clear" w:color="auto" w:fill="DBE5F1"/>
          </w:tcPr>
          <w:p w:rsidR="00F24971" w:rsidRPr="005B6074" w:rsidRDefault="00A35E98" w:rsidP="00B2073D">
            <w:pPr>
              <w:pStyle w:val="BodyText"/>
              <w:spacing w:before="120" w:line="276" w:lineRule="auto"/>
              <w:jc w:val="both"/>
              <w:rPr>
                <w:rFonts w:ascii="Verdana" w:hAnsi="Verdana"/>
                <w:sz w:val="20"/>
                <w:szCs w:val="20"/>
              </w:rPr>
            </w:pPr>
            <w:r w:rsidRPr="005B6074">
              <w:rPr>
                <w:rFonts w:ascii="Verdana" w:hAnsi="Verdana"/>
                <w:sz w:val="20"/>
              </w:rPr>
              <w:t>The investment priority is laid down in one specific objective supporting applied research and experimental development in priority areas.</w:t>
            </w:r>
          </w:p>
          <w:p w:rsidR="00F24971" w:rsidRPr="005B6074" w:rsidRDefault="00A35E98" w:rsidP="00B2073D">
            <w:pPr>
              <w:pStyle w:val="BodyText"/>
              <w:spacing w:before="120" w:line="276" w:lineRule="auto"/>
              <w:jc w:val="both"/>
              <w:rPr>
                <w:rFonts w:ascii="Verdana" w:hAnsi="Verdana"/>
                <w:sz w:val="20"/>
                <w:szCs w:val="20"/>
              </w:rPr>
            </w:pPr>
            <w:r w:rsidRPr="005B6074">
              <w:rPr>
                <w:rFonts w:ascii="Verdana" w:hAnsi="Verdana"/>
                <w:sz w:val="20"/>
              </w:rPr>
              <w:t>The justification is scarce in terms of facts and need identification. It is not clear how many of the Bulgarian scientific institutes and higher education establishments make experimental research in close connection with the business, what the participation of the business is, which the areas of this research are and what the needs are. Some statements are mentioned that are not supported by more information and therefore seem not sufficiently grounded and even contradicting: „</w:t>
            </w:r>
            <w:r w:rsidRPr="005B6074">
              <w:rPr>
                <w:rFonts w:ascii="Verdana" w:hAnsi="Verdana"/>
                <w:i/>
                <w:sz w:val="20"/>
              </w:rPr>
              <w:t xml:space="preserve">Bulgaria faces the challenges which developed EU members face" </w:t>
            </w:r>
            <w:r w:rsidRPr="005B6074">
              <w:rPr>
                <w:rFonts w:ascii="Verdana" w:hAnsi="Verdana"/>
                <w:sz w:val="20"/>
              </w:rPr>
              <w:t xml:space="preserve">and </w:t>
            </w:r>
            <w:r w:rsidRPr="005B6074">
              <w:rPr>
                <w:rFonts w:ascii="Verdana" w:hAnsi="Verdana"/>
                <w:sz w:val="20"/>
              </w:rPr>
              <w:lastRenderedPageBreak/>
              <w:t xml:space="preserve">after that </w:t>
            </w:r>
            <w:r w:rsidRPr="005B6074">
              <w:rPr>
                <w:rFonts w:ascii="Verdana" w:hAnsi="Verdana"/>
                <w:i/>
                <w:sz w:val="20"/>
              </w:rPr>
              <w:t>"and this takes place in the conditions of a difficult transition after long isolation from the international research life</w:t>
            </w:r>
            <w:r w:rsidRPr="005B6074">
              <w:rPr>
                <w:rFonts w:ascii="Verdana" w:hAnsi="Verdana"/>
                <w:sz w:val="20"/>
              </w:rPr>
              <w:t xml:space="preserve">". </w:t>
            </w:r>
          </w:p>
          <w:p w:rsidR="00F24971" w:rsidRPr="005B6074" w:rsidRDefault="00A35E98" w:rsidP="00B2073D">
            <w:pPr>
              <w:pStyle w:val="BodyText"/>
              <w:spacing w:before="120" w:line="276" w:lineRule="auto"/>
              <w:jc w:val="both"/>
              <w:rPr>
                <w:rFonts w:ascii="Verdana" w:hAnsi="Verdana"/>
                <w:sz w:val="20"/>
                <w:szCs w:val="20"/>
              </w:rPr>
            </w:pPr>
            <w:r w:rsidRPr="005B6074">
              <w:rPr>
                <w:rFonts w:ascii="Verdana" w:hAnsi="Verdana"/>
                <w:sz w:val="20"/>
              </w:rPr>
              <w:t>The justification also places various topics mentioned as necessary approaches which are not further developed: "</w:t>
            </w:r>
            <w:r w:rsidRPr="005B6074">
              <w:rPr>
                <w:rFonts w:ascii="Verdana" w:hAnsi="Verdana"/>
                <w:i/>
                <w:sz w:val="20"/>
              </w:rPr>
              <w:t>developing connections between enterprises, R&amp;D centres and the higher education establishments</w:t>
            </w:r>
            <w:r w:rsidRPr="005B6074">
              <w:rPr>
                <w:rFonts w:ascii="Verdana" w:hAnsi="Verdana"/>
                <w:sz w:val="20"/>
              </w:rPr>
              <w:t>" without specifying the approaches to implementing this; "</w:t>
            </w:r>
            <w:r w:rsidRPr="005B6074">
              <w:rPr>
                <w:rFonts w:ascii="Verdana" w:hAnsi="Verdana"/>
                <w:i/>
                <w:sz w:val="20"/>
              </w:rPr>
              <w:t>supporting of applied research in priority areas</w:t>
            </w:r>
            <w:r w:rsidRPr="005B6074">
              <w:rPr>
                <w:rFonts w:ascii="Verdana" w:hAnsi="Verdana"/>
                <w:sz w:val="20"/>
              </w:rPr>
              <w:t>" without mentioning these areas; "</w:t>
            </w:r>
            <w:r w:rsidRPr="005B6074">
              <w:rPr>
                <w:rFonts w:ascii="Verdana" w:hAnsi="Verdana"/>
                <w:i/>
                <w:sz w:val="20"/>
              </w:rPr>
              <w:t>differentiation of educational institutions and, based on this, identification of those that will develop strong scientific activities</w:t>
            </w:r>
            <w:r w:rsidRPr="005B6074">
              <w:rPr>
                <w:rFonts w:ascii="Verdana" w:hAnsi="Verdana"/>
                <w:sz w:val="20"/>
              </w:rPr>
              <w:t>" without mentioning how this differentiation will be made and whether it is a precondition for granting of support. Furthermore, research activities are mentioned rather than applied research, as defined in the specific objective.</w:t>
            </w:r>
          </w:p>
          <w:p w:rsidR="00F24971" w:rsidRPr="005B6074" w:rsidRDefault="00A35E98" w:rsidP="00B2073D">
            <w:pPr>
              <w:pStyle w:val="BodyText"/>
              <w:spacing w:before="120" w:line="276" w:lineRule="auto"/>
              <w:jc w:val="both"/>
              <w:rPr>
                <w:rFonts w:ascii="Verdana" w:hAnsi="Verdana"/>
                <w:i/>
                <w:sz w:val="20"/>
                <w:szCs w:val="20"/>
              </w:rPr>
            </w:pPr>
            <w:r w:rsidRPr="005B6074">
              <w:rPr>
                <w:rFonts w:ascii="Verdana" w:hAnsi="Verdana"/>
                <w:sz w:val="20"/>
              </w:rPr>
              <w:t>The justification should also provide information about the synergy effect anticipated from OPIC support. A thorough and clear analysis of the needs is needed which includes experience from the implementation of projects in this area under Operational Programme Development of the Competitiveness of the Bulgarian Economy 2007–2013. A clear analysis is needed of the reasons why the co</w:t>
            </w:r>
            <w:r w:rsidR="00B2073D">
              <w:rPr>
                <w:rFonts w:ascii="Verdana" w:hAnsi="Verdana"/>
                <w:sz w:val="20"/>
              </w:rPr>
              <w:t>l</w:t>
            </w:r>
            <w:r w:rsidRPr="005B6074">
              <w:rPr>
                <w:rFonts w:ascii="Verdana" w:hAnsi="Verdana"/>
                <w:sz w:val="20"/>
              </w:rPr>
              <w:t>laboration between science and business is not sufficiently strong.</w:t>
            </w:r>
          </w:p>
        </w:tc>
      </w:tr>
      <w:tr w:rsidR="00F24971" w:rsidRPr="005B6074" w:rsidTr="00F24971">
        <w:trPr>
          <w:tblCellSpacing w:w="11" w:type="dxa"/>
        </w:trPr>
        <w:tc>
          <w:tcPr>
            <w:tcW w:w="1638"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lastRenderedPageBreak/>
              <w:t>Needs and activities planned</w:t>
            </w:r>
          </w:p>
        </w:tc>
        <w:tc>
          <w:tcPr>
            <w:tcW w:w="7386" w:type="dxa"/>
            <w:shd w:val="clear" w:color="auto" w:fill="C6D9F1"/>
          </w:tcPr>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There are no activities to cover the main subject of the investment priority - to develop connections between enterprises, R&amp;D centres and higher education establishments.</w:t>
            </w:r>
          </w:p>
        </w:tc>
      </w:tr>
      <w:tr w:rsidR="00F24971" w:rsidRPr="005B6074" w:rsidTr="00F24971">
        <w:trPr>
          <w:tblCellSpacing w:w="11" w:type="dxa"/>
        </w:trPr>
        <w:tc>
          <w:tcPr>
            <w:tcW w:w="1638"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Output indicators and activities planned</w:t>
            </w:r>
          </w:p>
        </w:tc>
        <w:tc>
          <w:tcPr>
            <w:tcW w:w="7386" w:type="dxa"/>
            <w:shd w:val="clear" w:color="auto" w:fill="DBE5F1"/>
          </w:tcPr>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Five output indicators are planned to address the basic support activities:</w:t>
            </w:r>
          </w:p>
          <w:p w:rsidR="00F24971" w:rsidRPr="005B6074" w:rsidRDefault="00A35E98" w:rsidP="00F24971">
            <w:pPr>
              <w:pStyle w:val="BodyText"/>
              <w:numPr>
                <w:ilvl w:val="0"/>
                <w:numId w:val="22"/>
              </w:numPr>
              <w:spacing w:before="120" w:line="276" w:lineRule="auto"/>
              <w:jc w:val="both"/>
              <w:rPr>
                <w:rFonts w:ascii="Verdana" w:hAnsi="Verdana"/>
                <w:i/>
                <w:iCs/>
                <w:sz w:val="20"/>
                <w:szCs w:val="20"/>
              </w:rPr>
            </w:pPr>
            <w:r w:rsidRPr="005B6074">
              <w:rPr>
                <w:rFonts w:ascii="Verdana" w:hAnsi="Verdana"/>
                <w:i/>
                <w:sz w:val="20"/>
              </w:rPr>
              <w:t>Number of enterprises cooperating with the research institutions supported;</w:t>
            </w:r>
          </w:p>
          <w:p w:rsidR="00F24971" w:rsidRPr="005B6074" w:rsidRDefault="00A35E98" w:rsidP="00F24971">
            <w:pPr>
              <w:pStyle w:val="BodyText"/>
              <w:numPr>
                <w:ilvl w:val="0"/>
                <w:numId w:val="22"/>
              </w:numPr>
              <w:spacing w:before="120" w:line="276" w:lineRule="auto"/>
              <w:jc w:val="both"/>
              <w:rPr>
                <w:rFonts w:ascii="Verdana" w:hAnsi="Verdana"/>
                <w:i/>
                <w:iCs/>
                <w:sz w:val="20"/>
                <w:szCs w:val="20"/>
              </w:rPr>
            </w:pPr>
            <w:r w:rsidRPr="005B6074">
              <w:rPr>
                <w:rFonts w:ascii="Verdana" w:hAnsi="Verdana"/>
                <w:i/>
                <w:sz w:val="20"/>
              </w:rPr>
              <w:t>Number of enterprises that have introduced new or substantially improved products on the market and set up as a result of the supported innovations or R&amp;D projects;</w:t>
            </w:r>
          </w:p>
          <w:p w:rsidR="00F24971" w:rsidRPr="005B6074" w:rsidRDefault="00A35E98" w:rsidP="00F24971">
            <w:pPr>
              <w:pStyle w:val="BodyText"/>
              <w:numPr>
                <w:ilvl w:val="0"/>
                <w:numId w:val="22"/>
              </w:numPr>
              <w:spacing w:before="120" w:line="276" w:lineRule="auto"/>
              <w:jc w:val="both"/>
              <w:rPr>
                <w:rFonts w:ascii="Verdana" w:hAnsi="Verdana"/>
                <w:i/>
                <w:iCs/>
                <w:sz w:val="20"/>
                <w:szCs w:val="20"/>
              </w:rPr>
            </w:pPr>
            <w:r w:rsidRPr="005B6074">
              <w:rPr>
                <w:rFonts w:ascii="Verdana" w:hAnsi="Verdana"/>
                <w:i/>
                <w:sz w:val="20"/>
              </w:rPr>
              <w:t>Number of higher education establishments that have supported or have provided access of Bulgarian scientific organisations to various European technological platforms and implemented joint technological initiatives;</w:t>
            </w:r>
          </w:p>
          <w:p w:rsidR="00F24971" w:rsidRPr="005B6074" w:rsidRDefault="00A35E98" w:rsidP="00F24971">
            <w:pPr>
              <w:pStyle w:val="BodyText"/>
              <w:numPr>
                <w:ilvl w:val="0"/>
                <w:numId w:val="22"/>
              </w:numPr>
              <w:spacing w:before="120" w:line="276" w:lineRule="auto"/>
              <w:jc w:val="both"/>
              <w:rPr>
                <w:rFonts w:ascii="Verdana" w:hAnsi="Verdana"/>
                <w:i/>
                <w:iCs/>
                <w:sz w:val="20"/>
                <w:szCs w:val="20"/>
              </w:rPr>
            </w:pPr>
            <w:r w:rsidRPr="005B6074">
              <w:rPr>
                <w:rFonts w:ascii="Verdana" w:hAnsi="Verdana"/>
                <w:i/>
                <w:sz w:val="20"/>
              </w:rPr>
              <w:t>Number of students upon request of and with the financial support from the business;</w:t>
            </w:r>
          </w:p>
          <w:p w:rsidR="00F24971" w:rsidRPr="005B6074" w:rsidRDefault="00A35E98" w:rsidP="00F24971">
            <w:pPr>
              <w:pStyle w:val="BodyText"/>
              <w:numPr>
                <w:ilvl w:val="0"/>
                <w:numId w:val="22"/>
              </w:numPr>
              <w:spacing w:before="120" w:line="276" w:lineRule="auto"/>
              <w:jc w:val="both"/>
              <w:rPr>
                <w:rFonts w:ascii="Verdana" w:hAnsi="Verdana"/>
                <w:sz w:val="20"/>
                <w:szCs w:val="20"/>
              </w:rPr>
            </w:pPr>
            <w:r w:rsidRPr="005B6074">
              <w:rPr>
                <w:rFonts w:ascii="Verdana" w:hAnsi="Verdana"/>
                <w:i/>
                <w:sz w:val="20"/>
              </w:rPr>
              <w:t>Number of pilot production centres set up in higher education establishments and scientific institutes.</w:t>
            </w:r>
          </w:p>
        </w:tc>
      </w:tr>
      <w:tr w:rsidR="00F24971" w:rsidRPr="005B6074" w:rsidTr="00F24971">
        <w:trPr>
          <w:tblCellSpacing w:w="11" w:type="dxa"/>
        </w:trPr>
        <w:tc>
          <w:tcPr>
            <w:tcW w:w="1638"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 xml:space="preserve">Result indicators and </w:t>
            </w:r>
            <w:r w:rsidRPr="00FA49EF">
              <w:rPr>
                <w:rFonts w:ascii="Verdana" w:hAnsi="Verdana"/>
                <w:sz w:val="20"/>
                <w:szCs w:val="20"/>
              </w:rPr>
              <w:lastRenderedPageBreak/>
              <w:t>specific objectives</w:t>
            </w:r>
          </w:p>
        </w:tc>
        <w:tc>
          <w:tcPr>
            <w:tcW w:w="7386" w:type="dxa"/>
            <w:shd w:val="clear" w:color="auto" w:fill="C6D9F1"/>
          </w:tcPr>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lastRenderedPageBreak/>
              <w:t>One result indicator has been laid down:</w:t>
            </w:r>
          </w:p>
          <w:p w:rsidR="00F24971" w:rsidRPr="005B6074" w:rsidRDefault="00A35E98" w:rsidP="00F24971">
            <w:pPr>
              <w:pStyle w:val="BodyText"/>
              <w:numPr>
                <w:ilvl w:val="0"/>
                <w:numId w:val="21"/>
              </w:numPr>
              <w:spacing w:before="120" w:line="276" w:lineRule="auto"/>
              <w:jc w:val="both"/>
              <w:rPr>
                <w:rFonts w:ascii="Verdana" w:hAnsi="Verdana"/>
                <w:i/>
                <w:sz w:val="20"/>
                <w:szCs w:val="20"/>
              </w:rPr>
            </w:pPr>
            <w:r w:rsidRPr="005B6074">
              <w:rPr>
                <w:rFonts w:ascii="Verdana" w:hAnsi="Verdana"/>
                <w:i/>
                <w:sz w:val="20"/>
              </w:rPr>
              <w:lastRenderedPageBreak/>
              <w:t>Private investment in R&amp;D complementing public support in BGN/EUR</w:t>
            </w:r>
          </w:p>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indicator is not clearly linked to the specific objective set and is an output indicator in accordance with Regulation 1301/2013.</w:t>
            </w:r>
          </w:p>
        </w:tc>
      </w:tr>
    </w:tbl>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lastRenderedPageBreak/>
        <w:t>PA2. Education and Lifelong Learning</w:t>
      </w:r>
    </w:p>
    <w:p w:rsidR="00F24971" w:rsidRPr="005B6074" w:rsidRDefault="00A35E98" w:rsidP="00F24971">
      <w:pPr>
        <w:pStyle w:val="BodyText"/>
        <w:tabs>
          <w:tab w:val="left" w:pos="0"/>
          <w:tab w:val="right" w:pos="9214"/>
        </w:tabs>
        <w:spacing w:before="240" w:line="276" w:lineRule="auto"/>
        <w:jc w:val="both"/>
        <w:rPr>
          <w:rFonts w:ascii="Verdana" w:hAnsi="Verdana"/>
          <w:b/>
          <w:sz w:val="20"/>
          <w:szCs w:val="20"/>
        </w:rPr>
      </w:pPr>
      <w:bookmarkStart w:id="114" w:name="_Toc390257074"/>
      <w:bookmarkStart w:id="115" w:name="_Toc396225613"/>
      <w:r w:rsidRPr="005B6074">
        <w:rPr>
          <w:rFonts w:ascii="Verdana" w:hAnsi="Verdana"/>
          <w:b/>
          <w:color w:val="548DD4"/>
          <w:sz w:val="20"/>
        </w:rPr>
        <w:t xml:space="preserve">Table </w:t>
      </w:r>
      <w:r w:rsidRPr="005B6074">
        <w:rPr>
          <w:rFonts w:ascii="Verdana" w:hAnsi="Verdana"/>
          <w:b/>
          <w:color w:val="548DD4"/>
          <w:sz w:val="20"/>
        </w:rPr>
        <w:fldChar w:fldCharType="begin"/>
      </w:r>
      <w:r w:rsidRPr="005B6074">
        <w:rPr>
          <w:rFonts w:ascii="Verdana" w:hAnsi="Verdana"/>
          <w:b/>
          <w:color w:val="548DD4"/>
          <w:sz w:val="20"/>
        </w:rPr>
        <w:instrText xml:space="preserve"> SEQ таблица \* ARABIC </w:instrText>
      </w:r>
      <w:r w:rsidRPr="005B6074">
        <w:rPr>
          <w:rFonts w:ascii="Verdana" w:hAnsi="Verdana"/>
          <w:b/>
          <w:color w:val="548DD4"/>
          <w:sz w:val="20"/>
        </w:rPr>
        <w:fldChar w:fldCharType="separate"/>
      </w:r>
      <w:r w:rsidR="009330F5">
        <w:rPr>
          <w:rFonts w:ascii="Verdana" w:hAnsi="Verdana"/>
          <w:b/>
          <w:noProof/>
          <w:color w:val="548DD4"/>
          <w:sz w:val="20"/>
        </w:rPr>
        <w:t>18</w:t>
      </w:r>
      <w:r w:rsidRPr="005B6074">
        <w:rPr>
          <w:rFonts w:ascii="Verdana" w:hAnsi="Verdana"/>
          <w:b/>
          <w:color w:val="548DD4"/>
          <w:sz w:val="20"/>
        </w:rPr>
        <w:fldChar w:fldCharType="end"/>
      </w:r>
      <w:r w:rsidRPr="005B6074">
        <w:rPr>
          <w:rFonts w:ascii="Verdana" w:hAnsi="Verdana"/>
          <w:b/>
          <w:color w:val="548DD4"/>
          <w:sz w:val="20"/>
        </w:rPr>
        <w:t>. PA2 - Compliance between Needs, IP, Activities and Indicators</w:t>
      </w:r>
      <w:bookmarkEnd w:id="114"/>
      <w:bookmarkEnd w:id="115"/>
    </w:p>
    <w:tbl>
      <w:tblPr>
        <w:tblW w:w="9090" w:type="dxa"/>
        <w:tblCellSpacing w:w="11" w:type="dxa"/>
        <w:tblInd w:w="130" w:type="dxa"/>
        <w:tblLook w:val="00A0" w:firstRow="1" w:lastRow="0" w:firstColumn="1" w:lastColumn="0" w:noHBand="0" w:noVBand="0"/>
      </w:tblPr>
      <w:tblGrid>
        <w:gridCol w:w="1710"/>
        <w:gridCol w:w="7380"/>
      </w:tblGrid>
      <w:tr w:rsidR="00F24971" w:rsidRPr="004D5FA1" w:rsidTr="00F24971">
        <w:trPr>
          <w:tblCellSpacing w:w="11" w:type="dxa"/>
        </w:trPr>
        <w:tc>
          <w:tcPr>
            <w:tcW w:w="1677" w:type="dxa"/>
            <w:shd w:val="clear" w:color="auto" w:fill="548DD4"/>
          </w:tcPr>
          <w:p w:rsidR="00F24971" w:rsidRPr="004D5FA1" w:rsidRDefault="00A35E98" w:rsidP="004D5FA1">
            <w:pPr>
              <w:rPr>
                <w:rFonts w:ascii="Verdana" w:hAnsi="Verdana"/>
                <w:b/>
                <w:color w:val="FFFFFF" w:themeColor="background1"/>
                <w:sz w:val="20"/>
                <w:szCs w:val="20"/>
              </w:rPr>
            </w:pPr>
            <w:r w:rsidRPr="004D5FA1">
              <w:rPr>
                <w:rFonts w:ascii="Verdana" w:hAnsi="Verdana"/>
                <w:b/>
                <w:color w:val="FFFFFF" w:themeColor="background1"/>
                <w:sz w:val="20"/>
                <w:szCs w:val="20"/>
              </w:rPr>
              <w:t>Link</w:t>
            </w:r>
          </w:p>
        </w:tc>
        <w:tc>
          <w:tcPr>
            <w:tcW w:w="7347" w:type="dxa"/>
            <w:shd w:val="clear" w:color="auto" w:fill="548DD4"/>
          </w:tcPr>
          <w:p w:rsidR="00F24971" w:rsidRPr="004D5FA1" w:rsidRDefault="00A35E98" w:rsidP="004D5FA1">
            <w:pPr>
              <w:rPr>
                <w:rFonts w:ascii="Verdana" w:hAnsi="Verdana"/>
                <w:b/>
                <w:color w:val="FFFFFF" w:themeColor="background1"/>
                <w:sz w:val="20"/>
                <w:szCs w:val="20"/>
              </w:rPr>
            </w:pPr>
            <w:r w:rsidRPr="004D5FA1">
              <w:rPr>
                <w:rFonts w:ascii="Verdana" w:hAnsi="Verdana"/>
                <w:b/>
                <w:color w:val="FFFFFF" w:themeColor="background1"/>
                <w:sz w:val="20"/>
                <w:szCs w:val="20"/>
              </w:rPr>
              <w:t>Comments</w:t>
            </w:r>
          </w:p>
        </w:tc>
      </w:tr>
      <w:tr w:rsidR="00F24971" w:rsidRPr="005B6074" w:rsidTr="00F24971">
        <w:trPr>
          <w:trHeight w:val="1456"/>
          <w:tblCellSpacing w:w="11" w:type="dxa"/>
        </w:trPr>
        <w:tc>
          <w:tcPr>
            <w:tcW w:w="9046" w:type="dxa"/>
            <w:gridSpan w:val="2"/>
            <w:shd w:val="clear" w:color="auto" w:fill="FBD4B4"/>
          </w:tcPr>
          <w:p w:rsidR="00A511E7" w:rsidRPr="005B6074" w:rsidRDefault="00A35E98" w:rsidP="005B6074">
            <w:pPr>
              <w:pStyle w:val="CM1"/>
              <w:spacing w:before="200" w:after="200"/>
              <w:jc w:val="both"/>
              <w:rPr>
                <w:rFonts w:ascii="Verdana" w:hAnsi="Verdana" w:cs="Arial Narrow"/>
                <w:b/>
                <w:kern w:val="32"/>
                <w:sz w:val="20"/>
                <w:szCs w:val="20"/>
              </w:rPr>
            </w:pPr>
            <w:r w:rsidRPr="005B6074">
              <w:rPr>
                <w:rFonts w:ascii="Verdana" w:hAnsi="Verdana"/>
                <w:b/>
                <w:sz w:val="20"/>
              </w:rPr>
              <w:t>Investment Priority 1</w:t>
            </w:r>
            <w:r w:rsidRPr="005B6074">
              <w:rPr>
                <w:rFonts w:ascii="Verdana" w:hAnsi="Verdana"/>
                <w:sz w:val="20"/>
              </w:rPr>
              <w:t xml:space="preserve">. </w:t>
            </w:r>
            <w:r w:rsidRPr="005B6074">
              <w:rPr>
                <w:rFonts w:ascii="Verdana" w:hAnsi="Verdana"/>
                <w:i/>
                <w:sz w:val="20"/>
                <w:szCs w:val="22"/>
              </w:rPr>
              <w:t>Reducing and preventing early school-leaving and promoting equal access to good quality early-childhood, primary and secondary education including formal, non-formal and informal learning pathways for reintegrating into education and training</w:t>
            </w:r>
            <w:r w:rsidRPr="005B6074">
              <w:rPr>
                <w:rFonts w:cs="EUAlbertina"/>
                <w:color w:val="19161B"/>
                <w:sz w:val="19"/>
                <w:szCs w:val="19"/>
                <w:lang w:eastAsia="bg-BG"/>
              </w:rPr>
              <w:t xml:space="preserve"> </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 xml:space="preserve">Needs, investment priority and specific objective </w:t>
            </w:r>
          </w:p>
        </w:tc>
        <w:tc>
          <w:tcPr>
            <w:tcW w:w="7347" w:type="dxa"/>
            <w:shd w:val="clear" w:color="auto" w:fill="DBE5F1"/>
          </w:tcPr>
          <w:p w:rsidR="00F24971" w:rsidRPr="005B6074" w:rsidRDefault="00A35E98" w:rsidP="00494815">
            <w:pPr>
              <w:spacing w:after="120"/>
              <w:jc w:val="both"/>
              <w:rPr>
                <w:rFonts w:ascii="Verdana" w:hAnsi="Verdana"/>
                <w:sz w:val="20"/>
                <w:szCs w:val="20"/>
              </w:rPr>
            </w:pPr>
            <w:r w:rsidRPr="00494815">
              <w:rPr>
                <w:rFonts w:ascii="Verdana" w:hAnsi="Verdana"/>
                <w:sz w:val="20"/>
                <w:szCs w:val="20"/>
              </w:rPr>
              <w:t>The investment priority is laid down in three specific objectives (SO): (1) improving of children's achievements; (2) Integration and retaining of children at school and (3) managing the quality of education.</w:t>
            </w:r>
          </w:p>
          <w:p w:rsidR="00F24971" w:rsidRPr="005B6074" w:rsidRDefault="00A35E98" w:rsidP="00494815">
            <w:pPr>
              <w:spacing w:after="120"/>
              <w:jc w:val="both"/>
              <w:rPr>
                <w:rFonts w:ascii="Verdana" w:hAnsi="Verdana"/>
                <w:sz w:val="20"/>
                <w:szCs w:val="20"/>
              </w:rPr>
            </w:pPr>
            <w:r w:rsidRPr="00494815">
              <w:rPr>
                <w:rFonts w:ascii="Verdana" w:hAnsi="Verdana"/>
                <w:sz w:val="20"/>
                <w:szCs w:val="20"/>
              </w:rPr>
              <w:t>The justification of SO1 is relevant and informative. The main problems related to children's achievements in mastering key competences, the state of the art and what has been done so far have been outlined.</w:t>
            </w:r>
          </w:p>
          <w:p w:rsidR="00F24971" w:rsidRPr="005B6074" w:rsidRDefault="00A35E98" w:rsidP="00494815">
            <w:pPr>
              <w:spacing w:after="120"/>
              <w:jc w:val="both"/>
              <w:rPr>
                <w:rFonts w:ascii="Verdana" w:hAnsi="Verdana"/>
                <w:sz w:val="20"/>
                <w:szCs w:val="20"/>
              </w:rPr>
            </w:pPr>
            <w:r w:rsidRPr="00494815">
              <w:rPr>
                <w:rFonts w:ascii="Verdana" w:hAnsi="Verdana"/>
                <w:sz w:val="20"/>
                <w:szCs w:val="20"/>
              </w:rPr>
              <w:t>SO2 is also well-grounded, with the state of the art, the objectives to be attained and the main reasons for early school leaving being described. The reasons for school leaving include the families' social status, which, among other complex reasons, is the main driver for school non-attendance and leaving. It does not mention, however, whether this problem is currently addressed and how.</w:t>
            </w:r>
          </w:p>
          <w:p w:rsidR="00F24971" w:rsidRPr="005B6074" w:rsidRDefault="00A35E98" w:rsidP="00494815">
            <w:pPr>
              <w:spacing w:after="120"/>
              <w:jc w:val="both"/>
              <w:rPr>
                <w:rFonts w:ascii="Verdana" w:hAnsi="Verdana"/>
                <w:sz w:val="20"/>
                <w:szCs w:val="20"/>
              </w:rPr>
            </w:pPr>
            <w:r w:rsidRPr="00494815">
              <w:rPr>
                <w:rFonts w:ascii="Verdana" w:hAnsi="Verdana"/>
                <w:sz w:val="20"/>
                <w:szCs w:val="20"/>
              </w:rPr>
              <w:t>The third specific objective specifies the problems and the weaknesses of the system of quality management in education.</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Needs and activities planned</w:t>
            </w:r>
          </w:p>
        </w:tc>
        <w:tc>
          <w:tcPr>
            <w:tcW w:w="7347" w:type="dxa"/>
            <w:shd w:val="clear" w:color="auto" w:fill="C6D9F1"/>
          </w:tcPr>
          <w:p w:rsidR="00F24971" w:rsidRPr="005B6074" w:rsidRDefault="00A35E98" w:rsidP="00494815">
            <w:pPr>
              <w:spacing w:after="120"/>
              <w:jc w:val="both"/>
              <w:rPr>
                <w:rFonts w:ascii="Verdana" w:hAnsi="Verdana"/>
                <w:sz w:val="20"/>
                <w:szCs w:val="20"/>
              </w:rPr>
            </w:pPr>
            <w:r w:rsidRPr="00494815">
              <w:rPr>
                <w:rFonts w:ascii="Verdana" w:hAnsi="Verdana"/>
                <w:sz w:val="20"/>
                <w:szCs w:val="20"/>
              </w:rPr>
              <w:t>A number of activities have been planned, some of which very close in terms of contents. Uniting some of them (for instance, there are 4 ICT-related activities) and making the wording of others more precise will contribute to the improvement clarity of the text.</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Output indicators and activities planned</w:t>
            </w:r>
          </w:p>
        </w:tc>
        <w:tc>
          <w:tcPr>
            <w:tcW w:w="7347" w:type="dxa"/>
            <w:shd w:val="clear" w:color="auto" w:fill="DBE5F1"/>
          </w:tcPr>
          <w:p w:rsidR="00F24971" w:rsidRPr="005B6074" w:rsidRDefault="00A35E98" w:rsidP="00494815">
            <w:pPr>
              <w:spacing w:after="120"/>
              <w:jc w:val="both"/>
              <w:rPr>
                <w:rFonts w:ascii="Verdana" w:hAnsi="Verdana"/>
                <w:sz w:val="20"/>
                <w:szCs w:val="20"/>
              </w:rPr>
            </w:pPr>
            <w:r w:rsidRPr="00494815">
              <w:rPr>
                <w:rFonts w:ascii="Verdana" w:hAnsi="Verdana"/>
                <w:sz w:val="20"/>
                <w:szCs w:val="20"/>
              </w:rPr>
              <w:t>The following output indicators have been mentioned:</w:t>
            </w:r>
          </w:p>
          <w:p w:rsidR="00F24971" w:rsidRPr="00494815" w:rsidRDefault="00A35E98" w:rsidP="00181A22">
            <w:pPr>
              <w:pStyle w:val="ListParagraph"/>
              <w:numPr>
                <w:ilvl w:val="0"/>
                <w:numId w:val="94"/>
              </w:numPr>
              <w:spacing w:after="120"/>
              <w:jc w:val="both"/>
              <w:rPr>
                <w:rFonts w:ascii="Verdana" w:hAnsi="Verdana"/>
                <w:i/>
                <w:sz w:val="20"/>
                <w:szCs w:val="20"/>
              </w:rPr>
            </w:pPr>
            <w:r w:rsidRPr="00494815">
              <w:rPr>
                <w:rFonts w:ascii="Verdana" w:hAnsi="Verdana"/>
                <w:i/>
                <w:sz w:val="20"/>
                <w:szCs w:val="20"/>
              </w:rPr>
              <w:t>Number of children aged 4 until starting school covered by pre-school education</w:t>
            </w:r>
          </w:p>
          <w:p w:rsidR="00F24971" w:rsidRPr="00494815" w:rsidRDefault="00A35E98" w:rsidP="00181A22">
            <w:pPr>
              <w:pStyle w:val="ListParagraph"/>
              <w:numPr>
                <w:ilvl w:val="0"/>
                <w:numId w:val="94"/>
              </w:numPr>
              <w:spacing w:after="120"/>
              <w:jc w:val="both"/>
              <w:rPr>
                <w:rFonts w:ascii="Verdana" w:hAnsi="Verdana"/>
                <w:i/>
                <w:sz w:val="20"/>
                <w:szCs w:val="20"/>
              </w:rPr>
            </w:pPr>
            <w:r w:rsidRPr="00494815">
              <w:rPr>
                <w:rFonts w:ascii="Verdana" w:hAnsi="Verdana"/>
                <w:i/>
                <w:sz w:val="20"/>
                <w:szCs w:val="20"/>
              </w:rPr>
              <w:t>Number of pupils who have received scholarships;</w:t>
            </w:r>
          </w:p>
          <w:p w:rsidR="00F24971" w:rsidRPr="00494815" w:rsidRDefault="00A35E98" w:rsidP="00181A22">
            <w:pPr>
              <w:pStyle w:val="ListParagraph"/>
              <w:numPr>
                <w:ilvl w:val="0"/>
                <w:numId w:val="94"/>
              </w:numPr>
              <w:spacing w:after="120"/>
              <w:jc w:val="both"/>
              <w:rPr>
                <w:rFonts w:ascii="Verdana" w:hAnsi="Verdana"/>
                <w:i/>
                <w:sz w:val="20"/>
                <w:szCs w:val="20"/>
              </w:rPr>
            </w:pPr>
            <w:r w:rsidRPr="00494815">
              <w:rPr>
                <w:rFonts w:ascii="Verdana" w:hAnsi="Verdana"/>
                <w:i/>
                <w:sz w:val="20"/>
                <w:szCs w:val="20"/>
              </w:rPr>
              <w:t>Number of pupils included in out-of-class and out-of-school activities;</w:t>
            </w:r>
          </w:p>
          <w:p w:rsidR="00F24971" w:rsidRPr="00494815" w:rsidRDefault="00A35E98" w:rsidP="00181A22">
            <w:pPr>
              <w:pStyle w:val="ListParagraph"/>
              <w:numPr>
                <w:ilvl w:val="0"/>
                <w:numId w:val="94"/>
              </w:numPr>
              <w:spacing w:after="120"/>
              <w:jc w:val="both"/>
              <w:rPr>
                <w:rFonts w:ascii="Verdana" w:hAnsi="Verdana"/>
                <w:i/>
                <w:sz w:val="20"/>
                <w:szCs w:val="20"/>
              </w:rPr>
            </w:pPr>
            <w:r w:rsidRPr="00494815">
              <w:rPr>
                <w:rFonts w:ascii="Verdana" w:hAnsi="Verdana"/>
                <w:i/>
                <w:sz w:val="20"/>
                <w:szCs w:val="20"/>
              </w:rPr>
              <w:lastRenderedPageBreak/>
              <w:t>Number of pupils included in national and regional external assessment;</w:t>
            </w:r>
          </w:p>
          <w:p w:rsidR="00F24971" w:rsidRPr="00494815" w:rsidRDefault="00A35E98" w:rsidP="00181A22">
            <w:pPr>
              <w:pStyle w:val="ListParagraph"/>
              <w:numPr>
                <w:ilvl w:val="0"/>
                <w:numId w:val="94"/>
              </w:numPr>
              <w:spacing w:after="120"/>
              <w:jc w:val="both"/>
              <w:rPr>
                <w:rFonts w:ascii="Verdana" w:hAnsi="Verdana"/>
                <w:i/>
                <w:sz w:val="20"/>
                <w:szCs w:val="20"/>
              </w:rPr>
            </w:pPr>
            <w:r w:rsidRPr="00494815">
              <w:rPr>
                <w:rFonts w:ascii="Verdana" w:hAnsi="Verdana"/>
                <w:i/>
                <w:sz w:val="20"/>
                <w:szCs w:val="20"/>
              </w:rPr>
              <w:t>Number of national and regional external assessments;</w:t>
            </w:r>
          </w:p>
          <w:p w:rsidR="00F24971" w:rsidRPr="00494815" w:rsidRDefault="00A35E98" w:rsidP="00181A22">
            <w:pPr>
              <w:pStyle w:val="ListParagraph"/>
              <w:numPr>
                <w:ilvl w:val="0"/>
                <w:numId w:val="94"/>
              </w:numPr>
              <w:spacing w:after="120"/>
              <w:jc w:val="both"/>
              <w:rPr>
                <w:rFonts w:ascii="Verdana" w:hAnsi="Verdana"/>
                <w:i/>
                <w:sz w:val="20"/>
                <w:szCs w:val="20"/>
              </w:rPr>
            </w:pPr>
            <w:r w:rsidRPr="00494815">
              <w:rPr>
                <w:rFonts w:ascii="Verdana" w:hAnsi="Verdana"/>
                <w:i/>
                <w:sz w:val="20"/>
                <w:szCs w:val="20"/>
              </w:rPr>
              <w:t>Number of pedagogical staff trained in implementation of the international pupil assessment standards;</w:t>
            </w:r>
          </w:p>
          <w:p w:rsidR="00F24971" w:rsidRPr="005B6074" w:rsidRDefault="00A35E98" w:rsidP="00494815">
            <w:pPr>
              <w:spacing w:after="120"/>
              <w:jc w:val="both"/>
              <w:rPr>
                <w:rFonts w:ascii="Verdana" w:hAnsi="Verdana"/>
                <w:sz w:val="20"/>
                <w:szCs w:val="20"/>
              </w:rPr>
            </w:pPr>
            <w:r w:rsidRPr="00494815">
              <w:rPr>
                <w:rFonts w:ascii="Verdana" w:hAnsi="Verdana"/>
                <w:sz w:val="20"/>
                <w:szCs w:val="20"/>
              </w:rPr>
              <w:t>The forth and the fifth indicator have the same meaning, with the forth indicator not being linked to the support activities and being beyond Programme control.</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lastRenderedPageBreak/>
              <w:t>Result indicators and specific objectives</w:t>
            </w:r>
          </w:p>
        </w:tc>
        <w:tc>
          <w:tcPr>
            <w:tcW w:w="7347" w:type="dxa"/>
            <w:shd w:val="clear" w:color="auto" w:fill="C6D9F1"/>
          </w:tcPr>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following result indicators have been envisaged:</w:t>
            </w:r>
          </w:p>
          <w:p w:rsidR="00F24971" w:rsidRPr="005B6074" w:rsidRDefault="00A35E98" w:rsidP="00F24971">
            <w:pPr>
              <w:pStyle w:val="BodyText"/>
              <w:numPr>
                <w:ilvl w:val="0"/>
                <w:numId w:val="21"/>
              </w:numPr>
              <w:spacing w:before="120" w:line="276" w:lineRule="auto"/>
              <w:jc w:val="both"/>
              <w:rPr>
                <w:rFonts w:ascii="Verdana" w:hAnsi="Verdana"/>
                <w:i/>
                <w:sz w:val="20"/>
                <w:szCs w:val="20"/>
              </w:rPr>
            </w:pPr>
            <w:r w:rsidRPr="005B6074">
              <w:rPr>
                <w:rFonts w:ascii="Verdana" w:hAnsi="Verdana"/>
                <w:i/>
                <w:sz w:val="20"/>
              </w:rPr>
              <w:t>11% at most of school leavers aged 18-24</w:t>
            </w:r>
          </w:p>
          <w:p w:rsidR="00F24971" w:rsidRPr="005B6074" w:rsidRDefault="00A35E98" w:rsidP="00F24971">
            <w:pPr>
              <w:pStyle w:val="BodyText"/>
              <w:numPr>
                <w:ilvl w:val="0"/>
                <w:numId w:val="21"/>
              </w:numPr>
              <w:spacing w:before="120" w:line="276" w:lineRule="auto"/>
              <w:jc w:val="both"/>
              <w:rPr>
                <w:rFonts w:ascii="Verdana" w:hAnsi="Verdana"/>
                <w:i/>
                <w:sz w:val="20"/>
                <w:szCs w:val="20"/>
              </w:rPr>
            </w:pPr>
            <w:r w:rsidRPr="005B6074">
              <w:rPr>
                <w:rFonts w:ascii="Verdana" w:hAnsi="Verdana"/>
                <w:i/>
                <w:sz w:val="20"/>
              </w:rPr>
              <w:t>Increased average PIRLS result of Bulgarian 4th graders – up to 540 points</w:t>
            </w:r>
          </w:p>
          <w:p w:rsidR="00F24971" w:rsidRPr="005B6074" w:rsidRDefault="00A35E98" w:rsidP="00F24971">
            <w:pPr>
              <w:pStyle w:val="BodyText"/>
              <w:numPr>
                <w:ilvl w:val="0"/>
                <w:numId w:val="21"/>
              </w:numPr>
              <w:spacing w:before="120" w:line="276" w:lineRule="auto"/>
              <w:jc w:val="both"/>
              <w:rPr>
                <w:rFonts w:ascii="Verdana" w:hAnsi="Verdana"/>
                <w:i/>
                <w:sz w:val="20"/>
                <w:szCs w:val="20"/>
              </w:rPr>
            </w:pPr>
            <w:r w:rsidRPr="005B6074">
              <w:rPr>
                <w:rFonts w:ascii="Verdana" w:hAnsi="Verdana"/>
                <w:i/>
                <w:sz w:val="20"/>
              </w:rPr>
              <w:t>Increased average PIRLS result of girls – up to 549 points</w:t>
            </w:r>
          </w:p>
          <w:p w:rsidR="00F24971" w:rsidRPr="005B6074" w:rsidRDefault="00A35E98" w:rsidP="00F24971">
            <w:pPr>
              <w:pStyle w:val="BodyText"/>
              <w:numPr>
                <w:ilvl w:val="0"/>
                <w:numId w:val="21"/>
              </w:numPr>
              <w:spacing w:before="120" w:line="276" w:lineRule="auto"/>
              <w:jc w:val="both"/>
              <w:rPr>
                <w:rFonts w:ascii="Verdana" w:hAnsi="Verdana"/>
                <w:sz w:val="20"/>
                <w:szCs w:val="20"/>
              </w:rPr>
            </w:pPr>
            <w:r w:rsidRPr="005B6074">
              <w:rPr>
                <w:rFonts w:ascii="Verdana" w:hAnsi="Verdana"/>
                <w:i/>
                <w:sz w:val="20"/>
              </w:rPr>
              <w:t xml:space="preserve">Increased average PIRLS result of boys– up to 531 points </w:t>
            </w:r>
          </w:p>
          <w:p w:rsidR="00F24971" w:rsidRPr="005B6074" w:rsidRDefault="00A35E98" w:rsidP="00F24971">
            <w:pPr>
              <w:pStyle w:val="BodyText"/>
              <w:numPr>
                <w:ilvl w:val="0"/>
                <w:numId w:val="21"/>
              </w:numPr>
              <w:spacing w:before="120" w:line="276" w:lineRule="auto"/>
              <w:jc w:val="both"/>
              <w:rPr>
                <w:rFonts w:ascii="Verdana" w:hAnsi="Verdana"/>
                <w:i/>
                <w:sz w:val="20"/>
                <w:szCs w:val="20"/>
              </w:rPr>
            </w:pPr>
            <w:r w:rsidRPr="005B6074">
              <w:rPr>
                <w:rFonts w:ascii="Verdana" w:hAnsi="Verdana"/>
                <w:i/>
                <w:sz w:val="20"/>
              </w:rPr>
              <w:t xml:space="preserve">30% at most of the 15-year-olds rated below the critical second threshold of the PISA scale in reading. </w:t>
            </w:r>
          </w:p>
          <w:p w:rsidR="00F24971" w:rsidRPr="005B6074" w:rsidRDefault="00A35E98" w:rsidP="00F24971">
            <w:pPr>
              <w:pStyle w:val="BodyText"/>
              <w:numPr>
                <w:ilvl w:val="0"/>
                <w:numId w:val="21"/>
              </w:numPr>
              <w:spacing w:before="120" w:line="276" w:lineRule="auto"/>
              <w:jc w:val="both"/>
              <w:rPr>
                <w:rFonts w:ascii="Verdana" w:hAnsi="Verdana"/>
                <w:i/>
                <w:sz w:val="20"/>
                <w:szCs w:val="20"/>
              </w:rPr>
            </w:pPr>
            <w:r w:rsidRPr="005B6074">
              <w:rPr>
                <w:rFonts w:ascii="Verdana" w:hAnsi="Verdana"/>
                <w:i/>
                <w:sz w:val="20"/>
              </w:rPr>
              <w:t xml:space="preserve">35% at most of the 15-year-olds rated below the critical second threshold of the PISA scale in maths. </w:t>
            </w:r>
          </w:p>
          <w:p w:rsidR="00F24971" w:rsidRPr="005B6074" w:rsidRDefault="00A35E98" w:rsidP="00F24971">
            <w:pPr>
              <w:pStyle w:val="BodyText"/>
              <w:numPr>
                <w:ilvl w:val="0"/>
                <w:numId w:val="21"/>
              </w:numPr>
              <w:spacing w:before="120" w:line="276" w:lineRule="auto"/>
              <w:jc w:val="both"/>
              <w:rPr>
                <w:rFonts w:ascii="Verdana" w:hAnsi="Verdana"/>
                <w:i/>
                <w:sz w:val="20"/>
                <w:szCs w:val="20"/>
              </w:rPr>
            </w:pPr>
            <w:r w:rsidRPr="005B6074">
              <w:rPr>
                <w:rFonts w:ascii="Verdana" w:hAnsi="Verdana"/>
                <w:i/>
                <w:sz w:val="20"/>
              </w:rPr>
              <w:t xml:space="preserve">30% at most of the 15-year-olds rated below the critical second threshold of the PISA scale in natural sciences. </w:t>
            </w:r>
          </w:p>
          <w:p w:rsidR="00F24971" w:rsidRPr="005B6074" w:rsidRDefault="00A35E98" w:rsidP="00AF2745">
            <w:pPr>
              <w:pStyle w:val="BodyText"/>
              <w:spacing w:before="120" w:line="276" w:lineRule="auto"/>
              <w:jc w:val="both"/>
              <w:rPr>
                <w:rFonts w:ascii="Verdana" w:hAnsi="Verdana"/>
                <w:sz w:val="20"/>
                <w:szCs w:val="20"/>
              </w:rPr>
            </w:pPr>
            <w:r w:rsidRPr="005B6074">
              <w:rPr>
                <w:rFonts w:ascii="Verdana" w:hAnsi="Verdana"/>
                <w:sz w:val="20"/>
              </w:rPr>
              <w:t xml:space="preserve">The envisaged result indicators are too many. In accordance with the Commission's guidelines, the number of the </w:t>
            </w:r>
            <w:r w:rsidR="00AF2745">
              <w:rPr>
                <w:rFonts w:ascii="Verdana" w:hAnsi="Verdana"/>
                <w:sz w:val="20"/>
              </w:rPr>
              <w:t>result</w:t>
            </w:r>
            <w:r w:rsidRPr="005B6074">
              <w:rPr>
                <w:rFonts w:ascii="Verdana" w:hAnsi="Verdana"/>
                <w:sz w:val="20"/>
              </w:rPr>
              <w:t xml:space="preserve"> indicators should be limited to 1–2 per specific objective. These indicators do not measure the achievement of the third specific objective directly.</w:t>
            </w:r>
          </w:p>
        </w:tc>
      </w:tr>
      <w:tr w:rsidR="00F24971" w:rsidRPr="005B6074" w:rsidTr="00F24971">
        <w:trPr>
          <w:tblCellSpacing w:w="11" w:type="dxa"/>
        </w:trPr>
        <w:tc>
          <w:tcPr>
            <w:tcW w:w="9046" w:type="dxa"/>
            <w:gridSpan w:val="2"/>
            <w:shd w:val="clear" w:color="auto" w:fill="FBD4B4"/>
          </w:tcPr>
          <w:p w:rsidR="00A511E7" w:rsidRPr="005B6074" w:rsidRDefault="00A35E98" w:rsidP="005B6074">
            <w:pPr>
              <w:pStyle w:val="CM1"/>
              <w:spacing w:before="200" w:after="200"/>
              <w:jc w:val="both"/>
              <w:rPr>
                <w:rFonts w:ascii="Verdana" w:hAnsi="Verdana"/>
                <w:sz w:val="20"/>
                <w:szCs w:val="20"/>
              </w:rPr>
            </w:pPr>
            <w:r w:rsidRPr="005B6074">
              <w:rPr>
                <w:rFonts w:ascii="Verdana" w:hAnsi="Verdana"/>
                <w:b/>
                <w:sz w:val="20"/>
              </w:rPr>
              <w:t>Investment Priority 2</w:t>
            </w:r>
            <w:r w:rsidRPr="005B6074">
              <w:rPr>
                <w:rFonts w:ascii="Verdana" w:hAnsi="Verdana"/>
                <w:sz w:val="20"/>
              </w:rPr>
              <w:t xml:space="preserve">. </w:t>
            </w:r>
            <w:r w:rsidRPr="005B6074">
              <w:rPr>
                <w:rFonts w:ascii="Verdana" w:hAnsi="Verdana"/>
                <w:i/>
                <w:sz w:val="20"/>
                <w:szCs w:val="22"/>
              </w:rPr>
              <w:t xml:space="preserve">Improving the quality and efficiency of, and access to, tertiary and equivalent education with a view to increasing participation and attainment levels, especially for disadvantaged groups </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Needs, investment priority and specific objective</w:t>
            </w:r>
            <w:r w:rsidRPr="005B6074">
              <w:rPr>
                <w:rFonts w:ascii="Verdana" w:hAnsi="Verdana"/>
                <w:sz w:val="20"/>
              </w:rPr>
              <w:t xml:space="preserve"> </w:t>
            </w:r>
          </w:p>
        </w:tc>
        <w:tc>
          <w:tcPr>
            <w:tcW w:w="7347" w:type="dxa"/>
            <w:shd w:val="clear" w:color="auto" w:fill="DBE5F1"/>
          </w:tcPr>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investment priority is outlined in three specific objectives (1) improving the knowledge and skills of students and better possibilities for realisation of graduates (2) optimising the activity of universities (3) widening access to higher education.</w:t>
            </w:r>
          </w:p>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 xml:space="preserve">The justification of the first specific objective identifies as major challenges the low quality of education and the low realisation of graduates on the labour market in the specialties they have graduated in and shaping of universities mostly as educational structures without carrying out any scientific activities, which is not conducive to improving the quality of education and the reputation of universities </w:t>
            </w:r>
            <w:r w:rsidRPr="005B6074">
              <w:rPr>
                <w:rFonts w:ascii="Verdana" w:hAnsi="Verdana"/>
                <w:sz w:val="20"/>
              </w:rPr>
              <w:lastRenderedPageBreak/>
              <w:t xml:space="preserve">respectively. Based on the weaknesses, some problems and approaches to solving them have been stated. </w:t>
            </w:r>
          </w:p>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justification of the second specific objective analyses the reasons for the low quality of education, with the main reason being the inadequate funding of universities based on the number of students rather than on quality of education.</w:t>
            </w:r>
          </w:p>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needs analysis in third specific objective may be complemented by information about the number of students enrolled and the number of graduates and the main reasons for the low percentage of high education graduates. For some of the reasons it may be judged based on the approaches defined - scholarships, distance form of learning, but the reasons themselves are not stated and analysed. The statement that improving the enrolment models will result in a higher percentage of graduates is not convincing enough.</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lastRenderedPageBreak/>
              <w:t>Needs and activities planned</w:t>
            </w:r>
          </w:p>
        </w:tc>
        <w:tc>
          <w:tcPr>
            <w:tcW w:w="7347" w:type="dxa"/>
            <w:shd w:val="clear" w:color="auto" w:fill="C6D9F1"/>
          </w:tcPr>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activities planned generally address the objectives set. Not sufficiently appropriate activities for improving the possibilities for realisation of graduated have been defined.</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Output indicators and activities planned</w:t>
            </w:r>
          </w:p>
        </w:tc>
        <w:tc>
          <w:tcPr>
            <w:tcW w:w="7347" w:type="dxa"/>
            <w:shd w:val="clear" w:color="auto" w:fill="DBE5F1"/>
          </w:tcPr>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following output indicators have been envisaged:</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Number of students trained in new curricula;</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Number of new curricula elaborated;</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Number of professors trained;</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Number of higher education establishments participating in consolidation initiatives;</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Number of students receiving scholarships and special scholarships;</w:t>
            </w:r>
          </w:p>
          <w:p w:rsidR="00F24971" w:rsidRPr="005B6074" w:rsidRDefault="00A35E98" w:rsidP="00F24971">
            <w:pPr>
              <w:pStyle w:val="BodyText"/>
              <w:numPr>
                <w:ilvl w:val="0"/>
                <w:numId w:val="23"/>
              </w:numPr>
              <w:spacing w:before="120" w:line="276" w:lineRule="auto"/>
              <w:jc w:val="both"/>
              <w:rPr>
                <w:rFonts w:ascii="Verdana" w:hAnsi="Verdana"/>
                <w:sz w:val="20"/>
                <w:szCs w:val="20"/>
              </w:rPr>
            </w:pPr>
            <w:r w:rsidRPr="005B6074">
              <w:rPr>
                <w:rFonts w:ascii="Verdana" w:hAnsi="Verdana"/>
                <w:i/>
                <w:sz w:val="20"/>
              </w:rPr>
              <w:t>Number of students who have been granted student loans.</w:t>
            </w:r>
          </w:p>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Indicators 3 and 4 do not correspond to the activities planned.</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Result indicators and specific objectives</w:t>
            </w:r>
          </w:p>
        </w:tc>
        <w:tc>
          <w:tcPr>
            <w:tcW w:w="7347" w:type="dxa"/>
            <w:shd w:val="clear" w:color="auto" w:fill="C6D9F1"/>
          </w:tcPr>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following four result indicators have been envisaged:</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Share of graduates who have started working in the first year after graduation;</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Number of higher education establishments with an improved system of external and internal assessment;</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Share of financing for higher education establishments increased by at least.... percentage as formed on the basis of the indicators of the system of rating;</w:t>
            </w:r>
          </w:p>
          <w:p w:rsidR="00F24971" w:rsidRPr="005B6074" w:rsidRDefault="00A35E98" w:rsidP="00F24971">
            <w:pPr>
              <w:pStyle w:val="BodyText"/>
              <w:numPr>
                <w:ilvl w:val="0"/>
                <w:numId w:val="23"/>
              </w:numPr>
              <w:spacing w:before="120" w:line="276" w:lineRule="auto"/>
              <w:jc w:val="both"/>
              <w:rPr>
                <w:rFonts w:ascii="Verdana" w:hAnsi="Verdana"/>
                <w:sz w:val="20"/>
                <w:szCs w:val="20"/>
              </w:rPr>
            </w:pPr>
            <w:r w:rsidRPr="005B6074">
              <w:rPr>
                <w:rFonts w:ascii="Verdana" w:hAnsi="Verdana"/>
                <w:i/>
                <w:sz w:val="20"/>
              </w:rPr>
              <w:t>At least 36 % of 30–34-year-olds with higher education.</w:t>
            </w:r>
          </w:p>
          <w:p w:rsidR="00F24971" w:rsidRPr="005B6074" w:rsidRDefault="00A35E98" w:rsidP="00F24971">
            <w:pPr>
              <w:pStyle w:val="BodyText"/>
              <w:spacing w:before="120" w:line="276" w:lineRule="auto"/>
              <w:ind w:left="360"/>
              <w:jc w:val="both"/>
              <w:rPr>
                <w:rFonts w:ascii="Verdana" w:hAnsi="Verdana"/>
                <w:sz w:val="20"/>
                <w:szCs w:val="20"/>
              </w:rPr>
            </w:pPr>
            <w:r w:rsidRPr="005B6074">
              <w:rPr>
                <w:rFonts w:ascii="Verdana" w:hAnsi="Verdana"/>
                <w:sz w:val="20"/>
              </w:rPr>
              <w:t xml:space="preserve">The second indicator is not clear or is rather an output indicator. </w:t>
            </w:r>
          </w:p>
        </w:tc>
      </w:tr>
      <w:tr w:rsidR="00F24971" w:rsidRPr="005B6074" w:rsidTr="00F24971">
        <w:trPr>
          <w:tblCellSpacing w:w="11" w:type="dxa"/>
        </w:trPr>
        <w:tc>
          <w:tcPr>
            <w:tcW w:w="9046" w:type="dxa"/>
            <w:gridSpan w:val="2"/>
            <w:shd w:val="clear" w:color="auto" w:fill="FBD4B4"/>
          </w:tcPr>
          <w:p w:rsidR="00A511E7" w:rsidRPr="005B6074" w:rsidRDefault="00A35E98" w:rsidP="005B6074">
            <w:pPr>
              <w:pStyle w:val="CM1"/>
              <w:spacing w:before="200" w:after="200"/>
              <w:jc w:val="both"/>
              <w:rPr>
                <w:rFonts w:ascii="Verdana" w:hAnsi="Verdana" w:cs="Arial Narrow"/>
                <w:sz w:val="20"/>
                <w:szCs w:val="20"/>
              </w:rPr>
            </w:pPr>
            <w:r w:rsidRPr="005B6074">
              <w:rPr>
                <w:rFonts w:ascii="Verdana" w:hAnsi="Verdana"/>
                <w:b/>
                <w:sz w:val="20"/>
              </w:rPr>
              <w:lastRenderedPageBreak/>
              <w:t>Investment Priority 3</w:t>
            </w:r>
            <w:r w:rsidRPr="005B6074">
              <w:rPr>
                <w:rFonts w:ascii="Verdana" w:hAnsi="Verdana"/>
                <w:sz w:val="20"/>
              </w:rPr>
              <w:t xml:space="preserve">. </w:t>
            </w:r>
            <w:r w:rsidRPr="005B6074">
              <w:rPr>
                <w:rFonts w:ascii="Verdana" w:hAnsi="Verdana"/>
                <w:i/>
                <w:sz w:val="20"/>
                <w:szCs w:val="22"/>
              </w:rPr>
              <w:t>Enhancing equal access to lifelong learning for all age groups in formal, non-formal and informal settings, upgrading the knowledge, skills and competences of the workforce, and promoting flexible learning pathways including through career guidance and validation of acquired competences</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 xml:space="preserve">Needs, investment priority and specific objective </w:t>
            </w:r>
          </w:p>
        </w:tc>
        <w:tc>
          <w:tcPr>
            <w:tcW w:w="7347" w:type="dxa"/>
            <w:shd w:val="clear" w:color="auto" w:fill="DBE5F1"/>
          </w:tcPr>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investment priority is laid down in two specific objectives: (1) enhancing the qualification of those employed in education, training and science and (2) support for on-going training.</w:t>
            </w:r>
          </w:p>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justification of the first specific objective states the problems related to quality of pedagogical staff at schools and universities.</w:t>
            </w:r>
          </w:p>
          <w:p w:rsidR="00F24971" w:rsidRPr="005B6074" w:rsidRDefault="00A35E98">
            <w:pPr>
              <w:pStyle w:val="BodyText"/>
              <w:spacing w:before="120" w:line="276" w:lineRule="auto"/>
              <w:jc w:val="both"/>
              <w:rPr>
                <w:rFonts w:ascii="Verdana" w:hAnsi="Verdana"/>
                <w:sz w:val="20"/>
                <w:szCs w:val="20"/>
              </w:rPr>
            </w:pPr>
            <w:r w:rsidRPr="005B6074">
              <w:rPr>
                <w:rFonts w:ascii="Verdana" w:hAnsi="Verdana"/>
                <w:sz w:val="20"/>
              </w:rPr>
              <w:t xml:space="preserve">The justification of the needs of SO2 states some data and problems such as share of illiterates and never been to school. There is some information about the status of education. SO2 refers to a wide range of issues some of which addressed in OPHRD 2014–2020. A clear distinction is therefore to be made between the two programmes and to focus the scope of support. For instance, OPHRD 2014–2020 includes support for increasing the participation in various forms of lifelong learning, which will provide for better realisation on the labour market of the participants in such forms, and improving the social and communicative skills of young people and adults, which is also stated as area of support under </w:t>
            </w:r>
            <w:r w:rsidR="005B35A7">
              <w:rPr>
                <w:rFonts w:ascii="Verdana" w:hAnsi="Verdana"/>
                <w:sz w:val="20"/>
              </w:rPr>
              <w:t>OPSESG</w:t>
            </w:r>
            <w:r w:rsidRPr="005B6074">
              <w:rPr>
                <w:rFonts w:ascii="Verdana" w:hAnsi="Verdana"/>
                <w:sz w:val="20"/>
              </w:rPr>
              <w:t>.</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Needs and activities planned</w:t>
            </w:r>
          </w:p>
        </w:tc>
        <w:tc>
          <w:tcPr>
            <w:tcW w:w="7347" w:type="dxa"/>
            <w:shd w:val="clear" w:color="auto" w:fill="C6D9F1"/>
          </w:tcPr>
          <w:p w:rsidR="00F24971" w:rsidRPr="005B6074" w:rsidRDefault="00A35E98">
            <w:pPr>
              <w:pStyle w:val="BodyText"/>
              <w:spacing w:before="120" w:line="276" w:lineRule="auto"/>
              <w:jc w:val="both"/>
              <w:rPr>
                <w:rFonts w:ascii="Verdana" w:hAnsi="Verdana"/>
                <w:sz w:val="20"/>
                <w:szCs w:val="20"/>
              </w:rPr>
            </w:pPr>
            <w:r w:rsidRPr="005B6074">
              <w:rPr>
                <w:rFonts w:ascii="Verdana" w:hAnsi="Verdana"/>
                <w:sz w:val="20"/>
              </w:rPr>
              <w:t>Most of the activities are relevant against the objectives defined. Meanwhile, there are activities which are not reasoned in the justification of needs, activities which are not relevant to the objectives and activities that may be summarised and combined as they refer to the same problem in their essence.</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Output indicators and activities planned</w:t>
            </w:r>
          </w:p>
        </w:tc>
        <w:tc>
          <w:tcPr>
            <w:tcW w:w="7347" w:type="dxa"/>
            <w:shd w:val="clear" w:color="auto" w:fill="DBE5F1"/>
          </w:tcPr>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following output indicators have been proposed:</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Number of BA/MA graduates who attain a professional qualification for teachers and start working in the first year following graduation;</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 xml:space="preserve">Number of young specialists participating in research partner networks, including in joint projects with businesses; </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 xml:space="preserve">Number of business-applied research; </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Number of young scientists attracted by the centres of excellence and competence centres from abroad;</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Number of doctoral candidates, post-PhDs, post-graduate persons, lecturers in higher education establishments and researchers from foreign European universities and research centres in Bulgaria supported by mobility programmes;</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Number of persons aged 25-64 participating in lifelong learning;</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lastRenderedPageBreak/>
              <w:t xml:space="preserve">At least 20,000 persons having received knowledge and skills validation vouchers from self- and informal education and training;  </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Number of pupils and students covered by the system of career development.</w:t>
            </w:r>
          </w:p>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third and the forth indicators are not linked to the activities. The sixth indicator is not possible to measure the Programme support only as other activities and programmes will be exerting influence as well.</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lastRenderedPageBreak/>
              <w:t>Result indicators and specific objectives</w:t>
            </w:r>
          </w:p>
        </w:tc>
        <w:tc>
          <w:tcPr>
            <w:tcW w:w="7347" w:type="dxa"/>
            <w:shd w:val="clear" w:color="auto" w:fill="C6D9F1"/>
          </w:tcPr>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following result indicators have been proposed:</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At least 12 %  of teachers to be aged up to 34;</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At least….percentage of students trained in pedagogical specialties;</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At least …. % of the persons who have attained a Master's degree who continue in PhD programmes;</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 xml:space="preserve">Share of participants in various forms of mobility with improved qualification and skills and better realisation; </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Reduced share (down to 1.5%) of illiterates aged 15-29;</w:t>
            </w:r>
          </w:p>
          <w:p w:rsidR="00F24971" w:rsidRPr="005B6074" w:rsidRDefault="00A35E98" w:rsidP="00F24971">
            <w:pPr>
              <w:pStyle w:val="BodyText"/>
              <w:numPr>
                <w:ilvl w:val="0"/>
                <w:numId w:val="23"/>
              </w:numPr>
              <w:spacing w:before="120" w:line="276" w:lineRule="auto"/>
              <w:jc w:val="both"/>
              <w:rPr>
                <w:rFonts w:ascii="Verdana" w:hAnsi="Verdana"/>
                <w:sz w:val="20"/>
                <w:szCs w:val="20"/>
              </w:rPr>
            </w:pPr>
            <w:r w:rsidRPr="005B6074">
              <w:rPr>
                <w:rFonts w:ascii="Verdana" w:hAnsi="Verdana"/>
                <w:i/>
                <w:sz w:val="20"/>
              </w:rPr>
              <w:t xml:space="preserve">At least 2,500 persons having received knowledge and skills validated by self- and informal education and training. </w:t>
            </w:r>
          </w:p>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Indicators 1, 2 and 5 do not have direct connection with the specific objectives set.</w:t>
            </w:r>
          </w:p>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third and the forth indicator are rather output indicators.</w:t>
            </w:r>
          </w:p>
        </w:tc>
      </w:tr>
      <w:tr w:rsidR="00F24971" w:rsidRPr="005B6074" w:rsidTr="00F24971">
        <w:trPr>
          <w:tblCellSpacing w:w="11" w:type="dxa"/>
        </w:trPr>
        <w:tc>
          <w:tcPr>
            <w:tcW w:w="9046" w:type="dxa"/>
            <w:gridSpan w:val="2"/>
            <w:shd w:val="clear" w:color="auto" w:fill="FBD4B4"/>
          </w:tcPr>
          <w:p w:rsidR="00F24971" w:rsidRPr="005B6074" w:rsidRDefault="00A35E98">
            <w:pPr>
              <w:autoSpaceDE w:val="0"/>
              <w:autoSpaceDN w:val="0"/>
              <w:adjustRightInd w:val="0"/>
              <w:spacing w:before="200" w:line="288" w:lineRule="auto"/>
              <w:jc w:val="both"/>
              <w:rPr>
                <w:rFonts w:ascii="Verdana" w:hAnsi="Verdana" w:cs="Arial Narrow"/>
                <w:color w:val="000000"/>
                <w:sz w:val="20"/>
                <w:szCs w:val="20"/>
              </w:rPr>
            </w:pPr>
            <w:r w:rsidRPr="005B6074">
              <w:rPr>
                <w:rFonts w:ascii="Verdana" w:hAnsi="Verdana"/>
                <w:b/>
                <w:sz w:val="20"/>
              </w:rPr>
              <w:t xml:space="preserve">Investment Priority 4. </w:t>
            </w:r>
            <w:r w:rsidRPr="005B6074">
              <w:rPr>
                <w:rFonts w:ascii="Verdana" w:hAnsi="Verdana"/>
                <w:i/>
                <w:color w:val="000000"/>
                <w:sz w:val="20"/>
              </w:rPr>
              <w:t>Improving the labour market relevance of education and training systems, facilitating the transition from education to work, and strengthening vocational education and training systems and their quality, including through mechanisms for skills anticipation, adaptation of curricula and the establishment and development of work-based learning systems, including dual learning systems and apprenticeship schemes.</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 xml:space="preserve">Needs, investment priority and specific objective </w:t>
            </w:r>
          </w:p>
        </w:tc>
        <w:tc>
          <w:tcPr>
            <w:tcW w:w="7347" w:type="dxa"/>
            <w:shd w:val="clear" w:color="auto" w:fill="DBE5F1"/>
          </w:tcPr>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investment priority is laid down in two specific objectives: (1) support for vocational training and (2) strengthening the link between vocational, higher education, science and business.</w:t>
            </w:r>
          </w:p>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justification of the needs of SO1 analyses problems related to the lack of a system identifying the needs of the business and feedback from the labour market. No information is delivered on the importance of VET for the labour market, including sectors where vocational education contributes directly and is important.</w:t>
            </w:r>
          </w:p>
          <w:p w:rsidR="00F24971" w:rsidRPr="005B6074" w:rsidRDefault="00A35E98">
            <w:pPr>
              <w:pStyle w:val="BodyText"/>
              <w:spacing w:before="120" w:line="276" w:lineRule="auto"/>
              <w:jc w:val="both"/>
              <w:rPr>
                <w:rFonts w:ascii="Verdana" w:hAnsi="Verdana"/>
                <w:sz w:val="20"/>
                <w:szCs w:val="20"/>
              </w:rPr>
            </w:pPr>
            <w:r w:rsidRPr="005B6074">
              <w:rPr>
                <w:rFonts w:ascii="Verdana" w:hAnsi="Verdana"/>
                <w:sz w:val="20"/>
              </w:rPr>
              <w:t xml:space="preserve">SO2 points to some of the main problems – not sufficiently effective link between the systems of education and businesses; lack of flexibility </w:t>
            </w:r>
            <w:r w:rsidRPr="005B6074">
              <w:rPr>
                <w:rFonts w:ascii="Verdana" w:hAnsi="Verdana"/>
                <w:sz w:val="20"/>
              </w:rPr>
              <w:lastRenderedPageBreak/>
              <w:t>of the learning contents with regard to the requirements of the labour market, prevalence of theoretical to practical knowledge, small share of learning practices, poor cooperation with businesses. Fostering of education in engineering, technical and natural specialties is not well grounded, i.e. there is no data about labour market demand in this respect. No analysis has been made of the labour market dynamics and whether 5-6 years after students' training there will be demand for such specialties. Improving of the work with computer systems is not linked to the relevant specific objective but is rather a measure for enhancing the competencies of pupils and students and has already been addressed in IP1 and IP2. The justification of the specific objective does not outline any silence-related problems or measures and is therefore recommendable to consider whether the word "science" should remain in the wording of the specific objective all the more that the col</w:t>
            </w:r>
            <w:r w:rsidR="00AF2745">
              <w:rPr>
                <w:rFonts w:ascii="Verdana" w:hAnsi="Verdana"/>
                <w:sz w:val="20"/>
              </w:rPr>
              <w:t>l</w:t>
            </w:r>
            <w:r w:rsidRPr="005B6074">
              <w:rPr>
                <w:rFonts w:ascii="Verdana" w:hAnsi="Verdana"/>
                <w:sz w:val="20"/>
              </w:rPr>
              <w:t>aboration between science and business is addressed in PA1.</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lastRenderedPageBreak/>
              <w:t>Needs and activities planned</w:t>
            </w:r>
          </w:p>
        </w:tc>
        <w:tc>
          <w:tcPr>
            <w:tcW w:w="7347" w:type="dxa"/>
            <w:shd w:val="clear" w:color="auto" w:fill="C6D9F1"/>
          </w:tcPr>
          <w:p w:rsidR="00F24971" w:rsidRPr="005B6074" w:rsidRDefault="00A35E98">
            <w:pPr>
              <w:pStyle w:val="BodyText"/>
              <w:spacing w:before="120" w:line="276" w:lineRule="auto"/>
              <w:jc w:val="both"/>
              <w:rPr>
                <w:rFonts w:ascii="Verdana" w:hAnsi="Verdana"/>
                <w:sz w:val="20"/>
                <w:szCs w:val="20"/>
              </w:rPr>
            </w:pPr>
            <w:r w:rsidRPr="005B6074">
              <w:rPr>
                <w:rFonts w:ascii="Verdana" w:hAnsi="Verdana"/>
                <w:sz w:val="20"/>
              </w:rPr>
              <w:t>Most of the activities are relevant to the objectives defined but there are activities which are vague or are not covered by justification of needs.</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Output indicators and activities planned</w:t>
            </w:r>
          </w:p>
        </w:tc>
        <w:tc>
          <w:tcPr>
            <w:tcW w:w="7347" w:type="dxa"/>
            <w:shd w:val="clear" w:color="auto" w:fill="DBE5F1"/>
          </w:tcPr>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following output indicators have been proposed:</w:t>
            </w:r>
          </w:p>
          <w:p w:rsidR="00F24971" w:rsidRPr="005B6074" w:rsidRDefault="00A35E98" w:rsidP="00F24971">
            <w:pPr>
              <w:pStyle w:val="BodyText"/>
              <w:numPr>
                <w:ilvl w:val="0"/>
                <w:numId w:val="23"/>
              </w:numPr>
              <w:spacing w:before="120" w:line="276" w:lineRule="auto"/>
              <w:jc w:val="both"/>
              <w:rPr>
                <w:rFonts w:ascii="Verdana" w:hAnsi="Verdana"/>
                <w:i/>
                <w:sz w:val="20"/>
                <w:szCs w:val="20"/>
              </w:rPr>
            </w:pPr>
            <w:r w:rsidRPr="005B6074">
              <w:rPr>
                <w:rFonts w:ascii="Verdana" w:hAnsi="Verdana"/>
                <w:i/>
                <w:sz w:val="20"/>
              </w:rPr>
              <w:t>Number of pupils participating in flexible forms of vocational training;</w:t>
            </w:r>
          </w:p>
          <w:p w:rsidR="00F24971" w:rsidRPr="005B6074" w:rsidRDefault="00A35E98" w:rsidP="00F24971">
            <w:pPr>
              <w:pStyle w:val="BodyText"/>
              <w:numPr>
                <w:ilvl w:val="0"/>
                <w:numId w:val="23"/>
              </w:numPr>
              <w:spacing w:before="120" w:line="276" w:lineRule="auto"/>
              <w:jc w:val="both"/>
              <w:rPr>
                <w:rFonts w:ascii="Verdana" w:hAnsi="Verdana"/>
                <w:sz w:val="20"/>
                <w:szCs w:val="20"/>
              </w:rPr>
            </w:pPr>
            <w:r w:rsidRPr="005B6074">
              <w:rPr>
                <w:rFonts w:ascii="Verdana" w:hAnsi="Verdana"/>
                <w:i/>
                <w:sz w:val="20"/>
              </w:rPr>
              <w:t>Number of pupils and students trained in technical specialties.</w:t>
            </w:r>
          </w:p>
          <w:p w:rsidR="00F24971" w:rsidRPr="005B6074" w:rsidRDefault="00A35E98">
            <w:pPr>
              <w:pStyle w:val="BodyText"/>
              <w:spacing w:before="120" w:line="276" w:lineRule="auto"/>
              <w:jc w:val="both"/>
              <w:rPr>
                <w:rFonts w:ascii="Verdana" w:hAnsi="Verdana"/>
                <w:sz w:val="20"/>
                <w:szCs w:val="20"/>
              </w:rPr>
            </w:pPr>
            <w:r w:rsidRPr="005B6074">
              <w:rPr>
                <w:rFonts w:ascii="Verdana" w:hAnsi="Verdana"/>
                <w:sz w:val="20"/>
              </w:rPr>
              <w:t>Both indicators may rather be considered as result indicators.</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Result indicators and specific objectives</w:t>
            </w:r>
          </w:p>
        </w:tc>
        <w:tc>
          <w:tcPr>
            <w:tcW w:w="7347" w:type="dxa"/>
            <w:shd w:val="clear" w:color="auto" w:fill="C6D9F1"/>
          </w:tcPr>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following result indicator has been proposed:</w:t>
            </w:r>
          </w:p>
          <w:p w:rsidR="00F24971" w:rsidRPr="005B6074" w:rsidRDefault="00A35E98" w:rsidP="00F24971">
            <w:pPr>
              <w:pStyle w:val="BodyText"/>
              <w:numPr>
                <w:ilvl w:val="0"/>
                <w:numId w:val="24"/>
              </w:numPr>
              <w:spacing w:before="120" w:line="276" w:lineRule="auto"/>
              <w:jc w:val="both"/>
              <w:rPr>
                <w:rFonts w:ascii="Verdana" w:hAnsi="Verdana"/>
                <w:i/>
                <w:sz w:val="20"/>
                <w:szCs w:val="20"/>
              </w:rPr>
            </w:pPr>
            <w:r w:rsidRPr="005B6074">
              <w:rPr>
                <w:rFonts w:ascii="Verdana" w:hAnsi="Verdana"/>
                <w:i/>
                <w:sz w:val="20"/>
              </w:rPr>
              <w:t>Share of persons who have finished vocational high schools and have started working in the relevant profession in the first year after finishing school.</w:t>
            </w:r>
          </w:p>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The proposed indicator is aimed at the first specific objective but its link with it is indirect. No indicators measuring the second specific objective have been set.</w:t>
            </w:r>
          </w:p>
        </w:tc>
      </w:tr>
    </w:tbl>
    <w:p w:rsidR="00A511E7" w:rsidRPr="005B6074" w:rsidRDefault="00A511E7" w:rsidP="005B607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080"/>
      </w:tblGrid>
      <w:tr w:rsidR="004E6F27" w:rsidRPr="005B6074" w:rsidTr="00E41136">
        <w:tc>
          <w:tcPr>
            <w:tcW w:w="9080" w:type="dxa"/>
            <w:shd w:val="clear" w:color="auto" w:fill="D9D9D9" w:themeFill="background1" w:themeFillShade="D9"/>
          </w:tcPr>
          <w:p w:rsidR="004E6F27" w:rsidRPr="005B6074" w:rsidRDefault="004E6F27" w:rsidP="00E41136">
            <w:pPr>
              <w:jc w:val="both"/>
              <w:rPr>
                <w:rFonts w:ascii="Verdana" w:hAnsi="Verdana"/>
                <w:sz w:val="20"/>
                <w:szCs w:val="20"/>
              </w:rPr>
            </w:pPr>
            <w:r w:rsidRPr="005B6074">
              <w:rPr>
                <w:rFonts w:ascii="Verdana" w:hAnsi="Verdana"/>
                <w:sz w:val="20"/>
                <w:szCs w:val="20"/>
              </w:rPr>
              <w:t xml:space="preserve">In August </w:t>
            </w:r>
            <w:r w:rsidR="00A35E98" w:rsidRPr="005B6074">
              <w:rPr>
                <w:rFonts w:ascii="Verdana" w:hAnsi="Verdana"/>
                <w:sz w:val="20"/>
                <w:szCs w:val="20"/>
              </w:rPr>
              <w:t xml:space="preserve">2014 </w:t>
            </w:r>
            <w:r w:rsidRPr="005B6074">
              <w:rPr>
                <w:rFonts w:ascii="Verdana" w:hAnsi="Verdana"/>
                <w:sz w:val="20"/>
                <w:szCs w:val="20"/>
              </w:rPr>
              <w:t xml:space="preserve">GDS SFIEP developed a draft of new SO4, which to be added to IP 2 of PA2. </w:t>
            </w:r>
            <w:r w:rsidR="00A35E98" w:rsidRPr="005B6074">
              <w:rPr>
                <w:rFonts w:ascii="Verdana" w:hAnsi="Verdana"/>
                <w:i/>
                <w:sz w:val="20"/>
                <w:szCs w:val="20"/>
              </w:rPr>
              <w:t>Improvement of the conditions for education in cooperation with research and for development of human resources in the area of R&amp;D</w:t>
            </w:r>
            <w:r w:rsidRPr="005B6074">
              <w:rPr>
                <w:rFonts w:ascii="Verdana" w:hAnsi="Verdana"/>
                <w:sz w:val="20"/>
                <w:szCs w:val="20"/>
              </w:rPr>
              <w:t>. The specific objective is presented in a separate file and is not incorporated in the text of the programme with the relevant amendments of its other parts and therefore is commented separately.</w:t>
            </w:r>
          </w:p>
          <w:p w:rsidR="004E6F27" w:rsidRPr="005B6074" w:rsidRDefault="004E6F27" w:rsidP="00E41136">
            <w:pPr>
              <w:jc w:val="both"/>
              <w:rPr>
                <w:rFonts w:ascii="Verdana" w:hAnsi="Verdana"/>
                <w:sz w:val="20"/>
                <w:szCs w:val="20"/>
              </w:rPr>
            </w:pPr>
            <w:r w:rsidRPr="005B6074">
              <w:rPr>
                <w:rFonts w:ascii="Verdana" w:hAnsi="Verdana"/>
                <w:sz w:val="20"/>
                <w:szCs w:val="20"/>
              </w:rPr>
              <w:t>The aim is the specific objective to consolidate all the measures targeted to ensuring the link</w:t>
            </w:r>
            <w:r w:rsidR="00A13EAD" w:rsidRPr="005B6074">
              <w:rPr>
                <w:rFonts w:ascii="Verdana" w:hAnsi="Verdana"/>
                <w:sz w:val="20"/>
                <w:szCs w:val="20"/>
              </w:rPr>
              <w:t>age</w:t>
            </w:r>
            <w:r w:rsidRPr="005B6074">
              <w:rPr>
                <w:rFonts w:ascii="Verdana" w:hAnsi="Verdana"/>
                <w:sz w:val="20"/>
                <w:szCs w:val="20"/>
              </w:rPr>
              <w:t xml:space="preserve"> between the higher education and R&amp;D. The specific objective will include some of the activities, which at the moments are part of SO1 of IP3 of PA2.</w:t>
            </w:r>
            <w:r w:rsidR="00A35E98" w:rsidRPr="005B6074">
              <w:rPr>
                <w:rFonts w:ascii="Verdana" w:hAnsi="Verdana"/>
                <w:sz w:val="20"/>
                <w:szCs w:val="20"/>
              </w:rPr>
              <w:t xml:space="preserve"> </w:t>
            </w:r>
          </w:p>
          <w:p w:rsidR="00E41136" w:rsidRPr="005B6074" w:rsidRDefault="00A35E98" w:rsidP="00E41136">
            <w:pPr>
              <w:jc w:val="both"/>
              <w:rPr>
                <w:rFonts w:ascii="Verdana" w:hAnsi="Verdana"/>
                <w:sz w:val="20"/>
                <w:szCs w:val="20"/>
              </w:rPr>
            </w:pPr>
            <w:r w:rsidRPr="005B6074">
              <w:rPr>
                <w:rFonts w:ascii="Verdana" w:hAnsi="Verdana"/>
                <w:sz w:val="20"/>
                <w:szCs w:val="20"/>
              </w:rPr>
              <w:lastRenderedPageBreak/>
              <w:t xml:space="preserve">The justification of the new SO4 is based around the necessity to strengthen the linkage between the higher education and science and research and to provide support for development of human resources in the area of R&amp;D. </w:t>
            </w:r>
            <w:r w:rsidR="00E41136" w:rsidRPr="005B6074">
              <w:rPr>
                <w:rFonts w:ascii="Verdana" w:hAnsi="Verdana"/>
                <w:sz w:val="20"/>
                <w:szCs w:val="20"/>
              </w:rPr>
              <w:t>The planned activities include support for qualification, pre-qualification, career development and mobility in the area of science, joint programmes with the business, development of partnership networks, attraction of researchers and creation of research potential in the developed research centres, support for dissemination of scientific results and promotion of science and research. The activities support the achievement of the specific objective</w:t>
            </w:r>
            <w:r w:rsidR="00A13EAD" w:rsidRPr="005B6074">
              <w:rPr>
                <w:rFonts w:ascii="Verdana" w:hAnsi="Verdana"/>
                <w:sz w:val="20"/>
                <w:szCs w:val="20"/>
              </w:rPr>
              <w:t>.</w:t>
            </w:r>
          </w:p>
          <w:p w:rsidR="004E6F27" w:rsidRPr="005B6074" w:rsidRDefault="00E41136" w:rsidP="00E41136">
            <w:pPr>
              <w:jc w:val="both"/>
              <w:rPr>
                <w:rFonts w:ascii="Verdana" w:hAnsi="Verdana"/>
                <w:sz w:val="20"/>
                <w:szCs w:val="20"/>
              </w:rPr>
            </w:pPr>
            <w:r w:rsidRPr="005B6074">
              <w:rPr>
                <w:rFonts w:ascii="Verdana" w:hAnsi="Verdana"/>
                <w:sz w:val="20"/>
                <w:szCs w:val="20"/>
              </w:rPr>
              <w:t>The following result indicator is planned to measure the achievement of the specific objective:</w:t>
            </w:r>
          </w:p>
          <w:p w:rsidR="004E6F27" w:rsidRPr="005B6074" w:rsidRDefault="00A35E98" w:rsidP="00E41136">
            <w:pPr>
              <w:pStyle w:val="ListParagraph"/>
              <w:numPr>
                <w:ilvl w:val="0"/>
                <w:numId w:val="24"/>
              </w:numPr>
              <w:jc w:val="both"/>
              <w:rPr>
                <w:rStyle w:val="hps"/>
                <w:rFonts w:ascii="Verdana" w:hAnsi="Verdana"/>
                <w:i/>
                <w:sz w:val="20"/>
                <w:szCs w:val="20"/>
              </w:rPr>
            </w:pPr>
            <w:r w:rsidRPr="005B6074">
              <w:rPr>
                <w:rStyle w:val="hps"/>
                <w:rFonts w:ascii="Verdana" w:hAnsi="Verdana"/>
                <w:i/>
                <w:sz w:val="20"/>
                <w:szCs w:val="20"/>
              </w:rPr>
              <w:t>Scientific organisations with newly appointed researches from abroad;</w:t>
            </w:r>
          </w:p>
          <w:p w:rsidR="004E6F27" w:rsidRPr="005B6074" w:rsidRDefault="00E41136" w:rsidP="00E41136">
            <w:pPr>
              <w:jc w:val="both"/>
              <w:rPr>
                <w:rFonts w:ascii="Verdana" w:hAnsi="Verdana"/>
                <w:sz w:val="20"/>
                <w:szCs w:val="20"/>
              </w:rPr>
            </w:pPr>
            <w:r w:rsidRPr="005B6074">
              <w:rPr>
                <w:rFonts w:ascii="Verdana" w:hAnsi="Verdana"/>
                <w:sz w:val="20"/>
                <w:szCs w:val="20"/>
              </w:rPr>
              <w:t>The indicator is relevant, however it covers</w:t>
            </w:r>
            <w:r w:rsidR="00DB6F26">
              <w:rPr>
                <w:rFonts w:ascii="Verdana" w:hAnsi="Verdana"/>
                <w:sz w:val="20"/>
                <w:szCs w:val="20"/>
              </w:rPr>
              <w:t xml:space="preserve"> </w:t>
            </w:r>
            <w:r w:rsidRPr="005B6074">
              <w:rPr>
                <w:rFonts w:ascii="Verdana" w:hAnsi="Verdana"/>
                <w:sz w:val="20"/>
                <w:szCs w:val="20"/>
              </w:rPr>
              <w:t>only one of the aspects of the support.</w:t>
            </w:r>
            <w:r w:rsidR="00A35E98" w:rsidRPr="005B6074">
              <w:rPr>
                <w:rFonts w:ascii="Verdana" w:hAnsi="Verdana"/>
                <w:sz w:val="20"/>
                <w:szCs w:val="20"/>
              </w:rPr>
              <w:t xml:space="preserve"> </w:t>
            </w:r>
          </w:p>
          <w:p w:rsidR="004E6F27" w:rsidRPr="005B6074" w:rsidRDefault="00E41136" w:rsidP="00E41136">
            <w:pPr>
              <w:jc w:val="both"/>
              <w:rPr>
                <w:rFonts w:ascii="Verdana" w:hAnsi="Verdana"/>
                <w:sz w:val="20"/>
                <w:szCs w:val="20"/>
              </w:rPr>
            </w:pPr>
            <w:r w:rsidRPr="005B6074">
              <w:rPr>
                <w:rFonts w:ascii="Verdana" w:hAnsi="Verdana"/>
                <w:sz w:val="20"/>
                <w:szCs w:val="20"/>
              </w:rPr>
              <w:t>The following output indicators are planned:</w:t>
            </w:r>
          </w:p>
          <w:p w:rsidR="004E6F27" w:rsidRPr="005B6074" w:rsidRDefault="00A35E98" w:rsidP="00E41136">
            <w:pPr>
              <w:pStyle w:val="ListParagraph"/>
              <w:numPr>
                <w:ilvl w:val="0"/>
                <w:numId w:val="24"/>
              </w:numPr>
              <w:jc w:val="both"/>
              <w:rPr>
                <w:rStyle w:val="hps"/>
                <w:rFonts w:ascii="Verdana" w:hAnsi="Verdana"/>
                <w:i/>
                <w:sz w:val="20"/>
                <w:szCs w:val="20"/>
              </w:rPr>
            </w:pPr>
            <w:r w:rsidRPr="005B6074">
              <w:rPr>
                <w:rStyle w:val="hps"/>
                <w:rFonts w:ascii="Verdana" w:hAnsi="Verdana"/>
                <w:i/>
                <w:sz w:val="20"/>
                <w:szCs w:val="20"/>
              </w:rPr>
              <w:t>Attracted from abroad scientists in centres of excellence and competence centres;</w:t>
            </w:r>
          </w:p>
          <w:p w:rsidR="004E6F27" w:rsidRPr="005B6074" w:rsidRDefault="00A35E98" w:rsidP="00E41136">
            <w:pPr>
              <w:pStyle w:val="ListParagraph"/>
              <w:numPr>
                <w:ilvl w:val="0"/>
                <w:numId w:val="24"/>
              </w:numPr>
              <w:jc w:val="both"/>
              <w:rPr>
                <w:rStyle w:val="hps"/>
                <w:rFonts w:ascii="Verdana" w:hAnsi="Verdana"/>
                <w:sz w:val="20"/>
                <w:szCs w:val="20"/>
              </w:rPr>
            </w:pPr>
            <w:r w:rsidRPr="005B6074">
              <w:rPr>
                <w:rStyle w:val="hps"/>
                <w:rFonts w:ascii="Verdana" w:hAnsi="Verdana"/>
                <w:i/>
                <w:sz w:val="20"/>
                <w:szCs w:val="20"/>
              </w:rPr>
              <w:t>PhD and post PhD students and researches included in mobility programmes.</w:t>
            </w:r>
          </w:p>
          <w:p w:rsidR="004E6F27" w:rsidRPr="005B6074" w:rsidRDefault="00CF773E" w:rsidP="00E41136">
            <w:pPr>
              <w:jc w:val="both"/>
            </w:pPr>
            <w:r w:rsidRPr="005B6074">
              <w:rPr>
                <w:rFonts w:ascii="Verdana" w:hAnsi="Verdana"/>
                <w:sz w:val="20"/>
                <w:szCs w:val="20"/>
              </w:rPr>
              <w:t>The indicators are relevant</w:t>
            </w:r>
            <w:r w:rsidR="00A35E98" w:rsidRPr="005B6074">
              <w:rPr>
                <w:rFonts w:ascii="Verdana" w:hAnsi="Verdana"/>
                <w:sz w:val="20"/>
                <w:szCs w:val="20"/>
              </w:rPr>
              <w:t>.</w:t>
            </w:r>
          </w:p>
        </w:tc>
      </w:tr>
    </w:tbl>
    <w:p w:rsidR="004E6F27" w:rsidRPr="005B6074" w:rsidRDefault="004E6F27" w:rsidP="004E6F27"/>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PA3. Educational Environment for Active Social Inclusion</w:t>
      </w:r>
    </w:p>
    <w:p w:rsidR="00F24971" w:rsidRPr="005B6074" w:rsidRDefault="00A35E98" w:rsidP="00F24971">
      <w:pPr>
        <w:pStyle w:val="BodyText"/>
        <w:tabs>
          <w:tab w:val="left" w:pos="0"/>
          <w:tab w:val="right" w:pos="9214"/>
        </w:tabs>
        <w:spacing w:before="240" w:line="276" w:lineRule="auto"/>
        <w:jc w:val="both"/>
        <w:rPr>
          <w:rFonts w:ascii="Verdana" w:hAnsi="Verdana"/>
          <w:b/>
          <w:sz w:val="20"/>
          <w:szCs w:val="20"/>
        </w:rPr>
      </w:pPr>
      <w:bookmarkStart w:id="116" w:name="_Toc390257075"/>
      <w:bookmarkStart w:id="117" w:name="_Toc396225614"/>
      <w:r w:rsidRPr="005B6074">
        <w:rPr>
          <w:rFonts w:ascii="Verdana" w:hAnsi="Verdana"/>
          <w:b/>
          <w:color w:val="548DD4"/>
          <w:sz w:val="20"/>
        </w:rPr>
        <w:t xml:space="preserve">Table </w:t>
      </w:r>
      <w:r w:rsidRPr="005B6074">
        <w:rPr>
          <w:rFonts w:ascii="Verdana" w:hAnsi="Verdana"/>
          <w:b/>
          <w:color w:val="548DD4"/>
          <w:sz w:val="20"/>
        </w:rPr>
        <w:fldChar w:fldCharType="begin"/>
      </w:r>
      <w:r w:rsidRPr="005B6074">
        <w:rPr>
          <w:rFonts w:ascii="Verdana" w:hAnsi="Verdana"/>
          <w:b/>
          <w:color w:val="548DD4"/>
          <w:sz w:val="20"/>
        </w:rPr>
        <w:instrText xml:space="preserve"> SEQ таблица \* ARABIC </w:instrText>
      </w:r>
      <w:r w:rsidRPr="005B6074">
        <w:rPr>
          <w:rFonts w:ascii="Verdana" w:hAnsi="Verdana"/>
          <w:b/>
          <w:color w:val="548DD4"/>
          <w:sz w:val="20"/>
        </w:rPr>
        <w:fldChar w:fldCharType="separate"/>
      </w:r>
      <w:r w:rsidR="009330F5">
        <w:rPr>
          <w:rFonts w:ascii="Verdana" w:hAnsi="Verdana"/>
          <w:b/>
          <w:noProof/>
          <w:color w:val="548DD4"/>
          <w:sz w:val="20"/>
        </w:rPr>
        <w:t>19</w:t>
      </w:r>
      <w:r w:rsidRPr="005B6074">
        <w:rPr>
          <w:rFonts w:ascii="Verdana" w:hAnsi="Verdana"/>
          <w:b/>
          <w:color w:val="548DD4"/>
          <w:sz w:val="20"/>
        </w:rPr>
        <w:fldChar w:fldCharType="end"/>
      </w:r>
      <w:r w:rsidRPr="005B6074">
        <w:rPr>
          <w:rFonts w:ascii="Verdana" w:hAnsi="Verdana"/>
          <w:b/>
          <w:color w:val="548DD4"/>
          <w:sz w:val="20"/>
        </w:rPr>
        <w:t>. PA3 - Compliance between Needs, IP, Activities and Indicators</w:t>
      </w:r>
      <w:bookmarkEnd w:id="116"/>
      <w:bookmarkEnd w:id="117"/>
    </w:p>
    <w:tbl>
      <w:tblPr>
        <w:tblW w:w="9090" w:type="dxa"/>
        <w:tblCellSpacing w:w="11" w:type="dxa"/>
        <w:tblInd w:w="130" w:type="dxa"/>
        <w:tblLook w:val="00A0" w:firstRow="1" w:lastRow="0" w:firstColumn="1" w:lastColumn="0" w:noHBand="0" w:noVBand="0"/>
      </w:tblPr>
      <w:tblGrid>
        <w:gridCol w:w="1710"/>
        <w:gridCol w:w="7380"/>
      </w:tblGrid>
      <w:tr w:rsidR="00F24971" w:rsidRPr="004D5FA1" w:rsidTr="00F24971">
        <w:trPr>
          <w:tblCellSpacing w:w="11" w:type="dxa"/>
        </w:trPr>
        <w:tc>
          <w:tcPr>
            <w:tcW w:w="1677" w:type="dxa"/>
            <w:shd w:val="clear" w:color="auto" w:fill="548DD4"/>
          </w:tcPr>
          <w:p w:rsidR="00F24971" w:rsidRPr="004D5FA1" w:rsidRDefault="00A35E98" w:rsidP="004D5FA1">
            <w:pPr>
              <w:rPr>
                <w:rFonts w:ascii="Verdana" w:hAnsi="Verdana"/>
                <w:b/>
                <w:color w:val="FFFFFF" w:themeColor="background1"/>
                <w:sz w:val="20"/>
                <w:szCs w:val="20"/>
              </w:rPr>
            </w:pPr>
            <w:r w:rsidRPr="004D5FA1">
              <w:rPr>
                <w:rFonts w:ascii="Verdana" w:hAnsi="Verdana"/>
                <w:b/>
                <w:color w:val="FFFFFF" w:themeColor="background1"/>
                <w:sz w:val="20"/>
                <w:szCs w:val="20"/>
              </w:rPr>
              <w:t>Link</w:t>
            </w:r>
          </w:p>
        </w:tc>
        <w:tc>
          <w:tcPr>
            <w:tcW w:w="7347" w:type="dxa"/>
            <w:shd w:val="clear" w:color="auto" w:fill="548DD4"/>
          </w:tcPr>
          <w:p w:rsidR="00F24971" w:rsidRPr="004D5FA1" w:rsidRDefault="00A35E98" w:rsidP="004D5FA1">
            <w:pPr>
              <w:rPr>
                <w:rFonts w:ascii="Verdana" w:hAnsi="Verdana"/>
                <w:b/>
                <w:color w:val="FFFFFF" w:themeColor="background1"/>
                <w:sz w:val="20"/>
                <w:szCs w:val="20"/>
              </w:rPr>
            </w:pPr>
            <w:r w:rsidRPr="004D5FA1">
              <w:rPr>
                <w:rFonts w:ascii="Verdana" w:hAnsi="Verdana"/>
                <w:b/>
                <w:color w:val="FFFFFF" w:themeColor="background1"/>
                <w:sz w:val="20"/>
                <w:szCs w:val="20"/>
              </w:rPr>
              <w:t>Comments</w:t>
            </w:r>
          </w:p>
        </w:tc>
      </w:tr>
      <w:tr w:rsidR="00F24971" w:rsidRPr="005B6074" w:rsidTr="00F24971">
        <w:trPr>
          <w:tblCellSpacing w:w="11" w:type="dxa"/>
        </w:trPr>
        <w:tc>
          <w:tcPr>
            <w:tcW w:w="9046" w:type="dxa"/>
            <w:gridSpan w:val="2"/>
            <w:shd w:val="clear" w:color="auto" w:fill="FBD4B4"/>
          </w:tcPr>
          <w:p w:rsidR="00F24971" w:rsidRPr="005B6074" w:rsidRDefault="00A35E98" w:rsidP="00494815">
            <w:pPr>
              <w:spacing w:after="120"/>
              <w:rPr>
                <w:rFonts w:ascii="Verdana" w:hAnsi="Verdana" w:cs="Arial Narrow"/>
                <w:color w:val="000000"/>
                <w:sz w:val="20"/>
                <w:szCs w:val="20"/>
              </w:rPr>
            </w:pPr>
            <w:r w:rsidRPr="00494815">
              <w:rPr>
                <w:rFonts w:ascii="Verdana" w:hAnsi="Verdana"/>
                <w:b/>
                <w:sz w:val="20"/>
                <w:szCs w:val="20"/>
              </w:rPr>
              <w:t>Investment Priority 1.</w:t>
            </w:r>
            <w:r w:rsidRPr="00494815">
              <w:rPr>
                <w:rFonts w:ascii="Verdana" w:hAnsi="Verdana"/>
                <w:sz w:val="20"/>
                <w:szCs w:val="20"/>
              </w:rPr>
              <w:t xml:space="preserve"> </w:t>
            </w:r>
            <w:r w:rsidRPr="00494815">
              <w:rPr>
                <w:rFonts w:ascii="Verdana" w:hAnsi="Verdana"/>
                <w:i/>
                <w:sz w:val="20"/>
                <w:szCs w:val="20"/>
              </w:rPr>
              <w:t>Active inclusion, including with a view to promoting equal opportunities and active participation, and improving employability</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Needs, investment priority and specific objective</w:t>
            </w:r>
            <w:r w:rsidRPr="005B6074">
              <w:rPr>
                <w:rFonts w:ascii="Verdana" w:hAnsi="Verdana"/>
                <w:sz w:val="20"/>
              </w:rPr>
              <w:t xml:space="preserve"> </w:t>
            </w:r>
          </w:p>
        </w:tc>
        <w:tc>
          <w:tcPr>
            <w:tcW w:w="7347" w:type="dxa"/>
            <w:shd w:val="clear" w:color="auto" w:fill="DBE5F1"/>
          </w:tcPr>
          <w:p w:rsidR="00F24971" w:rsidRPr="00494815" w:rsidRDefault="00A35E98" w:rsidP="00494815">
            <w:pPr>
              <w:spacing w:after="120"/>
              <w:jc w:val="both"/>
              <w:rPr>
                <w:rFonts w:ascii="Verdana" w:hAnsi="Verdana"/>
                <w:sz w:val="20"/>
                <w:szCs w:val="20"/>
              </w:rPr>
            </w:pPr>
            <w:r w:rsidRPr="00494815">
              <w:rPr>
                <w:rFonts w:ascii="Verdana" w:hAnsi="Verdana"/>
                <w:sz w:val="20"/>
                <w:szCs w:val="20"/>
              </w:rPr>
              <w:t>The investment priority is laid down in two specific objectives: (1) enhancing the quality and the access to education by creating supporting environment for inclusive education and (2) setting up an educational environment fostering the potential development of each child and pupil for personal development, successful realisation and socialisation.</w:t>
            </w:r>
          </w:p>
          <w:p w:rsidR="00F24971" w:rsidRPr="00494815" w:rsidRDefault="00A35E98" w:rsidP="00494815">
            <w:pPr>
              <w:spacing w:after="120"/>
              <w:jc w:val="both"/>
              <w:rPr>
                <w:rFonts w:ascii="Verdana" w:hAnsi="Verdana"/>
                <w:sz w:val="20"/>
                <w:szCs w:val="20"/>
              </w:rPr>
            </w:pPr>
            <w:r w:rsidRPr="00494815">
              <w:rPr>
                <w:rFonts w:ascii="Verdana" w:hAnsi="Verdana"/>
                <w:sz w:val="20"/>
                <w:szCs w:val="20"/>
              </w:rPr>
              <w:t xml:space="preserve">The two specific objectives address two major problems for inclusive education: inclusive education for children with special educational needs and the system of education that takes account of the individual needs of learners. In this aspect it is recommended that the definition of the first specific objective be reviewed. The current wording of the objective begins by "enhancing the quality and the access to education", which shift the focus off the main problem and leads to </w:t>
            </w:r>
            <w:r w:rsidRPr="00494815">
              <w:rPr>
                <w:rFonts w:ascii="Verdana" w:hAnsi="Verdana"/>
                <w:sz w:val="20"/>
                <w:szCs w:val="20"/>
              </w:rPr>
              <w:lastRenderedPageBreak/>
              <w:t>confusion as the access to and the quality of education are supported by IP1 of PA2.</w:t>
            </w:r>
          </w:p>
          <w:p w:rsidR="00F24971" w:rsidRPr="00494815" w:rsidRDefault="00A35E98" w:rsidP="00494815">
            <w:pPr>
              <w:spacing w:after="120"/>
              <w:jc w:val="both"/>
              <w:rPr>
                <w:rFonts w:ascii="Verdana" w:hAnsi="Verdana"/>
                <w:sz w:val="20"/>
                <w:szCs w:val="20"/>
              </w:rPr>
            </w:pPr>
            <w:r w:rsidRPr="00494815">
              <w:rPr>
                <w:rFonts w:ascii="Verdana" w:hAnsi="Verdana"/>
                <w:sz w:val="20"/>
                <w:szCs w:val="20"/>
              </w:rPr>
              <w:t>The justification of SO1 gives information about what has been achieved thus far in the process of integrated training of children with SEN. The major problems are stated. There is no analysis of students with SEN and of the practices, difficulties and needs with regard to their integration in and access to higher education.</w:t>
            </w:r>
          </w:p>
          <w:p w:rsidR="00F24971" w:rsidRPr="00494815" w:rsidRDefault="00A35E98" w:rsidP="00494815">
            <w:pPr>
              <w:spacing w:after="120"/>
              <w:jc w:val="both"/>
              <w:rPr>
                <w:rFonts w:ascii="Verdana" w:hAnsi="Verdana"/>
                <w:sz w:val="20"/>
                <w:szCs w:val="20"/>
              </w:rPr>
            </w:pPr>
            <w:r w:rsidRPr="00494815">
              <w:rPr>
                <w:rFonts w:ascii="Verdana" w:hAnsi="Verdana"/>
                <w:sz w:val="20"/>
                <w:szCs w:val="20"/>
              </w:rPr>
              <w:t xml:space="preserve">The justification of SO2 is more general, which to a certain extent can be explained by its specifics. Nevertheless, there could be some information about and analysis of the practices to address pupils' individual needs and especially of the experience and the needs to improve all-day organisation of the learning process at school. </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lastRenderedPageBreak/>
              <w:t>Needs and activities planned</w:t>
            </w:r>
          </w:p>
        </w:tc>
        <w:tc>
          <w:tcPr>
            <w:tcW w:w="7347" w:type="dxa"/>
            <w:shd w:val="clear" w:color="auto" w:fill="C6D9F1"/>
          </w:tcPr>
          <w:p w:rsidR="00F24971" w:rsidRPr="00494815" w:rsidRDefault="00A35E98" w:rsidP="00494815">
            <w:pPr>
              <w:spacing w:after="120"/>
              <w:jc w:val="both"/>
              <w:rPr>
                <w:rFonts w:ascii="Verdana" w:hAnsi="Verdana"/>
                <w:sz w:val="20"/>
                <w:szCs w:val="20"/>
              </w:rPr>
            </w:pPr>
            <w:r w:rsidRPr="00494815">
              <w:rPr>
                <w:rFonts w:ascii="Verdana" w:hAnsi="Verdana"/>
                <w:sz w:val="20"/>
                <w:szCs w:val="20"/>
              </w:rPr>
              <w:t xml:space="preserve">A number of activities have been stated most of which </w:t>
            </w:r>
            <w:proofErr w:type="gramStart"/>
            <w:r w:rsidRPr="00494815">
              <w:rPr>
                <w:rFonts w:ascii="Verdana" w:hAnsi="Verdana"/>
                <w:sz w:val="20"/>
                <w:szCs w:val="20"/>
              </w:rPr>
              <w:t>are relevant to the specific objectives</w:t>
            </w:r>
            <w:proofErr w:type="gramEnd"/>
            <w:r w:rsidRPr="00494815">
              <w:rPr>
                <w:rFonts w:ascii="Verdana" w:hAnsi="Verdana"/>
                <w:sz w:val="20"/>
                <w:szCs w:val="20"/>
              </w:rPr>
              <w:t xml:space="preserve"> defined. Some of the activities are not clearly linked to the needs specified in the justification, which requires expanding of the justification. </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Output indicators and activities planned</w:t>
            </w:r>
          </w:p>
        </w:tc>
        <w:tc>
          <w:tcPr>
            <w:tcW w:w="7347" w:type="dxa"/>
            <w:shd w:val="clear" w:color="auto" w:fill="DBE5F1"/>
          </w:tcPr>
          <w:p w:rsidR="00F24971" w:rsidRPr="005B6074" w:rsidRDefault="00A35E98" w:rsidP="00494815">
            <w:pPr>
              <w:spacing w:after="120"/>
              <w:jc w:val="both"/>
              <w:rPr>
                <w:rFonts w:ascii="Verdana" w:hAnsi="Verdana"/>
                <w:sz w:val="20"/>
                <w:szCs w:val="20"/>
              </w:rPr>
            </w:pPr>
            <w:r w:rsidRPr="00494815">
              <w:rPr>
                <w:rFonts w:ascii="Verdana" w:hAnsi="Verdana"/>
                <w:sz w:val="20"/>
                <w:szCs w:val="20"/>
              </w:rPr>
              <w:t>The following output indicators corresponding to the activities set are stated:</w:t>
            </w:r>
          </w:p>
          <w:p w:rsidR="00F24971" w:rsidRPr="00494815" w:rsidRDefault="00A35E98" w:rsidP="00181A22">
            <w:pPr>
              <w:pStyle w:val="ListParagraph"/>
              <w:numPr>
                <w:ilvl w:val="0"/>
                <w:numId w:val="95"/>
              </w:numPr>
              <w:spacing w:after="120"/>
              <w:jc w:val="both"/>
              <w:rPr>
                <w:rFonts w:ascii="Verdana" w:hAnsi="Verdana"/>
                <w:i/>
                <w:sz w:val="20"/>
                <w:szCs w:val="20"/>
              </w:rPr>
            </w:pPr>
            <w:r w:rsidRPr="00494815">
              <w:rPr>
                <w:rFonts w:ascii="Verdana" w:hAnsi="Verdana"/>
                <w:i/>
                <w:sz w:val="20"/>
                <w:szCs w:val="20"/>
              </w:rPr>
              <w:t>Children and pupils with special educational needs covered by the system of education through inclusive training;</w:t>
            </w:r>
          </w:p>
          <w:p w:rsidR="00F24971" w:rsidRPr="00494815" w:rsidRDefault="00A35E98" w:rsidP="00181A22">
            <w:pPr>
              <w:pStyle w:val="ListParagraph"/>
              <w:numPr>
                <w:ilvl w:val="0"/>
                <w:numId w:val="95"/>
              </w:numPr>
              <w:spacing w:after="120"/>
              <w:jc w:val="both"/>
              <w:rPr>
                <w:rFonts w:ascii="Verdana" w:hAnsi="Verdana"/>
                <w:i/>
                <w:sz w:val="20"/>
                <w:szCs w:val="20"/>
              </w:rPr>
            </w:pPr>
            <w:r w:rsidRPr="00494815">
              <w:rPr>
                <w:rFonts w:ascii="Verdana" w:hAnsi="Verdana"/>
                <w:i/>
                <w:sz w:val="20"/>
                <w:szCs w:val="20"/>
              </w:rPr>
              <w:t>Number of educational institutions having ensured supporting environment for inclusive training.</w:t>
            </w:r>
          </w:p>
          <w:p w:rsidR="00F24971" w:rsidRPr="005B6074" w:rsidRDefault="00A35E98" w:rsidP="00494815">
            <w:pPr>
              <w:spacing w:after="120"/>
              <w:jc w:val="both"/>
              <w:rPr>
                <w:rFonts w:ascii="Verdana" w:hAnsi="Verdana"/>
                <w:sz w:val="20"/>
                <w:szCs w:val="20"/>
              </w:rPr>
            </w:pPr>
            <w:r w:rsidRPr="00494815">
              <w:rPr>
                <w:rFonts w:ascii="Verdana" w:hAnsi="Verdana"/>
                <w:sz w:val="20"/>
                <w:szCs w:val="20"/>
              </w:rPr>
              <w:t xml:space="preserve">The first indicator is rather a result indicator and does not substantially differ from the proposed first result indicator. </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Result indicators and specific objectives</w:t>
            </w:r>
          </w:p>
        </w:tc>
        <w:tc>
          <w:tcPr>
            <w:tcW w:w="7347" w:type="dxa"/>
            <w:shd w:val="clear" w:color="auto" w:fill="C6D9F1"/>
          </w:tcPr>
          <w:p w:rsidR="00F24971" w:rsidRPr="005B6074" w:rsidRDefault="00A35E98" w:rsidP="00494815">
            <w:pPr>
              <w:spacing w:after="120"/>
              <w:jc w:val="both"/>
              <w:rPr>
                <w:rFonts w:ascii="Verdana" w:hAnsi="Verdana"/>
                <w:sz w:val="20"/>
                <w:szCs w:val="20"/>
              </w:rPr>
            </w:pPr>
            <w:r w:rsidRPr="00494815">
              <w:rPr>
                <w:rFonts w:ascii="Verdana" w:hAnsi="Verdana"/>
                <w:sz w:val="20"/>
                <w:szCs w:val="20"/>
              </w:rPr>
              <w:t>The following result indicators have been proposed:</w:t>
            </w:r>
          </w:p>
          <w:p w:rsidR="00F24971" w:rsidRPr="00494815" w:rsidRDefault="00A35E98" w:rsidP="00181A22">
            <w:pPr>
              <w:pStyle w:val="ListParagraph"/>
              <w:numPr>
                <w:ilvl w:val="0"/>
                <w:numId w:val="96"/>
              </w:numPr>
              <w:spacing w:after="120"/>
              <w:jc w:val="both"/>
              <w:rPr>
                <w:rFonts w:ascii="Verdana" w:hAnsi="Verdana"/>
                <w:i/>
                <w:sz w:val="20"/>
                <w:szCs w:val="20"/>
              </w:rPr>
            </w:pPr>
            <w:r w:rsidRPr="00494815">
              <w:rPr>
                <w:rFonts w:ascii="Verdana" w:hAnsi="Verdana"/>
                <w:i/>
                <w:sz w:val="20"/>
                <w:szCs w:val="20"/>
              </w:rPr>
              <w:t>At least 25% of all children and pupils with special educational needs in the system of public education are covered by the process of inclusive training]</w:t>
            </w:r>
          </w:p>
          <w:p w:rsidR="00F24971" w:rsidRPr="00494815" w:rsidRDefault="00A35E98" w:rsidP="00181A22">
            <w:pPr>
              <w:pStyle w:val="ListParagraph"/>
              <w:numPr>
                <w:ilvl w:val="0"/>
                <w:numId w:val="96"/>
              </w:numPr>
              <w:spacing w:after="120"/>
              <w:jc w:val="both"/>
              <w:rPr>
                <w:rFonts w:ascii="Verdana" w:hAnsi="Verdana"/>
                <w:i/>
                <w:sz w:val="20"/>
                <w:szCs w:val="20"/>
              </w:rPr>
            </w:pPr>
            <w:r w:rsidRPr="00494815">
              <w:rPr>
                <w:rFonts w:ascii="Verdana" w:hAnsi="Verdana"/>
                <w:i/>
                <w:sz w:val="20"/>
                <w:szCs w:val="20"/>
              </w:rPr>
              <w:t>11% at most of the percentage of school leavers aged 18-24</w:t>
            </w:r>
          </w:p>
          <w:p w:rsidR="00F24971" w:rsidRPr="005B6074" w:rsidRDefault="00A35E98" w:rsidP="00494815">
            <w:pPr>
              <w:spacing w:after="120"/>
              <w:jc w:val="both"/>
              <w:rPr>
                <w:rFonts w:ascii="Verdana" w:hAnsi="Verdana"/>
                <w:sz w:val="20"/>
                <w:szCs w:val="20"/>
              </w:rPr>
            </w:pPr>
            <w:r w:rsidRPr="00494815">
              <w:rPr>
                <w:rFonts w:ascii="Verdana" w:hAnsi="Verdana"/>
                <w:sz w:val="20"/>
                <w:szCs w:val="20"/>
              </w:rPr>
              <w:t>The second indicator is not linked to a specific objective.</w:t>
            </w:r>
          </w:p>
        </w:tc>
      </w:tr>
      <w:tr w:rsidR="00F24971" w:rsidRPr="005B6074" w:rsidTr="00F24971">
        <w:trPr>
          <w:tblCellSpacing w:w="11" w:type="dxa"/>
        </w:trPr>
        <w:tc>
          <w:tcPr>
            <w:tcW w:w="9046" w:type="dxa"/>
            <w:gridSpan w:val="2"/>
            <w:shd w:val="clear" w:color="auto" w:fill="FBD4B4"/>
          </w:tcPr>
          <w:p w:rsidR="00F24971" w:rsidRPr="005B6074" w:rsidRDefault="00A35E98" w:rsidP="00F24971">
            <w:pPr>
              <w:autoSpaceDE w:val="0"/>
              <w:autoSpaceDN w:val="0"/>
              <w:adjustRightInd w:val="0"/>
              <w:spacing w:after="0" w:line="288" w:lineRule="auto"/>
              <w:jc w:val="both"/>
              <w:rPr>
                <w:rFonts w:ascii="Verdana" w:hAnsi="Verdana" w:cs="Arial Narrow"/>
                <w:color w:val="000000"/>
                <w:sz w:val="20"/>
                <w:szCs w:val="20"/>
              </w:rPr>
            </w:pPr>
            <w:r w:rsidRPr="005B6074">
              <w:rPr>
                <w:rFonts w:ascii="Verdana" w:hAnsi="Verdana"/>
                <w:b/>
                <w:sz w:val="20"/>
              </w:rPr>
              <w:t>Investment Priority 2</w:t>
            </w:r>
            <w:r w:rsidRPr="005B6074">
              <w:rPr>
                <w:rFonts w:ascii="Verdana" w:hAnsi="Verdana"/>
                <w:sz w:val="20"/>
              </w:rPr>
              <w:t xml:space="preserve">. </w:t>
            </w:r>
            <w:r w:rsidRPr="005B6074">
              <w:rPr>
                <w:rFonts w:ascii="Verdana" w:hAnsi="Verdana"/>
                <w:i/>
                <w:color w:val="000000"/>
                <w:sz w:val="20"/>
              </w:rPr>
              <w:t>Socio-economic integration of marginalised communities such as the Roma</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 xml:space="preserve">Needs, investment priority and specific objective </w:t>
            </w:r>
          </w:p>
        </w:tc>
        <w:tc>
          <w:tcPr>
            <w:tcW w:w="7347" w:type="dxa"/>
            <w:shd w:val="clear" w:color="auto" w:fill="DBE5F1"/>
          </w:tcPr>
          <w:p w:rsidR="00F24971" w:rsidRPr="005B6074" w:rsidRDefault="00A35E98" w:rsidP="00494815">
            <w:pPr>
              <w:spacing w:after="120"/>
              <w:jc w:val="both"/>
              <w:rPr>
                <w:rFonts w:ascii="Verdana" w:hAnsi="Verdana"/>
                <w:sz w:val="20"/>
                <w:szCs w:val="20"/>
              </w:rPr>
            </w:pPr>
            <w:r w:rsidRPr="00494815">
              <w:rPr>
                <w:rFonts w:ascii="Verdana" w:hAnsi="Verdana"/>
                <w:sz w:val="20"/>
                <w:szCs w:val="20"/>
              </w:rPr>
              <w:t>The investment priority is laid down in one specific objective: integration of ethnic minorities into the system of education.</w:t>
            </w:r>
          </w:p>
          <w:p w:rsidR="00F24971" w:rsidRPr="005B6074" w:rsidRDefault="00A35E98" w:rsidP="00494815">
            <w:pPr>
              <w:spacing w:after="120"/>
              <w:jc w:val="both"/>
              <w:rPr>
                <w:rFonts w:ascii="Verdana" w:hAnsi="Verdana"/>
                <w:sz w:val="20"/>
                <w:szCs w:val="20"/>
              </w:rPr>
            </w:pPr>
            <w:r w:rsidRPr="00494815">
              <w:rPr>
                <w:rFonts w:ascii="Verdana" w:hAnsi="Verdana"/>
                <w:sz w:val="20"/>
                <w:szCs w:val="20"/>
              </w:rPr>
              <w:t xml:space="preserve">The justification of the specific objective points to the major problems but is not exhaustive with regard to the delivery of specific information about segregation in education, the percentage of children from Roma descent who do not go to kindergarten or school, as well the description of changes over the years, the trends and the difficulties in integrating children so as to outline the appropriate measures to address those </w:t>
            </w:r>
            <w:r w:rsidRPr="00494815">
              <w:rPr>
                <w:rFonts w:ascii="Verdana" w:hAnsi="Verdana"/>
                <w:sz w:val="20"/>
                <w:szCs w:val="20"/>
              </w:rPr>
              <w:lastRenderedPageBreak/>
              <w:t>difficulties. No possible integrated support jointly with OPHRD 2014–2020 is mentioned. It was mentioned at the meeting between the focus group and the thematic working group for Programme preparation that it would be good for the priority to be open to children of refugees and foreign citizens. Complementing of the analyses is possible in this respect.</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lastRenderedPageBreak/>
              <w:t>Needs and activities planned</w:t>
            </w:r>
          </w:p>
        </w:tc>
        <w:tc>
          <w:tcPr>
            <w:tcW w:w="7347" w:type="dxa"/>
            <w:shd w:val="clear" w:color="auto" w:fill="C6D9F1"/>
          </w:tcPr>
          <w:p w:rsidR="00F24971" w:rsidRPr="005B6074" w:rsidRDefault="00A35E98" w:rsidP="00494815">
            <w:pPr>
              <w:spacing w:after="120"/>
              <w:jc w:val="both"/>
              <w:rPr>
                <w:rFonts w:ascii="Verdana" w:hAnsi="Verdana"/>
                <w:sz w:val="20"/>
                <w:szCs w:val="20"/>
              </w:rPr>
            </w:pPr>
            <w:r w:rsidRPr="00494815">
              <w:rPr>
                <w:rFonts w:ascii="Verdana" w:hAnsi="Verdana"/>
                <w:sz w:val="20"/>
                <w:szCs w:val="20"/>
              </w:rPr>
              <w:t>Most of the activities planned meet the requirements of the specific objective set. The table below presents some specific notes by activity.</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Output indicators and activities planned</w:t>
            </w:r>
          </w:p>
        </w:tc>
        <w:tc>
          <w:tcPr>
            <w:tcW w:w="7347" w:type="dxa"/>
            <w:shd w:val="clear" w:color="auto" w:fill="DBE5F1"/>
          </w:tcPr>
          <w:p w:rsidR="00F24971" w:rsidRPr="005B6074" w:rsidRDefault="00A35E98" w:rsidP="00494815">
            <w:pPr>
              <w:spacing w:after="120"/>
              <w:jc w:val="both"/>
              <w:rPr>
                <w:rFonts w:ascii="Verdana" w:hAnsi="Verdana"/>
                <w:sz w:val="20"/>
                <w:szCs w:val="20"/>
              </w:rPr>
            </w:pPr>
            <w:r w:rsidRPr="00494815">
              <w:rPr>
                <w:rFonts w:ascii="Verdana" w:hAnsi="Verdana"/>
                <w:sz w:val="20"/>
                <w:szCs w:val="20"/>
              </w:rPr>
              <w:t>One output indicator has been planned:</w:t>
            </w:r>
          </w:p>
          <w:p w:rsidR="00F24971" w:rsidRPr="00494815" w:rsidRDefault="00A35E98" w:rsidP="00181A22">
            <w:pPr>
              <w:pStyle w:val="ListParagraph"/>
              <w:numPr>
                <w:ilvl w:val="0"/>
                <w:numId w:val="97"/>
              </w:numPr>
              <w:spacing w:after="120"/>
              <w:jc w:val="both"/>
              <w:rPr>
                <w:rFonts w:ascii="Verdana" w:hAnsi="Verdana"/>
                <w:i/>
                <w:sz w:val="20"/>
                <w:szCs w:val="20"/>
              </w:rPr>
            </w:pPr>
            <w:r w:rsidRPr="00494815">
              <w:rPr>
                <w:rFonts w:ascii="Verdana" w:hAnsi="Verdana"/>
                <w:i/>
                <w:sz w:val="20"/>
                <w:szCs w:val="20"/>
              </w:rPr>
              <w:t>Number of children, pupils, young people from Roma descent covered by educational integration and reintegration measures</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Result indicators and specific objectives</w:t>
            </w:r>
          </w:p>
        </w:tc>
        <w:tc>
          <w:tcPr>
            <w:tcW w:w="7347" w:type="dxa"/>
            <w:shd w:val="clear" w:color="auto" w:fill="C6D9F1"/>
          </w:tcPr>
          <w:p w:rsidR="00F24971" w:rsidRPr="005B6074" w:rsidRDefault="00A35E98" w:rsidP="00494815">
            <w:pPr>
              <w:spacing w:after="120"/>
              <w:jc w:val="both"/>
              <w:rPr>
                <w:rFonts w:ascii="Verdana" w:hAnsi="Verdana"/>
                <w:sz w:val="20"/>
                <w:szCs w:val="20"/>
              </w:rPr>
            </w:pPr>
            <w:r w:rsidRPr="00494815">
              <w:rPr>
                <w:rFonts w:ascii="Verdana" w:hAnsi="Verdana"/>
                <w:sz w:val="20"/>
                <w:szCs w:val="20"/>
              </w:rPr>
              <w:t>One result indicator has been laid down:</w:t>
            </w:r>
          </w:p>
          <w:p w:rsidR="00F24971" w:rsidRPr="00494815" w:rsidRDefault="00A35E98" w:rsidP="00181A22">
            <w:pPr>
              <w:pStyle w:val="ListParagraph"/>
              <w:numPr>
                <w:ilvl w:val="0"/>
                <w:numId w:val="97"/>
              </w:numPr>
              <w:spacing w:after="120"/>
              <w:jc w:val="both"/>
              <w:rPr>
                <w:rFonts w:ascii="Verdana" w:hAnsi="Verdana"/>
                <w:i/>
                <w:sz w:val="20"/>
                <w:szCs w:val="20"/>
              </w:rPr>
            </w:pPr>
            <w:r w:rsidRPr="00494815">
              <w:rPr>
                <w:rFonts w:ascii="Verdana" w:hAnsi="Verdana"/>
                <w:i/>
                <w:sz w:val="20"/>
                <w:szCs w:val="20"/>
              </w:rPr>
              <w:t>Number of persons participating in measures aimed at prevention of early drop-outs</w:t>
            </w:r>
          </w:p>
          <w:p w:rsidR="00F24971" w:rsidRPr="005B6074" w:rsidRDefault="00A35E98" w:rsidP="00494815">
            <w:pPr>
              <w:spacing w:after="120"/>
              <w:jc w:val="both"/>
              <w:rPr>
                <w:rFonts w:ascii="Verdana" w:hAnsi="Verdana"/>
                <w:sz w:val="20"/>
                <w:szCs w:val="20"/>
              </w:rPr>
            </w:pPr>
            <w:r w:rsidRPr="00494815">
              <w:rPr>
                <w:rFonts w:ascii="Verdana" w:hAnsi="Verdana"/>
                <w:sz w:val="20"/>
                <w:szCs w:val="20"/>
              </w:rPr>
              <w:t>This indicator is similar to the output indicator proposed.</w:t>
            </w:r>
          </w:p>
        </w:tc>
      </w:tr>
    </w:tbl>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PA4. Technical Assistance</w:t>
      </w:r>
    </w:p>
    <w:p w:rsidR="00F24971" w:rsidRPr="005B6074" w:rsidRDefault="00A35E98" w:rsidP="00F24971">
      <w:pPr>
        <w:pStyle w:val="BodyText"/>
        <w:tabs>
          <w:tab w:val="left" w:pos="0"/>
          <w:tab w:val="right" w:pos="9214"/>
        </w:tabs>
        <w:spacing w:before="240" w:line="276" w:lineRule="auto"/>
        <w:jc w:val="both"/>
        <w:rPr>
          <w:rFonts w:ascii="Verdana" w:hAnsi="Verdana"/>
          <w:b/>
          <w:sz w:val="20"/>
          <w:szCs w:val="20"/>
        </w:rPr>
      </w:pPr>
      <w:bookmarkStart w:id="118" w:name="_Toc390257076"/>
      <w:bookmarkStart w:id="119" w:name="_Toc396225615"/>
      <w:r w:rsidRPr="005B6074">
        <w:rPr>
          <w:rFonts w:ascii="Verdana" w:hAnsi="Verdana"/>
          <w:b/>
          <w:color w:val="548DD4"/>
          <w:sz w:val="20"/>
        </w:rPr>
        <w:t xml:space="preserve">Table </w:t>
      </w:r>
      <w:r w:rsidRPr="005B6074">
        <w:rPr>
          <w:rFonts w:ascii="Verdana" w:hAnsi="Verdana"/>
          <w:b/>
          <w:color w:val="548DD4"/>
          <w:sz w:val="20"/>
        </w:rPr>
        <w:fldChar w:fldCharType="begin"/>
      </w:r>
      <w:r w:rsidRPr="005B6074">
        <w:rPr>
          <w:rFonts w:ascii="Verdana" w:hAnsi="Verdana"/>
          <w:b/>
          <w:color w:val="548DD4"/>
          <w:sz w:val="20"/>
        </w:rPr>
        <w:instrText xml:space="preserve"> SEQ таблица \* ARABIC </w:instrText>
      </w:r>
      <w:r w:rsidRPr="005B6074">
        <w:rPr>
          <w:rFonts w:ascii="Verdana" w:hAnsi="Verdana"/>
          <w:b/>
          <w:color w:val="548DD4"/>
          <w:sz w:val="20"/>
        </w:rPr>
        <w:fldChar w:fldCharType="separate"/>
      </w:r>
      <w:r w:rsidR="009330F5">
        <w:rPr>
          <w:rFonts w:ascii="Verdana" w:hAnsi="Verdana"/>
          <w:b/>
          <w:noProof/>
          <w:color w:val="548DD4"/>
          <w:sz w:val="20"/>
        </w:rPr>
        <w:t>20</w:t>
      </w:r>
      <w:r w:rsidRPr="005B6074">
        <w:rPr>
          <w:rFonts w:ascii="Verdana" w:hAnsi="Verdana"/>
          <w:b/>
          <w:color w:val="548DD4"/>
          <w:sz w:val="20"/>
        </w:rPr>
        <w:fldChar w:fldCharType="end"/>
      </w:r>
      <w:r w:rsidRPr="005B6074">
        <w:rPr>
          <w:rFonts w:ascii="Verdana" w:hAnsi="Verdana"/>
          <w:b/>
          <w:color w:val="548DD4"/>
          <w:sz w:val="20"/>
        </w:rPr>
        <w:t>. PA4 - Compliance between Needs, IP, Activities and Indicators</w:t>
      </w:r>
      <w:bookmarkEnd w:id="118"/>
      <w:bookmarkEnd w:id="119"/>
    </w:p>
    <w:tbl>
      <w:tblPr>
        <w:tblW w:w="9072" w:type="dxa"/>
        <w:tblCellSpacing w:w="11" w:type="dxa"/>
        <w:tblInd w:w="130" w:type="dxa"/>
        <w:tblLook w:val="00A0" w:firstRow="1" w:lastRow="0" w:firstColumn="1" w:lastColumn="0" w:noHBand="0" w:noVBand="0"/>
      </w:tblPr>
      <w:tblGrid>
        <w:gridCol w:w="1710"/>
        <w:gridCol w:w="7362"/>
      </w:tblGrid>
      <w:tr w:rsidR="00F24971" w:rsidRPr="00494815" w:rsidTr="00F24971">
        <w:trPr>
          <w:tblCellSpacing w:w="11" w:type="dxa"/>
        </w:trPr>
        <w:tc>
          <w:tcPr>
            <w:tcW w:w="1677" w:type="dxa"/>
            <w:shd w:val="clear" w:color="auto" w:fill="548DD4"/>
          </w:tcPr>
          <w:p w:rsidR="00F24971" w:rsidRPr="00494815" w:rsidRDefault="00A35E98" w:rsidP="00494815">
            <w:pPr>
              <w:rPr>
                <w:rFonts w:ascii="Verdana" w:hAnsi="Verdana"/>
                <w:b/>
                <w:color w:val="FFFFFF" w:themeColor="background1"/>
                <w:sz w:val="20"/>
                <w:szCs w:val="20"/>
              </w:rPr>
            </w:pPr>
            <w:r w:rsidRPr="00494815">
              <w:rPr>
                <w:rFonts w:ascii="Verdana" w:hAnsi="Verdana"/>
                <w:b/>
                <w:color w:val="FFFFFF" w:themeColor="background1"/>
                <w:sz w:val="20"/>
                <w:szCs w:val="20"/>
              </w:rPr>
              <w:t>Link</w:t>
            </w:r>
          </w:p>
        </w:tc>
        <w:tc>
          <w:tcPr>
            <w:tcW w:w="7329" w:type="dxa"/>
            <w:shd w:val="clear" w:color="auto" w:fill="548DD4"/>
          </w:tcPr>
          <w:p w:rsidR="00F24971" w:rsidRPr="00494815" w:rsidRDefault="00A35E98" w:rsidP="00494815">
            <w:pPr>
              <w:rPr>
                <w:rFonts w:ascii="Verdana" w:hAnsi="Verdana"/>
                <w:b/>
                <w:color w:val="FFFFFF" w:themeColor="background1"/>
                <w:sz w:val="20"/>
                <w:szCs w:val="20"/>
              </w:rPr>
            </w:pPr>
            <w:r w:rsidRPr="00494815">
              <w:rPr>
                <w:rFonts w:ascii="Verdana" w:hAnsi="Verdana"/>
                <w:b/>
                <w:color w:val="FFFFFF" w:themeColor="background1"/>
                <w:sz w:val="20"/>
                <w:szCs w:val="20"/>
              </w:rPr>
              <w:t>Comments</w:t>
            </w:r>
          </w:p>
        </w:tc>
      </w:tr>
      <w:tr w:rsidR="00F24971" w:rsidRPr="005B6074" w:rsidTr="00F24971">
        <w:trPr>
          <w:tblCellSpacing w:w="11" w:type="dxa"/>
        </w:trPr>
        <w:tc>
          <w:tcPr>
            <w:tcW w:w="9028" w:type="dxa"/>
            <w:gridSpan w:val="2"/>
            <w:shd w:val="clear" w:color="auto" w:fill="FBD4B4"/>
          </w:tcPr>
          <w:p w:rsidR="00F24971" w:rsidRPr="005B6074" w:rsidRDefault="00A35E98" w:rsidP="00494815">
            <w:pPr>
              <w:autoSpaceDE w:val="0"/>
              <w:autoSpaceDN w:val="0"/>
              <w:adjustRightInd w:val="0"/>
              <w:spacing w:after="0" w:line="288" w:lineRule="auto"/>
              <w:jc w:val="both"/>
              <w:rPr>
                <w:rFonts w:ascii="Verdana" w:hAnsi="Verdana"/>
                <w:sz w:val="20"/>
                <w:szCs w:val="20"/>
              </w:rPr>
            </w:pPr>
            <w:r w:rsidRPr="005B6074">
              <w:rPr>
                <w:rFonts w:ascii="Verdana" w:hAnsi="Verdana"/>
                <w:b/>
                <w:sz w:val="20"/>
              </w:rPr>
              <w:t>Specific Objective 1</w:t>
            </w:r>
            <w:r w:rsidRPr="00494815">
              <w:rPr>
                <w:rFonts w:ascii="Verdana" w:hAnsi="Verdana"/>
                <w:b/>
                <w:sz w:val="20"/>
              </w:rPr>
              <w:t xml:space="preserve">. </w:t>
            </w:r>
            <w:r w:rsidRPr="00494815">
              <w:rPr>
                <w:rFonts w:ascii="Verdana" w:hAnsi="Verdana"/>
                <w:i/>
                <w:sz w:val="20"/>
              </w:rPr>
              <w:t>Strengthening and enhancing of Managing Authority and the beneficiaries of the Operational Programme</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 xml:space="preserve">Needs, investment priority and specific objective </w:t>
            </w:r>
          </w:p>
        </w:tc>
        <w:tc>
          <w:tcPr>
            <w:tcW w:w="7329" w:type="dxa"/>
            <w:shd w:val="clear" w:color="auto" w:fill="DBE5F1"/>
          </w:tcPr>
          <w:p w:rsidR="00F24971" w:rsidRPr="005B6074" w:rsidRDefault="00A35E98" w:rsidP="00494815">
            <w:pPr>
              <w:spacing w:after="120"/>
              <w:rPr>
                <w:rFonts w:ascii="Verdana" w:hAnsi="Verdana"/>
                <w:sz w:val="20"/>
                <w:szCs w:val="20"/>
              </w:rPr>
            </w:pPr>
            <w:r w:rsidRPr="00494815">
              <w:rPr>
                <w:rFonts w:ascii="Verdana" w:hAnsi="Verdana"/>
                <w:sz w:val="20"/>
                <w:szCs w:val="20"/>
              </w:rPr>
              <w:t>The needs analysis outlines the main needs and the state of the art. Some information may be added about the equipment and current needs such as premises, offices, archive, computers, as well as concerning the experts – if new appointments are planned and need for training them.</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Needs and activities planned</w:t>
            </w:r>
          </w:p>
        </w:tc>
        <w:tc>
          <w:tcPr>
            <w:tcW w:w="7329" w:type="dxa"/>
            <w:shd w:val="clear" w:color="auto" w:fill="C6D9F1"/>
          </w:tcPr>
          <w:p w:rsidR="00F24971" w:rsidRPr="005B6074" w:rsidRDefault="00A35E98" w:rsidP="00494815">
            <w:pPr>
              <w:spacing w:after="120"/>
              <w:rPr>
                <w:rFonts w:ascii="Verdana" w:hAnsi="Verdana"/>
                <w:sz w:val="20"/>
                <w:szCs w:val="20"/>
              </w:rPr>
            </w:pPr>
            <w:r w:rsidRPr="00494815">
              <w:rPr>
                <w:rFonts w:ascii="Verdana" w:hAnsi="Verdana"/>
                <w:sz w:val="20"/>
                <w:szCs w:val="20"/>
              </w:rPr>
              <w:t>The activities generally address the needs. Some of them need to be defined more precisely. The table below presents some notes.</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t>Output indicators and activities planned</w:t>
            </w:r>
          </w:p>
        </w:tc>
        <w:tc>
          <w:tcPr>
            <w:tcW w:w="7329" w:type="dxa"/>
            <w:shd w:val="clear" w:color="auto" w:fill="DBE5F1"/>
          </w:tcPr>
          <w:p w:rsidR="00F24971" w:rsidRPr="00494815" w:rsidRDefault="00A35E98" w:rsidP="00494815">
            <w:pPr>
              <w:spacing w:after="120"/>
              <w:rPr>
                <w:rFonts w:ascii="Verdana" w:hAnsi="Verdana"/>
                <w:sz w:val="20"/>
                <w:szCs w:val="20"/>
              </w:rPr>
            </w:pPr>
            <w:r w:rsidRPr="00494815">
              <w:rPr>
                <w:rFonts w:ascii="Verdana" w:hAnsi="Verdana"/>
                <w:sz w:val="20"/>
                <w:szCs w:val="20"/>
              </w:rPr>
              <w:t>The following output indicators have been envisaged:</w:t>
            </w:r>
          </w:p>
          <w:p w:rsidR="00F24971" w:rsidRPr="00494815" w:rsidRDefault="00A35E98" w:rsidP="00181A22">
            <w:pPr>
              <w:pStyle w:val="ListParagraph"/>
              <w:numPr>
                <w:ilvl w:val="0"/>
                <w:numId w:val="97"/>
              </w:numPr>
              <w:spacing w:after="120"/>
              <w:rPr>
                <w:rFonts w:ascii="Verdana" w:hAnsi="Verdana"/>
                <w:i/>
                <w:sz w:val="20"/>
                <w:szCs w:val="20"/>
              </w:rPr>
            </w:pPr>
            <w:r w:rsidRPr="00494815">
              <w:rPr>
                <w:rFonts w:ascii="Verdana" w:hAnsi="Verdana"/>
                <w:i/>
                <w:sz w:val="20"/>
                <w:szCs w:val="20"/>
              </w:rPr>
              <w:t>MA staff trained;</w:t>
            </w:r>
          </w:p>
          <w:p w:rsidR="00F24971" w:rsidRPr="00494815" w:rsidRDefault="00A35E98" w:rsidP="00181A22">
            <w:pPr>
              <w:pStyle w:val="ListParagraph"/>
              <w:numPr>
                <w:ilvl w:val="0"/>
                <w:numId w:val="97"/>
              </w:numPr>
              <w:spacing w:after="120"/>
              <w:rPr>
                <w:rFonts w:ascii="Verdana" w:hAnsi="Verdana"/>
                <w:i/>
                <w:sz w:val="20"/>
                <w:szCs w:val="20"/>
              </w:rPr>
            </w:pPr>
            <w:r w:rsidRPr="00494815">
              <w:rPr>
                <w:rFonts w:ascii="Verdana" w:hAnsi="Verdana"/>
                <w:i/>
                <w:sz w:val="20"/>
                <w:szCs w:val="20"/>
              </w:rPr>
              <w:t>OP evaluations made;</w:t>
            </w:r>
          </w:p>
          <w:p w:rsidR="00F24971" w:rsidRPr="00494815" w:rsidRDefault="00A35E98" w:rsidP="00181A22">
            <w:pPr>
              <w:pStyle w:val="ListParagraph"/>
              <w:numPr>
                <w:ilvl w:val="0"/>
                <w:numId w:val="97"/>
              </w:numPr>
              <w:spacing w:after="120"/>
              <w:rPr>
                <w:rFonts w:ascii="Verdana" w:hAnsi="Verdana"/>
                <w:i/>
                <w:sz w:val="20"/>
                <w:szCs w:val="20"/>
              </w:rPr>
            </w:pPr>
            <w:r w:rsidRPr="00494815">
              <w:rPr>
                <w:rFonts w:ascii="Verdana" w:hAnsi="Verdana"/>
                <w:i/>
                <w:sz w:val="20"/>
                <w:szCs w:val="20"/>
              </w:rPr>
              <w:t>Information events;</w:t>
            </w:r>
          </w:p>
          <w:p w:rsidR="00F24971" w:rsidRPr="00494815" w:rsidRDefault="00A35E98" w:rsidP="00181A22">
            <w:pPr>
              <w:pStyle w:val="ListParagraph"/>
              <w:numPr>
                <w:ilvl w:val="0"/>
                <w:numId w:val="97"/>
              </w:numPr>
              <w:spacing w:after="120"/>
              <w:rPr>
                <w:rFonts w:ascii="Verdana" w:hAnsi="Verdana"/>
                <w:i/>
                <w:sz w:val="20"/>
                <w:szCs w:val="20"/>
              </w:rPr>
            </w:pPr>
            <w:r w:rsidRPr="00494815">
              <w:rPr>
                <w:rFonts w:ascii="Verdana" w:hAnsi="Verdana"/>
                <w:i/>
                <w:sz w:val="20"/>
                <w:szCs w:val="20"/>
              </w:rPr>
              <w:t>Beneficiaries supported.</w:t>
            </w:r>
          </w:p>
          <w:p w:rsidR="00F24971" w:rsidRPr="005B6074" w:rsidRDefault="00A35E98" w:rsidP="00494815">
            <w:pPr>
              <w:spacing w:after="120"/>
              <w:rPr>
                <w:rFonts w:ascii="Verdana" w:hAnsi="Verdana"/>
                <w:sz w:val="20"/>
                <w:szCs w:val="20"/>
              </w:rPr>
            </w:pPr>
            <w:r w:rsidRPr="00494815">
              <w:rPr>
                <w:rFonts w:ascii="Verdana" w:hAnsi="Verdana"/>
                <w:sz w:val="20"/>
                <w:szCs w:val="20"/>
              </w:rPr>
              <w:t>The output indicators proposed are adequate to the activities planned.</w:t>
            </w:r>
          </w:p>
        </w:tc>
      </w:tr>
      <w:tr w:rsidR="00F24971" w:rsidRPr="005B6074" w:rsidTr="00F24971">
        <w:trPr>
          <w:tblCellSpacing w:w="11" w:type="dxa"/>
        </w:trPr>
        <w:tc>
          <w:tcPr>
            <w:tcW w:w="1677" w:type="dxa"/>
            <w:shd w:val="clear" w:color="auto" w:fill="FDE9D9"/>
          </w:tcPr>
          <w:p w:rsidR="00F24971" w:rsidRPr="005B6074" w:rsidRDefault="00A35E98" w:rsidP="00FA49EF">
            <w:pPr>
              <w:spacing w:after="120"/>
              <w:rPr>
                <w:rFonts w:ascii="Verdana" w:hAnsi="Verdana"/>
                <w:sz w:val="20"/>
                <w:szCs w:val="20"/>
              </w:rPr>
            </w:pPr>
            <w:r w:rsidRPr="00FA49EF">
              <w:rPr>
                <w:rFonts w:ascii="Verdana" w:hAnsi="Verdana"/>
                <w:sz w:val="20"/>
                <w:szCs w:val="20"/>
              </w:rPr>
              <w:lastRenderedPageBreak/>
              <w:t>Result indicators and specific objectives</w:t>
            </w:r>
          </w:p>
        </w:tc>
        <w:tc>
          <w:tcPr>
            <w:tcW w:w="7329" w:type="dxa"/>
            <w:shd w:val="clear" w:color="auto" w:fill="C6D9F1"/>
          </w:tcPr>
          <w:p w:rsidR="00F24971" w:rsidRPr="005B6074" w:rsidRDefault="00A35E98" w:rsidP="00494815">
            <w:pPr>
              <w:spacing w:after="120"/>
              <w:rPr>
                <w:rFonts w:ascii="Verdana" w:hAnsi="Verdana"/>
                <w:sz w:val="20"/>
                <w:szCs w:val="20"/>
              </w:rPr>
            </w:pPr>
            <w:r w:rsidRPr="00494815">
              <w:rPr>
                <w:rFonts w:ascii="Verdana" w:hAnsi="Verdana"/>
                <w:sz w:val="20"/>
                <w:szCs w:val="20"/>
              </w:rPr>
              <w:t>The version of the Operational Programme of May 2014 does not include result indicators.</w:t>
            </w:r>
          </w:p>
        </w:tc>
      </w:tr>
    </w:tbl>
    <w:p w:rsidR="00F24971" w:rsidRPr="005B6074" w:rsidRDefault="00F24971" w:rsidP="00F24971"/>
    <w:p w:rsidR="00F24971" w:rsidRPr="005B6074" w:rsidRDefault="00F24971" w:rsidP="00F24971"/>
    <w:tbl>
      <w:tblPr>
        <w:tblW w:w="9090" w:type="dxa"/>
        <w:tblInd w:w="108" w:type="dxa"/>
        <w:tblBorders>
          <w:top w:val="single" w:sz="4" w:space="0" w:color="auto"/>
          <w:bottom w:val="single" w:sz="4" w:space="0" w:color="auto"/>
        </w:tblBorders>
        <w:tblLook w:val="04A0" w:firstRow="1" w:lastRow="0" w:firstColumn="1" w:lastColumn="0" w:noHBand="0" w:noVBand="1"/>
      </w:tblPr>
      <w:tblGrid>
        <w:gridCol w:w="540"/>
        <w:gridCol w:w="8550"/>
      </w:tblGrid>
      <w:tr w:rsidR="00F24971" w:rsidRPr="005B6074" w:rsidTr="00F24971">
        <w:tc>
          <w:tcPr>
            <w:tcW w:w="540" w:type="dxa"/>
            <w:vAlign w:val="center"/>
          </w:tcPr>
          <w:p w:rsidR="00F24971" w:rsidRPr="005B6074" w:rsidRDefault="00A35E98" w:rsidP="00F24971">
            <w:pPr>
              <w:pStyle w:val="BodyText"/>
              <w:spacing w:after="0" w:line="276" w:lineRule="auto"/>
              <w:jc w:val="center"/>
              <w:rPr>
                <w:rFonts w:ascii="Verdana" w:hAnsi="Verdana"/>
                <w:color w:val="548DD4"/>
                <w:sz w:val="36"/>
                <w:szCs w:val="36"/>
              </w:rPr>
            </w:pPr>
            <w:r w:rsidRPr="005B6074">
              <w:rPr>
                <w:rFonts w:ascii="Verdana" w:hAnsi="Verdana"/>
                <w:color w:val="548DD4"/>
                <w:sz w:val="36"/>
              </w:rPr>
              <w:t>?</w:t>
            </w:r>
          </w:p>
        </w:tc>
        <w:tc>
          <w:tcPr>
            <w:tcW w:w="8550" w:type="dxa"/>
            <w:shd w:val="clear" w:color="auto" w:fill="B8CCE4"/>
          </w:tcPr>
          <w:p w:rsidR="00F24971" w:rsidRPr="005B6074" w:rsidRDefault="00A35E98" w:rsidP="00F24971">
            <w:pPr>
              <w:autoSpaceDE w:val="0"/>
              <w:autoSpaceDN w:val="0"/>
              <w:adjustRightInd w:val="0"/>
              <w:spacing w:before="120" w:after="120" w:line="240" w:lineRule="auto"/>
              <w:ind w:left="115"/>
              <w:rPr>
                <w:rFonts w:ascii="Verdana" w:hAnsi="Verdana"/>
                <w:sz w:val="20"/>
                <w:szCs w:val="20"/>
              </w:rPr>
            </w:pPr>
            <w:r w:rsidRPr="005B6074">
              <w:rPr>
                <w:rFonts w:ascii="Verdana" w:hAnsi="Verdana"/>
                <w:sz w:val="20"/>
              </w:rPr>
              <w:t>Adequacy of the measures set forth in the Programme and the degree to which they will contribute to achieving its objectives</w:t>
            </w:r>
          </w:p>
        </w:tc>
      </w:tr>
    </w:tbl>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t>PA1. Scientific Research and Technological Development</w:t>
      </w:r>
    </w:p>
    <w:p w:rsidR="00F24971" w:rsidRPr="005B6074" w:rsidRDefault="00A35E98" w:rsidP="00F24971">
      <w:pPr>
        <w:pStyle w:val="BodyText"/>
        <w:keepNext/>
        <w:tabs>
          <w:tab w:val="left" w:pos="0"/>
          <w:tab w:val="right" w:pos="9214"/>
        </w:tabs>
        <w:spacing w:before="240" w:line="276" w:lineRule="auto"/>
        <w:jc w:val="both"/>
        <w:rPr>
          <w:rFonts w:ascii="Verdana" w:hAnsi="Verdana"/>
          <w:sz w:val="20"/>
          <w:szCs w:val="20"/>
        </w:rPr>
      </w:pPr>
      <w:bookmarkStart w:id="120" w:name="_Toc373747259"/>
      <w:bookmarkStart w:id="121" w:name="_Toc379364673"/>
      <w:bookmarkStart w:id="122" w:name="_Toc390257077"/>
      <w:bookmarkStart w:id="123" w:name="_Toc396225616"/>
      <w:r w:rsidRPr="005B6074">
        <w:rPr>
          <w:rFonts w:ascii="Verdana" w:hAnsi="Verdana"/>
          <w:b/>
          <w:color w:val="548DD4"/>
          <w:sz w:val="20"/>
        </w:rPr>
        <w:t xml:space="preserve">Table </w:t>
      </w:r>
      <w:r w:rsidRPr="005B6074">
        <w:rPr>
          <w:rFonts w:ascii="Verdana" w:hAnsi="Verdana"/>
          <w:b/>
          <w:color w:val="548DD4"/>
          <w:sz w:val="20"/>
        </w:rPr>
        <w:fldChar w:fldCharType="begin"/>
      </w:r>
      <w:r w:rsidRPr="005B6074">
        <w:rPr>
          <w:rFonts w:ascii="Verdana" w:hAnsi="Verdana"/>
          <w:b/>
          <w:color w:val="548DD4"/>
          <w:sz w:val="20"/>
        </w:rPr>
        <w:instrText xml:space="preserve"> SEQ таблица \* ARABIC </w:instrText>
      </w:r>
      <w:r w:rsidRPr="005B6074">
        <w:rPr>
          <w:rFonts w:ascii="Verdana" w:hAnsi="Verdana"/>
          <w:b/>
          <w:color w:val="548DD4"/>
          <w:sz w:val="20"/>
        </w:rPr>
        <w:fldChar w:fldCharType="separate"/>
      </w:r>
      <w:r w:rsidR="009330F5">
        <w:rPr>
          <w:rFonts w:ascii="Verdana" w:hAnsi="Verdana"/>
          <w:b/>
          <w:noProof/>
          <w:color w:val="548DD4"/>
          <w:sz w:val="20"/>
        </w:rPr>
        <w:t>21</w:t>
      </w:r>
      <w:r w:rsidRPr="005B6074">
        <w:rPr>
          <w:rFonts w:ascii="Verdana" w:hAnsi="Verdana"/>
          <w:b/>
          <w:color w:val="548DD4"/>
          <w:sz w:val="20"/>
        </w:rPr>
        <w:fldChar w:fldCharType="end"/>
      </w:r>
      <w:r w:rsidRPr="005B6074">
        <w:rPr>
          <w:rFonts w:ascii="Verdana" w:hAnsi="Verdana"/>
          <w:b/>
          <w:color w:val="548DD4"/>
          <w:sz w:val="20"/>
        </w:rPr>
        <w:t xml:space="preserve">. PA1 – Analysis of </w:t>
      </w:r>
      <w:r w:rsidR="00C876BC" w:rsidRPr="005B6074">
        <w:rPr>
          <w:rFonts w:ascii="Verdana" w:hAnsi="Verdana"/>
          <w:b/>
          <w:color w:val="548DD4"/>
          <w:sz w:val="20"/>
        </w:rPr>
        <w:t>the a</w:t>
      </w:r>
      <w:r w:rsidRPr="005B6074">
        <w:rPr>
          <w:rFonts w:ascii="Verdana" w:hAnsi="Verdana"/>
          <w:b/>
          <w:color w:val="548DD4"/>
          <w:sz w:val="20"/>
        </w:rPr>
        <w:t>ctivities</w:t>
      </w:r>
      <w:bookmarkEnd w:id="120"/>
      <w:bookmarkEnd w:id="121"/>
      <w:bookmarkEnd w:id="122"/>
      <w:bookmarkEnd w:id="123"/>
    </w:p>
    <w:tbl>
      <w:tblPr>
        <w:tblW w:w="0" w:type="auto"/>
        <w:tblCellSpacing w:w="11" w:type="dxa"/>
        <w:tblInd w:w="130" w:type="dxa"/>
        <w:tblLook w:val="04A0" w:firstRow="1" w:lastRow="0" w:firstColumn="1" w:lastColumn="0" w:noHBand="0" w:noVBand="1"/>
      </w:tblPr>
      <w:tblGrid>
        <w:gridCol w:w="4973"/>
        <w:gridCol w:w="3987"/>
      </w:tblGrid>
      <w:tr w:rsidR="00F24971" w:rsidRPr="005B6074" w:rsidTr="005A221F">
        <w:trPr>
          <w:tblCellSpacing w:w="11" w:type="dxa"/>
        </w:trPr>
        <w:tc>
          <w:tcPr>
            <w:tcW w:w="4940" w:type="dxa"/>
            <w:shd w:val="clear" w:color="auto" w:fill="548DD4"/>
          </w:tcPr>
          <w:p w:rsidR="00F24971" w:rsidRPr="00494815" w:rsidRDefault="00A35E98" w:rsidP="00494815">
            <w:pPr>
              <w:jc w:val="center"/>
              <w:rPr>
                <w:rFonts w:ascii="Verdana" w:hAnsi="Verdana"/>
                <w:b/>
                <w:color w:val="FFFFFF" w:themeColor="background1"/>
                <w:sz w:val="20"/>
                <w:szCs w:val="20"/>
              </w:rPr>
            </w:pPr>
            <w:r w:rsidRPr="00494815">
              <w:rPr>
                <w:rFonts w:ascii="Verdana" w:hAnsi="Verdana"/>
                <w:b/>
                <w:color w:val="FFFFFF" w:themeColor="background1"/>
                <w:sz w:val="20"/>
                <w:szCs w:val="20"/>
              </w:rPr>
              <w:t>Measures/Activities Planned</w:t>
            </w:r>
          </w:p>
        </w:tc>
        <w:tc>
          <w:tcPr>
            <w:tcW w:w="3954" w:type="dxa"/>
            <w:shd w:val="clear" w:color="auto" w:fill="548DD4"/>
          </w:tcPr>
          <w:p w:rsidR="00F24971" w:rsidRPr="00494815" w:rsidRDefault="00A35E98" w:rsidP="00494815">
            <w:pPr>
              <w:jc w:val="center"/>
              <w:rPr>
                <w:rFonts w:ascii="Verdana" w:hAnsi="Verdana"/>
                <w:b/>
                <w:color w:val="FFFFFF" w:themeColor="background1"/>
                <w:sz w:val="20"/>
                <w:szCs w:val="20"/>
              </w:rPr>
            </w:pPr>
            <w:r w:rsidRPr="00494815">
              <w:rPr>
                <w:rFonts w:ascii="Verdana" w:hAnsi="Verdana"/>
                <w:b/>
                <w:color w:val="FFFFFF" w:themeColor="background1"/>
                <w:sz w:val="20"/>
                <w:szCs w:val="20"/>
              </w:rPr>
              <w:t>Adequacy</w:t>
            </w:r>
          </w:p>
        </w:tc>
      </w:tr>
      <w:tr w:rsidR="00F24971" w:rsidRPr="005B6074" w:rsidTr="005A221F">
        <w:trPr>
          <w:tblCellSpacing w:w="11" w:type="dxa"/>
        </w:trPr>
        <w:tc>
          <w:tcPr>
            <w:tcW w:w="8916" w:type="dxa"/>
            <w:gridSpan w:val="2"/>
            <w:shd w:val="clear" w:color="auto" w:fill="FBD4B4"/>
          </w:tcPr>
          <w:p w:rsidR="00F24971" w:rsidRPr="005B6074" w:rsidRDefault="00A35E98" w:rsidP="00494815">
            <w:pPr>
              <w:autoSpaceDE w:val="0"/>
              <w:autoSpaceDN w:val="0"/>
              <w:adjustRightInd w:val="0"/>
              <w:spacing w:after="0" w:line="288" w:lineRule="auto"/>
              <w:jc w:val="both"/>
              <w:rPr>
                <w:rFonts w:ascii="Verdana" w:hAnsi="Verdana" w:cs="Arial Narrow"/>
                <w:color w:val="000000"/>
                <w:sz w:val="20"/>
                <w:szCs w:val="20"/>
              </w:rPr>
            </w:pPr>
            <w:r w:rsidRPr="005B6074">
              <w:rPr>
                <w:rFonts w:ascii="Verdana" w:hAnsi="Verdana"/>
                <w:b/>
                <w:sz w:val="20"/>
              </w:rPr>
              <w:t>Investment Priority 1:</w:t>
            </w:r>
            <w:r w:rsidRPr="00494815">
              <w:rPr>
                <w:rFonts w:ascii="Verdana" w:hAnsi="Verdana"/>
                <w:b/>
                <w:sz w:val="20"/>
              </w:rPr>
              <w:t xml:space="preserve"> </w:t>
            </w:r>
            <w:r w:rsidRPr="00494815">
              <w:rPr>
                <w:rFonts w:ascii="Verdana" w:hAnsi="Verdana"/>
                <w:i/>
                <w:sz w:val="20"/>
              </w:rPr>
              <w:t>Enhancing research and innovation (R&amp;I) infrastructure and capacities to develop R&amp;I excellence, and promoting centres of competence, in particular those of European interest.</w:t>
            </w:r>
          </w:p>
        </w:tc>
      </w:tr>
      <w:tr w:rsidR="00F24971" w:rsidRPr="005B6074" w:rsidTr="005A221F">
        <w:trPr>
          <w:tblCellSpacing w:w="11" w:type="dxa"/>
        </w:trPr>
        <w:tc>
          <w:tcPr>
            <w:tcW w:w="4940" w:type="dxa"/>
            <w:shd w:val="clear" w:color="auto" w:fill="C6D9F1"/>
          </w:tcPr>
          <w:p w:rsidR="00A511E7" w:rsidRPr="005B6074" w:rsidRDefault="00A35E98" w:rsidP="005B6074">
            <w:pPr>
              <w:spacing w:after="0"/>
              <w:contextualSpacing/>
              <w:jc w:val="both"/>
              <w:rPr>
                <w:rFonts w:ascii="Verdana" w:eastAsia="Times New Roman" w:hAnsi="Verdana"/>
                <w:b/>
                <w:kern w:val="32"/>
                <w:sz w:val="20"/>
                <w:szCs w:val="20"/>
              </w:rPr>
            </w:pPr>
            <w:r w:rsidRPr="005B6074">
              <w:rPr>
                <w:rFonts w:ascii="Verdana" w:hAnsi="Verdana"/>
                <w:sz w:val="20"/>
              </w:rPr>
              <w:t>Support for establishment and development of centres of excellence and competence centres, including refurbishment of premises, infrastructure and purchasing of equipment;</w:t>
            </w:r>
          </w:p>
        </w:tc>
        <w:tc>
          <w:tcPr>
            <w:tcW w:w="3954"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Adequate and will contribute to achievement of the objectives</w:t>
            </w:r>
          </w:p>
        </w:tc>
      </w:tr>
      <w:tr w:rsidR="00F24971" w:rsidRPr="005B6074" w:rsidTr="005A221F">
        <w:trPr>
          <w:tblCellSpacing w:w="11" w:type="dxa"/>
        </w:trPr>
        <w:tc>
          <w:tcPr>
            <w:tcW w:w="4940" w:type="dxa"/>
            <w:shd w:val="clear" w:color="auto" w:fill="F2F2F2"/>
          </w:tcPr>
          <w:p w:rsidR="00F24971" w:rsidRPr="005B6074" w:rsidRDefault="00A35E98" w:rsidP="00FA49EF">
            <w:pPr>
              <w:spacing w:after="0"/>
              <w:contextualSpacing/>
              <w:jc w:val="both"/>
              <w:rPr>
                <w:rFonts w:ascii="Verdana" w:hAnsi="Verdana"/>
                <w:sz w:val="20"/>
                <w:szCs w:val="20"/>
              </w:rPr>
            </w:pPr>
            <w:r w:rsidRPr="005B6074">
              <w:rPr>
                <w:rFonts w:ascii="Verdana" w:hAnsi="Verdana"/>
                <w:sz w:val="20"/>
              </w:rPr>
              <w:t>Support for the modernisation of scientific infrastructure and existing research laboratories of scientific institutes and higher education establishments which carry out research in areas corresponding to the regional and national economic and social challenges;</w:t>
            </w:r>
          </w:p>
        </w:tc>
        <w:tc>
          <w:tcPr>
            <w:tcW w:w="3954"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Adequate and will contribute to achievement of the objectives</w:t>
            </w:r>
          </w:p>
        </w:tc>
      </w:tr>
      <w:tr w:rsidR="00F24971" w:rsidRPr="005B6074" w:rsidTr="005A221F">
        <w:trPr>
          <w:tblCellSpacing w:w="11" w:type="dxa"/>
        </w:trPr>
        <w:tc>
          <w:tcPr>
            <w:tcW w:w="4940" w:type="dxa"/>
            <w:shd w:val="clear" w:color="auto" w:fill="C6D9F1"/>
          </w:tcPr>
          <w:p w:rsidR="00F24971" w:rsidRPr="005B6074" w:rsidRDefault="00A35E98" w:rsidP="00F24971">
            <w:pPr>
              <w:pStyle w:val="BodyText"/>
              <w:spacing w:before="120" w:line="276" w:lineRule="auto"/>
              <w:jc w:val="both"/>
              <w:rPr>
                <w:rFonts w:ascii="Verdana" w:hAnsi="Verdana"/>
                <w:sz w:val="20"/>
                <w:szCs w:val="20"/>
              </w:rPr>
            </w:pPr>
            <w:r w:rsidRPr="005B6074">
              <w:rPr>
                <w:rFonts w:ascii="Verdana" w:hAnsi="Verdana"/>
                <w:sz w:val="20"/>
              </w:rPr>
              <w:t xml:space="preserve">Establishment and development of regional infrastructures, including unique collections and archives, and of national structures partnering European scientific complexes as laid down in the European Roadmap for Research Infrastructures; </w:t>
            </w:r>
          </w:p>
        </w:tc>
        <w:tc>
          <w:tcPr>
            <w:tcW w:w="3954"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Adequate and will contribute to achievement of the objectives</w:t>
            </w:r>
          </w:p>
        </w:tc>
      </w:tr>
      <w:tr w:rsidR="00F24971" w:rsidRPr="005B6074" w:rsidTr="005A221F">
        <w:trPr>
          <w:tblCellSpacing w:w="11" w:type="dxa"/>
        </w:trPr>
        <w:tc>
          <w:tcPr>
            <w:tcW w:w="8916" w:type="dxa"/>
            <w:gridSpan w:val="2"/>
            <w:shd w:val="clear" w:color="auto" w:fill="FBD4B4"/>
          </w:tcPr>
          <w:p w:rsidR="00F24971" w:rsidRPr="005B6074" w:rsidRDefault="00A35E98" w:rsidP="00494815">
            <w:pPr>
              <w:spacing w:before="120" w:after="120"/>
              <w:jc w:val="both"/>
              <w:rPr>
                <w:rFonts w:ascii="Verdana" w:hAnsi="Verdana"/>
                <w:sz w:val="20"/>
                <w:szCs w:val="20"/>
              </w:rPr>
            </w:pPr>
            <w:r w:rsidRPr="005B6074">
              <w:rPr>
                <w:rFonts w:ascii="Verdana" w:hAnsi="Verdana"/>
                <w:b/>
                <w:sz w:val="20"/>
              </w:rPr>
              <w:t xml:space="preserve">Investment Priority 2: </w:t>
            </w:r>
            <w:r w:rsidRPr="005B6074">
              <w:rPr>
                <w:rFonts w:ascii="Verdana" w:hAnsi="Verdana"/>
                <w:i/>
                <w:sz w:val="20"/>
              </w:rPr>
              <w:t>P</w:t>
            </w:r>
            <w:r w:rsidRPr="005B6074">
              <w:rPr>
                <w:rFonts w:ascii="Verdana" w:hAnsi="Verdana"/>
                <w:i/>
                <w:color w:val="000000"/>
                <w:sz w:val="20"/>
              </w:rPr>
              <w:t xml:space="preserve">romoting business investment in R&amp;I, developing links and synergies between enterprises, research and development centres and the higher education sector, in particular promoting investment in product and service development, technology transfer, social innovation, eco-innovation, public service applications, demand stimulation, networking, clusters and open innovation through smart specialisation, and supporting technological and applied research, pilot lines, early product validation actions, advanced manufacturing capabilities and first </w:t>
            </w:r>
            <w:r w:rsidRPr="005B6074">
              <w:rPr>
                <w:rFonts w:ascii="Verdana" w:hAnsi="Verdana"/>
                <w:i/>
                <w:color w:val="000000"/>
                <w:sz w:val="20"/>
              </w:rPr>
              <w:lastRenderedPageBreak/>
              <w:t>production, in particular in key enabling technologies and diffusion of general purpose technologies</w:t>
            </w:r>
            <w:r w:rsidRPr="005B6074">
              <w:rPr>
                <w:rFonts w:ascii="Verdana" w:hAnsi="Verdana"/>
                <w:i/>
                <w:sz w:val="20"/>
              </w:rPr>
              <w:t>.</w:t>
            </w:r>
          </w:p>
        </w:tc>
      </w:tr>
      <w:tr w:rsidR="00F24971" w:rsidRPr="005B6074" w:rsidTr="005A221F">
        <w:trPr>
          <w:tblCellSpacing w:w="11" w:type="dxa"/>
        </w:trPr>
        <w:tc>
          <w:tcPr>
            <w:tcW w:w="494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lastRenderedPageBreak/>
              <w:t>Support for strategic research programmes in competence centres and infrastructure complexes to ensure their sustainable development and added value for national and regional economy;</w:t>
            </w:r>
          </w:p>
        </w:tc>
        <w:tc>
          <w:tcPr>
            <w:tcW w:w="3954"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There is no clear connection to the specific objective set. The specific objective points at applied research for development of the economy while activities are aimed at strategic programmes to ensure the centres' sustainable development.</w:t>
            </w:r>
          </w:p>
        </w:tc>
      </w:tr>
      <w:tr w:rsidR="00F24971" w:rsidRPr="005B6074" w:rsidTr="005A221F">
        <w:trPr>
          <w:tblCellSpacing w:w="11" w:type="dxa"/>
        </w:trPr>
        <w:tc>
          <w:tcPr>
            <w:tcW w:w="494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Support for conducting applied scientific research. Financing of the research itself and activities related to the purchasing of new or modernisation of existing appliances, equipment, materials, consumables, etc. that are needed for the applied scientific research, including expenses for participants' remuneration;</w:t>
            </w:r>
          </w:p>
        </w:tc>
        <w:tc>
          <w:tcPr>
            <w:tcW w:w="3954"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Adequate and meets the specific objective set.</w:t>
            </w:r>
          </w:p>
        </w:tc>
      </w:tr>
      <w:tr w:rsidR="00F24971" w:rsidRPr="005B6074" w:rsidTr="005A221F">
        <w:trPr>
          <w:tblCellSpacing w:w="11" w:type="dxa"/>
        </w:trPr>
        <w:tc>
          <w:tcPr>
            <w:tcW w:w="494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Ensuring support for access and participation of Bulgarian scientific organisations and higher education establishments to European technological platforms, joint technological initiatives and in the European Institute of Innovation and Technology;</w:t>
            </w:r>
          </w:p>
        </w:tc>
        <w:tc>
          <w:tcPr>
            <w:tcW w:w="3954"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Will contribute to the exchange of experience and the development of applied scientific research.</w:t>
            </w:r>
          </w:p>
        </w:tc>
      </w:tr>
      <w:tr w:rsidR="00F24971" w:rsidRPr="005B6074" w:rsidTr="005A221F">
        <w:trPr>
          <w:tblCellSpacing w:w="11" w:type="dxa"/>
        </w:trPr>
        <w:tc>
          <w:tcPr>
            <w:tcW w:w="494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Training of staff upon request and with the financial participation of businesses through vouchers;</w:t>
            </w:r>
          </w:p>
        </w:tc>
        <w:tc>
          <w:tcPr>
            <w:tcW w:w="3954"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It is assumed that the activity envisage training of students in higher education establishments or doctoral candidates in higher education establishments and/or institutes upon request from the businesses.  In this sense, the activity will be conducive to the better links between businesses and education and is therefore relevant though not to this specific objective. It would be more appropriate for the activity to be shifted to IP2 (SO1) of PA2.</w:t>
            </w:r>
          </w:p>
        </w:tc>
      </w:tr>
      <w:tr w:rsidR="00F24971" w:rsidRPr="005B6074" w:rsidTr="005A221F">
        <w:trPr>
          <w:tblCellSpacing w:w="11" w:type="dxa"/>
        </w:trPr>
        <w:tc>
          <w:tcPr>
            <w:tcW w:w="494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Providing support for establishment, development and use of pilot production centres in higher education establishments and scientific institutes for scientific training, research, experimental development and prototyping.</w:t>
            </w:r>
          </w:p>
        </w:tc>
        <w:tc>
          <w:tcPr>
            <w:tcW w:w="3954"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will contribute to achievement of the specific objective.</w:t>
            </w:r>
          </w:p>
        </w:tc>
      </w:tr>
    </w:tbl>
    <w:p w:rsidR="00F24971" w:rsidRPr="005B6074" w:rsidRDefault="00A35E98" w:rsidP="00F24971">
      <w:pPr>
        <w:keepNext/>
        <w:pBdr>
          <w:bottom w:val="single" w:sz="4" w:space="1" w:color="0070C0"/>
        </w:pBdr>
        <w:spacing w:before="360" w:after="120"/>
        <w:jc w:val="both"/>
        <w:rPr>
          <w:rFonts w:ascii="Verdana" w:hAnsi="Verdana"/>
          <w:color w:val="0070C0"/>
          <w:sz w:val="20"/>
          <w:szCs w:val="20"/>
        </w:rPr>
      </w:pPr>
      <w:r w:rsidRPr="005B6074">
        <w:rPr>
          <w:rFonts w:ascii="Verdana" w:hAnsi="Verdana"/>
          <w:color w:val="0070C0"/>
          <w:sz w:val="20"/>
        </w:rPr>
        <w:lastRenderedPageBreak/>
        <w:t>PA2. Education and Lifelong Learning</w:t>
      </w:r>
    </w:p>
    <w:p w:rsidR="00F24971" w:rsidRPr="005B6074" w:rsidRDefault="00A35E98" w:rsidP="00F24971">
      <w:pPr>
        <w:pStyle w:val="BodyText"/>
        <w:keepNext/>
        <w:tabs>
          <w:tab w:val="left" w:pos="0"/>
          <w:tab w:val="right" w:pos="9214"/>
        </w:tabs>
        <w:spacing w:before="240" w:line="276" w:lineRule="auto"/>
        <w:jc w:val="both"/>
        <w:rPr>
          <w:rFonts w:ascii="Verdana" w:hAnsi="Verdana"/>
          <w:sz w:val="20"/>
          <w:szCs w:val="20"/>
        </w:rPr>
      </w:pPr>
      <w:bookmarkStart w:id="124" w:name="_Toc390257078"/>
      <w:bookmarkStart w:id="125" w:name="_Toc396225617"/>
      <w:r w:rsidRPr="005B6074">
        <w:rPr>
          <w:rFonts w:ascii="Verdana" w:hAnsi="Verdana"/>
          <w:b/>
          <w:color w:val="548DD4"/>
          <w:sz w:val="20"/>
        </w:rPr>
        <w:t xml:space="preserve">Table </w:t>
      </w:r>
      <w:r w:rsidRPr="005B6074">
        <w:rPr>
          <w:rFonts w:ascii="Verdana" w:hAnsi="Verdana"/>
          <w:b/>
          <w:color w:val="548DD4"/>
          <w:sz w:val="20"/>
        </w:rPr>
        <w:fldChar w:fldCharType="begin"/>
      </w:r>
      <w:r w:rsidRPr="005B6074">
        <w:rPr>
          <w:rFonts w:ascii="Verdana" w:hAnsi="Verdana"/>
          <w:b/>
          <w:color w:val="548DD4"/>
          <w:sz w:val="20"/>
        </w:rPr>
        <w:instrText xml:space="preserve"> SEQ таблица \* ARABIC </w:instrText>
      </w:r>
      <w:r w:rsidRPr="005B6074">
        <w:rPr>
          <w:rFonts w:ascii="Verdana" w:hAnsi="Verdana"/>
          <w:b/>
          <w:color w:val="548DD4"/>
          <w:sz w:val="20"/>
        </w:rPr>
        <w:fldChar w:fldCharType="separate"/>
      </w:r>
      <w:r w:rsidR="009330F5">
        <w:rPr>
          <w:rFonts w:ascii="Verdana" w:hAnsi="Verdana"/>
          <w:b/>
          <w:noProof/>
          <w:color w:val="548DD4"/>
          <w:sz w:val="20"/>
        </w:rPr>
        <w:t>22</w:t>
      </w:r>
      <w:r w:rsidRPr="005B6074">
        <w:rPr>
          <w:rFonts w:ascii="Verdana" w:hAnsi="Verdana"/>
          <w:b/>
          <w:color w:val="548DD4"/>
          <w:sz w:val="20"/>
        </w:rPr>
        <w:fldChar w:fldCharType="end"/>
      </w:r>
      <w:r w:rsidRPr="005B6074">
        <w:rPr>
          <w:rFonts w:ascii="Verdana" w:hAnsi="Verdana"/>
          <w:b/>
          <w:color w:val="548DD4"/>
          <w:sz w:val="20"/>
        </w:rPr>
        <w:t xml:space="preserve">. PA2 – Analysis of </w:t>
      </w:r>
      <w:bookmarkEnd w:id="124"/>
      <w:r w:rsidR="00C876BC" w:rsidRPr="005B6074">
        <w:rPr>
          <w:rFonts w:ascii="Verdana" w:hAnsi="Verdana"/>
          <w:b/>
          <w:color w:val="548DD4"/>
          <w:sz w:val="20"/>
        </w:rPr>
        <w:t>the a</w:t>
      </w:r>
      <w:r w:rsidRPr="005B6074">
        <w:rPr>
          <w:rFonts w:ascii="Verdana" w:hAnsi="Verdana"/>
          <w:b/>
          <w:color w:val="548DD4"/>
          <w:sz w:val="20"/>
        </w:rPr>
        <w:t>ctivities</w:t>
      </w:r>
      <w:bookmarkEnd w:id="125"/>
    </w:p>
    <w:tbl>
      <w:tblPr>
        <w:tblW w:w="9090" w:type="dxa"/>
        <w:tblCellSpacing w:w="11" w:type="dxa"/>
        <w:tblInd w:w="130" w:type="dxa"/>
        <w:tblLook w:val="04A0" w:firstRow="1" w:lastRow="0" w:firstColumn="1" w:lastColumn="0" w:noHBand="0" w:noVBand="1"/>
      </w:tblPr>
      <w:tblGrid>
        <w:gridCol w:w="5130"/>
        <w:gridCol w:w="127"/>
        <w:gridCol w:w="3833"/>
      </w:tblGrid>
      <w:tr w:rsidR="00F24971" w:rsidRPr="005B6074" w:rsidTr="00F24971">
        <w:trPr>
          <w:tblCellSpacing w:w="11" w:type="dxa"/>
        </w:trPr>
        <w:tc>
          <w:tcPr>
            <w:tcW w:w="5224" w:type="dxa"/>
            <w:gridSpan w:val="2"/>
            <w:shd w:val="clear" w:color="auto" w:fill="548DD4"/>
          </w:tcPr>
          <w:p w:rsidR="00F24971" w:rsidRPr="00FA49EF" w:rsidRDefault="00A35E98" w:rsidP="00FA49EF">
            <w:pPr>
              <w:jc w:val="center"/>
              <w:rPr>
                <w:rFonts w:ascii="Verdana" w:hAnsi="Verdana"/>
                <w:b/>
                <w:color w:val="FFFFFF" w:themeColor="background1"/>
                <w:sz w:val="18"/>
                <w:szCs w:val="18"/>
              </w:rPr>
            </w:pPr>
            <w:r w:rsidRPr="00FA49EF">
              <w:rPr>
                <w:rFonts w:ascii="Verdana" w:hAnsi="Verdana"/>
                <w:b/>
                <w:color w:val="FFFFFF" w:themeColor="background1"/>
                <w:sz w:val="18"/>
                <w:szCs w:val="18"/>
              </w:rPr>
              <w:t>Measures/Activities Planned</w:t>
            </w:r>
          </w:p>
        </w:tc>
        <w:tc>
          <w:tcPr>
            <w:tcW w:w="3800" w:type="dxa"/>
            <w:shd w:val="clear" w:color="auto" w:fill="548DD4"/>
          </w:tcPr>
          <w:p w:rsidR="00F24971" w:rsidRPr="00FA49EF" w:rsidRDefault="00A35E98" w:rsidP="00FA49EF">
            <w:pPr>
              <w:jc w:val="center"/>
              <w:rPr>
                <w:rFonts w:ascii="Verdana" w:hAnsi="Verdana"/>
                <w:b/>
                <w:color w:val="FFFFFF" w:themeColor="background1"/>
                <w:sz w:val="18"/>
                <w:szCs w:val="18"/>
              </w:rPr>
            </w:pPr>
            <w:r w:rsidRPr="00FA49EF">
              <w:rPr>
                <w:rFonts w:ascii="Verdana" w:hAnsi="Verdana"/>
                <w:b/>
                <w:color w:val="FFFFFF" w:themeColor="background1"/>
                <w:sz w:val="18"/>
                <w:szCs w:val="18"/>
              </w:rPr>
              <w:t>Adequacy</w:t>
            </w:r>
          </w:p>
        </w:tc>
      </w:tr>
      <w:tr w:rsidR="00F24971" w:rsidRPr="005B6074" w:rsidTr="00F24971">
        <w:trPr>
          <w:tblCellSpacing w:w="11" w:type="dxa"/>
        </w:trPr>
        <w:tc>
          <w:tcPr>
            <w:tcW w:w="9046" w:type="dxa"/>
            <w:gridSpan w:val="3"/>
            <w:shd w:val="clear" w:color="auto" w:fill="FBD4B4"/>
          </w:tcPr>
          <w:p w:rsidR="00F24971" w:rsidRPr="00494815" w:rsidRDefault="00A35E98" w:rsidP="00494815">
            <w:pPr>
              <w:spacing w:before="120" w:after="120"/>
              <w:jc w:val="both"/>
              <w:rPr>
                <w:rFonts w:ascii="Verdana" w:hAnsi="Verdana"/>
                <w:b/>
                <w:sz w:val="20"/>
              </w:rPr>
            </w:pPr>
            <w:r w:rsidRPr="005B6074">
              <w:rPr>
                <w:rFonts w:ascii="Verdana" w:hAnsi="Verdana"/>
                <w:b/>
                <w:sz w:val="20"/>
              </w:rPr>
              <w:t xml:space="preserve">Investment Priority 1: </w:t>
            </w:r>
            <w:r w:rsidRPr="00494815">
              <w:rPr>
                <w:rFonts w:ascii="Verdana" w:hAnsi="Verdana"/>
                <w:i/>
                <w:sz w:val="20"/>
              </w:rPr>
              <w:t>Reducing and preventing early school-leaving and promoting equal access to good quality early-childhood, primary and secondary education including formal, non-formal and informal learning pathways for reintegrating into education and training</w:t>
            </w:r>
          </w:p>
        </w:tc>
      </w:tr>
      <w:tr w:rsidR="00F24971" w:rsidRPr="005B6074" w:rsidTr="00F24971">
        <w:trPr>
          <w:tblCellSpacing w:w="11" w:type="dxa"/>
        </w:trPr>
        <w:tc>
          <w:tcPr>
            <w:tcW w:w="5097" w:type="dxa"/>
            <w:shd w:val="clear" w:color="auto" w:fill="C6D9F1"/>
          </w:tcPr>
          <w:p w:rsidR="00F24971" w:rsidRPr="00FA49EF" w:rsidRDefault="00A35E98" w:rsidP="00494815">
            <w:pPr>
              <w:spacing w:after="0"/>
              <w:contextualSpacing/>
              <w:jc w:val="both"/>
              <w:rPr>
                <w:rFonts w:ascii="Verdana" w:hAnsi="Verdana"/>
                <w:sz w:val="20"/>
              </w:rPr>
            </w:pPr>
            <w:r w:rsidRPr="005B6074">
              <w:rPr>
                <w:rFonts w:ascii="Verdana" w:hAnsi="Verdana"/>
                <w:sz w:val="20"/>
              </w:rPr>
              <w:t>Activities aimed at improving the key competences of pupils focusing on literacy, foreign language communication skills, digital competence, social and civil competences.</w:t>
            </w:r>
          </w:p>
        </w:tc>
        <w:tc>
          <w:tcPr>
            <w:tcW w:w="3927"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measure meets the first specific objective but is too general and may include many of the below activities.</w:t>
            </w:r>
          </w:p>
        </w:tc>
      </w:tr>
      <w:tr w:rsidR="00F24971" w:rsidRPr="005B6074" w:rsidTr="00F24971">
        <w:trPr>
          <w:tblCellSpacing w:w="11" w:type="dxa"/>
        </w:trPr>
        <w:tc>
          <w:tcPr>
            <w:tcW w:w="5097" w:type="dxa"/>
            <w:shd w:val="clear" w:color="auto" w:fill="F2F2F2"/>
          </w:tcPr>
          <w:p w:rsidR="00F24971" w:rsidRPr="00FA49EF" w:rsidRDefault="00A35E98" w:rsidP="00494815">
            <w:pPr>
              <w:spacing w:after="0"/>
              <w:contextualSpacing/>
              <w:jc w:val="both"/>
              <w:rPr>
                <w:rFonts w:ascii="Verdana" w:hAnsi="Verdana"/>
                <w:sz w:val="20"/>
              </w:rPr>
            </w:pPr>
            <w:r w:rsidRPr="005B6074">
              <w:rPr>
                <w:rFonts w:ascii="Verdana" w:hAnsi="Verdana"/>
                <w:sz w:val="20"/>
              </w:rPr>
              <w:t>Expansion and improvement of the application of the system of assessment (external and/or internal) of the pupils' education at national, regional and school level;</w:t>
            </w:r>
          </w:p>
        </w:tc>
        <w:tc>
          <w:tcPr>
            <w:tcW w:w="3927"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will contribute to achievement of the specific objective.</w:t>
            </w:r>
          </w:p>
        </w:tc>
      </w:tr>
      <w:tr w:rsidR="00F24971" w:rsidRPr="005B6074" w:rsidTr="00F24971">
        <w:trPr>
          <w:tblCellSpacing w:w="11" w:type="dxa"/>
        </w:trPr>
        <w:tc>
          <w:tcPr>
            <w:tcW w:w="5097"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Measuring of pupils' achievements in the field of reading, mathematics and natural sciences, including activities related to participation in national and international research, including training of pedagogical experts to apply the international pupil rating standards;</w:t>
            </w:r>
          </w:p>
        </w:tc>
        <w:tc>
          <w:tcPr>
            <w:tcW w:w="3927"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will contribute to achievement of the third specific objective.</w:t>
            </w:r>
          </w:p>
        </w:tc>
      </w:tr>
      <w:tr w:rsidR="00F24971" w:rsidRPr="005B6074" w:rsidTr="00F24971">
        <w:trPr>
          <w:tblCellSpacing w:w="11" w:type="dxa"/>
        </w:trPr>
        <w:tc>
          <w:tcPr>
            <w:tcW w:w="5097"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Introduction of modern technologies and interactive methods and means in the process of education, including e-contents;</w:t>
            </w:r>
          </w:p>
        </w:tc>
        <w:tc>
          <w:tcPr>
            <w:tcW w:w="3927"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measure will support enhancing the quality of education and will thus contribute to achieving SO1 and SO2.</w:t>
            </w:r>
          </w:p>
        </w:tc>
      </w:tr>
      <w:tr w:rsidR="00F24971" w:rsidRPr="005B6074" w:rsidTr="00F24971">
        <w:trPr>
          <w:tblCellSpacing w:w="11" w:type="dxa"/>
        </w:trPr>
        <w:tc>
          <w:tcPr>
            <w:tcW w:w="5097"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Elaboration, update and evaluation of the efficiency of curricula;</w:t>
            </w:r>
          </w:p>
        </w:tc>
        <w:tc>
          <w:tcPr>
            <w:tcW w:w="3927"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measure is adequate as far the assessment of curricula efficiency is concerned and will contribute to improving the management, hence the quality of education and will thus contribute to achieving the three specific objectives set. The elaboration and update of curricula is part of the obligations of the relevant experts in the system of education and Programme support will not therefore have any added value. An appropriate measure would rather be a measure that would result in an improvement in the processes of elaboration and update of curricula.</w:t>
            </w:r>
          </w:p>
        </w:tc>
      </w:tr>
      <w:tr w:rsidR="00F24971" w:rsidRPr="005B6074" w:rsidTr="00F24971">
        <w:trPr>
          <w:tblCellSpacing w:w="11" w:type="dxa"/>
        </w:trPr>
        <w:tc>
          <w:tcPr>
            <w:tcW w:w="5097"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lastRenderedPageBreak/>
              <w:t>Establishment of a modern protected educational environment at schools based on modern ICT for education.</w:t>
            </w:r>
          </w:p>
        </w:tc>
        <w:tc>
          <w:tcPr>
            <w:tcW w:w="3927"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adequate and will enhance the quality of education and retaining pupils at school.</w:t>
            </w:r>
          </w:p>
        </w:tc>
      </w:tr>
      <w:tr w:rsidR="00F24971" w:rsidRPr="005B6074" w:rsidTr="00F24971">
        <w:trPr>
          <w:tblCellSpacing w:w="11" w:type="dxa"/>
        </w:trPr>
        <w:tc>
          <w:tcPr>
            <w:tcW w:w="5097"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Ensuring of ICT tools for presentation of the learning material in general cabinets and for support of specialised cabinets (physics, chemistry, etc.), as well as introduction of smart interactive systems of communication with parents and society;</w:t>
            </w:r>
          </w:p>
        </w:tc>
        <w:tc>
          <w:tcPr>
            <w:tcW w:w="3927"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will contribute to improving the quality of education, communication with parents and their inclusion in the process of education and retaining pupils at school.</w:t>
            </w:r>
          </w:p>
        </w:tc>
      </w:tr>
      <w:tr w:rsidR="00F24971" w:rsidRPr="005B6074" w:rsidTr="00F24971">
        <w:trPr>
          <w:tblCellSpacing w:w="11" w:type="dxa"/>
        </w:trPr>
        <w:tc>
          <w:tcPr>
            <w:tcW w:w="5097"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Setting up of a modern, secure, flexible and scalable cloud environment for general and specific ICT educational services and contents and ensuring of a reliable communication access of education and science users to it.</w:t>
            </w:r>
          </w:p>
        </w:tc>
        <w:tc>
          <w:tcPr>
            <w:tcW w:w="3927"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will be conducive to improving the management in the area of education.</w:t>
            </w:r>
          </w:p>
        </w:tc>
      </w:tr>
      <w:tr w:rsidR="00F24971" w:rsidRPr="005B6074" w:rsidTr="00F24971">
        <w:trPr>
          <w:tblCellSpacing w:w="11" w:type="dxa"/>
        </w:trPr>
        <w:tc>
          <w:tcPr>
            <w:tcW w:w="5097"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Modernisation of the process of learning by introduction of ICT solutions for distance learning and teaching, provision of specialised equipment for on-line cooperation and joint projects between institutes/higher education establishments/schools, etc.;</w:t>
            </w:r>
          </w:p>
        </w:tc>
        <w:tc>
          <w:tcPr>
            <w:tcW w:w="3927"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 xml:space="preserve">The activity will contribute to improving the quality of education, improving the access to education and career orientation of students in higher classes. It will also contribute to improving the cooperation between education and science. </w:t>
            </w:r>
          </w:p>
        </w:tc>
      </w:tr>
      <w:tr w:rsidR="00F24971" w:rsidRPr="005B6074" w:rsidTr="00F24971">
        <w:trPr>
          <w:tblCellSpacing w:w="11" w:type="dxa"/>
        </w:trPr>
        <w:tc>
          <w:tcPr>
            <w:tcW w:w="5097"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Improving the management of institutions and the processes in the system of pre-school and school education, including in the field of inspections;</w:t>
            </w:r>
          </w:p>
        </w:tc>
        <w:tc>
          <w:tcPr>
            <w:tcW w:w="3927"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contribute to improving the management in the area of education.</w:t>
            </w:r>
          </w:p>
        </w:tc>
      </w:tr>
      <w:tr w:rsidR="00F24971" w:rsidRPr="005B6074" w:rsidTr="00F24971">
        <w:trPr>
          <w:tblCellSpacing w:w="11" w:type="dxa"/>
        </w:trPr>
        <w:tc>
          <w:tcPr>
            <w:tcW w:w="5097"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Elaboration of standards ensuring the quality of pre-school education with the participation of all stakeholders (including parents) and elaboration of curricula and learning contents that are appropriate for the development of children and favour the acquisition of cognitive and non-cognitive skills;</w:t>
            </w:r>
          </w:p>
        </w:tc>
        <w:tc>
          <w:tcPr>
            <w:tcW w:w="3927"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 xml:space="preserve">The justification states that the following are being elaborated: (1) institution inspection standards in the system of pre-school and school </w:t>
            </w:r>
            <w:proofErr w:type="gramStart"/>
            <w:r w:rsidRPr="005B6074">
              <w:rPr>
                <w:rFonts w:ascii="Verdana" w:hAnsi="Verdana"/>
                <w:sz w:val="20"/>
              </w:rPr>
              <w:t>education ,</w:t>
            </w:r>
            <w:proofErr w:type="gramEnd"/>
            <w:r w:rsidRPr="005B6074">
              <w:rPr>
                <w:rFonts w:ascii="Verdana" w:hAnsi="Verdana"/>
                <w:sz w:val="20"/>
              </w:rPr>
              <w:t xml:space="preserve"> (2) standard for organisational development and quality management, and (3) educational efficiency indicators. It is not clear how much the standards proposed in this activity vary from those that are being elaborated. </w:t>
            </w:r>
          </w:p>
        </w:tc>
      </w:tr>
      <w:tr w:rsidR="00F24971" w:rsidRPr="005B6074" w:rsidTr="00F24971">
        <w:trPr>
          <w:tblCellSpacing w:w="11" w:type="dxa"/>
        </w:trPr>
        <w:tc>
          <w:tcPr>
            <w:tcW w:w="5097"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Introduction, application and assessment of the efficiency of the standardised procedure for assessment of school readiness;</w:t>
            </w:r>
          </w:p>
        </w:tc>
        <w:tc>
          <w:tcPr>
            <w:tcW w:w="3927"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will support the achievement of SO3.</w:t>
            </w:r>
          </w:p>
        </w:tc>
      </w:tr>
      <w:tr w:rsidR="00F24971" w:rsidRPr="005B6074" w:rsidTr="00F24971">
        <w:trPr>
          <w:tblCellSpacing w:w="11" w:type="dxa"/>
        </w:trPr>
        <w:tc>
          <w:tcPr>
            <w:tcW w:w="5097"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Securing conditions for all-day organisation of the educational process at schools.</w:t>
            </w:r>
          </w:p>
        </w:tc>
        <w:tc>
          <w:tcPr>
            <w:tcW w:w="3927"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particularly important in view of the educational reforms and allowing for parents' all-day employment but is not directly linked to the specific objectives set. It is not well grounded in the justification.</w:t>
            </w:r>
          </w:p>
        </w:tc>
      </w:tr>
      <w:tr w:rsidR="00F24971" w:rsidRPr="005B6074" w:rsidTr="00F24971">
        <w:trPr>
          <w:tblCellSpacing w:w="11" w:type="dxa"/>
        </w:trPr>
        <w:tc>
          <w:tcPr>
            <w:tcW w:w="5097"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lastRenderedPageBreak/>
              <w:t>Support of pedagogical innovations which increase the chances of children and pupils for attaining better educational results;</w:t>
            </w:r>
          </w:p>
        </w:tc>
        <w:tc>
          <w:tcPr>
            <w:tcW w:w="3927"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It will contribute to achievement of SO1.</w:t>
            </w:r>
          </w:p>
        </w:tc>
      </w:tr>
      <w:tr w:rsidR="00F24971" w:rsidRPr="005B6074" w:rsidTr="00F24971">
        <w:trPr>
          <w:tblCellSpacing w:w="11" w:type="dxa"/>
        </w:trPr>
        <w:tc>
          <w:tcPr>
            <w:tcW w:w="5097"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Ensuring of possibilities for training compliant with the individual needs of children and pupils, fostering innovation and entrepreneurship;</w:t>
            </w:r>
          </w:p>
        </w:tc>
        <w:tc>
          <w:tcPr>
            <w:tcW w:w="3927"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It will contribute to achievement of SO1 and SO2. Activities targeted at the individual needs of children and pupils are supported by IP1 of PA3 and therefore it is possible to have overlapping of support.</w:t>
            </w:r>
          </w:p>
        </w:tc>
      </w:tr>
      <w:tr w:rsidR="00F24971" w:rsidRPr="005B6074" w:rsidTr="00F24971">
        <w:trPr>
          <w:tblCellSpacing w:w="11" w:type="dxa"/>
        </w:trPr>
        <w:tc>
          <w:tcPr>
            <w:tcW w:w="5097"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Enhancing of the interest and motivation of children and pupils by modernising the system of granting scholarships;</w:t>
            </w:r>
          </w:p>
        </w:tc>
        <w:tc>
          <w:tcPr>
            <w:tcW w:w="3927"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 xml:space="preserve">It will contribute to achievement </w:t>
            </w:r>
            <w:proofErr w:type="gramStart"/>
            <w:r w:rsidRPr="005B6074">
              <w:rPr>
                <w:rFonts w:ascii="Verdana" w:hAnsi="Verdana"/>
                <w:sz w:val="20"/>
              </w:rPr>
              <w:t>of  SO2</w:t>
            </w:r>
            <w:proofErr w:type="gramEnd"/>
            <w:r w:rsidRPr="005B6074">
              <w:rPr>
                <w:rFonts w:ascii="Verdana" w:hAnsi="Verdana"/>
                <w:sz w:val="20"/>
              </w:rPr>
              <w:t>.</w:t>
            </w:r>
          </w:p>
        </w:tc>
      </w:tr>
      <w:tr w:rsidR="00F24971" w:rsidRPr="005B6074" w:rsidTr="00F24971">
        <w:trPr>
          <w:tblCellSpacing w:w="11" w:type="dxa"/>
        </w:trPr>
        <w:tc>
          <w:tcPr>
            <w:tcW w:w="5097"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Elaboration of family support programmes to promote parents' participation in the process of education;</w:t>
            </w:r>
          </w:p>
        </w:tc>
        <w:tc>
          <w:tcPr>
            <w:tcW w:w="3927"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It will contribute to achievement of SO2 and SO1 indirectly.</w:t>
            </w:r>
          </w:p>
        </w:tc>
      </w:tr>
      <w:tr w:rsidR="00F24971" w:rsidRPr="005B6074" w:rsidTr="00F24971">
        <w:trPr>
          <w:tblCellSpacing w:w="11" w:type="dxa"/>
        </w:trPr>
        <w:tc>
          <w:tcPr>
            <w:tcW w:w="5097"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Support for the elaboration and implementation of school policies and programmes for prevention of violence and aggression among children as a prerequisite for setting up a favourable environment for the development of children and educational excellence;</w:t>
            </w:r>
          </w:p>
        </w:tc>
        <w:tc>
          <w:tcPr>
            <w:tcW w:w="3927"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 xml:space="preserve">It will contribute to achieve SO2. </w:t>
            </w:r>
          </w:p>
        </w:tc>
      </w:tr>
      <w:tr w:rsidR="00F24971" w:rsidRPr="005B6074" w:rsidTr="00F24971">
        <w:trPr>
          <w:tblCellSpacing w:w="11" w:type="dxa"/>
        </w:trPr>
        <w:tc>
          <w:tcPr>
            <w:tcW w:w="5097"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Support for development of the network of schools and enhancing of the quality of education in small settlements to cover those in mandatory school age;</w:t>
            </w:r>
          </w:p>
        </w:tc>
        <w:tc>
          <w:tcPr>
            <w:tcW w:w="3927"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Adequate and will contribute to addressing the problem with poorer results of pupils in smaller settlements.</w:t>
            </w:r>
          </w:p>
        </w:tc>
      </w:tr>
      <w:tr w:rsidR="00F24971" w:rsidRPr="005B6074" w:rsidTr="00F24971">
        <w:trPr>
          <w:tblCellSpacing w:w="11" w:type="dxa"/>
        </w:trPr>
        <w:tc>
          <w:tcPr>
            <w:tcW w:w="5097"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Promotion of the participation of pupils in the process of school management and decision making, as well as development of forms of pupils' self-government;</w:t>
            </w:r>
          </w:p>
        </w:tc>
        <w:tc>
          <w:tcPr>
            <w:tcW w:w="3927"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Adequate and will contribute to attaining the three specific objectives.</w:t>
            </w:r>
          </w:p>
        </w:tc>
      </w:tr>
      <w:tr w:rsidR="00F24971" w:rsidRPr="005B6074" w:rsidTr="00F24971">
        <w:trPr>
          <w:tblCellSpacing w:w="11" w:type="dxa"/>
        </w:trPr>
        <w:tc>
          <w:tcPr>
            <w:tcW w:w="5097"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Ensuring possibilities for development of the creative capabilities and performance of children and pupils through out-of-class and out-of-school activities.</w:t>
            </w:r>
          </w:p>
        </w:tc>
        <w:tc>
          <w:tcPr>
            <w:tcW w:w="3927"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Relevant to SO1.</w:t>
            </w:r>
          </w:p>
        </w:tc>
      </w:tr>
      <w:tr w:rsidR="00F24971" w:rsidRPr="005B6074" w:rsidTr="00F24971">
        <w:trPr>
          <w:tblCellSpacing w:w="11" w:type="dxa"/>
        </w:trPr>
        <w:tc>
          <w:tcPr>
            <w:tcW w:w="9046" w:type="dxa"/>
            <w:gridSpan w:val="3"/>
            <w:shd w:val="clear" w:color="auto" w:fill="FBD4B4"/>
          </w:tcPr>
          <w:p w:rsidR="00F24971" w:rsidRPr="005B6074" w:rsidRDefault="00A35E98">
            <w:pPr>
              <w:spacing w:before="120"/>
              <w:jc w:val="both"/>
              <w:rPr>
                <w:rFonts w:ascii="Verdana" w:hAnsi="Verdana"/>
                <w:i/>
                <w:sz w:val="20"/>
                <w:szCs w:val="20"/>
              </w:rPr>
            </w:pPr>
            <w:r w:rsidRPr="005B6074">
              <w:rPr>
                <w:rFonts w:ascii="Verdana" w:hAnsi="Verdana"/>
                <w:b/>
                <w:sz w:val="20"/>
              </w:rPr>
              <w:t xml:space="preserve">Investment Priority 2: </w:t>
            </w:r>
            <w:r w:rsidRPr="005B6074">
              <w:rPr>
                <w:rFonts w:ascii="Verdana" w:hAnsi="Verdana"/>
                <w:i/>
                <w:color w:val="000000"/>
                <w:sz w:val="20"/>
              </w:rPr>
              <w:t>Improving the quality and efficiency of, and access to, tertiary and equivalent education with a view to increasing participation and attainment levels, especially for disadvantaged groups</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Improvement of the management system of higher education;</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will contribute to achievement of SO2.</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 xml:space="preserve">Improvement of the accreditation system by urging the flexibility and transparency of external and internal rating of the quality of higher education and scientific organisations; </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will contribute to achievement of SO2.</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Maintenance and improvement of the elaborated rating system of higher education;</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will contribute to achievement of SO2.</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lastRenderedPageBreak/>
              <w:t>Elaboration and introduction of models that link the financing of higher education to education results and student realisation;</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will contribute to achievement of SO2.</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Improvement of the forms of teaching and the methods of assessment of students and doctoral candidates, modernisation of curricula in higher education (including foreign language ones), support for development of curricula with integrated contents and up-to-date market orientation; integration of the sustainable development issues in the learning contents and implementation of inter-disciplinary programmes for improving students' knowledge and skills concerning the issues of sustainable development and climate change. Setting up of a national system for assessment of the knowledge, skills and competences of graduates in each professional area of higher education with the participation of employers;</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relevant and will contribute to achieving SO1.</w:t>
            </w:r>
          </w:p>
          <w:p w:rsidR="00F24971" w:rsidRPr="00494815" w:rsidRDefault="00A35E98" w:rsidP="00494815">
            <w:pPr>
              <w:spacing w:after="0"/>
              <w:contextualSpacing/>
              <w:jc w:val="both"/>
              <w:rPr>
                <w:rFonts w:ascii="Verdana" w:hAnsi="Verdana"/>
                <w:sz w:val="20"/>
              </w:rPr>
            </w:pPr>
            <w:r w:rsidRPr="005B6074">
              <w:rPr>
                <w:rFonts w:ascii="Verdana" w:hAnsi="Verdana"/>
                <w:sz w:val="20"/>
              </w:rPr>
              <w:t>Some additional and more appropriate activities may be defined to improve the possibilities for realisation of graduates than the elaboration of a national system of assessment with the participation of the businesses. Such activities are for instance improved cooperation of the career centres to higher education with the business, student fairs with business participation, staff training upon request of the businesses.</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Promotion of student participation in various forms of additional training such as student scientific clubs, research schools, etc.;</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will contribute to achievement of SO1.</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Improvement of the mechanisms for recognition of higher education and periods of education passed in foreign higher education establishments;</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will be conducive to achievement of SO1 and SO3.</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Granting of student scholarships, including promotion of education in priority areas of the economy, as well as scholarships for special scientific excellence, engineering and technical activities, innovations and entrepreneurship, art, culture and sports (in a competitive way);</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appropriate and will contribute to achievement of SO3.</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Support of the system of student loans;</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 xml:space="preserve">The activity is generally appropriate as it will improve the access to education but the needs for student loans are not well justified and included in the analysis. </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Improvement of the models of enrolment in higher education ;</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It is not clear how the activity will contribute to increasing the number of graduates.</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Optimisation of the activity of higher education establishments by:</w:t>
            </w:r>
            <w:r w:rsidRPr="00494815">
              <w:rPr>
                <w:rFonts w:ascii="Verdana" w:hAnsi="Verdana"/>
                <w:sz w:val="20"/>
              </w:rPr>
              <w:br/>
            </w:r>
            <w:r w:rsidRPr="005B6074">
              <w:rPr>
                <w:rFonts w:ascii="Verdana" w:hAnsi="Verdana"/>
                <w:sz w:val="20"/>
              </w:rPr>
              <w:t>- improving the model of financing</w:t>
            </w:r>
          </w:p>
          <w:p w:rsidR="00F24971" w:rsidRPr="00494815" w:rsidRDefault="00A35E98" w:rsidP="00494815">
            <w:pPr>
              <w:spacing w:after="0"/>
              <w:contextualSpacing/>
              <w:jc w:val="both"/>
              <w:rPr>
                <w:rFonts w:ascii="Verdana" w:hAnsi="Verdana"/>
                <w:sz w:val="20"/>
              </w:rPr>
            </w:pPr>
            <w:r w:rsidRPr="005B6074">
              <w:rPr>
                <w:rFonts w:ascii="Verdana" w:hAnsi="Verdana"/>
                <w:sz w:val="20"/>
              </w:rPr>
              <w:t>- optimising the network of higher education establishments.</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addresses SO2. In the part concerning improvement in the model of financing, it overlaps with the above activity: „</w:t>
            </w:r>
            <w:r w:rsidRPr="00494815">
              <w:rPr>
                <w:rFonts w:ascii="Verdana" w:hAnsi="Verdana"/>
                <w:sz w:val="20"/>
              </w:rPr>
              <w:t xml:space="preserve">Elaboration and introduction of models that link the financing of higher education </w:t>
            </w:r>
            <w:r w:rsidRPr="00494815">
              <w:rPr>
                <w:rFonts w:ascii="Verdana" w:hAnsi="Verdana"/>
                <w:sz w:val="20"/>
              </w:rPr>
              <w:lastRenderedPageBreak/>
              <w:t xml:space="preserve">establishments to education results and student realisation". </w:t>
            </w:r>
            <w:r w:rsidRPr="005B6074">
              <w:rPr>
                <w:rFonts w:ascii="Verdana" w:hAnsi="Verdana"/>
                <w:sz w:val="20"/>
              </w:rPr>
              <w:t>The two activities may therefore be united. It is not clear what is understood by "</w:t>
            </w:r>
            <w:r w:rsidRPr="00494815">
              <w:rPr>
                <w:rFonts w:ascii="Verdana" w:hAnsi="Verdana"/>
                <w:sz w:val="20"/>
              </w:rPr>
              <w:t>optimising the network of higher education establishments</w:t>
            </w:r>
            <w:r w:rsidRPr="005B6074">
              <w:rPr>
                <w:rFonts w:ascii="Verdana" w:hAnsi="Verdana"/>
                <w:sz w:val="20"/>
              </w:rPr>
              <w:t xml:space="preserve">". </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lastRenderedPageBreak/>
              <w:t>Support for the application of flexible models of training that allow easier combining of learning with personal/family engagements and/or work (including distance learning);</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 xml:space="preserve">The activity is relevant and will </w:t>
            </w:r>
            <w:r w:rsidR="00130DCE" w:rsidRPr="005B6074">
              <w:rPr>
                <w:rFonts w:ascii="Verdana" w:hAnsi="Verdana"/>
                <w:sz w:val="20"/>
              </w:rPr>
              <w:t>support achievement</w:t>
            </w:r>
            <w:r w:rsidRPr="005B6074">
              <w:rPr>
                <w:rFonts w:ascii="Verdana" w:hAnsi="Verdana"/>
                <w:sz w:val="20"/>
              </w:rPr>
              <w:t xml:space="preserve"> of SO3.</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Development of partner networks between Bulgarian and foreign students and their organisations for conducting research.</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indirectly will support the attainment of SO1 but in general is not one of the core activities supporting the specific objectives set. Activities for setting up networks and cooperation among different universities, including among their students, are more relevant.</w:t>
            </w:r>
          </w:p>
        </w:tc>
      </w:tr>
      <w:tr w:rsidR="00F24971" w:rsidRPr="005B6074" w:rsidTr="00F24971">
        <w:trPr>
          <w:tblCellSpacing w:w="11" w:type="dxa"/>
        </w:trPr>
        <w:tc>
          <w:tcPr>
            <w:tcW w:w="9046" w:type="dxa"/>
            <w:gridSpan w:val="3"/>
            <w:shd w:val="clear" w:color="auto" w:fill="FBD4B4"/>
          </w:tcPr>
          <w:p w:rsidR="00F24971" w:rsidRPr="005B6074" w:rsidRDefault="00A35E98" w:rsidP="00F24971">
            <w:pPr>
              <w:spacing w:before="120"/>
              <w:rPr>
                <w:rFonts w:ascii="Verdana" w:hAnsi="Verdana"/>
                <w:i/>
                <w:sz w:val="20"/>
                <w:szCs w:val="20"/>
              </w:rPr>
            </w:pPr>
            <w:r w:rsidRPr="005B6074">
              <w:rPr>
                <w:rFonts w:ascii="Verdana" w:hAnsi="Verdana"/>
                <w:b/>
                <w:sz w:val="20"/>
              </w:rPr>
              <w:t xml:space="preserve">Investment Priority 3: </w:t>
            </w:r>
            <w:r w:rsidRPr="005B6074">
              <w:rPr>
                <w:rFonts w:ascii="Verdana" w:hAnsi="Verdana"/>
                <w:i/>
                <w:sz w:val="20"/>
              </w:rPr>
              <w:t>Enhancing equal access to lifelong learning for all age groups in formal, non-formal and informal settings, upgrading the knowledge, skills and competences of the workforce, and promoting flexible learning pathways including through career guidance and validation of acquired competences</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Support for qualification, on-going training and career development of those employed in the sphere of education, training and science;</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adequate and will support achievement of SO1.</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Development of the capacity of and creating incentives for motivation and retaining of young specialists in the system of pre-school and school education for instance by granting scholarships to young pedagogical specialists employed in the system of pre-school and school education willing to continue their education by doing a PhD degree in pedagogical sciences;</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adequate and will support achievement of SO1. The needs for it are not clearly outlined in the justification, though.</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Setting up of a professional profile model for each position from the career development of pedagogical specialists to determine the competences needed as a sum total of knowledge, skills and relations;</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relevant and will support career development in education and training and enhancement of the qualification of pedagogical specialists.</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Improving of the conditions for development and acquisition of new personal and professional knowledge and skills, including by development of partner networks;</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adequate only if it concerns those employed in education and science.</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 xml:space="preserve">Development of the capacity and motivation of young specialists – PhD students, post-PhD </w:t>
            </w:r>
            <w:r w:rsidRPr="005B6074">
              <w:rPr>
                <w:rFonts w:ascii="Verdana" w:hAnsi="Verdana"/>
                <w:sz w:val="20"/>
              </w:rPr>
              <w:lastRenderedPageBreak/>
              <w:t>persons, post-graduate persons and young scientists in the scientific sector and higher education, including by joint programmes with businesses;</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lastRenderedPageBreak/>
              <w:t>The activity is adequate and support the achievement of SO1.</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lastRenderedPageBreak/>
              <w:t xml:space="preserve">Support for the development of PhD students who do PhD study in priority areas of science and economic sectors; </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does not meet directly any of the specific objectives defined. It is rather relevant to SO1 of IP2 of PA2.</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Development of partner networks between Bulgarian and foreign scientists, researchers, PhD students, post-PhD persons, post-graduate persons, young scientists and teachers for conducting research;</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relevant but largely reiterates the above activity "</w:t>
            </w:r>
            <w:r w:rsidRPr="00494815">
              <w:rPr>
                <w:rFonts w:ascii="Verdana" w:hAnsi="Verdana"/>
                <w:sz w:val="20"/>
              </w:rPr>
              <w:t>Improving of the conditions for refinement and acquisition of new personal and professional knowledge and skills, including by development of partner networks</w:t>
            </w:r>
            <w:r w:rsidRPr="005B6074">
              <w:rPr>
                <w:rFonts w:ascii="Verdana" w:hAnsi="Verdana"/>
                <w:sz w:val="20"/>
              </w:rPr>
              <w:t>"</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Setting up, maintenance and application of a (international) system of assessment of the impact of introduction and implementation of strategic programmes and measures for promotion of research and introduction of mandatory periodic international rating of organisations that finance and do research, development and innovations along with the system of regular monitoring and analysis;</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not relevant to any of the specific objectives and should be referred to PA1.</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Creation of research potential in the established centres of excellence and of favourable conditions for research, career development and mobility, including possibilities for attracting scientists from abroad or opening positions for Bulgarian scientists who have worked in foreign scientific organisations.</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meaning of support, as far as the qualification of human resources is concerned, has already been addressed by the above activity: "</w:t>
            </w:r>
            <w:r w:rsidRPr="00494815">
              <w:rPr>
                <w:rFonts w:ascii="Verdana" w:hAnsi="Verdana"/>
                <w:sz w:val="20"/>
              </w:rPr>
              <w:t xml:space="preserve">Support for qualification, on-going training and career development of those employed in the sphere of education, training and science". </w:t>
            </w:r>
            <w:r w:rsidRPr="005B6074">
              <w:rPr>
                <w:rFonts w:ascii="Verdana" w:hAnsi="Verdana"/>
                <w:sz w:val="20"/>
              </w:rPr>
              <w:t>The other meanings of support are not relevant to this IP.</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Supporting of the process of dissemination of scientific results, including supporting of the organisation of national and international scientific fora (conferences, seminars, symposia, congresses, summer schools, competitions)</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relevant to SO1.</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Support of trainee-teachers by financing of traineeship practices from the practical preparation of students in higher education;</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relevant to SO1.</w:t>
            </w:r>
          </w:p>
        </w:tc>
      </w:tr>
      <w:tr w:rsidR="00F24971" w:rsidRPr="005B6074" w:rsidTr="00F24971">
        <w:trPr>
          <w:tblCellSpacing w:w="11" w:type="dxa"/>
        </w:trPr>
        <w:tc>
          <w:tcPr>
            <w:tcW w:w="5224" w:type="dxa"/>
            <w:gridSpan w:val="2"/>
            <w:shd w:val="clear" w:color="auto" w:fill="FFFFFF"/>
          </w:tcPr>
          <w:p w:rsidR="00F24971" w:rsidRPr="00494815" w:rsidRDefault="00A35E98" w:rsidP="00494815">
            <w:pPr>
              <w:spacing w:after="0"/>
              <w:contextualSpacing/>
              <w:jc w:val="both"/>
              <w:rPr>
                <w:rFonts w:ascii="Verdana" w:hAnsi="Verdana"/>
                <w:sz w:val="20"/>
              </w:rPr>
            </w:pPr>
            <w:r w:rsidRPr="005B6074">
              <w:rPr>
                <w:rFonts w:ascii="Verdana" w:hAnsi="Verdana"/>
                <w:sz w:val="20"/>
              </w:rPr>
              <w:t xml:space="preserve">Promotion of flexible lifelong learning paths for the persons not covered by the traditional system of education by broadening the range of learning </w:t>
            </w:r>
            <w:r w:rsidRPr="005B6074">
              <w:rPr>
                <w:rFonts w:ascii="Verdana" w:hAnsi="Verdana"/>
                <w:sz w:val="20"/>
              </w:rPr>
              <w:lastRenderedPageBreak/>
              <w:t xml:space="preserve">possibilities, including adult literacy, courses for learning the contents of the various levels of education and for acquisition of vocational qualification levels. </w:t>
            </w:r>
          </w:p>
        </w:tc>
        <w:tc>
          <w:tcPr>
            <w:tcW w:w="3800" w:type="dxa"/>
            <w:shd w:val="clear" w:color="auto" w:fill="FFFFFF"/>
          </w:tcPr>
          <w:p w:rsidR="00F24971" w:rsidRPr="00494815" w:rsidRDefault="00A35E98" w:rsidP="00494815">
            <w:pPr>
              <w:spacing w:after="0"/>
              <w:contextualSpacing/>
              <w:jc w:val="both"/>
              <w:rPr>
                <w:rFonts w:ascii="Verdana" w:hAnsi="Verdana"/>
                <w:sz w:val="20"/>
              </w:rPr>
            </w:pPr>
            <w:r w:rsidRPr="005B6074">
              <w:rPr>
                <w:rFonts w:ascii="Verdana" w:hAnsi="Verdana"/>
                <w:sz w:val="20"/>
              </w:rPr>
              <w:lastRenderedPageBreak/>
              <w:t>The activity addresses SO2.</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lastRenderedPageBreak/>
              <w:t xml:space="preserve">Support of activities for improving the coordination of stakeholders and setting up mechanisms for interaction in the planning, implementation, monitoring and assessment of lifelong learning policies; </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addresses SO2 but is not well grounded in the justification of needs.</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 xml:space="preserve">Creation of conditions for the elaboration of </w:t>
            </w:r>
            <w:proofErr w:type="spellStart"/>
            <w:r w:rsidRPr="005B6074">
              <w:rPr>
                <w:rFonts w:ascii="Verdana" w:hAnsi="Verdana"/>
                <w:sz w:val="20"/>
              </w:rPr>
              <w:t>sectoral</w:t>
            </w:r>
            <w:proofErr w:type="spellEnd"/>
            <w:r w:rsidRPr="005B6074">
              <w:rPr>
                <w:rFonts w:ascii="Verdana" w:hAnsi="Verdana"/>
                <w:sz w:val="20"/>
              </w:rPr>
              <w:t xml:space="preserve"> qualification frameworks in the system of vocational education and training and higher education in the context of the National Qualifications Framework of the Republic of Bulgaria;</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addresses SO1 but is not well grounded in the justification of needs.</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 xml:space="preserve">Support for activities under the National Qualifications Framework and under the </w:t>
            </w:r>
            <w:proofErr w:type="spellStart"/>
            <w:r w:rsidRPr="005B6074">
              <w:rPr>
                <w:rFonts w:ascii="Verdana" w:hAnsi="Verdana"/>
                <w:sz w:val="20"/>
              </w:rPr>
              <w:t>sectoral</w:t>
            </w:r>
            <w:proofErr w:type="spellEnd"/>
            <w:r w:rsidRPr="005B6074">
              <w:rPr>
                <w:rFonts w:ascii="Verdana" w:hAnsi="Verdana"/>
                <w:sz w:val="20"/>
              </w:rPr>
              <w:t xml:space="preserve"> qualifications frameworks</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vague as the National Qualifications Framework does not mention any activities. It is not well grounded in the presentation of the needs.</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Widening of the range of research, analyses and impact assessments in the formation of adequate policies for education and lifelong learning;</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addresses SO2 but is not well grounded in the justification of needs.</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 xml:space="preserve">Development of the system of career orientation (information and counselling, advice, competence assessment, mentoring, legal advice, training for decision taking, mastering career management skills) for pupils and students in the system of education; </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relevant to SO2 but is not well grounded in the justification of needs.</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Creation of conditions for information support of the processes of the lifelong learning system.</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addresses SO2 but is not well grounded in the justification of needs.</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Setting up of a functional national system of validation of informal education results and self-learning and fostering its use by all age groups above 16 years;</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relevant to SO2.</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Promotion of lifelong learning among the population as a factor for personal development, sustainable employment and social inclusion;</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relevant to SO2.</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Through integrated measures with the Erasmus + Programme the following activities will be implemented:</w:t>
            </w:r>
          </w:p>
          <w:p w:rsidR="00F24971" w:rsidRPr="00494815" w:rsidRDefault="00A35E98" w:rsidP="00494815">
            <w:pPr>
              <w:spacing w:after="0"/>
              <w:contextualSpacing/>
              <w:jc w:val="both"/>
              <w:rPr>
                <w:rFonts w:ascii="Verdana" w:hAnsi="Verdana"/>
                <w:sz w:val="20"/>
              </w:rPr>
            </w:pPr>
            <w:r w:rsidRPr="005B6074">
              <w:rPr>
                <w:rFonts w:ascii="Verdana" w:hAnsi="Verdana"/>
                <w:sz w:val="20"/>
              </w:rPr>
              <w:t>Mobility aimed at practice of students, PhD students, post-graduate persons and young scientists, including as supplementary financing from other EU mobility programmes;</w:t>
            </w:r>
          </w:p>
          <w:p w:rsidR="00F24971" w:rsidRPr="00494815" w:rsidRDefault="00A35E98" w:rsidP="00494815">
            <w:pPr>
              <w:spacing w:after="0"/>
              <w:contextualSpacing/>
              <w:jc w:val="both"/>
              <w:rPr>
                <w:rFonts w:ascii="Verdana" w:hAnsi="Verdana"/>
                <w:sz w:val="20"/>
              </w:rPr>
            </w:pPr>
            <w:r w:rsidRPr="005B6074">
              <w:rPr>
                <w:rFonts w:ascii="Verdana" w:hAnsi="Verdana"/>
                <w:sz w:val="20"/>
              </w:rPr>
              <w:lastRenderedPageBreak/>
              <w:t>Mobility aimed at practice of pupils from vocational high schools, including as supplementary financing from other EU mobility programmes;</w:t>
            </w:r>
          </w:p>
          <w:p w:rsidR="00F24971" w:rsidRPr="00494815" w:rsidRDefault="00A35E98" w:rsidP="00494815">
            <w:pPr>
              <w:spacing w:after="0"/>
              <w:contextualSpacing/>
              <w:jc w:val="both"/>
              <w:rPr>
                <w:rFonts w:ascii="Verdana" w:hAnsi="Verdana"/>
                <w:sz w:val="20"/>
              </w:rPr>
            </w:pPr>
            <w:r w:rsidRPr="005B6074">
              <w:rPr>
                <w:rFonts w:ascii="Verdana" w:hAnsi="Verdana"/>
                <w:sz w:val="20"/>
              </w:rPr>
              <w:t>Mobility aimed at acquiring key competences of pupils from general education, including as supplementary financing from other EU mobility programmes;</w:t>
            </w:r>
          </w:p>
          <w:p w:rsidR="00F24971" w:rsidRPr="00494815" w:rsidRDefault="00A35E98" w:rsidP="00494815">
            <w:pPr>
              <w:spacing w:after="0"/>
              <w:contextualSpacing/>
              <w:jc w:val="both"/>
              <w:rPr>
                <w:rFonts w:ascii="Verdana" w:hAnsi="Verdana"/>
                <w:sz w:val="20"/>
              </w:rPr>
            </w:pPr>
            <w:r w:rsidRPr="005B6074">
              <w:rPr>
                <w:rFonts w:ascii="Verdana" w:hAnsi="Verdana"/>
                <w:sz w:val="20"/>
              </w:rPr>
              <w:t>Mobility aimed at exchange of experience of PhD students, post-PhD persons, post-graduate persons, professors in higher education and researchers, including as supplementary financing from other EU mobility programmes;</w:t>
            </w:r>
          </w:p>
          <w:p w:rsidR="00F24971" w:rsidRPr="00494815" w:rsidRDefault="00A35E98" w:rsidP="00494815">
            <w:pPr>
              <w:spacing w:after="0"/>
              <w:contextualSpacing/>
              <w:jc w:val="both"/>
              <w:rPr>
                <w:rFonts w:ascii="Verdana" w:hAnsi="Verdana"/>
                <w:sz w:val="20"/>
              </w:rPr>
            </w:pPr>
            <w:r w:rsidRPr="005B6074">
              <w:rPr>
                <w:rFonts w:ascii="Verdana" w:hAnsi="Verdana"/>
                <w:sz w:val="20"/>
              </w:rPr>
              <w:t>Mobility of doctoral candidates, post-PhD persons, post-graduate persons, lecturers in higher education establishments and researchers from foreign European universities and research centres in Bulgaria;</w:t>
            </w:r>
          </w:p>
          <w:p w:rsidR="00F24971" w:rsidRPr="00494815" w:rsidRDefault="00A35E98" w:rsidP="00494815">
            <w:pPr>
              <w:spacing w:after="0"/>
              <w:contextualSpacing/>
              <w:jc w:val="both"/>
              <w:rPr>
                <w:rFonts w:ascii="Verdana" w:hAnsi="Verdana"/>
                <w:sz w:val="20"/>
              </w:rPr>
            </w:pPr>
            <w:r w:rsidRPr="005B6074">
              <w:rPr>
                <w:rFonts w:ascii="Verdana" w:hAnsi="Verdana"/>
                <w:sz w:val="20"/>
              </w:rPr>
              <w:t>Mobility aimed at exchange of know-how of staff in schools and vocational education, including as supplementary financing from other EU mobility programmes.</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lastRenderedPageBreak/>
              <w:t>The activity is relevant to SO1.</w:t>
            </w:r>
          </w:p>
        </w:tc>
      </w:tr>
      <w:tr w:rsidR="00F24971" w:rsidRPr="005B6074" w:rsidTr="00F24971">
        <w:trPr>
          <w:tblCellSpacing w:w="11" w:type="dxa"/>
        </w:trPr>
        <w:tc>
          <w:tcPr>
            <w:tcW w:w="9046" w:type="dxa"/>
            <w:gridSpan w:val="3"/>
            <w:shd w:val="clear" w:color="auto" w:fill="FBD4B4"/>
          </w:tcPr>
          <w:p w:rsidR="00F24971" w:rsidRPr="00494815" w:rsidRDefault="00A35E98" w:rsidP="00494815">
            <w:pPr>
              <w:spacing w:after="0"/>
              <w:contextualSpacing/>
              <w:jc w:val="both"/>
              <w:rPr>
                <w:rFonts w:ascii="Verdana" w:hAnsi="Verdana"/>
                <w:sz w:val="20"/>
              </w:rPr>
            </w:pPr>
            <w:r w:rsidRPr="00494815">
              <w:rPr>
                <w:rFonts w:ascii="Verdana" w:hAnsi="Verdana"/>
                <w:sz w:val="20"/>
              </w:rPr>
              <w:lastRenderedPageBreak/>
              <w:t>Investment Priority 4. Improving the labour market relevance of education and training systems, facilitating the transition from education to work, and strengthening vocational education and training systems and their quality, including through mechanisms for skills anticipation, adaptation of curricula and the establishment and development of work-based learning systems, including dual learning systems and apprenticeship schemes.</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Support for activities related to the application of the credit transfer system in vocational education;</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relevant to SO1.</w:t>
            </w:r>
          </w:p>
        </w:tc>
      </w:tr>
      <w:tr w:rsidR="00F24971" w:rsidRPr="005B6074" w:rsidTr="00F24971">
        <w:trPr>
          <w:tblCellSpacing w:w="11" w:type="dxa"/>
        </w:trPr>
        <w:tc>
          <w:tcPr>
            <w:tcW w:w="5224" w:type="dxa"/>
            <w:gridSpan w:val="2"/>
            <w:shd w:val="clear" w:color="auto" w:fill="auto"/>
          </w:tcPr>
          <w:p w:rsidR="00F24971" w:rsidRPr="00494815" w:rsidRDefault="00A35E98" w:rsidP="00494815">
            <w:pPr>
              <w:spacing w:after="0"/>
              <w:contextualSpacing/>
              <w:jc w:val="both"/>
              <w:rPr>
                <w:rFonts w:ascii="Verdana" w:hAnsi="Verdana"/>
                <w:sz w:val="20"/>
              </w:rPr>
            </w:pPr>
            <w:r w:rsidRPr="005B6074">
              <w:rPr>
                <w:rFonts w:ascii="Verdana" w:hAnsi="Verdana"/>
                <w:sz w:val="20"/>
              </w:rPr>
              <w:t>Introduction of flexible forms of training in vocational education such as module training for acquiring professional qualification and documentation elaborated in cooperation with business representatives;</w:t>
            </w:r>
          </w:p>
        </w:tc>
        <w:tc>
          <w:tcPr>
            <w:tcW w:w="3800" w:type="dxa"/>
            <w:shd w:val="clear" w:color="auto" w:fill="auto"/>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relevant to SO1.</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Support for the activities of learning and training (centres) and/or other forms of learning and training companies;</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relevant to SO1. Some proofreading is needed as it seems that a word has been omitted.</w:t>
            </w:r>
          </w:p>
        </w:tc>
      </w:tr>
      <w:tr w:rsidR="00F24971" w:rsidRPr="005B6074" w:rsidTr="00F24971">
        <w:trPr>
          <w:tblCellSpacing w:w="11" w:type="dxa"/>
        </w:trPr>
        <w:tc>
          <w:tcPr>
            <w:tcW w:w="5224" w:type="dxa"/>
            <w:gridSpan w:val="2"/>
            <w:shd w:val="clear" w:color="auto" w:fill="auto"/>
          </w:tcPr>
          <w:p w:rsidR="00F24971" w:rsidRPr="00494815" w:rsidRDefault="00A35E98" w:rsidP="00494815">
            <w:pPr>
              <w:spacing w:after="0"/>
              <w:contextualSpacing/>
              <w:jc w:val="both"/>
              <w:rPr>
                <w:rFonts w:ascii="Verdana" w:hAnsi="Verdana"/>
                <w:sz w:val="20"/>
              </w:rPr>
            </w:pPr>
            <w:r w:rsidRPr="005B6074">
              <w:rPr>
                <w:rFonts w:ascii="Verdana" w:hAnsi="Verdana"/>
                <w:sz w:val="20"/>
              </w:rPr>
              <w:t>Support of activities introducing or modernising the systems of distance and digital training in school education;</w:t>
            </w:r>
          </w:p>
        </w:tc>
        <w:tc>
          <w:tcPr>
            <w:tcW w:w="3800" w:type="dxa"/>
            <w:shd w:val="clear" w:color="auto" w:fill="auto"/>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relates to SO1 with regard to on-going adult training.</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Fostering ICT training and certification by the application of internationally accepted standards and certificates;</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 xml:space="preserve">The justification does not give a clear idea of the needs for training and even more so for certification in the area of ICT. </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lastRenderedPageBreak/>
              <w:t xml:space="preserve">Maintenance of a national "science-education-business" platform. </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relevant to SO2 but is too vague. It is not grounded in the needs.</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Support for setting up systems of planning of training depending on the labour market needs at national and regional level;</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 xml:space="preserve">The activity is relevant to SO2. </w:t>
            </w:r>
          </w:p>
        </w:tc>
      </w:tr>
      <w:tr w:rsidR="00F24971" w:rsidRPr="005B6074" w:rsidTr="00F24971">
        <w:trPr>
          <w:tblCellSpacing w:w="11" w:type="dxa"/>
        </w:trPr>
        <w:tc>
          <w:tcPr>
            <w:tcW w:w="5224" w:type="dxa"/>
            <w:gridSpan w:val="2"/>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 xml:space="preserve">Fostering of education in engineer and technical sciences and natural sciences as well as in the professions of priority areas of the economy; </w:t>
            </w:r>
          </w:p>
        </w:tc>
        <w:tc>
          <w:tcPr>
            <w:tcW w:w="3800" w:type="dxa"/>
            <w:shd w:val="clear" w:color="auto" w:fill="F2F2F2"/>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may be relevant to SO2 but this does not become clear from the justification of needs.</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Update of curricula in the vocational training with the participation of employers;</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relevant to SO1 and SO2.</w:t>
            </w:r>
          </w:p>
        </w:tc>
      </w:tr>
      <w:tr w:rsidR="00F24971" w:rsidRPr="005B6074" w:rsidTr="00F24971">
        <w:trPr>
          <w:tblCellSpacing w:w="11" w:type="dxa"/>
        </w:trPr>
        <w:tc>
          <w:tcPr>
            <w:tcW w:w="5224" w:type="dxa"/>
            <w:gridSpan w:val="2"/>
            <w:shd w:val="clear" w:color="auto" w:fill="FFFFFF"/>
          </w:tcPr>
          <w:p w:rsidR="00F24971" w:rsidRPr="00494815" w:rsidRDefault="00A35E98" w:rsidP="00494815">
            <w:pPr>
              <w:spacing w:after="0"/>
              <w:contextualSpacing/>
              <w:jc w:val="both"/>
              <w:rPr>
                <w:rFonts w:ascii="Verdana" w:hAnsi="Verdana"/>
                <w:sz w:val="20"/>
              </w:rPr>
            </w:pPr>
            <w:r w:rsidRPr="005B6074">
              <w:rPr>
                <w:rFonts w:ascii="Verdana" w:hAnsi="Verdana"/>
                <w:sz w:val="20"/>
              </w:rPr>
              <w:t>Development and implementation of learning-through-working policies and measures and support for effective practical training in real working environment for pupils from vocational high schools, students and PhD students.</w:t>
            </w:r>
          </w:p>
        </w:tc>
        <w:tc>
          <w:tcPr>
            <w:tcW w:w="3800" w:type="dxa"/>
            <w:shd w:val="clear" w:color="auto" w:fill="FFFFFF"/>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relevant to SO1 and SO2.</w:t>
            </w:r>
          </w:p>
        </w:tc>
      </w:tr>
      <w:tr w:rsidR="00F24971" w:rsidRPr="005B6074" w:rsidTr="00F24971">
        <w:trPr>
          <w:tblCellSpacing w:w="11" w:type="dxa"/>
        </w:trPr>
        <w:tc>
          <w:tcPr>
            <w:tcW w:w="5224" w:type="dxa"/>
            <w:gridSpan w:val="2"/>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Improving of the practical training of pupils form vocational high schools by traineeships in companies.</w:t>
            </w:r>
          </w:p>
        </w:tc>
        <w:tc>
          <w:tcPr>
            <w:tcW w:w="3800" w:type="dxa"/>
            <w:shd w:val="clear" w:color="auto" w:fill="C6D9F1"/>
          </w:tcPr>
          <w:p w:rsidR="00F24971" w:rsidRPr="00494815" w:rsidRDefault="00A35E98" w:rsidP="00494815">
            <w:pPr>
              <w:spacing w:after="0"/>
              <w:contextualSpacing/>
              <w:jc w:val="both"/>
              <w:rPr>
                <w:rFonts w:ascii="Verdana" w:hAnsi="Verdana"/>
                <w:sz w:val="20"/>
              </w:rPr>
            </w:pPr>
            <w:r w:rsidRPr="005B6074">
              <w:rPr>
                <w:rFonts w:ascii="Verdana" w:hAnsi="Verdana"/>
                <w:sz w:val="20"/>
              </w:rPr>
              <w:t>The activity is relevant. It has already been taken into account in the previous activity.</w:t>
            </w:r>
          </w:p>
        </w:tc>
      </w:tr>
    </w:tbl>
    <w:p w:rsidR="00C513B7" w:rsidRPr="005B6074" w:rsidRDefault="00A35E98" w:rsidP="003F75CA">
      <w:pPr>
        <w:keepNext/>
        <w:pBdr>
          <w:bottom w:val="single" w:sz="4" w:space="1" w:color="0070C0"/>
        </w:pBdr>
        <w:spacing w:before="360" w:after="120"/>
        <w:jc w:val="both"/>
        <w:rPr>
          <w:rFonts w:ascii="Verdana" w:hAnsi="Verdana"/>
          <w:color w:val="0070C0"/>
          <w:sz w:val="20"/>
        </w:rPr>
      </w:pPr>
      <w:r w:rsidRPr="005B6074">
        <w:rPr>
          <w:rFonts w:ascii="Verdana" w:hAnsi="Verdana"/>
          <w:color w:val="0070C0"/>
          <w:sz w:val="20"/>
        </w:rPr>
        <w:t>PA3. Educational environment for active social inclusion</w:t>
      </w:r>
    </w:p>
    <w:p w:rsidR="00C513B7" w:rsidRPr="005B6074" w:rsidRDefault="00A35E98" w:rsidP="00C513B7">
      <w:pPr>
        <w:pStyle w:val="BodyText"/>
        <w:keepNext/>
        <w:tabs>
          <w:tab w:val="left" w:pos="0"/>
          <w:tab w:val="right" w:pos="9214"/>
        </w:tabs>
        <w:spacing w:before="240" w:line="276" w:lineRule="auto"/>
        <w:jc w:val="both"/>
        <w:rPr>
          <w:rFonts w:ascii="Verdana" w:hAnsi="Verdana"/>
          <w:sz w:val="20"/>
          <w:szCs w:val="20"/>
        </w:rPr>
      </w:pPr>
      <w:bookmarkStart w:id="126" w:name="_Toc390257079"/>
      <w:bookmarkStart w:id="127" w:name="_Toc396225618"/>
      <w:r w:rsidRPr="005B6074">
        <w:rPr>
          <w:rFonts w:ascii="Verdana" w:hAnsi="Verdana"/>
          <w:b/>
          <w:color w:val="548DD4" w:themeColor="text2" w:themeTint="99"/>
          <w:sz w:val="20"/>
          <w:szCs w:val="20"/>
        </w:rPr>
        <w:t xml:space="preserve">Table </w:t>
      </w:r>
      <w:r w:rsidRPr="005B6074">
        <w:rPr>
          <w:rFonts w:ascii="Verdana" w:hAnsi="Verdana"/>
          <w:b/>
          <w:color w:val="548DD4" w:themeColor="text2" w:themeTint="99"/>
          <w:sz w:val="20"/>
          <w:szCs w:val="20"/>
        </w:rPr>
        <w:fldChar w:fldCharType="begin"/>
      </w:r>
      <w:r w:rsidRPr="005B6074">
        <w:rPr>
          <w:rFonts w:ascii="Verdana" w:hAnsi="Verdana"/>
          <w:b/>
          <w:color w:val="548DD4" w:themeColor="text2" w:themeTint="99"/>
          <w:sz w:val="20"/>
          <w:szCs w:val="20"/>
        </w:rPr>
        <w:instrText xml:space="preserve"> SEQ таблица \* ARABIC </w:instrText>
      </w:r>
      <w:r w:rsidRPr="005B6074">
        <w:rPr>
          <w:rFonts w:ascii="Verdana" w:hAnsi="Verdana"/>
          <w:b/>
          <w:color w:val="548DD4" w:themeColor="text2" w:themeTint="99"/>
          <w:sz w:val="20"/>
          <w:szCs w:val="20"/>
        </w:rPr>
        <w:fldChar w:fldCharType="separate"/>
      </w:r>
      <w:r w:rsidR="009330F5">
        <w:rPr>
          <w:rFonts w:ascii="Verdana" w:hAnsi="Verdana"/>
          <w:b/>
          <w:noProof/>
          <w:color w:val="548DD4" w:themeColor="text2" w:themeTint="99"/>
          <w:sz w:val="20"/>
          <w:szCs w:val="20"/>
        </w:rPr>
        <w:t>23</w:t>
      </w:r>
      <w:r w:rsidRPr="005B6074">
        <w:rPr>
          <w:rFonts w:ascii="Verdana" w:hAnsi="Verdana"/>
          <w:b/>
          <w:color w:val="548DD4" w:themeColor="text2" w:themeTint="99"/>
          <w:sz w:val="20"/>
          <w:szCs w:val="20"/>
        </w:rPr>
        <w:fldChar w:fldCharType="end"/>
      </w:r>
      <w:r w:rsidRPr="005B6074">
        <w:rPr>
          <w:rFonts w:ascii="Verdana" w:hAnsi="Verdana"/>
          <w:b/>
          <w:color w:val="548DD4" w:themeColor="text2" w:themeTint="99"/>
          <w:sz w:val="20"/>
          <w:szCs w:val="20"/>
        </w:rPr>
        <w:t xml:space="preserve">. PA3 – </w:t>
      </w:r>
      <w:bookmarkEnd w:id="126"/>
      <w:r w:rsidRPr="005B6074">
        <w:rPr>
          <w:rFonts w:ascii="Verdana" w:hAnsi="Verdana"/>
          <w:b/>
          <w:color w:val="548DD4" w:themeColor="text2" w:themeTint="99"/>
          <w:sz w:val="20"/>
          <w:szCs w:val="20"/>
        </w:rPr>
        <w:t>Analysis of the activities</w:t>
      </w:r>
      <w:bookmarkEnd w:id="127"/>
    </w:p>
    <w:tbl>
      <w:tblPr>
        <w:tblW w:w="0" w:type="auto"/>
        <w:tblCellSpacing w:w="11" w:type="dxa"/>
        <w:tblInd w:w="130" w:type="dxa"/>
        <w:tblLook w:val="04A0" w:firstRow="1" w:lastRow="0" w:firstColumn="1" w:lastColumn="0" w:noHBand="0" w:noVBand="1"/>
      </w:tblPr>
      <w:tblGrid>
        <w:gridCol w:w="5184"/>
        <w:gridCol w:w="3776"/>
      </w:tblGrid>
      <w:tr w:rsidR="00C513B7" w:rsidRPr="005B6074" w:rsidTr="00F24971">
        <w:trPr>
          <w:tblCellSpacing w:w="11" w:type="dxa"/>
        </w:trPr>
        <w:tc>
          <w:tcPr>
            <w:tcW w:w="5224" w:type="dxa"/>
            <w:shd w:val="clear" w:color="auto" w:fill="548DD4" w:themeFill="text2" w:themeFillTint="99"/>
          </w:tcPr>
          <w:p w:rsidR="00C513B7" w:rsidRPr="00FA49EF" w:rsidRDefault="00A35E98" w:rsidP="00FA49EF">
            <w:pPr>
              <w:jc w:val="center"/>
              <w:rPr>
                <w:rFonts w:ascii="Verdana" w:hAnsi="Verdana"/>
                <w:b/>
                <w:color w:val="FFFFFF" w:themeColor="background1"/>
                <w:sz w:val="18"/>
                <w:szCs w:val="18"/>
              </w:rPr>
            </w:pPr>
            <w:r w:rsidRPr="00FA49EF">
              <w:rPr>
                <w:rFonts w:ascii="Verdana" w:hAnsi="Verdana"/>
                <w:b/>
                <w:color w:val="FFFFFF" w:themeColor="background1"/>
                <w:sz w:val="18"/>
                <w:szCs w:val="18"/>
              </w:rPr>
              <w:t>Foreseen measures/activities</w:t>
            </w:r>
          </w:p>
        </w:tc>
        <w:tc>
          <w:tcPr>
            <w:tcW w:w="3800" w:type="dxa"/>
            <w:shd w:val="clear" w:color="auto" w:fill="548DD4" w:themeFill="text2" w:themeFillTint="99"/>
          </w:tcPr>
          <w:p w:rsidR="00C513B7" w:rsidRPr="00FA49EF" w:rsidRDefault="00A35E98" w:rsidP="00FA49EF">
            <w:pPr>
              <w:jc w:val="center"/>
              <w:rPr>
                <w:rFonts w:ascii="Verdana" w:hAnsi="Verdana"/>
                <w:b/>
                <w:color w:val="FFFFFF" w:themeColor="background1"/>
                <w:sz w:val="18"/>
                <w:szCs w:val="18"/>
              </w:rPr>
            </w:pPr>
            <w:r w:rsidRPr="00FA49EF">
              <w:rPr>
                <w:rFonts w:ascii="Verdana" w:hAnsi="Verdana"/>
                <w:b/>
                <w:color w:val="FFFFFF" w:themeColor="background1"/>
                <w:sz w:val="18"/>
                <w:szCs w:val="18"/>
              </w:rPr>
              <w:t>Adequacy</w:t>
            </w:r>
          </w:p>
        </w:tc>
      </w:tr>
      <w:tr w:rsidR="00C513B7" w:rsidRPr="00494815" w:rsidTr="00F24971">
        <w:trPr>
          <w:tblCellSpacing w:w="11" w:type="dxa"/>
        </w:trPr>
        <w:tc>
          <w:tcPr>
            <w:tcW w:w="9046" w:type="dxa"/>
            <w:gridSpan w:val="2"/>
            <w:shd w:val="clear" w:color="auto" w:fill="FBD4B4" w:themeFill="accent6" w:themeFillTint="66"/>
          </w:tcPr>
          <w:p w:rsidR="00C513B7" w:rsidRPr="00494815" w:rsidRDefault="00A35E98" w:rsidP="00494815">
            <w:pPr>
              <w:spacing w:after="0"/>
              <w:rPr>
                <w:rFonts w:ascii="Verdana" w:hAnsi="Verdana"/>
                <w:sz w:val="20"/>
                <w:szCs w:val="20"/>
              </w:rPr>
            </w:pPr>
            <w:r w:rsidRPr="00494815">
              <w:rPr>
                <w:rFonts w:ascii="Verdana" w:hAnsi="Verdana"/>
                <w:b/>
                <w:sz w:val="20"/>
                <w:szCs w:val="20"/>
              </w:rPr>
              <w:t>Investment priority 1</w:t>
            </w:r>
            <w:r w:rsidRPr="00494815">
              <w:rPr>
                <w:rFonts w:ascii="Verdana" w:hAnsi="Verdana"/>
                <w:b/>
                <w:i/>
                <w:sz w:val="20"/>
                <w:szCs w:val="20"/>
              </w:rPr>
              <w:t xml:space="preserve">: </w:t>
            </w:r>
            <w:r w:rsidRPr="00494815">
              <w:rPr>
                <w:rFonts w:ascii="Verdana" w:hAnsi="Verdana"/>
                <w:i/>
                <w:sz w:val="20"/>
                <w:szCs w:val="20"/>
              </w:rPr>
              <w:t>Active inclusion, inter alia with a view to promoting equal opportunities, active participation and better employability.</w:t>
            </w:r>
          </w:p>
        </w:tc>
      </w:tr>
      <w:tr w:rsidR="00C513B7" w:rsidRPr="005B6074" w:rsidTr="00F24971">
        <w:trPr>
          <w:tblCellSpacing w:w="11" w:type="dxa"/>
        </w:trPr>
        <w:tc>
          <w:tcPr>
            <w:tcW w:w="5224"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Introducing a model of early assessment of the educational needs of children at pre-school age and of prevention and early interventions focusing on their learning difficulties;</w:t>
            </w:r>
          </w:p>
        </w:tc>
        <w:tc>
          <w:tcPr>
            <w:tcW w:w="3800"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will help in identifying the individual needs and in undertaking early preventive measures addressing the learning difficulties, thus contributing to the attainment of the two specific objectives.</w:t>
            </w:r>
          </w:p>
        </w:tc>
      </w:tr>
      <w:tr w:rsidR="00C513B7" w:rsidRPr="005B6074" w:rsidTr="00F24971">
        <w:trPr>
          <w:tblCellSpacing w:w="11" w:type="dxa"/>
        </w:trPr>
        <w:tc>
          <w:tcPr>
            <w:tcW w:w="5224"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Putting in place of a functional model of support to the inclusive education process by involving and utilizing the capacity of the special schools for students with sensory disabilities and mentally retarded ones. </w:t>
            </w:r>
          </w:p>
        </w:tc>
        <w:tc>
          <w:tcPr>
            <w:tcW w:w="3800"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corresponds to and will contribute to achieving SO 1.</w:t>
            </w:r>
          </w:p>
        </w:tc>
      </w:tr>
      <w:tr w:rsidR="00C513B7" w:rsidRPr="005B6074" w:rsidTr="00F24971">
        <w:trPr>
          <w:tblCellSpacing w:w="11" w:type="dxa"/>
        </w:trPr>
        <w:tc>
          <w:tcPr>
            <w:tcW w:w="5224"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Ensuring conditions and resources for building and developing enabling environment in kindergartens and schools for inclusive education by: raising the capacity of the pedagogical specialists and promoting team work; introducing flexible training forms; ensuring specialized </w:t>
            </w:r>
            <w:r w:rsidRPr="00494815">
              <w:rPr>
                <w:rFonts w:ascii="Verdana" w:hAnsi="Verdana"/>
                <w:sz w:val="20"/>
              </w:rPr>
              <w:lastRenderedPageBreak/>
              <w:t xml:space="preserve">teaching aids and books; rendering individual support to education and development of the children and students in accordance with their specific needs, etc.; </w:t>
            </w:r>
          </w:p>
        </w:tc>
        <w:tc>
          <w:tcPr>
            <w:tcW w:w="3800"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lastRenderedPageBreak/>
              <w:t>The activity is in concordance with and will contribute to the achievement of SO1.</w:t>
            </w:r>
          </w:p>
        </w:tc>
      </w:tr>
      <w:tr w:rsidR="00C513B7" w:rsidRPr="005B6074" w:rsidTr="00F24971">
        <w:trPr>
          <w:tblCellSpacing w:w="11" w:type="dxa"/>
        </w:trPr>
        <w:tc>
          <w:tcPr>
            <w:tcW w:w="5224"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lastRenderedPageBreak/>
              <w:t>Creating specialized consulting rooms for work with the children and students in kindergartens and schools;</w:t>
            </w:r>
          </w:p>
        </w:tc>
        <w:tc>
          <w:tcPr>
            <w:tcW w:w="3800"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corresponds to the two specific objectives.</w:t>
            </w:r>
          </w:p>
        </w:tc>
      </w:tr>
      <w:tr w:rsidR="00C513B7" w:rsidRPr="005B6074" w:rsidTr="00F24971">
        <w:trPr>
          <w:tblCellSpacing w:w="11" w:type="dxa"/>
        </w:trPr>
        <w:tc>
          <w:tcPr>
            <w:tcW w:w="5224"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Ensuring conditions for support to be rendered to young people with disabilities to apply for enrolment in higher educational institutes;</w:t>
            </w:r>
          </w:p>
        </w:tc>
        <w:tc>
          <w:tcPr>
            <w:tcW w:w="3800"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will contribute to achieving SO1.</w:t>
            </w:r>
          </w:p>
        </w:tc>
      </w:tr>
      <w:tr w:rsidR="00C513B7" w:rsidRPr="005B6074" w:rsidTr="00F24971">
        <w:trPr>
          <w:tblCellSpacing w:w="11" w:type="dxa"/>
        </w:trPr>
        <w:tc>
          <w:tcPr>
            <w:tcW w:w="5224"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Assistance to students with deviant behaviour to continue their education and achieve social inclusion; </w:t>
            </w:r>
          </w:p>
        </w:tc>
        <w:tc>
          <w:tcPr>
            <w:tcW w:w="3800"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will help in achieving the two specific objectives</w:t>
            </w:r>
          </w:p>
        </w:tc>
      </w:tr>
      <w:tr w:rsidR="00C513B7" w:rsidRPr="005B6074" w:rsidTr="00F24971">
        <w:trPr>
          <w:tblCellSpacing w:w="11" w:type="dxa"/>
        </w:trPr>
        <w:tc>
          <w:tcPr>
            <w:tcW w:w="5224"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Support to the education of undergraduate, graduate and PhD students with disabilities;</w:t>
            </w:r>
          </w:p>
        </w:tc>
        <w:tc>
          <w:tcPr>
            <w:tcW w:w="3800"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will help in achieving SO1.</w:t>
            </w:r>
          </w:p>
        </w:tc>
      </w:tr>
      <w:tr w:rsidR="00C513B7" w:rsidRPr="005B6074" w:rsidTr="00F24971">
        <w:trPr>
          <w:tblCellSpacing w:w="11" w:type="dxa"/>
        </w:trPr>
        <w:tc>
          <w:tcPr>
            <w:tcW w:w="5224"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Ensuring conditions for creating positive public attitudes to the inclusive education process in kindergartens and schools; </w:t>
            </w:r>
          </w:p>
        </w:tc>
        <w:tc>
          <w:tcPr>
            <w:tcW w:w="3800"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supports indirectly the achievement of SO1, but the causes and problems it addresses are not specified in the justification of needs.</w:t>
            </w:r>
          </w:p>
        </w:tc>
      </w:tr>
      <w:tr w:rsidR="00C513B7" w:rsidRPr="005B6074" w:rsidTr="00F24971">
        <w:trPr>
          <w:tblCellSpacing w:w="11" w:type="dxa"/>
        </w:trPr>
        <w:tc>
          <w:tcPr>
            <w:tcW w:w="5224"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Support for the inclusive education process and for social inclusion by optimizing the network of special kindergartens and schools;</w:t>
            </w:r>
          </w:p>
        </w:tc>
        <w:tc>
          <w:tcPr>
            <w:tcW w:w="3800"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supports SO1, causes and problems it addresses are not specified in the justification of needs.</w:t>
            </w:r>
          </w:p>
        </w:tc>
      </w:tr>
      <w:tr w:rsidR="00C513B7" w:rsidRPr="005B6074" w:rsidTr="00F24971">
        <w:trPr>
          <w:tblCellSpacing w:w="11" w:type="dxa"/>
        </w:trPr>
        <w:tc>
          <w:tcPr>
            <w:tcW w:w="5224"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Implementing alternative models of work with students with deviant behaviour in order to assist their education and social inclusion;</w:t>
            </w:r>
          </w:p>
        </w:tc>
        <w:tc>
          <w:tcPr>
            <w:tcW w:w="3800"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relevant, but to big extent it overlaps with the above mentioned activity: „Assistance to students with deviant behaviour to continue their education and achieve social inclusion “</w:t>
            </w:r>
          </w:p>
        </w:tc>
      </w:tr>
      <w:tr w:rsidR="00C513B7" w:rsidRPr="005B6074" w:rsidTr="00F24971">
        <w:trPr>
          <w:tblCellSpacing w:w="11" w:type="dxa"/>
        </w:trPr>
        <w:tc>
          <w:tcPr>
            <w:tcW w:w="5224"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Providing assistance to children included in the deinstitutionalization process;</w:t>
            </w:r>
          </w:p>
        </w:tc>
        <w:tc>
          <w:tcPr>
            <w:tcW w:w="3800"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adequate and it will assist in achieving the specific objectives.</w:t>
            </w:r>
          </w:p>
        </w:tc>
      </w:tr>
      <w:tr w:rsidR="00C513B7" w:rsidRPr="005B6074" w:rsidTr="00F24971">
        <w:trPr>
          <w:tblCellSpacing w:w="11" w:type="dxa"/>
        </w:trPr>
        <w:tc>
          <w:tcPr>
            <w:tcW w:w="5224"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Creating conditions for active partnership with the parents at the kindergarten and school level; </w:t>
            </w:r>
          </w:p>
        </w:tc>
        <w:tc>
          <w:tcPr>
            <w:tcW w:w="3800"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adequate and it will assist in achieving the specific objectives.</w:t>
            </w:r>
          </w:p>
        </w:tc>
      </w:tr>
      <w:tr w:rsidR="00C513B7" w:rsidRPr="005B6074" w:rsidTr="00F24971">
        <w:trPr>
          <w:tblCellSpacing w:w="11" w:type="dxa"/>
        </w:trPr>
        <w:tc>
          <w:tcPr>
            <w:tcW w:w="5224"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Creation of conditions for full-day organization of the education.</w:t>
            </w:r>
          </w:p>
        </w:tc>
        <w:tc>
          <w:tcPr>
            <w:tcW w:w="3800"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will contribute to achieving SO2.</w:t>
            </w:r>
          </w:p>
        </w:tc>
      </w:tr>
      <w:tr w:rsidR="00C513B7" w:rsidRPr="005B6074" w:rsidTr="00F24971">
        <w:trPr>
          <w:tblCellSpacing w:w="11" w:type="dxa"/>
        </w:trPr>
        <w:tc>
          <w:tcPr>
            <w:tcW w:w="9046" w:type="dxa"/>
            <w:gridSpan w:val="2"/>
            <w:shd w:val="clear" w:color="auto" w:fill="FBD4B4" w:themeFill="accent6" w:themeFillTint="66"/>
          </w:tcPr>
          <w:p w:rsidR="00C513B7" w:rsidRPr="005B6074" w:rsidRDefault="00A35E98" w:rsidP="00494815">
            <w:pPr>
              <w:spacing w:after="0"/>
              <w:rPr>
                <w:rFonts w:ascii="Verdana" w:hAnsi="Verdana"/>
                <w:i/>
                <w:sz w:val="20"/>
                <w:szCs w:val="20"/>
              </w:rPr>
            </w:pPr>
            <w:r w:rsidRPr="005B6074">
              <w:rPr>
                <w:rFonts w:ascii="Verdana" w:hAnsi="Verdana"/>
                <w:b/>
                <w:sz w:val="20"/>
                <w:szCs w:val="20"/>
              </w:rPr>
              <w:t xml:space="preserve">Investment priority 2: </w:t>
            </w:r>
            <w:r w:rsidRPr="00494815">
              <w:rPr>
                <w:rFonts w:ascii="Verdana" w:hAnsi="Verdana"/>
                <w:i/>
                <w:sz w:val="20"/>
                <w:szCs w:val="20"/>
              </w:rPr>
              <w:t>Socio-economic integration of marginalized communities, such as the Roma community.</w:t>
            </w:r>
            <w:r w:rsidRPr="005B6074">
              <w:rPr>
                <w:rFonts w:ascii="Verdana" w:hAnsi="Verdana"/>
                <w:i/>
                <w:sz w:val="20"/>
                <w:szCs w:val="20"/>
              </w:rPr>
              <w:t xml:space="preserve"> </w:t>
            </w:r>
          </w:p>
        </w:tc>
      </w:tr>
      <w:tr w:rsidR="00C513B7" w:rsidRPr="005B6074" w:rsidTr="00F24971">
        <w:trPr>
          <w:tblCellSpacing w:w="11" w:type="dxa"/>
        </w:trPr>
        <w:tc>
          <w:tcPr>
            <w:tcW w:w="5224"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Additional education in Bulgarian language for children and students for whom the Bulgarian is not the mother tongue;</w:t>
            </w:r>
          </w:p>
        </w:tc>
        <w:tc>
          <w:tcPr>
            <w:tcW w:w="3800"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appropriate for achieving the specific objective.</w:t>
            </w:r>
          </w:p>
        </w:tc>
      </w:tr>
      <w:tr w:rsidR="00C513B7" w:rsidRPr="005B6074" w:rsidTr="00F24971">
        <w:trPr>
          <w:tblCellSpacing w:w="11" w:type="dxa"/>
        </w:trPr>
        <w:tc>
          <w:tcPr>
            <w:tcW w:w="5224"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Raising the capacity of the pedagogical specialists to work in a multi-cultural environment;</w:t>
            </w:r>
          </w:p>
        </w:tc>
        <w:tc>
          <w:tcPr>
            <w:tcW w:w="3800"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appropriate for achieving the specific objective.</w:t>
            </w:r>
          </w:p>
        </w:tc>
      </w:tr>
      <w:tr w:rsidR="00C513B7" w:rsidRPr="005B6074" w:rsidTr="00F24971">
        <w:trPr>
          <w:tblCellSpacing w:w="11" w:type="dxa"/>
        </w:trPr>
        <w:tc>
          <w:tcPr>
            <w:tcW w:w="5224"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lastRenderedPageBreak/>
              <w:t>Ensuring an appropriate educational environment for inclusion of the Roma children from the segregated kindergartens and schools by gradually moving them to schools outside the Roma neighbourhoods;</w:t>
            </w:r>
          </w:p>
        </w:tc>
        <w:tc>
          <w:tcPr>
            <w:tcW w:w="3800"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appropriate for achieving the specific objective.</w:t>
            </w:r>
          </w:p>
        </w:tc>
      </w:tr>
      <w:tr w:rsidR="00C513B7" w:rsidRPr="005B6074" w:rsidTr="00F24971">
        <w:trPr>
          <w:tblCellSpacing w:w="11" w:type="dxa"/>
        </w:trPr>
        <w:tc>
          <w:tcPr>
            <w:tcW w:w="5224" w:type="dxa"/>
            <w:shd w:val="clear" w:color="auto" w:fill="auto"/>
          </w:tcPr>
          <w:p w:rsidR="00C513B7" w:rsidRPr="00494815" w:rsidRDefault="00A35E98" w:rsidP="00494815">
            <w:pPr>
              <w:spacing w:after="0"/>
              <w:contextualSpacing/>
              <w:jc w:val="both"/>
              <w:rPr>
                <w:rFonts w:ascii="Verdana" w:hAnsi="Verdana"/>
                <w:sz w:val="20"/>
              </w:rPr>
            </w:pPr>
            <w:r w:rsidRPr="00494815">
              <w:rPr>
                <w:rFonts w:ascii="Verdana" w:hAnsi="Verdana"/>
                <w:sz w:val="20"/>
              </w:rPr>
              <w:t>Rendering support to the process of educational integration and social inclusion by optimizing the network of kindergartens and schools;</w:t>
            </w:r>
          </w:p>
        </w:tc>
        <w:tc>
          <w:tcPr>
            <w:tcW w:w="3800" w:type="dxa"/>
            <w:shd w:val="clear" w:color="auto" w:fill="auto"/>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not clear.</w:t>
            </w:r>
          </w:p>
        </w:tc>
      </w:tr>
      <w:tr w:rsidR="00C513B7" w:rsidRPr="005B6074" w:rsidTr="00F24971">
        <w:trPr>
          <w:tblCellSpacing w:w="11" w:type="dxa"/>
        </w:trPr>
        <w:tc>
          <w:tcPr>
            <w:tcW w:w="5224"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Rendering support to the Roma families to enrol their children in kindergartens at the age of 3 years with a view to their early socialization;</w:t>
            </w:r>
          </w:p>
        </w:tc>
        <w:tc>
          <w:tcPr>
            <w:tcW w:w="3800"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The activity is relevant, but it is not clear what exactly the support will be. The problems need to be better tackled in the justification of the specific objective, and the integrated measures with OPHRD should be referred to. </w:t>
            </w:r>
          </w:p>
        </w:tc>
      </w:tr>
      <w:tr w:rsidR="00C513B7" w:rsidRPr="005B6074" w:rsidTr="00F24971">
        <w:trPr>
          <w:tblCellSpacing w:w="11" w:type="dxa"/>
        </w:trPr>
        <w:tc>
          <w:tcPr>
            <w:tcW w:w="5224" w:type="dxa"/>
            <w:shd w:val="clear" w:color="auto" w:fill="auto"/>
          </w:tcPr>
          <w:p w:rsidR="00C513B7" w:rsidRPr="00494815" w:rsidRDefault="00A35E98" w:rsidP="00494815">
            <w:pPr>
              <w:spacing w:after="0"/>
              <w:contextualSpacing/>
              <w:jc w:val="both"/>
              <w:rPr>
                <w:rFonts w:ascii="Verdana" w:hAnsi="Verdana"/>
                <w:sz w:val="20"/>
              </w:rPr>
            </w:pPr>
            <w:r w:rsidRPr="00494815">
              <w:rPr>
                <w:rFonts w:ascii="Verdana" w:hAnsi="Verdana"/>
                <w:sz w:val="20"/>
              </w:rPr>
              <w:t>Rendering support to the students to continue their education at the high school and university level;</w:t>
            </w:r>
          </w:p>
        </w:tc>
        <w:tc>
          <w:tcPr>
            <w:tcW w:w="3800" w:type="dxa"/>
            <w:shd w:val="clear" w:color="auto" w:fill="auto"/>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appropriate for the specific objective.</w:t>
            </w:r>
          </w:p>
        </w:tc>
      </w:tr>
      <w:tr w:rsidR="00C513B7" w:rsidRPr="005B6074" w:rsidTr="00F24971">
        <w:trPr>
          <w:tblCellSpacing w:w="11" w:type="dxa"/>
        </w:trPr>
        <w:tc>
          <w:tcPr>
            <w:tcW w:w="5224"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Support for building and preserving the cultural identity of the children and students from the ethnic minorities, including by creating conditions for studying their mother tongue;</w:t>
            </w:r>
          </w:p>
        </w:tc>
        <w:tc>
          <w:tcPr>
            <w:tcW w:w="3800"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appropriate for the specific objective.</w:t>
            </w:r>
          </w:p>
        </w:tc>
      </w:tr>
      <w:tr w:rsidR="00C513B7" w:rsidRPr="005B6074" w:rsidTr="00F24971">
        <w:trPr>
          <w:tblCellSpacing w:w="11" w:type="dxa"/>
        </w:trPr>
        <w:tc>
          <w:tcPr>
            <w:tcW w:w="5224" w:type="dxa"/>
            <w:shd w:val="clear" w:color="auto" w:fill="auto"/>
          </w:tcPr>
          <w:p w:rsidR="00C513B7" w:rsidRPr="00494815" w:rsidRDefault="00A35E98" w:rsidP="00494815">
            <w:pPr>
              <w:spacing w:after="0"/>
              <w:contextualSpacing/>
              <w:jc w:val="both"/>
              <w:rPr>
                <w:rFonts w:ascii="Verdana" w:hAnsi="Verdana"/>
                <w:sz w:val="20"/>
              </w:rPr>
            </w:pPr>
            <w:r w:rsidRPr="00494815">
              <w:rPr>
                <w:rFonts w:ascii="Verdana" w:hAnsi="Verdana"/>
                <w:sz w:val="20"/>
              </w:rPr>
              <w:t>Ensuring conditions and resources for encompassing the children from the ethnic minorities in the full-day organization of the educational process;</w:t>
            </w:r>
          </w:p>
        </w:tc>
        <w:tc>
          <w:tcPr>
            <w:tcW w:w="3800" w:type="dxa"/>
            <w:shd w:val="clear" w:color="auto" w:fill="auto"/>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not clear. Given that it is foreseen to desegregate them, and given that the full-day organization of the school process is ensured for all students in grades 1 through 4, then why should we include a specific activity for the children from the ethnic minorities?</w:t>
            </w:r>
          </w:p>
        </w:tc>
      </w:tr>
      <w:tr w:rsidR="00C513B7" w:rsidRPr="005B6074" w:rsidTr="00F24971">
        <w:trPr>
          <w:tblCellSpacing w:w="11" w:type="dxa"/>
        </w:trPr>
        <w:tc>
          <w:tcPr>
            <w:tcW w:w="5224"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Establishing the inter-cultural education as an inseparable part of the process of modernization of the educational system in Bulgaria;</w:t>
            </w:r>
          </w:p>
        </w:tc>
        <w:tc>
          <w:tcPr>
            <w:tcW w:w="3800"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too general and is not clear.</w:t>
            </w:r>
          </w:p>
        </w:tc>
      </w:tr>
      <w:tr w:rsidR="00C513B7" w:rsidRPr="005B6074" w:rsidTr="00F24971">
        <w:trPr>
          <w:tblCellSpacing w:w="11" w:type="dxa"/>
        </w:trPr>
        <w:tc>
          <w:tcPr>
            <w:tcW w:w="5224" w:type="dxa"/>
            <w:shd w:val="clear" w:color="auto" w:fill="auto"/>
          </w:tcPr>
          <w:p w:rsidR="00C513B7" w:rsidRPr="00494815" w:rsidRDefault="00A35E98" w:rsidP="00494815">
            <w:pPr>
              <w:spacing w:after="0"/>
              <w:contextualSpacing/>
              <w:jc w:val="both"/>
              <w:rPr>
                <w:rFonts w:ascii="Verdana" w:hAnsi="Verdana"/>
                <w:sz w:val="20"/>
              </w:rPr>
            </w:pPr>
            <w:r w:rsidRPr="00494815">
              <w:rPr>
                <w:rFonts w:ascii="Verdana" w:hAnsi="Verdana"/>
                <w:sz w:val="20"/>
              </w:rPr>
              <w:t>Promoting the participation of parents in the educational process;</w:t>
            </w:r>
          </w:p>
        </w:tc>
        <w:tc>
          <w:tcPr>
            <w:tcW w:w="3800" w:type="dxa"/>
            <w:shd w:val="clear" w:color="auto" w:fill="auto"/>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A similar activity is foreseen in IP 1 of PA2. It is not clear therefore why such a specific activity for parents from the ethnic minorities has to be foreseen, once they are also included under IP1, unless it is some kind of more specific support and integrated projects with OPHRD that are envisaged. </w:t>
            </w:r>
          </w:p>
        </w:tc>
      </w:tr>
      <w:tr w:rsidR="00C513B7" w:rsidRPr="005B6074" w:rsidTr="00F24971">
        <w:trPr>
          <w:tblCellSpacing w:w="11" w:type="dxa"/>
        </w:trPr>
        <w:tc>
          <w:tcPr>
            <w:tcW w:w="5224"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Overcoming of the negative public attitudes, based on ethnic background and cultural identity.</w:t>
            </w:r>
          </w:p>
        </w:tc>
        <w:tc>
          <w:tcPr>
            <w:tcW w:w="3800"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appropriate, but it is not covered in the justification of the needs.</w:t>
            </w:r>
          </w:p>
        </w:tc>
      </w:tr>
    </w:tbl>
    <w:p w:rsidR="00C513B7" w:rsidRPr="005B6074" w:rsidRDefault="00A35E98" w:rsidP="00C513B7">
      <w:pPr>
        <w:keepNext/>
        <w:pBdr>
          <w:bottom w:val="single" w:sz="4" w:space="1" w:color="0070C0"/>
        </w:pBdr>
        <w:spacing w:before="360" w:after="120"/>
        <w:jc w:val="both"/>
        <w:rPr>
          <w:rFonts w:ascii="Verdana" w:hAnsi="Verdana"/>
          <w:color w:val="0070C0"/>
          <w:sz w:val="20"/>
          <w:szCs w:val="20"/>
          <w:lang w:eastAsia="cs-CZ"/>
        </w:rPr>
      </w:pPr>
      <w:r w:rsidRPr="005B6074">
        <w:rPr>
          <w:rFonts w:ascii="Verdana" w:hAnsi="Verdana"/>
          <w:color w:val="0070C0"/>
          <w:sz w:val="20"/>
          <w:szCs w:val="20"/>
          <w:lang w:eastAsia="cs-CZ"/>
        </w:rPr>
        <w:lastRenderedPageBreak/>
        <w:t>PA4. Technical assistance</w:t>
      </w:r>
    </w:p>
    <w:p w:rsidR="00C513B7" w:rsidRPr="005B6074" w:rsidRDefault="00A35E98" w:rsidP="00C513B7">
      <w:pPr>
        <w:pStyle w:val="BodyText"/>
        <w:keepNext/>
        <w:tabs>
          <w:tab w:val="left" w:pos="0"/>
          <w:tab w:val="right" w:pos="9214"/>
        </w:tabs>
        <w:spacing w:before="240" w:line="276" w:lineRule="auto"/>
        <w:jc w:val="both"/>
        <w:rPr>
          <w:rFonts w:ascii="Verdana" w:hAnsi="Verdana"/>
          <w:sz w:val="20"/>
          <w:szCs w:val="20"/>
        </w:rPr>
      </w:pPr>
      <w:bookmarkStart w:id="128" w:name="_Toc390257080"/>
      <w:bookmarkStart w:id="129" w:name="_Toc396225619"/>
      <w:r w:rsidRPr="005B6074">
        <w:rPr>
          <w:rFonts w:ascii="Verdana" w:hAnsi="Verdana"/>
          <w:b/>
          <w:color w:val="548DD4" w:themeColor="text2" w:themeTint="99"/>
          <w:sz w:val="20"/>
          <w:szCs w:val="20"/>
        </w:rPr>
        <w:t xml:space="preserve">Table </w:t>
      </w:r>
      <w:r w:rsidRPr="005B6074">
        <w:rPr>
          <w:rFonts w:ascii="Verdana" w:hAnsi="Verdana"/>
          <w:b/>
          <w:color w:val="548DD4" w:themeColor="text2" w:themeTint="99"/>
          <w:sz w:val="20"/>
          <w:szCs w:val="20"/>
        </w:rPr>
        <w:fldChar w:fldCharType="begin"/>
      </w:r>
      <w:r w:rsidRPr="005B6074">
        <w:rPr>
          <w:rFonts w:ascii="Verdana" w:hAnsi="Verdana"/>
          <w:b/>
          <w:color w:val="548DD4" w:themeColor="text2" w:themeTint="99"/>
          <w:sz w:val="20"/>
          <w:szCs w:val="20"/>
        </w:rPr>
        <w:instrText xml:space="preserve"> SEQ таблица \* ARABIC </w:instrText>
      </w:r>
      <w:r w:rsidRPr="005B6074">
        <w:rPr>
          <w:rFonts w:ascii="Verdana" w:hAnsi="Verdana"/>
          <w:b/>
          <w:color w:val="548DD4" w:themeColor="text2" w:themeTint="99"/>
          <w:sz w:val="20"/>
          <w:szCs w:val="20"/>
        </w:rPr>
        <w:fldChar w:fldCharType="separate"/>
      </w:r>
      <w:r w:rsidR="009330F5">
        <w:rPr>
          <w:rFonts w:ascii="Verdana" w:hAnsi="Verdana"/>
          <w:b/>
          <w:noProof/>
          <w:color w:val="548DD4" w:themeColor="text2" w:themeTint="99"/>
          <w:sz w:val="20"/>
          <w:szCs w:val="20"/>
        </w:rPr>
        <w:t>24</w:t>
      </w:r>
      <w:r w:rsidRPr="005B6074">
        <w:rPr>
          <w:rFonts w:ascii="Verdana" w:hAnsi="Verdana"/>
          <w:b/>
          <w:color w:val="548DD4" w:themeColor="text2" w:themeTint="99"/>
          <w:sz w:val="20"/>
          <w:szCs w:val="20"/>
        </w:rPr>
        <w:fldChar w:fldCharType="end"/>
      </w:r>
      <w:r w:rsidRPr="005B6074">
        <w:rPr>
          <w:rFonts w:ascii="Verdana" w:hAnsi="Verdana"/>
          <w:b/>
          <w:color w:val="548DD4" w:themeColor="text2" w:themeTint="99"/>
          <w:sz w:val="20"/>
          <w:szCs w:val="20"/>
        </w:rPr>
        <w:t xml:space="preserve">. PA4 – </w:t>
      </w:r>
      <w:bookmarkEnd w:id="128"/>
      <w:r w:rsidRPr="005B6074">
        <w:rPr>
          <w:rFonts w:ascii="Verdana" w:hAnsi="Verdana"/>
          <w:b/>
          <w:color w:val="548DD4" w:themeColor="text2" w:themeTint="99"/>
          <w:sz w:val="20"/>
          <w:szCs w:val="20"/>
        </w:rPr>
        <w:t>Analysis of the activities</w:t>
      </w:r>
      <w:bookmarkEnd w:id="129"/>
    </w:p>
    <w:tbl>
      <w:tblPr>
        <w:tblW w:w="0" w:type="auto"/>
        <w:tblCellSpacing w:w="11" w:type="dxa"/>
        <w:tblInd w:w="130" w:type="dxa"/>
        <w:tblLook w:val="04A0" w:firstRow="1" w:lastRow="0" w:firstColumn="1" w:lastColumn="0" w:noHBand="0" w:noVBand="1"/>
      </w:tblPr>
      <w:tblGrid>
        <w:gridCol w:w="5056"/>
        <w:gridCol w:w="125"/>
        <w:gridCol w:w="3779"/>
      </w:tblGrid>
      <w:tr w:rsidR="00C513B7" w:rsidRPr="00FA49EF" w:rsidTr="00F24971">
        <w:trPr>
          <w:tblCellSpacing w:w="11" w:type="dxa"/>
        </w:trPr>
        <w:tc>
          <w:tcPr>
            <w:tcW w:w="5224" w:type="dxa"/>
            <w:gridSpan w:val="2"/>
            <w:shd w:val="clear" w:color="auto" w:fill="548DD4" w:themeFill="text2" w:themeFillTint="99"/>
          </w:tcPr>
          <w:p w:rsidR="00C513B7" w:rsidRPr="00FA49EF" w:rsidRDefault="00A35E98" w:rsidP="00FA49EF">
            <w:pPr>
              <w:jc w:val="center"/>
              <w:rPr>
                <w:rFonts w:ascii="Verdana" w:hAnsi="Verdana"/>
                <w:b/>
                <w:color w:val="FFFFFF" w:themeColor="background1"/>
                <w:sz w:val="18"/>
                <w:szCs w:val="18"/>
              </w:rPr>
            </w:pPr>
            <w:r w:rsidRPr="00FA49EF">
              <w:rPr>
                <w:rFonts w:ascii="Verdana" w:hAnsi="Verdana"/>
                <w:b/>
                <w:color w:val="FFFFFF" w:themeColor="background1"/>
                <w:sz w:val="18"/>
                <w:szCs w:val="18"/>
              </w:rPr>
              <w:t>Foreseen measures/activities</w:t>
            </w:r>
          </w:p>
        </w:tc>
        <w:tc>
          <w:tcPr>
            <w:tcW w:w="3800" w:type="dxa"/>
            <w:shd w:val="clear" w:color="auto" w:fill="548DD4" w:themeFill="text2" w:themeFillTint="99"/>
          </w:tcPr>
          <w:p w:rsidR="00C513B7" w:rsidRPr="00FA49EF" w:rsidRDefault="00A35E98" w:rsidP="00FA49EF">
            <w:pPr>
              <w:jc w:val="center"/>
              <w:rPr>
                <w:rFonts w:ascii="Verdana" w:hAnsi="Verdana"/>
                <w:b/>
                <w:color w:val="FFFFFF" w:themeColor="background1"/>
                <w:sz w:val="18"/>
                <w:szCs w:val="18"/>
              </w:rPr>
            </w:pPr>
            <w:r w:rsidRPr="00FA49EF">
              <w:rPr>
                <w:rFonts w:ascii="Verdana" w:hAnsi="Verdana"/>
                <w:b/>
                <w:color w:val="FFFFFF" w:themeColor="background1"/>
                <w:sz w:val="18"/>
                <w:szCs w:val="18"/>
              </w:rPr>
              <w:t xml:space="preserve">Adequacy </w:t>
            </w:r>
          </w:p>
        </w:tc>
      </w:tr>
      <w:tr w:rsidR="00C513B7" w:rsidRPr="005B6074" w:rsidTr="00F24971">
        <w:trPr>
          <w:tblCellSpacing w:w="11" w:type="dxa"/>
        </w:trPr>
        <w:tc>
          <w:tcPr>
            <w:tcW w:w="9046" w:type="dxa"/>
            <w:gridSpan w:val="3"/>
            <w:shd w:val="clear" w:color="auto" w:fill="FBD4B4" w:themeFill="accent6" w:themeFillTint="66"/>
          </w:tcPr>
          <w:p w:rsidR="00C513B7" w:rsidRPr="005B6074" w:rsidRDefault="00A35E98" w:rsidP="00494815">
            <w:pPr>
              <w:spacing w:after="0"/>
              <w:rPr>
                <w:rFonts w:ascii="Verdana" w:hAnsi="Verdana"/>
                <w:sz w:val="20"/>
                <w:szCs w:val="20"/>
              </w:rPr>
            </w:pPr>
            <w:r w:rsidRPr="005B6074">
              <w:rPr>
                <w:rFonts w:ascii="Verdana" w:hAnsi="Verdana"/>
                <w:b/>
                <w:sz w:val="20"/>
                <w:szCs w:val="20"/>
              </w:rPr>
              <w:t>Investment priority 1</w:t>
            </w:r>
            <w:r w:rsidRPr="00494815">
              <w:rPr>
                <w:rFonts w:ascii="Verdana" w:hAnsi="Verdana"/>
                <w:b/>
                <w:sz w:val="20"/>
                <w:szCs w:val="20"/>
              </w:rPr>
              <w:t xml:space="preserve">: </w:t>
            </w:r>
            <w:r w:rsidRPr="00494815">
              <w:rPr>
                <w:rFonts w:ascii="Verdana" w:hAnsi="Verdana"/>
                <w:i/>
                <w:sz w:val="20"/>
                <w:szCs w:val="20"/>
              </w:rPr>
              <w:t>Raising and strengthening the administrative capacity of the Managing Authority and the beneficiaries of the Operational Programme</w:t>
            </w:r>
          </w:p>
        </w:tc>
      </w:tr>
      <w:tr w:rsidR="00C513B7" w:rsidRPr="005B6074" w:rsidTr="00F24971">
        <w:trPr>
          <w:tblCellSpacing w:w="11" w:type="dxa"/>
        </w:trPr>
        <w:tc>
          <w:tcPr>
            <w:tcW w:w="5097"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Logistic support to the management structures of </w:t>
            </w:r>
            <w:r w:rsidR="005B35A7">
              <w:rPr>
                <w:rFonts w:ascii="Verdana" w:hAnsi="Verdana"/>
                <w:sz w:val="20"/>
              </w:rPr>
              <w:t>OPSESG</w:t>
            </w:r>
            <w:r w:rsidRPr="00494815">
              <w:rPr>
                <w:rFonts w:ascii="Verdana" w:hAnsi="Verdana"/>
                <w:sz w:val="20"/>
              </w:rPr>
              <w:t xml:space="preserve">, purchasing of office equipment, motor vehicles, repair works and renting of office premises, training of staff and beneficiaries in the processes of evaluation and selection of project proposals, contracting, monitoring and management of </w:t>
            </w:r>
            <w:r w:rsidR="005B35A7">
              <w:rPr>
                <w:rFonts w:ascii="Verdana" w:hAnsi="Verdana"/>
                <w:sz w:val="20"/>
              </w:rPr>
              <w:t>OPSESG</w:t>
            </w:r>
            <w:r w:rsidRPr="00494815">
              <w:rPr>
                <w:rFonts w:ascii="Verdana" w:hAnsi="Verdana"/>
                <w:sz w:val="20"/>
              </w:rPr>
              <w:t xml:space="preserve">, of the activity of the Monitoring Committee of </w:t>
            </w:r>
            <w:r w:rsidR="005B35A7">
              <w:rPr>
                <w:rFonts w:ascii="Verdana" w:hAnsi="Verdana"/>
                <w:sz w:val="20"/>
              </w:rPr>
              <w:t>OPSESG</w:t>
            </w:r>
            <w:r w:rsidRPr="00494815">
              <w:rPr>
                <w:rFonts w:ascii="Verdana" w:hAnsi="Verdana"/>
                <w:sz w:val="20"/>
              </w:rPr>
              <w:t>;</w:t>
            </w:r>
          </w:p>
        </w:tc>
        <w:tc>
          <w:tcPr>
            <w:tcW w:w="3927" w:type="dxa"/>
            <w:gridSpan w:val="2"/>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includes a lot of sub-activities and should be better split into several activities. Some of the listed sub-activities are included in some of the other activities.</w:t>
            </w:r>
          </w:p>
        </w:tc>
      </w:tr>
      <w:tr w:rsidR="00C513B7" w:rsidRPr="005B6074" w:rsidTr="00F24971">
        <w:trPr>
          <w:tblCellSpacing w:w="11" w:type="dxa"/>
        </w:trPr>
        <w:tc>
          <w:tcPr>
            <w:tcW w:w="5097"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Developing and putting in place of information systems for the purposes of the management and monitoring of </w:t>
            </w:r>
            <w:r w:rsidR="005B35A7">
              <w:rPr>
                <w:rFonts w:ascii="Verdana" w:hAnsi="Verdana"/>
                <w:sz w:val="20"/>
              </w:rPr>
              <w:t>OPSESG</w:t>
            </w:r>
            <w:r w:rsidRPr="00494815">
              <w:rPr>
                <w:rFonts w:ascii="Verdana" w:hAnsi="Verdana"/>
                <w:sz w:val="20"/>
              </w:rPr>
              <w:t xml:space="preserve">; </w:t>
            </w:r>
          </w:p>
        </w:tc>
        <w:tc>
          <w:tcPr>
            <w:tcW w:w="3927" w:type="dxa"/>
            <w:gridSpan w:val="2"/>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adequate.</w:t>
            </w:r>
          </w:p>
        </w:tc>
      </w:tr>
      <w:tr w:rsidR="00C513B7" w:rsidRPr="005B6074" w:rsidTr="00F24971">
        <w:trPr>
          <w:tblCellSpacing w:w="11" w:type="dxa"/>
        </w:trPr>
        <w:tc>
          <w:tcPr>
            <w:tcW w:w="5097"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Carrying out communication activities and dissemination of information for the purpose of raising the awareness and transparency of the activities under </w:t>
            </w:r>
            <w:r w:rsidR="005B35A7">
              <w:rPr>
                <w:rFonts w:ascii="Verdana" w:hAnsi="Verdana"/>
                <w:sz w:val="20"/>
              </w:rPr>
              <w:t>OPSESG</w:t>
            </w:r>
            <w:r w:rsidRPr="00494815">
              <w:rPr>
                <w:rFonts w:ascii="Verdana" w:hAnsi="Verdana"/>
                <w:sz w:val="20"/>
              </w:rPr>
              <w:t>;</w:t>
            </w:r>
          </w:p>
        </w:tc>
        <w:tc>
          <w:tcPr>
            <w:tcW w:w="3927" w:type="dxa"/>
            <w:gridSpan w:val="2"/>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adequate.</w:t>
            </w:r>
          </w:p>
        </w:tc>
      </w:tr>
      <w:tr w:rsidR="00C513B7" w:rsidRPr="005B6074" w:rsidTr="00F24971">
        <w:trPr>
          <w:tblCellSpacing w:w="11" w:type="dxa"/>
        </w:trPr>
        <w:tc>
          <w:tcPr>
            <w:tcW w:w="5097"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Organizing public events, seminars, conferences, working groups, round tables;</w:t>
            </w:r>
          </w:p>
        </w:tc>
        <w:tc>
          <w:tcPr>
            <w:tcW w:w="3927" w:type="dxa"/>
            <w:gridSpan w:val="2"/>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adequate.</w:t>
            </w:r>
          </w:p>
        </w:tc>
      </w:tr>
      <w:tr w:rsidR="00C513B7" w:rsidRPr="005B6074" w:rsidTr="00F24971">
        <w:trPr>
          <w:tblCellSpacing w:w="11" w:type="dxa"/>
        </w:trPr>
        <w:tc>
          <w:tcPr>
            <w:tcW w:w="5097"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Ensuring material and technical support for the awareness and publicity activities.</w:t>
            </w:r>
          </w:p>
        </w:tc>
        <w:tc>
          <w:tcPr>
            <w:tcW w:w="3927" w:type="dxa"/>
            <w:gridSpan w:val="2"/>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This activity substantially overlaps with the above mentioned activity: “Carrying out communication activities and dissemination of information for the purpose of raising the awareness and transparency of the activities under </w:t>
            </w:r>
            <w:r w:rsidR="005B35A7">
              <w:rPr>
                <w:rFonts w:ascii="Verdana" w:hAnsi="Verdana"/>
                <w:sz w:val="20"/>
              </w:rPr>
              <w:t>OPSESG</w:t>
            </w:r>
            <w:r w:rsidRPr="00494815">
              <w:rPr>
                <w:rFonts w:ascii="Verdana" w:hAnsi="Verdana"/>
                <w:sz w:val="20"/>
              </w:rPr>
              <w:t>”.</w:t>
            </w:r>
          </w:p>
        </w:tc>
      </w:tr>
      <w:tr w:rsidR="00C513B7" w:rsidRPr="005B6074" w:rsidTr="00F24971">
        <w:trPr>
          <w:tblCellSpacing w:w="11" w:type="dxa"/>
        </w:trPr>
        <w:tc>
          <w:tcPr>
            <w:tcW w:w="5097"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Conducting analyses of the capacity of the staff of the MA and of </w:t>
            </w:r>
            <w:r w:rsidR="005B35A7">
              <w:rPr>
                <w:rFonts w:ascii="Verdana" w:hAnsi="Verdana"/>
                <w:sz w:val="20"/>
              </w:rPr>
              <w:t>OPSESG</w:t>
            </w:r>
            <w:r w:rsidRPr="00494815">
              <w:rPr>
                <w:rFonts w:ascii="Verdana" w:hAnsi="Verdana"/>
                <w:sz w:val="20"/>
              </w:rPr>
              <w:t>;</w:t>
            </w:r>
          </w:p>
        </w:tc>
        <w:tc>
          <w:tcPr>
            <w:tcW w:w="3927" w:type="dxa"/>
            <w:gridSpan w:val="2"/>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adequate.</w:t>
            </w:r>
          </w:p>
        </w:tc>
      </w:tr>
      <w:tr w:rsidR="00C513B7" w:rsidRPr="005B6074" w:rsidTr="00F24971">
        <w:trPr>
          <w:tblCellSpacing w:w="11" w:type="dxa"/>
        </w:trPr>
        <w:tc>
          <w:tcPr>
            <w:tcW w:w="5097"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Provision of training, work visits and internships for the staff in the management structures of </w:t>
            </w:r>
            <w:proofErr w:type="gramStart"/>
            <w:r w:rsidR="005B35A7">
              <w:rPr>
                <w:rFonts w:ascii="Verdana" w:hAnsi="Verdana"/>
                <w:sz w:val="20"/>
              </w:rPr>
              <w:t>OPSESG</w:t>
            </w:r>
            <w:r w:rsidRPr="00494815">
              <w:rPr>
                <w:rFonts w:ascii="Verdana" w:hAnsi="Verdana"/>
                <w:sz w:val="20"/>
              </w:rPr>
              <w:t>.;</w:t>
            </w:r>
            <w:proofErr w:type="gramEnd"/>
          </w:p>
        </w:tc>
        <w:tc>
          <w:tcPr>
            <w:tcW w:w="3927" w:type="dxa"/>
            <w:gridSpan w:val="2"/>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This activity overlaps with the first activity: „training of staff and beneficiaries “</w:t>
            </w:r>
          </w:p>
          <w:p w:rsidR="00C513B7" w:rsidRPr="00494815" w:rsidRDefault="00C513B7" w:rsidP="00494815">
            <w:pPr>
              <w:spacing w:after="0"/>
              <w:contextualSpacing/>
              <w:jc w:val="both"/>
              <w:rPr>
                <w:rFonts w:ascii="Verdana" w:hAnsi="Verdana"/>
                <w:sz w:val="20"/>
              </w:rPr>
            </w:pPr>
          </w:p>
        </w:tc>
      </w:tr>
      <w:tr w:rsidR="00C513B7" w:rsidRPr="005B6074" w:rsidTr="00F24971">
        <w:trPr>
          <w:tblCellSpacing w:w="11" w:type="dxa"/>
        </w:trPr>
        <w:tc>
          <w:tcPr>
            <w:tcW w:w="5097"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Ensuring internships for university students at the MA of </w:t>
            </w:r>
            <w:r w:rsidR="005B35A7">
              <w:rPr>
                <w:rFonts w:ascii="Verdana" w:hAnsi="Verdana"/>
                <w:sz w:val="20"/>
              </w:rPr>
              <w:t>OPSESG</w:t>
            </w:r>
            <w:r w:rsidRPr="00494815">
              <w:rPr>
                <w:rFonts w:ascii="Verdana" w:hAnsi="Verdana"/>
                <w:sz w:val="20"/>
              </w:rPr>
              <w:t>;</w:t>
            </w:r>
          </w:p>
        </w:tc>
        <w:tc>
          <w:tcPr>
            <w:tcW w:w="3927" w:type="dxa"/>
            <w:gridSpan w:val="2"/>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It is not appropriate, given the specific objective. It may be covered by activities for internship of students organized at the administration and businesses.</w:t>
            </w:r>
          </w:p>
        </w:tc>
      </w:tr>
      <w:tr w:rsidR="00C513B7" w:rsidRPr="005B6074" w:rsidTr="00F24971">
        <w:trPr>
          <w:tblCellSpacing w:w="11" w:type="dxa"/>
        </w:trPr>
        <w:tc>
          <w:tcPr>
            <w:tcW w:w="5097"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Performing analyses of the capacity and awareness of the potential beneficiaries.</w:t>
            </w:r>
          </w:p>
        </w:tc>
        <w:tc>
          <w:tcPr>
            <w:tcW w:w="3927" w:type="dxa"/>
            <w:gridSpan w:val="2"/>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adequate.</w:t>
            </w:r>
          </w:p>
        </w:tc>
      </w:tr>
      <w:tr w:rsidR="00C513B7" w:rsidRPr="005B6074" w:rsidTr="00F24971">
        <w:trPr>
          <w:tblCellSpacing w:w="11" w:type="dxa"/>
        </w:trPr>
        <w:tc>
          <w:tcPr>
            <w:tcW w:w="5097"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lastRenderedPageBreak/>
              <w:t>Conducting training for the beneficiaries for the purpose of strengthening their project management capacity;</w:t>
            </w:r>
          </w:p>
        </w:tc>
        <w:tc>
          <w:tcPr>
            <w:tcW w:w="3927" w:type="dxa"/>
            <w:gridSpan w:val="2"/>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overlaps with the first activity: „training of staff and beneficiaries“.</w:t>
            </w:r>
          </w:p>
          <w:p w:rsidR="00C513B7" w:rsidRPr="00494815" w:rsidRDefault="00C513B7" w:rsidP="00494815">
            <w:pPr>
              <w:spacing w:after="0"/>
              <w:contextualSpacing/>
              <w:jc w:val="both"/>
              <w:rPr>
                <w:rFonts w:ascii="Verdana" w:hAnsi="Verdana"/>
                <w:sz w:val="20"/>
              </w:rPr>
            </w:pPr>
          </w:p>
        </w:tc>
      </w:tr>
      <w:tr w:rsidR="00C513B7" w:rsidRPr="005B6074" w:rsidTr="00F24971">
        <w:trPr>
          <w:tblCellSpacing w:w="11" w:type="dxa"/>
        </w:trPr>
        <w:tc>
          <w:tcPr>
            <w:tcW w:w="5097"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Preparing evaluations, expert reports, statistic data, analyses and studies, connected with </w:t>
            </w:r>
            <w:r w:rsidR="005B35A7">
              <w:rPr>
                <w:rFonts w:ascii="Verdana" w:hAnsi="Verdana"/>
                <w:sz w:val="20"/>
              </w:rPr>
              <w:t>OPSESG</w:t>
            </w:r>
            <w:r w:rsidRPr="00494815">
              <w:rPr>
                <w:rFonts w:ascii="Verdana" w:hAnsi="Verdana"/>
                <w:sz w:val="20"/>
              </w:rPr>
              <w:t xml:space="preserve">, including on-going and follow-up evaluations of </w:t>
            </w:r>
            <w:r w:rsidR="005B35A7">
              <w:rPr>
                <w:rFonts w:ascii="Verdana" w:hAnsi="Verdana"/>
                <w:sz w:val="20"/>
              </w:rPr>
              <w:t>OPSESG</w:t>
            </w:r>
            <w:r w:rsidRPr="00494815">
              <w:rPr>
                <w:rFonts w:ascii="Verdana" w:hAnsi="Verdana"/>
                <w:sz w:val="20"/>
              </w:rPr>
              <w:t>;</w:t>
            </w:r>
          </w:p>
        </w:tc>
        <w:tc>
          <w:tcPr>
            <w:tcW w:w="3927" w:type="dxa"/>
            <w:gridSpan w:val="2"/>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adequate.</w:t>
            </w:r>
          </w:p>
        </w:tc>
      </w:tr>
      <w:tr w:rsidR="00C513B7" w:rsidRPr="005B6074" w:rsidTr="00F24971">
        <w:trPr>
          <w:tblCellSpacing w:w="11" w:type="dxa"/>
        </w:trPr>
        <w:tc>
          <w:tcPr>
            <w:tcW w:w="5097"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Ensuring the financing of labour remuneration, social insurance contributions, taxes and other payments under the existing legislation, as well as fringe benefits for the staff working at the management structures of </w:t>
            </w:r>
            <w:r w:rsidR="005B35A7">
              <w:rPr>
                <w:rFonts w:ascii="Verdana" w:hAnsi="Verdana"/>
                <w:sz w:val="20"/>
              </w:rPr>
              <w:t>OPSESG</w:t>
            </w:r>
            <w:r w:rsidRPr="00494815">
              <w:rPr>
                <w:rFonts w:ascii="Verdana" w:hAnsi="Verdana"/>
                <w:sz w:val="20"/>
              </w:rPr>
              <w:t xml:space="preserve">; </w:t>
            </w:r>
          </w:p>
        </w:tc>
        <w:tc>
          <w:tcPr>
            <w:tcW w:w="3927" w:type="dxa"/>
            <w:gridSpan w:val="2"/>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adequate.</w:t>
            </w:r>
          </w:p>
        </w:tc>
      </w:tr>
      <w:tr w:rsidR="00C513B7" w:rsidRPr="005B6074" w:rsidTr="00F24971">
        <w:trPr>
          <w:tblCellSpacing w:w="11" w:type="dxa"/>
        </w:trPr>
        <w:tc>
          <w:tcPr>
            <w:tcW w:w="5097"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Preparation for the next programming period 2021 – 2027 – ensuring the material, information and technical resources for the activities of programming under EU funds;</w:t>
            </w:r>
          </w:p>
        </w:tc>
        <w:tc>
          <w:tcPr>
            <w:tcW w:w="3927" w:type="dxa"/>
            <w:gridSpan w:val="2"/>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is adequate.</w:t>
            </w:r>
          </w:p>
        </w:tc>
      </w:tr>
      <w:tr w:rsidR="00C513B7" w:rsidRPr="005B6074" w:rsidTr="00F24971">
        <w:trPr>
          <w:tblCellSpacing w:w="11" w:type="dxa"/>
        </w:trPr>
        <w:tc>
          <w:tcPr>
            <w:tcW w:w="5097"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Carrying out communication activities and dissemination of information with a view to raising the awareness and transparency of the activities under </w:t>
            </w:r>
            <w:r w:rsidR="005B35A7">
              <w:rPr>
                <w:rFonts w:ascii="Verdana" w:hAnsi="Verdana"/>
                <w:sz w:val="20"/>
              </w:rPr>
              <w:t>OPSESG</w:t>
            </w:r>
            <w:r w:rsidRPr="00494815">
              <w:rPr>
                <w:rFonts w:ascii="Verdana" w:hAnsi="Verdana"/>
                <w:sz w:val="20"/>
              </w:rPr>
              <w:t>;</w:t>
            </w:r>
          </w:p>
        </w:tc>
        <w:tc>
          <w:tcPr>
            <w:tcW w:w="3927" w:type="dxa"/>
            <w:gridSpan w:val="2"/>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overlaps with a foregoing activity.</w:t>
            </w:r>
          </w:p>
        </w:tc>
      </w:tr>
      <w:tr w:rsidR="00C513B7" w:rsidRPr="005B6074" w:rsidTr="00F24971">
        <w:trPr>
          <w:tblCellSpacing w:w="11" w:type="dxa"/>
        </w:trPr>
        <w:tc>
          <w:tcPr>
            <w:tcW w:w="5097" w:type="dxa"/>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Organizing public meetings, seminars, conferences, working groups, round tables;</w:t>
            </w:r>
          </w:p>
        </w:tc>
        <w:tc>
          <w:tcPr>
            <w:tcW w:w="3927" w:type="dxa"/>
            <w:gridSpan w:val="2"/>
            <w:shd w:val="clear" w:color="auto" w:fill="C6D9F1" w:themeFill="text2" w:themeFillTint="33"/>
          </w:tcPr>
          <w:p w:rsidR="00C513B7" w:rsidRPr="00494815" w:rsidRDefault="00A35E98" w:rsidP="00494815">
            <w:pPr>
              <w:spacing w:after="0"/>
              <w:contextualSpacing/>
              <w:jc w:val="both"/>
              <w:rPr>
                <w:rFonts w:ascii="Verdana" w:hAnsi="Verdana"/>
                <w:sz w:val="20"/>
              </w:rPr>
            </w:pPr>
            <w:r w:rsidRPr="00494815">
              <w:rPr>
                <w:rFonts w:ascii="Verdana" w:hAnsi="Verdana"/>
                <w:sz w:val="20"/>
              </w:rPr>
              <w:t>The activity overlaps with a foregoing activity</w:t>
            </w:r>
          </w:p>
        </w:tc>
      </w:tr>
      <w:tr w:rsidR="00C513B7" w:rsidRPr="005B6074" w:rsidTr="00F24971">
        <w:trPr>
          <w:tblCellSpacing w:w="11" w:type="dxa"/>
        </w:trPr>
        <w:tc>
          <w:tcPr>
            <w:tcW w:w="5097" w:type="dxa"/>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Preparation, translation and dissemination of official documents, relating to the overall management of the Operational programme;</w:t>
            </w:r>
          </w:p>
        </w:tc>
        <w:tc>
          <w:tcPr>
            <w:tcW w:w="3927" w:type="dxa"/>
            <w:gridSpan w:val="2"/>
            <w:shd w:val="clear" w:color="auto" w:fill="F2F2F2" w:themeFill="background1" w:themeFillShade="F2"/>
          </w:tcPr>
          <w:p w:rsidR="00C513B7" w:rsidRPr="00494815" w:rsidRDefault="00A35E98" w:rsidP="00494815">
            <w:pPr>
              <w:spacing w:after="0"/>
              <w:contextualSpacing/>
              <w:jc w:val="both"/>
              <w:rPr>
                <w:rFonts w:ascii="Verdana" w:hAnsi="Verdana"/>
                <w:sz w:val="20"/>
              </w:rPr>
            </w:pPr>
            <w:r w:rsidRPr="00494815">
              <w:rPr>
                <w:rFonts w:ascii="Verdana" w:hAnsi="Verdana"/>
                <w:sz w:val="20"/>
              </w:rPr>
              <w:t xml:space="preserve">The preparation of documents is part of the work of the experts at the MA and is therefore already supported through the activity: „Ensuring the financing of labour remuneration, social insurance contributions, taxes and other payments under the existing legislation, as well as fringe benefits for the staff working at the management structures of </w:t>
            </w:r>
            <w:r w:rsidR="005B35A7">
              <w:rPr>
                <w:rFonts w:ascii="Verdana" w:hAnsi="Verdana"/>
                <w:sz w:val="20"/>
              </w:rPr>
              <w:t>OPSESG</w:t>
            </w:r>
            <w:r w:rsidRPr="00494815">
              <w:rPr>
                <w:rFonts w:ascii="Verdana" w:hAnsi="Verdana"/>
                <w:sz w:val="20"/>
              </w:rPr>
              <w:t>“. The translation and dissemination are also ensured through the following activity: „Ensuring material and technical support for the awareness and publicity activities “</w:t>
            </w:r>
          </w:p>
        </w:tc>
      </w:tr>
    </w:tbl>
    <w:p w:rsidR="00C513B7" w:rsidRPr="005B6074" w:rsidRDefault="00C513B7" w:rsidP="00C513B7">
      <w:pPr>
        <w:pStyle w:val="BodyText"/>
        <w:widowControl w:val="0"/>
        <w:tabs>
          <w:tab w:val="left" w:pos="0"/>
          <w:tab w:val="right" w:pos="9214"/>
        </w:tabs>
        <w:spacing w:before="120" w:line="276" w:lineRule="auto"/>
        <w:jc w:val="both"/>
        <w:rPr>
          <w:rFonts w:ascii="Verdana" w:hAnsi="Verdana"/>
          <w:sz w:val="20"/>
        </w:rPr>
      </w:pPr>
    </w:p>
    <w:tbl>
      <w:tblPr>
        <w:tblW w:w="0" w:type="auto"/>
        <w:tblBorders>
          <w:top w:val="single" w:sz="4" w:space="0" w:color="auto"/>
          <w:bottom w:val="single" w:sz="4" w:space="0" w:color="auto"/>
        </w:tblBorders>
        <w:tblLook w:val="04A0" w:firstRow="1" w:lastRow="0" w:firstColumn="1" w:lastColumn="0" w:noHBand="0" w:noVBand="1"/>
      </w:tblPr>
      <w:tblGrid>
        <w:gridCol w:w="526"/>
        <w:gridCol w:w="8564"/>
      </w:tblGrid>
      <w:tr w:rsidR="00C513B7" w:rsidRPr="005B6074" w:rsidTr="00F24971">
        <w:tc>
          <w:tcPr>
            <w:tcW w:w="528" w:type="dxa"/>
            <w:vAlign w:val="center"/>
          </w:tcPr>
          <w:p w:rsidR="00C513B7" w:rsidRPr="005B6074" w:rsidRDefault="00A35E98" w:rsidP="005A221F">
            <w:pPr>
              <w:pStyle w:val="BodyText"/>
              <w:keepNext/>
              <w:spacing w:after="0" w:line="276" w:lineRule="auto"/>
              <w:jc w:val="center"/>
              <w:rPr>
                <w:rFonts w:ascii="Verdana" w:hAnsi="Verdana"/>
                <w:color w:val="548DD4"/>
                <w:sz w:val="36"/>
                <w:szCs w:val="36"/>
              </w:rPr>
            </w:pPr>
            <w:r w:rsidRPr="005B6074">
              <w:rPr>
                <w:rFonts w:ascii="Verdana" w:hAnsi="Verdana"/>
                <w:color w:val="548DD4"/>
                <w:sz w:val="36"/>
                <w:szCs w:val="36"/>
              </w:rPr>
              <w:lastRenderedPageBreak/>
              <w:t>?</w:t>
            </w:r>
          </w:p>
        </w:tc>
        <w:tc>
          <w:tcPr>
            <w:tcW w:w="8670" w:type="dxa"/>
            <w:shd w:val="clear" w:color="auto" w:fill="B8CCE4"/>
          </w:tcPr>
          <w:p w:rsidR="00C513B7" w:rsidRPr="005B6074" w:rsidRDefault="00A35E98" w:rsidP="005A221F">
            <w:pPr>
              <w:keepNext/>
              <w:autoSpaceDE w:val="0"/>
              <w:autoSpaceDN w:val="0"/>
              <w:adjustRightInd w:val="0"/>
              <w:spacing w:before="120" w:after="120" w:line="240" w:lineRule="auto"/>
              <w:ind w:left="115"/>
              <w:rPr>
                <w:rFonts w:ascii="Verdana" w:hAnsi="Verdana"/>
                <w:sz w:val="20"/>
                <w:szCs w:val="20"/>
              </w:rPr>
            </w:pPr>
            <w:r w:rsidRPr="005B6074">
              <w:rPr>
                <w:rFonts w:ascii="Verdana" w:hAnsi="Verdana"/>
                <w:sz w:val="20"/>
                <w:szCs w:val="20"/>
              </w:rPr>
              <w:t>Adequacy of the defined eligible beneficiaries and target groups;</w:t>
            </w:r>
          </w:p>
        </w:tc>
      </w:tr>
    </w:tbl>
    <w:p w:rsidR="00C513B7" w:rsidRPr="005B6074" w:rsidRDefault="00A35E98" w:rsidP="00C513B7">
      <w:pPr>
        <w:keepNext/>
        <w:pBdr>
          <w:bottom w:val="single" w:sz="4" w:space="1" w:color="0070C0"/>
        </w:pBdr>
        <w:spacing w:before="360" w:after="120"/>
        <w:jc w:val="both"/>
        <w:rPr>
          <w:rFonts w:ascii="Verdana" w:hAnsi="Verdana"/>
          <w:color w:val="0070C0"/>
          <w:sz w:val="20"/>
          <w:szCs w:val="20"/>
          <w:lang w:eastAsia="cs-CZ"/>
        </w:rPr>
      </w:pPr>
      <w:r w:rsidRPr="005B6074">
        <w:rPr>
          <w:rFonts w:ascii="Verdana" w:hAnsi="Verdana"/>
          <w:color w:val="0070C0"/>
          <w:sz w:val="20"/>
          <w:szCs w:val="20"/>
          <w:lang w:eastAsia="cs-CZ"/>
        </w:rPr>
        <w:t>PA1. Scientific research and technology development</w:t>
      </w:r>
    </w:p>
    <w:p w:rsidR="00C513B7" w:rsidRPr="005B6074" w:rsidRDefault="00A35E98" w:rsidP="00C513B7">
      <w:pPr>
        <w:pStyle w:val="BodyText"/>
        <w:tabs>
          <w:tab w:val="left" w:pos="0"/>
          <w:tab w:val="right" w:pos="9214"/>
        </w:tabs>
        <w:spacing w:before="240" w:line="276" w:lineRule="auto"/>
        <w:jc w:val="both"/>
        <w:rPr>
          <w:rFonts w:ascii="Verdana" w:hAnsi="Verdana"/>
          <w:sz w:val="20"/>
          <w:szCs w:val="20"/>
        </w:rPr>
      </w:pPr>
      <w:bookmarkStart w:id="130" w:name="_Toc373747267"/>
      <w:bookmarkStart w:id="131" w:name="_Toc379364681"/>
      <w:bookmarkStart w:id="132" w:name="_Toc390257081"/>
      <w:bookmarkStart w:id="133" w:name="_Toc396225620"/>
      <w:r w:rsidRPr="005B6074">
        <w:rPr>
          <w:rFonts w:ascii="Verdana" w:hAnsi="Verdana"/>
          <w:b/>
          <w:color w:val="548DD4" w:themeColor="text2" w:themeTint="99"/>
          <w:sz w:val="20"/>
          <w:szCs w:val="20"/>
        </w:rPr>
        <w:t xml:space="preserve">Table </w:t>
      </w:r>
      <w:r w:rsidRPr="005B6074">
        <w:rPr>
          <w:rFonts w:ascii="Verdana" w:hAnsi="Verdana"/>
          <w:b/>
          <w:color w:val="548DD4" w:themeColor="text2" w:themeTint="99"/>
          <w:sz w:val="20"/>
          <w:szCs w:val="20"/>
        </w:rPr>
        <w:fldChar w:fldCharType="begin"/>
      </w:r>
      <w:r w:rsidRPr="005B6074">
        <w:rPr>
          <w:rFonts w:ascii="Verdana" w:hAnsi="Verdana"/>
          <w:b/>
          <w:color w:val="548DD4" w:themeColor="text2" w:themeTint="99"/>
          <w:sz w:val="20"/>
          <w:szCs w:val="20"/>
        </w:rPr>
        <w:instrText xml:space="preserve"> SEQ таблица \* ARABIC </w:instrText>
      </w:r>
      <w:r w:rsidRPr="005B6074">
        <w:rPr>
          <w:rFonts w:ascii="Verdana" w:hAnsi="Verdana"/>
          <w:b/>
          <w:color w:val="548DD4" w:themeColor="text2" w:themeTint="99"/>
          <w:sz w:val="20"/>
          <w:szCs w:val="20"/>
        </w:rPr>
        <w:fldChar w:fldCharType="separate"/>
      </w:r>
      <w:r w:rsidR="009330F5">
        <w:rPr>
          <w:rFonts w:ascii="Verdana" w:hAnsi="Verdana"/>
          <w:b/>
          <w:noProof/>
          <w:color w:val="548DD4" w:themeColor="text2" w:themeTint="99"/>
          <w:sz w:val="20"/>
          <w:szCs w:val="20"/>
        </w:rPr>
        <w:t>25</w:t>
      </w:r>
      <w:r w:rsidRPr="005B6074">
        <w:rPr>
          <w:rFonts w:ascii="Verdana" w:hAnsi="Verdana"/>
          <w:b/>
          <w:color w:val="548DD4" w:themeColor="text2" w:themeTint="99"/>
          <w:sz w:val="20"/>
          <w:szCs w:val="20"/>
        </w:rPr>
        <w:fldChar w:fldCharType="end"/>
      </w:r>
      <w:r w:rsidRPr="005B6074">
        <w:rPr>
          <w:rFonts w:ascii="Verdana" w:hAnsi="Verdana"/>
          <w:b/>
          <w:color w:val="548DD4" w:themeColor="text2" w:themeTint="99"/>
          <w:sz w:val="20"/>
          <w:szCs w:val="20"/>
        </w:rPr>
        <w:t>. PA1 – Analysis of beneficiaries and target groups</w:t>
      </w:r>
      <w:bookmarkEnd w:id="130"/>
      <w:bookmarkEnd w:id="131"/>
      <w:bookmarkEnd w:id="132"/>
      <w:bookmarkEnd w:id="133"/>
    </w:p>
    <w:tbl>
      <w:tblPr>
        <w:tblW w:w="9107" w:type="dxa"/>
        <w:tblInd w:w="91"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2987"/>
        <w:gridCol w:w="3060"/>
        <w:gridCol w:w="3060"/>
      </w:tblGrid>
      <w:tr w:rsidR="00C513B7" w:rsidRPr="00FA49EF" w:rsidTr="00F24971">
        <w:trPr>
          <w:trHeight w:val="525"/>
        </w:trPr>
        <w:tc>
          <w:tcPr>
            <w:tcW w:w="2987" w:type="dxa"/>
            <w:shd w:val="clear" w:color="000000" w:fill="548DD4"/>
            <w:vAlign w:val="center"/>
            <w:hideMark/>
          </w:tcPr>
          <w:p w:rsidR="00C513B7" w:rsidRPr="00FA49EF" w:rsidRDefault="00A35E98" w:rsidP="00FA49EF">
            <w:pPr>
              <w:jc w:val="center"/>
              <w:rPr>
                <w:rFonts w:ascii="Verdana" w:hAnsi="Verdana"/>
                <w:b/>
                <w:color w:val="FFFFFF" w:themeColor="background1"/>
                <w:sz w:val="20"/>
                <w:szCs w:val="20"/>
              </w:rPr>
            </w:pPr>
            <w:r w:rsidRPr="00FA49EF">
              <w:rPr>
                <w:rFonts w:ascii="Verdana" w:hAnsi="Verdana"/>
                <w:b/>
                <w:color w:val="FFFFFF" w:themeColor="background1"/>
                <w:sz w:val="20"/>
                <w:szCs w:val="20"/>
              </w:rPr>
              <w:t>Investment priority</w:t>
            </w:r>
          </w:p>
        </w:tc>
        <w:tc>
          <w:tcPr>
            <w:tcW w:w="3060" w:type="dxa"/>
            <w:shd w:val="clear" w:color="000000" w:fill="548DD4"/>
            <w:vAlign w:val="center"/>
            <w:hideMark/>
          </w:tcPr>
          <w:p w:rsidR="00C513B7" w:rsidRPr="00FA49EF" w:rsidRDefault="00A35E98" w:rsidP="00FA49EF">
            <w:pPr>
              <w:jc w:val="center"/>
              <w:rPr>
                <w:rFonts w:ascii="Verdana" w:hAnsi="Verdana"/>
                <w:b/>
                <w:color w:val="FFFFFF" w:themeColor="background1"/>
                <w:sz w:val="20"/>
                <w:szCs w:val="20"/>
              </w:rPr>
            </w:pPr>
            <w:r w:rsidRPr="00FA49EF">
              <w:rPr>
                <w:rFonts w:ascii="Verdana" w:hAnsi="Verdana"/>
                <w:b/>
                <w:color w:val="FFFFFF" w:themeColor="background1"/>
                <w:sz w:val="20"/>
                <w:szCs w:val="20"/>
              </w:rPr>
              <w:t>Eligible beneficiaries  (Comment)</w:t>
            </w:r>
          </w:p>
        </w:tc>
        <w:tc>
          <w:tcPr>
            <w:tcW w:w="3060" w:type="dxa"/>
            <w:shd w:val="clear" w:color="000000" w:fill="548DD4"/>
            <w:vAlign w:val="center"/>
            <w:hideMark/>
          </w:tcPr>
          <w:p w:rsidR="00C513B7" w:rsidRPr="00FA49EF" w:rsidRDefault="00A35E98" w:rsidP="00FA49EF">
            <w:pPr>
              <w:jc w:val="center"/>
              <w:rPr>
                <w:rFonts w:ascii="Verdana" w:hAnsi="Verdana"/>
                <w:b/>
                <w:color w:val="FFFFFF" w:themeColor="background1"/>
                <w:sz w:val="20"/>
                <w:szCs w:val="20"/>
              </w:rPr>
            </w:pPr>
            <w:r w:rsidRPr="00FA49EF">
              <w:rPr>
                <w:rFonts w:ascii="Verdana" w:hAnsi="Verdana"/>
                <w:b/>
                <w:color w:val="FFFFFF" w:themeColor="background1"/>
                <w:sz w:val="20"/>
                <w:szCs w:val="20"/>
              </w:rPr>
              <w:t>Target groups (Comment)</w:t>
            </w:r>
          </w:p>
        </w:tc>
      </w:tr>
      <w:tr w:rsidR="00C513B7" w:rsidRPr="005B6074" w:rsidTr="00F24971">
        <w:tc>
          <w:tcPr>
            <w:tcW w:w="2987" w:type="dxa"/>
            <w:shd w:val="clear" w:color="auto" w:fill="auto"/>
            <w:hideMark/>
          </w:tcPr>
          <w:p w:rsidR="00C513B7" w:rsidRPr="00494815" w:rsidRDefault="00A35E98" w:rsidP="00494815">
            <w:pPr>
              <w:spacing w:after="0"/>
              <w:rPr>
                <w:rFonts w:ascii="Verdana" w:eastAsia="Times New Roman" w:hAnsi="Verdana"/>
                <w:b/>
                <w:bCs/>
                <w:sz w:val="20"/>
                <w:szCs w:val="20"/>
              </w:rPr>
            </w:pPr>
            <w:r w:rsidRPr="00494815">
              <w:rPr>
                <w:rFonts w:ascii="Verdana" w:eastAsia="Times New Roman" w:hAnsi="Verdana"/>
                <w:b/>
                <w:bCs/>
                <w:sz w:val="20"/>
                <w:szCs w:val="20"/>
              </w:rPr>
              <w:t xml:space="preserve">Investment priority 1: </w:t>
            </w:r>
            <w:r w:rsidRPr="00494815">
              <w:rPr>
                <w:rFonts w:ascii="Verdana" w:hAnsi="Verdana"/>
                <w:i/>
                <w:sz w:val="20"/>
                <w:szCs w:val="20"/>
              </w:rPr>
              <w:t>Enhancing research and innovation (R&amp;I) infrastructure and capacities to develop R&amp;I excellence, and promoting centres of competence, in particular those of European interest</w:t>
            </w:r>
          </w:p>
        </w:tc>
        <w:tc>
          <w:tcPr>
            <w:tcW w:w="3060" w:type="dxa"/>
            <w:shd w:val="clear" w:color="auto" w:fill="auto"/>
            <w:hideMark/>
          </w:tcPr>
          <w:p w:rsidR="00C513B7" w:rsidRPr="00494815" w:rsidRDefault="00A35E98" w:rsidP="00494815">
            <w:pPr>
              <w:spacing w:after="0"/>
              <w:rPr>
                <w:rFonts w:ascii="Verdana" w:eastAsia="Times New Roman" w:hAnsi="Verdana"/>
                <w:iCs/>
                <w:sz w:val="20"/>
                <w:szCs w:val="20"/>
              </w:rPr>
            </w:pPr>
            <w:r w:rsidRPr="00494815">
              <w:rPr>
                <w:rFonts w:ascii="Verdana" w:eastAsia="Times New Roman" w:hAnsi="Verdana"/>
                <w:sz w:val="20"/>
                <w:szCs w:val="20"/>
              </w:rPr>
              <w:t xml:space="preserve">The beneficiaries specifies here are: public and private research organizations, institutes, laboratories, enterprises for RIA (including the Bulgarian Academy of Science – BAS – and the Agricultural Academy), higher institutes and/or their main units, excellence centres, competence centres, MES and second-level budget executors, the Executive Agency Electronic Communication Networks and Information Systems </w:t>
            </w:r>
            <w:r w:rsidRPr="00494815">
              <w:rPr>
                <w:rFonts w:ascii="Verdana" w:eastAsia="Times New Roman" w:hAnsi="Verdana"/>
                <w:iCs/>
                <w:sz w:val="20"/>
                <w:szCs w:val="20"/>
              </w:rPr>
              <w:t>(EA ECNIS).</w:t>
            </w:r>
          </w:p>
          <w:p w:rsidR="00C513B7" w:rsidRPr="00494815" w:rsidRDefault="00C513B7" w:rsidP="00494815">
            <w:pPr>
              <w:spacing w:after="0"/>
              <w:rPr>
                <w:rFonts w:ascii="Verdana" w:eastAsia="Times New Roman" w:hAnsi="Verdana"/>
                <w:iCs/>
                <w:sz w:val="20"/>
                <w:szCs w:val="20"/>
              </w:rPr>
            </w:pPr>
          </w:p>
          <w:p w:rsidR="00C513B7" w:rsidRPr="00494815" w:rsidRDefault="00A35E98" w:rsidP="00494815">
            <w:pPr>
              <w:spacing w:after="0"/>
              <w:rPr>
                <w:rFonts w:ascii="Verdana" w:eastAsia="Times New Roman" w:hAnsi="Verdana"/>
                <w:iCs/>
                <w:sz w:val="20"/>
                <w:szCs w:val="20"/>
              </w:rPr>
            </w:pPr>
            <w:r w:rsidRPr="00494815">
              <w:rPr>
                <w:rFonts w:ascii="Verdana" w:eastAsia="Times New Roman" w:hAnsi="Verdana"/>
                <w:iCs/>
                <w:sz w:val="20"/>
                <w:szCs w:val="20"/>
              </w:rPr>
              <w:t xml:space="preserve">It is not clear why </w:t>
            </w:r>
            <w:r w:rsidRPr="00494815">
              <w:rPr>
                <w:rFonts w:ascii="Verdana" w:eastAsia="Times New Roman" w:hAnsi="Verdana"/>
                <w:sz w:val="20"/>
                <w:szCs w:val="20"/>
              </w:rPr>
              <w:t>MES and second-level budget executors, the Executive Agency Electronic Communication Networks and Information Systems are included among the beneficiaries</w:t>
            </w:r>
          </w:p>
          <w:p w:rsidR="00C513B7" w:rsidRPr="00494815" w:rsidRDefault="00C513B7" w:rsidP="00494815">
            <w:pPr>
              <w:spacing w:after="0"/>
              <w:rPr>
                <w:rFonts w:ascii="Verdana" w:eastAsia="Times New Roman" w:hAnsi="Verdana"/>
                <w:sz w:val="20"/>
                <w:szCs w:val="20"/>
              </w:rPr>
            </w:pPr>
          </w:p>
          <w:p w:rsidR="00C513B7" w:rsidRPr="00494815" w:rsidRDefault="00A35E98" w:rsidP="00494815">
            <w:pPr>
              <w:spacing w:after="0"/>
              <w:rPr>
                <w:rFonts w:ascii="Verdana" w:eastAsia="Times New Roman" w:hAnsi="Verdana"/>
                <w:sz w:val="20"/>
                <w:szCs w:val="20"/>
              </w:rPr>
            </w:pPr>
            <w:r w:rsidRPr="00494815">
              <w:rPr>
                <w:rFonts w:ascii="Verdana" w:eastAsia="Times New Roman" w:hAnsi="Verdana"/>
                <w:sz w:val="20"/>
                <w:szCs w:val="20"/>
              </w:rPr>
              <w:t>The remaining beneficiaries are relevant to the objectives set and the foreseen activities.</w:t>
            </w:r>
          </w:p>
        </w:tc>
        <w:tc>
          <w:tcPr>
            <w:tcW w:w="3060" w:type="dxa"/>
            <w:shd w:val="clear" w:color="auto" w:fill="auto"/>
            <w:hideMark/>
          </w:tcPr>
          <w:p w:rsidR="00C513B7" w:rsidRPr="00494815" w:rsidRDefault="00A35E98" w:rsidP="00494815">
            <w:pPr>
              <w:spacing w:after="0"/>
              <w:rPr>
                <w:rFonts w:ascii="Verdana" w:eastAsia="Times New Roman" w:hAnsi="Verdana"/>
                <w:iCs/>
                <w:sz w:val="20"/>
                <w:szCs w:val="20"/>
              </w:rPr>
            </w:pPr>
            <w:r w:rsidRPr="00494815">
              <w:rPr>
                <w:rFonts w:ascii="Verdana" w:eastAsia="Times New Roman" w:hAnsi="Verdana"/>
                <w:sz w:val="20"/>
                <w:szCs w:val="20"/>
              </w:rPr>
              <w:t>The target groups are specified as follows: Researchers, entrepreneurs, innovators, professors, PhD students, and young scholars, participants in scientific research, university and students</w:t>
            </w:r>
            <w:r w:rsidRPr="00494815">
              <w:rPr>
                <w:rFonts w:ascii="Verdana" w:eastAsia="Times New Roman" w:hAnsi="Verdana"/>
                <w:iCs/>
                <w:sz w:val="20"/>
                <w:szCs w:val="20"/>
              </w:rPr>
              <w:t>.</w:t>
            </w:r>
          </w:p>
          <w:p w:rsidR="00C513B7" w:rsidRPr="00494815" w:rsidRDefault="00C513B7" w:rsidP="00494815">
            <w:pPr>
              <w:spacing w:after="0"/>
              <w:rPr>
                <w:rFonts w:ascii="Verdana" w:eastAsia="Times New Roman" w:hAnsi="Verdana"/>
                <w:iCs/>
                <w:sz w:val="20"/>
                <w:szCs w:val="20"/>
              </w:rPr>
            </w:pPr>
          </w:p>
          <w:p w:rsidR="00C513B7" w:rsidRPr="00494815" w:rsidRDefault="00A35E98" w:rsidP="00494815">
            <w:pPr>
              <w:spacing w:after="0"/>
              <w:rPr>
                <w:rFonts w:ascii="Verdana" w:eastAsia="Times New Roman" w:hAnsi="Verdana"/>
                <w:sz w:val="20"/>
                <w:szCs w:val="20"/>
              </w:rPr>
            </w:pPr>
            <w:r w:rsidRPr="00494815">
              <w:rPr>
                <w:rFonts w:ascii="Verdana" w:eastAsia="Times New Roman" w:hAnsi="Verdana"/>
                <w:sz w:val="20"/>
                <w:szCs w:val="20"/>
              </w:rPr>
              <w:t>The target groups are appropriately defined, except for the students which are not a main target group. Indirectly in certain cases of cooperation between universities or scientific institutions with high schools, the students there could also benefit from the extended assistance.</w:t>
            </w:r>
          </w:p>
        </w:tc>
      </w:tr>
      <w:tr w:rsidR="00C513B7" w:rsidRPr="005B6074" w:rsidTr="00F24971">
        <w:trPr>
          <w:trHeight w:val="3245"/>
        </w:trPr>
        <w:tc>
          <w:tcPr>
            <w:tcW w:w="2987" w:type="dxa"/>
            <w:shd w:val="clear" w:color="auto" w:fill="auto"/>
            <w:hideMark/>
          </w:tcPr>
          <w:p w:rsidR="00C513B7" w:rsidRPr="005B6074" w:rsidRDefault="00A35E98">
            <w:pPr>
              <w:spacing w:after="0" w:line="240" w:lineRule="auto"/>
              <w:rPr>
                <w:rFonts w:ascii="Verdana" w:eastAsia="Times New Roman" w:hAnsi="Verdana"/>
                <w:b/>
                <w:bCs/>
                <w:color w:val="000000"/>
                <w:sz w:val="20"/>
                <w:szCs w:val="20"/>
              </w:rPr>
            </w:pPr>
            <w:r w:rsidRPr="005B6074">
              <w:rPr>
                <w:rFonts w:ascii="Verdana" w:eastAsia="Times New Roman" w:hAnsi="Verdana"/>
                <w:b/>
                <w:bCs/>
                <w:color w:val="000000"/>
                <w:sz w:val="20"/>
                <w:szCs w:val="20"/>
              </w:rPr>
              <w:lastRenderedPageBreak/>
              <w:t xml:space="preserve">Investment priority 2: </w:t>
            </w:r>
            <w:r w:rsidRPr="005B6074">
              <w:rPr>
                <w:rFonts w:ascii="Verdana" w:hAnsi="Verdana"/>
                <w:i/>
                <w:sz w:val="20"/>
              </w:rPr>
              <w:t>P</w:t>
            </w:r>
            <w:r w:rsidRPr="005B6074">
              <w:rPr>
                <w:rFonts w:ascii="Verdana" w:hAnsi="Verdana"/>
                <w:i/>
                <w:color w:val="000000"/>
                <w:sz w:val="20"/>
              </w:rPr>
              <w:t>romoting business investment in R&amp;I, developing links and synergies between enterprises, research and development centres and the higher education sector, in particular promoting investment in product and service development, technology transfer, social innovation, eco-innovation, public service applications, demand stimulation, networking, clusters and open innovation through smart specialisation, and supporting technological and applied research, pilot lines, early product validation actions, advanced manufacturing capabilities and first production, in particular in key enabling technologies and diffusion of general purpose technologies</w:t>
            </w:r>
            <w:r w:rsidRPr="005B6074">
              <w:rPr>
                <w:rFonts w:ascii="Verdana" w:hAnsi="Verdana"/>
                <w:i/>
                <w:sz w:val="20"/>
              </w:rPr>
              <w:t>.</w:t>
            </w:r>
          </w:p>
        </w:tc>
        <w:tc>
          <w:tcPr>
            <w:tcW w:w="3060" w:type="dxa"/>
            <w:shd w:val="clear" w:color="auto" w:fill="auto"/>
            <w:hideMark/>
          </w:tcPr>
          <w:p w:rsidR="00C513B7" w:rsidRPr="005B6074" w:rsidRDefault="00A35E98" w:rsidP="00F24971">
            <w:pPr>
              <w:spacing w:after="0" w:line="240" w:lineRule="auto"/>
              <w:rPr>
                <w:rFonts w:ascii="Verdana" w:eastAsia="Times New Roman" w:hAnsi="Verdana"/>
                <w:color w:val="000000"/>
                <w:sz w:val="20"/>
                <w:szCs w:val="20"/>
              </w:rPr>
            </w:pPr>
            <w:r w:rsidRPr="005B6074">
              <w:rPr>
                <w:rFonts w:ascii="Verdana" w:eastAsia="Times New Roman" w:hAnsi="Verdana"/>
                <w:color w:val="000000"/>
                <w:sz w:val="20"/>
                <w:szCs w:val="20"/>
              </w:rPr>
              <w:t xml:space="preserve">The following beneficiaries have been specified: </w:t>
            </w:r>
            <w:r w:rsidRPr="005B6074">
              <w:rPr>
                <w:rFonts w:ascii="Verdana" w:eastAsia="Times New Roman" w:hAnsi="Verdana"/>
                <w:i/>
                <w:color w:val="000000"/>
                <w:sz w:val="20"/>
                <w:szCs w:val="20"/>
              </w:rPr>
              <w:t>Scientific organizations (including BAS and AA), scientific institutions, higher schools and/or their units, excellence centres, competence centres, MES</w:t>
            </w:r>
            <w:r w:rsidRPr="005B6074">
              <w:rPr>
                <w:rFonts w:ascii="Verdana" w:eastAsia="Times New Roman" w:hAnsi="Verdana"/>
                <w:i/>
                <w:iCs/>
                <w:color w:val="000000"/>
                <w:sz w:val="20"/>
                <w:szCs w:val="20"/>
              </w:rPr>
              <w:t>.</w:t>
            </w:r>
            <w:r w:rsidRPr="005B6074">
              <w:rPr>
                <w:rFonts w:ascii="Verdana" w:eastAsia="Times New Roman" w:hAnsi="Verdana"/>
                <w:i/>
                <w:iCs/>
                <w:color w:val="000000"/>
                <w:sz w:val="20"/>
                <w:szCs w:val="20"/>
              </w:rPr>
              <w:br/>
            </w:r>
            <w:r w:rsidRPr="005B6074">
              <w:rPr>
                <w:rFonts w:ascii="Verdana" w:eastAsia="Times New Roman" w:hAnsi="Verdana"/>
                <w:color w:val="000000"/>
                <w:sz w:val="20"/>
                <w:szCs w:val="20"/>
              </w:rPr>
              <w:br/>
              <w:t xml:space="preserve">The beneficiaries are adequately specified. Only regarding MES it is not clear what needs and activities it covers. </w:t>
            </w:r>
          </w:p>
        </w:tc>
        <w:tc>
          <w:tcPr>
            <w:tcW w:w="3060" w:type="dxa"/>
            <w:shd w:val="clear" w:color="auto" w:fill="auto"/>
            <w:hideMark/>
          </w:tcPr>
          <w:p w:rsidR="00C513B7" w:rsidRPr="005B6074" w:rsidRDefault="00A35E98" w:rsidP="00F24971">
            <w:pPr>
              <w:spacing w:after="0" w:line="240" w:lineRule="auto"/>
              <w:rPr>
                <w:rFonts w:ascii="Verdana" w:eastAsia="Times New Roman" w:hAnsi="Verdana"/>
                <w:color w:val="000000"/>
                <w:sz w:val="20"/>
                <w:szCs w:val="20"/>
              </w:rPr>
            </w:pPr>
            <w:r w:rsidRPr="005B6074">
              <w:rPr>
                <w:rFonts w:ascii="Verdana" w:eastAsia="Times New Roman" w:hAnsi="Verdana"/>
                <w:color w:val="000000"/>
                <w:sz w:val="20"/>
                <w:szCs w:val="20"/>
              </w:rPr>
              <w:t xml:space="preserve">The target groups are specified as follows: </w:t>
            </w:r>
            <w:r w:rsidRPr="005B6074">
              <w:rPr>
                <w:rFonts w:ascii="Verdana" w:eastAsia="Times New Roman" w:hAnsi="Verdana"/>
                <w:i/>
                <w:color w:val="000000"/>
                <w:sz w:val="20"/>
                <w:szCs w:val="20"/>
              </w:rPr>
              <w:t>researchers, professors, PhD students, post-graduate students, young scholars, and university and high school students</w:t>
            </w:r>
            <w:r w:rsidRPr="005B6074">
              <w:rPr>
                <w:rFonts w:ascii="Verdana" w:eastAsia="Times New Roman" w:hAnsi="Verdana"/>
                <w:i/>
                <w:iCs/>
                <w:color w:val="000000"/>
                <w:sz w:val="20"/>
                <w:szCs w:val="20"/>
              </w:rPr>
              <w:t>.</w:t>
            </w:r>
            <w:r w:rsidRPr="005B6074">
              <w:rPr>
                <w:rFonts w:ascii="Verdana" w:eastAsia="Times New Roman" w:hAnsi="Verdana"/>
                <w:i/>
                <w:iCs/>
                <w:color w:val="000000"/>
                <w:sz w:val="20"/>
                <w:szCs w:val="20"/>
              </w:rPr>
              <w:br/>
            </w:r>
            <w:r w:rsidRPr="005B6074">
              <w:rPr>
                <w:rFonts w:ascii="Verdana" w:eastAsia="Times New Roman" w:hAnsi="Verdana"/>
                <w:color w:val="000000"/>
                <w:sz w:val="20"/>
                <w:szCs w:val="20"/>
              </w:rPr>
              <w:br/>
              <w:t>The target groups are adequately specified.</w:t>
            </w:r>
          </w:p>
        </w:tc>
      </w:tr>
    </w:tbl>
    <w:p w:rsidR="00C513B7" w:rsidRPr="005B6074" w:rsidRDefault="00C513B7" w:rsidP="00C513B7">
      <w:pPr>
        <w:pStyle w:val="BodyText"/>
        <w:widowControl w:val="0"/>
        <w:tabs>
          <w:tab w:val="left" w:pos="0"/>
          <w:tab w:val="right" w:pos="9214"/>
        </w:tabs>
        <w:spacing w:before="120" w:line="276" w:lineRule="auto"/>
        <w:jc w:val="both"/>
        <w:rPr>
          <w:rFonts w:ascii="Verdana" w:hAnsi="Verdana"/>
          <w:sz w:val="20"/>
        </w:rPr>
      </w:pPr>
    </w:p>
    <w:p w:rsidR="00C513B7" w:rsidRPr="005B6074" w:rsidRDefault="00A35E98" w:rsidP="00C513B7">
      <w:pPr>
        <w:keepNext/>
        <w:pBdr>
          <w:bottom w:val="single" w:sz="4" w:space="1" w:color="0070C0"/>
        </w:pBdr>
        <w:spacing w:before="360" w:after="120"/>
        <w:jc w:val="both"/>
        <w:rPr>
          <w:rFonts w:ascii="Verdana" w:hAnsi="Verdana"/>
          <w:color w:val="0070C0"/>
          <w:sz w:val="20"/>
          <w:szCs w:val="20"/>
          <w:lang w:eastAsia="cs-CZ"/>
        </w:rPr>
      </w:pPr>
      <w:r w:rsidRPr="005B6074">
        <w:rPr>
          <w:rFonts w:ascii="Verdana" w:hAnsi="Verdana"/>
          <w:color w:val="0070C0"/>
          <w:sz w:val="20"/>
          <w:szCs w:val="20"/>
          <w:lang w:eastAsia="cs-CZ"/>
        </w:rPr>
        <w:t>PA2. Education and lifelong learning</w:t>
      </w:r>
    </w:p>
    <w:p w:rsidR="00C513B7" w:rsidRPr="005B6074" w:rsidRDefault="00A35E98" w:rsidP="00C513B7">
      <w:pPr>
        <w:pStyle w:val="BodyText"/>
        <w:keepNext/>
        <w:tabs>
          <w:tab w:val="left" w:pos="0"/>
          <w:tab w:val="right" w:pos="9214"/>
        </w:tabs>
        <w:spacing w:before="240" w:line="276" w:lineRule="auto"/>
        <w:jc w:val="both"/>
        <w:rPr>
          <w:rFonts w:ascii="Verdana" w:hAnsi="Verdana"/>
          <w:sz w:val="20"/>
          <w:szCs w:val="20"/>
        </w:rPr>
      </w:pPr>
      <w:bookmarkStart w:id="134" w:name="_Toc390257082"/>
      <w:bookmarkStart w:id="135" w:name="_Toc396225621"/>
      <w:r w:rsidRPr="005B6074">
        <w:rPr>
          <w:rFonts w:ascii="Verdana" w:hAnsi="Verdana"/>
          <w:b/>
          <w:color w:val="548DD4" w:themeColor="text2" w:themeTint="99"/>
          <w:sz w:val="20"/>
          <w:szCs w:val="20"/>
        </w:rPr>
        <w:t xml:space="preserve">Table </w:t>
      </w:r>
      <w:r w:rsidRPr="005B6074">
        <w:rPr>
          <w:rFonts w:ascii="Verdana" w:hAnsi="Verdana"/>
          <w:b/>
          <w:color w:val="548DD4" w:themeColor="text2" w:themeTint="99"/>
          <w:sz w:val="20"/>
          <w:szCs w:val="20"/>
        </w:rPr>
        <w:fldChar w:fldCharType="begin"/>
      </w:r>
      <w:r w:rsidRPr="005B6074">
        <w:rPr>
          <w:rFonts w:ascii="Verdana" w:hAnsi="Verdana"/>
          <w:b/>
          <w:color w:val="548DD4" w:themeColor="text2" w:themeTint="99"/>
          <w:sz w:val="20"/>
          <w:szCs w:val="20"/>
        </w:rPr>
        <w:instrText xml:space="preserve"> SEQ таблица \* ARABIC </w:instrText>
      </w:r>
      <w:r w:rsidRPr="005B6074">
        <w:rPr>
          <w:rFonts w:ascii="Verdana" w:hAnsi="Verdana"/>
          <w:b/>
          <w:color w:val="548DD4" w:themeColor="text2" w:themeTint="99"/>
          <w:sz w:val="20"/>
          <w:szCs w:val="20"/>
        </w:rPr>
        <w:fldChar w:fldCharType="separate"/>
      </w:r>
      <w:r w:rsidR="009330F5">
        <w:rPr>
          <w:rFonts w:ascii="Verdana" w:hAnsi="Verdana"/>
          <w:b/>
          <w:noProof/>
          <w:color w:val="548DD4" w:themeColor="text2" w:themeTint="99"/>
          <w:sz w:val="20"/>
          <w:szCs w:val="20"/>
        </w:rPr>
        <w:t>26</w:t>
      </w:r>
      <w:r w:rsidRPr="005B6074">
        <w:rPr>
          <w:rFonts w:ascii="Verdana" w:hAnsi="Verdana"/>
          <w:b/>
          <w:color w:val="548DD4" w:themeColor="text2" w:themeTint="99"/>
          <w:sz w:val="20"/>
          <w:szCs w:val="20"/>
        </w:rPr>
        <w:fldChar w:fldCharType="end"/>
      </w:r>
      <w:r w:rsidRPr="005B6074">
        <w:rPr>
          <w:rFonts w:ascii="Verdana" w:hAnsi="Verdana"/>
          <w:b/>
          <w:color w:val="548DD4" w:themeColor="text2" w:themeTint="99"/>
          <w:sz w:val="20"/>
          <w:szCs w:val="20"/>
        </w:rPr>
        <w:t>. PA2 – Analysis of beneficiaries and target groups</w:t>
      </w:r>
      <w:bookmarkEnd w:id="134"/>
      <w:bookmarkEnd w:id="135"/>
    </w:p>
    <w:tbl>
      <w:tblPr>
        <w:tblW w:w="9107" w:type="dxa"/>
        <w:tblInd w:w="91"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3018"/>
        <w:gridCol w:w="3029"/>
        <w:gridCol w:w="3060"/>
      </w:tblGrid>
      <w:tr w:rsidR="00C513B7" w:rsidRPr="005B6074" w:rsidTr="00F24971">
        <w:trPr>
          <w:trHeight w:val="315"/>
        </w:trPr>
        <w:tc>
          <w:tcPr>
            <w:tcW w:w="3018" w:type="dxa"/>
            <w:shd w:val="clear" w:color="000000" w:fill="548DD4"/>
            <w:hideMark/>
          </w:tcPr>
          <w:p w:rsidR="00C513B7" w:rsidRPr="00494815" w:rsidRDefault="00A35E98" w:rsidP="00494815">
            <w:pPr>
              <w:jc w:val="center"/>
              <w:rPr>
                <w:rFonts w:ascii="Verdana" w:hAnsi="Verdana"/>
                <w:b/>
                <w:color w:val="FFFFFF" w:themeColor="background1"/>
                <w:sz w:val="20"/>
                <w:szCs w:val="20"/>
              </w:rPr>
            </w:pPr>
            <w:r w:rsidRPr="00494815">
              <w:rPr>
                <w:rFonts w:ascii="Verdana" w:hAnsi="Verdana"/>
                <w:b/>
                <w:color w:val="FFFFFF" w:themeColor="background1"/>
                <w:sz w:val="20"/>
                <w:szCs w:val="20"/>
              </w:rPr>
              <w:t>Investment priority</w:t>
            </w:r>
          </w:p>
        </w:tc>
        <w:tc>
          <w:tcPr>
            <w:tcW w:w="3029" w:type="dxa"/>
            <w:shd w:val="clear" w:color="000000" w:fill="548DD4"/>
            <w:hideMark/>
          </w:tcPr>
          <w:p w:rsidR="00C513B7" w:rsidRPr="00494815" w:rsidRDefault="00A35E98" w:rsidP="00494815">
            <w:pPr>
              <w:jc w:val="center"/>
              <w:rPr>
                <w:rFonts w:ascii="Verdana" w:hAnsi="Verdana"/>
                <w:b/>
                <w:color w:val="FFFFFF" w:themeColor="background1"/>
                <w:sz w:val="20"/>
                <w:szCs w:val="20"/>
              </w:rPr>
            </w:pPr>
            <w:r w:rsidRPr="00494815">
              <w:rPr>
                <w:rFonts w:ascii="Verdana" w:hAnsi="Verdana"/>
                <w:b/>
                <w:color w:val="FFFFFF" w:themeColor="background1"/>
                <w:sz w:val="20"/>
                <w:szCs w:val="20"/>
              </w:rPr>
              <w:t>Eligible beneficiaries (Comment)</w:t>
            </w:r>
          </w:p>
        </w:tc>
        <w:tc>
          <w:tcPr>
            <w:tcW w:w="3060" w:type="dxa"/>
            <w:shd w:val="clear" w:color="000000" w:fill="548DD4"/>
            <w:hideMark/>
          </w:tcPr>
          <w:p w:rsidR="00C513B7" w:rsidRPr="00494815" w:rsidRDefault="00A35E98" w:rsidP="00494815">
            <w:pPr>
              <w:jc w:val="center"/>
              <w:rPr>
                <w:rFonts w:ascii="Verdana" w:hAnsi="Verdana"/>
                <w:b/>
                <w:color w:val="FFFFFF" w:themeColor="background1"/>
                <w:sz w:val="20"/>
                <w:szCs w:val="20"/>
              </w:rPr>
            </w:pPr>
            <w:r w:rsidRPr="00494815">
              <w:rPr>
                <w:rFonts w:ascii="Verdana" w:hAnsi="Verdana"/>
                <w:b/>
                <w:color w:val="FFFFFF" w:themeColor="background1"/>
                <w:sz w:val="20"/>
                <w:szCs w:val="20"/>
              </w:rPr>
              <w:t>Target groups (Comment)</w:t>
            </w:r>
          </w:p>
        </w:tc>
      </w:tr>
      <w:tr w:rsidR="00C513B7" w:rsidRPr="005B6074" w:rsidTr="00F24971">
        <w:trPr>
          <w:trHeight w:val="548"/>
        </w:trPr>
        <w:tc>
          <w:tcPr>
            <w:tcW w:w="3018" w:type="dxa"/>
            <w:shd w:val="clear" w:color="auto" w:fill="auto"/>
            <w:hideMark/>
          </w:tcPr>
          <w:p w:rsidR="00C513B7" w:rsidRPr="00494815" w:rsidRDefault="00A35E98" w:rsidP="00494815">
            <w:pPr>
              <w:spacing w:after="0"/>
              <w:rPr>
                <w:rFonts w:ascii="Verdana" w:eastAsia="Times New Roman" w:hAnsi="Verdana"/>
                <w:b/>
                <w:bCs/>
                <w:sz w:val="20"/>
                <w:szCs w:val="20"/>
              </w:rPr>
            </w:pPr>
            <w:r w:rsidRPr="00494815">
              <w:rPr>
                <w:rFonts w:ascii="Verdana" w:eastAsia="Times New Roman" w:hAnsi="Verdana"/>
                <w:b/>
                <w:bCs/>
                <w:sz w:val="20"/>
                <w:szCs w:val="20"/>
              </w:rPr>
              <w:t xml:space="preserve">Investment priority 1: </w:t>
            </w:r>
            <w:r w:rsidRPr="00494815">
              <w:rPr>
                <w:rFonts w:ascii="Verdana" w:hAnsi="Verdana"/>
                <w:i/>
                <w:sz w:val="20"/>
                <w:szCs w:val="20"/>
              </w:rPr>
              <w:t>Reducing and preventing early school-leaving and promoting equal access to good quality early-childhood, primary and secondary education including formal, non-formal and informal learning pathways for reintegrating into education and training</w:t>
            </w:r>
            <w:r w:rsidRPr="00494815">
              <w:rPr>
                <w:rFonts w:ascii="Verdana" w:eastAsia="Times New Roman" w:hAnsi="Verdana"/>
                <w:i/>
                <w:iCs/>
                <w:sz w:val="20"/>
                <w:szCs w:val="20"/>
              </w:rPr>
              <w:t>.</w:t>
            </w:r>
          </w:p>
        </w:tc>
        <w:tc>
          <w:tcPr>
            <w:tcW w:w="3029" w:type="dxa"/>
            <w:shd w:val="clear" w:color="auto" w:fill="auto"/>
            <w:hideMark/>
          </w:tcPr>
          <w:p w:rsidR="00C513B7" w:rsidRPr="00494815" w:rsidRDefault="00A35E98" w:rsidP="00494815">
            <w:pPr>
              <w:spacing w:after="0"/>
              <w:rPr>
                <w:rFonts w:ascii="Verdana" w:eastAsia="Times New Roman" w:hAnsi="Verdana"/>
                <w:sz w:val="20"/>
                <w:szCs w:val="20"/>
              </w:rPr>
            </w:pPr>
            <w:r w:rsidRPr="00494815">
              <w:rPr>
                <w:rFonts w:ascii="Verdana" w:eastAsia="Times New Roman" w:hAnsi="Verdana"/>
                <w:sz w:val="20"/>
                <w:szCs w:val="20"/>
              </w:rPr>
              <w:t xml:space="preserve">The beneficiaries are specified as follows: </w:t>
            </w:r>
            <w:r w:rsidRPr="005A221F">
              <w:rPr>
                <w:rFonts w:ascii="Verdana" w:eastAsia="Times New Roman" w:hAnsi="Verdana"/>
                <w:i/>
                <w:iCs/>
                <w:sz w:val="20"/>
                <w:szCs w:val="20"/>
              </w:rPr>
              <w:t xml:space="preserve">MES and its second level budget executing units, other ministries which provide financing to schools, SACP, kindergartens, schools, resource centres, community culture centres, organizations operating pursuant to the Not-for Profit Legal Entities Act </w:t>
            </w:r>
            <w:r w:rsidRPr="005A221F">
              <w:rPr>
                <w:rFonts w:ascii="Verdana" w:eastAsia="Times New Roman" w:hAnsi="Verdana"/>
                <w:i/>
                <w:iCs/>
                <w:sz w:val="20"/>
                <w:szCs w:val="20"/>
              </w:rPr>
              <w:lastRenderedPageBreak/>
              <w:t>(NPLEA)</w:t>
            </w:r>
            <w:r w:rsidRPr="00494815">
              <w:rPr>
                <w:rFonts w:ascii="Verdana" w:eastAsia="Times New Roman" w:hAnsi="Verdana"/>
                <w:iCs/>
                <w:sz w:val="20"/>
                <w:szCs w:val="20"/>
              </w:rPr>
              <w:t>.</w:t>
            </w:r>
            <w:r w:rsidRPr="00494815">
              <w:rPr>
                <w:rFonts w:ascii="Verdana" w:eastAsia="Times New Roman" w:hAnsi="Verdana"/>
                <w:iCs/>
                <w:sz w:val="20"/>
                <w:szCs w:val="20"/>
              </w:rPr>
              <w:br/>
            </w:r>
            <w:r w:rsidRPr="00494815">
              <w:rPr>
                <w:rFonts w:ascii="Verdana" w:eastAsia="Times New Roman" w:hAnsi="Verdana"/>
                <w:iCs/>
                <w:sz w:val="20"/>
                <w:szCs w:val="20"/>
              </w:rPr>
              <w:br/>
            </w:r>
            <w:r w:rsidRPr="00494815">
              <w:rPr>
                <w:rFonts w:ascii="Verdana" w:eastAsia="Times New Roman" w:hAnsi="Verdana"/>
                <w:sz w:val="20"/>
                <w:szCs w:val="20"/>
              </w:rPr>
              <w:t>The beneficiaries are adequately specified.</w:t>
            </w:r>
          </w:p>
        </w:tc>
        <w:tc>
          <w:tcPr>
            <w:tcW w:w="3060" w:type="dxa"/>
            <w:shd w:val="clear" w:color="auto" w:fill="auto"/>
            <w:hideMark/>
          </w:tcPr>
          <w:p w:rsidR="00C513B7" w:rsidRPr="00494815" w:rsidRDefault="00A35E98" w:rsidP="00494815">
            <w:pPr>
              <w:spacing w:after="0"/>
              <w:rPr>
                <w:rFonts w:ascii="Verdana" w:eastAsia="Times New Roman" w:hAnsi="Verdana"/>
                <w:sz w:val="20"/>
                <w:szCs w:val="20"/>
              </w:rPr>
            </w:pPr>
            <w:r w:rsidRPr="00494815">
              <w:rPr>
                <w:rFonts w:ascii="Verdana" w:eastAsia="Times New Roman" w:hAnsi="Verdana"/>
                <w:sz w:val="20"/>
                <w:szCs w:val="20"/>
              </w:rPr>
              <w:lastRenderedPageBreak/>
              <w:t xml:space="preserve">The target groups include: </w:t>
            </w:r>
            <w:r w:rsidRPr="005A221F">
              <w:rPr>
                <w:rFonts w:ascii="Verdana" w:eastAsia="Times New Roman" w:hAnsi="Verdana"/>
                <w:i/>
                <w:iCs/>
                <w:sz w:val="20"/>
                <w:szCs w:val="20"/>
              </w:rPr>
              <w:t>children, students, adults beyond the compulsory school age, parents, pedagogical specialists, psychologists, directors</w:t>
            </w:r>
            <w:r w:rsidRPr="00494815">
              <w:rPr>
                <w:rFonts w:ascii="Verdana" w:eastAsia="Times New Roman" w:hAnsi="Verdana"/>
                <w:iCs/>
                <w:sz w:val="20"/>
                <w:szCs w:val="20"/>
              </w:rPr>
              <w:t>.</w:t>
            </w:r>
            <w:r w:rsidRPr="00494815">
              <w:rPr>
                <w:rFonts w:ascii="Verdana" w:eastAsia="Times New Roman" w:hAnsi="Verdana"/>
                <w:iCs/>
                <w:sz w:val="20"/>
                <w:szCs w:val="20"/>
              </w:rPr>
              <w:br/>
            </w:r>
            <w:r w:rsidRPr="00494815">
              <w:rPr>
                <w:rFonts w:ascii="Verdana" w:eastAsia="Times New Roman" w:hAnsi="Verdana"/>
                <w:sz w:val="20"/>
                <w:szCs w:val="20"/>
              </w:rPr>
              <w:br/>
              <w:t xml:space="preserve">The target groups are adequate except for “adults beyond the compulsory school age” because it is not clear how they will be </w:t>
            </w:r>
            <w:r w:rsidRPr="00494815">
              <w:rPr>
                <w:rFonts w:ascii="Verdana" w:eastAsia="Times New Roman" w:hAnsi="Verdana"/>
                <w:sz w:val="20"/>
                <w:szCs w:val="20"/>
              </w:rPr>
              <w:lastRenderedPageBreak/>
              <w:t>included in the activities under the investment priority.</w:t>
            </w:r>
          </w:p>
        </w:tc>
      </w:tr>
      <w:tr w:rsidR="00C513B7" w:rsidRPr="005B6074" w:rsidTr="00F24971">
        <w:trPr>
          <w:trHeight w:val="526"/>
        </w:trPr>
        <w:tc>
          <w:tcPr>
            <w:tcW w:w="3018" w:type="dxa"/>
            <w:shd w:val="clear" w:color="auto" w:fill="auto"/>
            <w:hideMark/>
          </w:tcPr>
          <w:p w:rsidR="00C513B7" w:rsidRPr="00494815" w:rsidRDefault="00A35E98" w:rsidP="00494815">
            <w:pPr>
              <w:spacing w:after="0"/>
              <w:rPr>
                <w:rFonts w:ascii="Verdana" w:eastAsia="Times New Roman" w:hAnsi="Verdana"/>
                <w:b/>
                <w:bCs/>
                <w:sz w:val="20"/>
                <w:szCs w:val="20"/>
              </w:rPr>
            </w:pPr>
            <w:r w:rsidRPr="00494815">
              <w:rPr>
                <w:rFonts w:ascii="Verdana" w:eastAsia="Times New Roman" w:hAnsi="Verdana"/>
                <w:b/>
                <w:bCs/>
                <w:sz w:val="20"/>
                <w:szCs w:val="20"/>
              </w:rPr>
              <w:lastRenderedPageBreak/>
              <w:t xml:space="preserve">Investment priority 2: </w:t>
            </w:r>
            <w:r w:rsidRPr="00494815">
              <w:rPr>
                <w:rFonts w:ascii="Verdana" w:hAnsi="Verdana"/>
                <w:i/>
                <w:sz w:val="20"/>
                <w:szCs w:val="20"/>
              </w:rPr>
              <w:t>Improving the quality and efficiency of, and access to, tertiary and equivalent education with a view to increasing participation and attainment levels, especially for disadvantaged groups.</w:t>
            </w:r>
            <w:r w:rsidRPr="00494815">
              <w:rPr>
                <w:rFonts w:ascii="Verdana" w:eastAsia="Times New Roman" w:hAnsi="Verdana"/>
                <w:iCs/>
                <w:sz w:val="20"/>
                <w:szCs w:val="20"/>
              </w:rPr>
              <w:t xml:space="preserve"> </w:t>
            </w:r>
          </w:p>
        </w:tc>
        <w:tc>
          <w:tcPr>
            <w:tcW w:w="3029" w:type="dxa"/>
            <w:shd w:val="clear" w:color="auto" w:fill="auto"/>
            <w:hideMark/>
          </w:tcPr>
          <w:p w:rsidR="00C513B7" w:rsidRPr="00494815" w:rsidRDefault="00A35E98" w:rsidP="00494815">
            <w:pPr>
              <w:spacing w:after="0"/>
              <w:rPr>
                <w:rFonts w:ascii="Verdana" w:eastAsia="Times New Roman" w:hAnsi="Verdana"/>
                <w:sz w:val="20"/>
                <w:szCs w:val="20"/>
              </w:rPr>
            </w:pPr>
            <w:r w:rsidRPr="00494815">
              <w:rPr>
                <w:rFonts w:ascii="Verdana" w:eastAsia="Times New Roman" w:hAnsi="Verdana"/>
                <w:sz w:val="20"/>
                <w:szCs w:val="20"/>
              </w:rPr>
              <w:t>The beneficiaries are specified as follows</w:t>
            </w:r>
            <w:r w:rsidRPr="00494815">
              <w:rPr>
                <w:rFonts w:ascii="Verdana" w:eastAsia="Times New Roman" w:hAnsi="Verdana"/>
                <w:iCs/>
                <w:sz w:val="20"/>
                <w:szCs w:val="20"/>
              </w:rPr>
              <w:t xml:space="preserve">: </w:t>
            </w:r>
            <w:r w:rsidRPr="005A221F">
              <w:rPr>
                <w:rFonts w:ascii="Verdana" w:eastAsia="Times New Roman" w:hAnsi="Verdana"/>
                <w:i/>
                <w:iCs/>
                <w:sz w:val="20"/>
                <w:szCs w:val="20"/>
              </w:rPr>
              <w:t>MES and its second level budget executing units, higher educational establishments and/or their main units, nationally representative organizations of workers and employees and employers, professional organizations, representative student organizations, registered under NPLEA</w:t>
            </w:r>
            <w:r w:rsidRPr="00494815">
              <w:rPr>
                <w:rFonts w:ascii="Verdana" w:eastAsia="Times New Roman" w:hAnsi="Verdana"/>
                <w:iCs/>
                <w:sz w:val="20"/>
                <w:szCs w:val="20"/>
              </w:rPr>
              <w:t>.</w:t>
            </w:r>
            <w:r w:rsidRPr="00494815">
              <w:rPr>
                <w:rFonts w:ascii="Verdana" w:eastAsia="Times New Roman" w:hAnsi="Verdana"/>
                <w:iCs/>
                <w:sz w:val="20"/>
                <w:szCs w:val="20"/>
              </w:rPr>
              <w:br/>
            </w:r>
            <w:r w:rsidRPr="00494815">
              <w:rPr>
                <w:rFonts w:ascii="Verdana" w:eastAsia="Times New Roman" w:hAnsi="Verdana"/>
                <w:sz w:val="20"/>
                <w:szCs w:val="20"/>
              </w:rPr>
              <w:br/>
              <w:t>The beneficiaries are adequately defined given the foreseen activities. In connection with the extending of student loans, it should be considered whether the banks (and other financial institutions) should be also included among the beneficiaries.</w:t>
            </w:r>
          </w:p>
        </w:tc>
        <w:tc>
          <w:tcPr>
            <w:tcW w:w="3060" w:type="dxa"/>
            <w:shd w:val="clear" w:color="auto" w:fill="auto"/>
            <w:hideMark/>
          </w:tcPr>
          <w:p w:rsidR="00C513B7" w:rsidRPr="00494815" w:rsidRDefault="00A35E98" w:rsidP="00494815">
            <w:pPr>
              <w:spacing w:after="0"/>
              <w:rPr>
                <w:rFonts w:ascii="Verdana" w:eastAsia="Times New Roman" w:hAnsi="Verdana"/>
                <w:sz w:val="20"/>
                <w:szCs w:val="20"/>
              </w:rPr>
            </w:pPr>
            <w:r w:rsidRPr="00494815">
              <w:rPr>
                <w:rFonts w:ascii="Verdana" w:eastAsia="Times New Roman" w:hAnsi="Verdana"/>
                <w:sz w:val="20"/>
                <w:szCs w:val="20"/>
              </w:rPr>
              <w:t xml:space="preserve">The following target groups have been specified: </w:t>
            </w:r>
            <w:r w:rsidRPr="005A221F">
              <w:rPr>
                <w:rFonts w:ascii="Verdana" w:eastAsia="Times New Roman" w:hAnsi="Verdana"/>
                <w:i/>
                <w:iCs/>
                <w:sz w:val="20"/>
                <w:szCs w:val="20"/>
              </w:rPr>
              <w:t>students, candidate students, young people, PhD students, graduate students, university professors</w:t>
            </w:r>
            <w:r w:rsidRPr="00494815">
              <w:rPr>
                <w:rFonts w:ascii="Verdana" w:eastAsia="Times New Roman" w:hAnsi="Verdana"/>
                <w:iCs/>
                <w:sz w:val="20"/>
                <w:szCs w:val="20"/>
              </w:rPr>
              <w:t>.</w:t>
            </w:r>
            <w:r w:rsidRPr="00494815">
              <w:rPr>
                <w:rFonts w:ascii="Verdana" w:eastAsia="Times New Roman" w:hAnsi="Verdana"/>
                <w:iCs/>
                <w:sz w:val="20"/>
                <w:szCs w:val="20"/>
              </w:rPr>
              <w:br/>
            </w:r>
            <w:r w:rsidRPr="00494815">
              <w:rPr>
                <w:rFonts w:ascii="Verdana" w:eastAsia="Times New Roman" w:hAnsi="Verdana"/>
                <w:sz w:val="20"/>
                <w:szCs w:val="20"/>
              </w:rPr>
              <w:br/>
              <w:t>The target groups are adequate It is not clear why the group “young people”” was added, since the two groups – students and candidates students – are supposed to cover all young people who are expected to benefit from the programme.</w:t>
            </w:r>
          </w:p>
        </w:tc>
      </w:tr>
      <w:tr w:rsidR="00C513B7" w:rsidRPr="005B6074" w:rsidTr="005B6074">
        <w:trPr>
          <w:trHeight w:val="1544"/>
        </w:trPr>
        <w:tc>
          <w:tcPr>
            <w:tcW w:w="3018" w:type="dxa"/>
            <w:shd w:val="clear" w:color="auto" w:fill="auto"/>
            <w:hideMark/>
          </w:tcPr>
          <w:p w:rsidR="00C513B7" w:rsidRPr="00494815" w:rsidRDefault="00A35E98" w:rsidP="00494815">
            <w:pPr>
              <w:spacing w:after="0"/>
              <w:rPr>
                <w:rFonts w:ascii="Verdana" w:eastAsia="Times New Roman" w:hAnsi="Verdana"/>
                <w:b/>
                <w:bCs/>
                <w:sz w:val="20"/>
                <w:szCs w:val="20"/>
              </w:rPr>
            </w:pPr>
            <w:r w:rsidRPr="00494815">
              <w:rPr>
                <w:rFonts w:ascii="Verdana" w:eastAsia="Times New Roman" w:hAnsi="Verdana"/>
                <w:b/>
                <w:bCs/>
                <w:sz w:val="20"/>
                <w:szCs w:val="20"/>
              </w:rPr>
              <w:t xml:space="preserve">Investment priority 3: </w:t>
            </w:r>
            <w:r w:rsidRPr="00494815">
              <w:rPr>
                <w:rFonts w:ascii="Verdana" w:hAnsi="Verdana"/>
                <w:i/>
                <w:sz w:val="20"/>
                <w:szCs w:val="20"/>
              </w:rPr>
              <w:t>Improving the equal access to opportunities for lifelong learning for all age groups, in formal, informal and non-formal forms, to updating the knowledge, skills and competences of the labour force, as well as promoting flexible forms of education, including through professional counselling and validation of acquired competences.</w:t>
            </w:r>
          </w:p>
        </w:tc>
        <w:tc>
          <w:tcPr>
            <w:tcW w:w="3029" w:type="dxa"/>
            <w:shd w:val="clear" w:color="auto" w:fill="auto"/>
            <w:hideMark/>
          </w:tcPr>
          <w:p w:rsidR="00C513B7" w:rsidRPr="00494815" w:rsidRDefault="00A35E98" w:rsidP="00494815">
            <w:pPr>
              <w:spacing w:after="0"/>
              <w:rPr>
                <w:rFonts w:ascii="Verdana" w:eastAsia="Times New Roman" w:hAnsi="Verdana"/>
                <w:sz w:val="20"/>
                <w:szCs w:val="20"/>
              </w:rPr>
            </w:pPr>
            <w:r w:rsidRPr="00494815">
              <w:rPr>
                <w:rFonts w:ascii="Verdana" w:eastAsia="Times New Roman" w:hAnsi="Verdana"/>
                <w:sz w:val="20"/>
                <w:szCs w:val="20"/>
              </w:rPr>
              <w:t xml:space="preserve">The beneficiaries are specified as follows: </w:t>
            </w:r>
            <w:r w:rsidRPr="00494815">
              <w:rPr>
                <w:rFonts w:ascii="Verdana" w:eastAsia="Times New Roman" w:hAnsi="Verdana"/>
                <w:iCs/>
                <w:sz w:val="20"/>
                <w:szCs w:val="20"/>
              </w:rPr>
              <w:t xml:space="preserve">MES and its second level budget executing units including the National Agency for Vocational Education and Training (NAVET), other ministries which provide financing to schools, higher education establishments and/or their main units, schools, research organizations (including BAS and AA), scientific institutes, nationally representative organizations of workers, </w:t>
            </w:r>
            <w:r w:rsidRPr="00494815">
              <w:rPr>
                <w:rFonts w:ascii="Verdana" w:eastAsia="Times New Roman" w:hAnsi="Verdana"/>
                <w:iCs/>
                <w:sz w:val="20"/>
                <w:szCs w:val="20"/>
              </w:rPr>
              <w:lastRenderedPageBreak/>
              <w:t>employees and employers, professional organizations, youth organizations, student organizations, registered under the law, organizations operating under NPLEA, municipalities.</w:t>
            </w:r>
            <w:r w:rsidRPr="00494815">
              <w:rPr>
                <w:rFonts w:ascii="Verdana" w:eastAsia="Times New Roman" w:hAnsi="Verdana"/>
                <w:iCs/>
                <w:sz w:val="20"/>
                <w:szCs w:val="20"/>
              </w:rPr>
              <w:br/>
            </w:r>
            <w:r w:rsidRPr="00494815">
              <w:rPr>
                <w:rFonts w:ascii="Verdana" w:eastAsia="Times New Roman" w:hAnsi="Verdana"/>
                <w:sz w:val="20"/>
                <w:szCs w:val="20"/>
              </w:rPr>
              <w:br/>
              <w:t>The beneficiaries are adequate to the defined scope of support.</w:t>
            </w:r>
          </w:p>
        </w:tc>
        <w:tc>
          <w:tcPr>
            <w:tcW w:w="3060" w:type="dxa"/>
            <w:shd w:val="clear" w:color="auto" w:fill="auto"/>
            <w:hideMark/>
          </w:tcPr>
          <w:p w:rsidR="00C513B7" w:rsidRPr="00494815" w:rsidRDefault="00A35E98" w:rsidP="00494815">
            <w:pPr>
              <w:spacing w:after="0"/>
              <w:rPr>
                <w:rFonts w:ascii="Verdana" w:eastAsia="Times New Roman" w:hAnsi="Verdana"/>
                <w:sz w:val="20"/>
                <w:szCs w:val="20"/>
              </w:rPr>
            </w:pPr>
            <w:r w:rsidRPr="00494815">
              <w:rPr>
                <w:rFonts w:ascii="Verdana" w:eastAsia="Times New Roman" w:hAnsi="Verdana"/>
                <w:sz w:val="20"/>
                <w:szCs w:val="20"/>
              </w:rPr>
              <w:lastRenderedPageBreak/>
              <w:t xml:space="preserve">The following target groups have been specified: children, young people, university students, PhD students, post-graduate students, young scholars, pedagogical specialists from the system of pre-school and school education, scholars, researchers, professors and staff of higher educational institutes and organizations professional consultants, psychologists, persons who have no education, unemployed and illiterate </w:t>
            </w:r>
            <w:r w:rsidRPr="00494815">
              <w:rPr>
                <w:rFonts w:ascii="Verdana" w:eastAsia="Times New Roman" w:hAnsi="Verdana"/>
                <w:sz w:val="20"/>
                <w:szCs w:val="20"/>
              </w:rPr>
              <w:lastRenderedPageBreak/>
              <w:t>persons.</w:t>
            </w:r>
            <w:r w:rsidRPr="00494815">
              <w:rPr>
                <w:rFonts w:ascii="Verdana" w:eastAsia="Times New Roman" w:hAnsi="Verdana"/>
                <w:sz w:val="20"/>
                <w:szCs w:val="20"/>
              </w:rPr>
              <w:br/>
            </w:r>
            <w:r w:rsidRPr="00494815">
              <w:rPr>
                <w:rFonts w:ascii="Verdana" w:eastAsia="Times New Roman" w:hAnsi="Verdana"/>
                <w:sz w:val="20"/>
                <w:szCs w:val="20"/>
              </w:rPr>
              <w:br/>
              <w:t>The target groups are adequately defined.</w:t>
            </w:r>
          </w:p>
        </w:tc>
      </w:tr>
      <w:tr w:rsidR="00C513B7" w:rsidRPr="005B6074" w:rsidTr="00F24971">
        <w:trPr>
          <w:trHeight w:val="256"/>
        </w:trPr>
        <w:tc>
          <w:tcPr>
            <w:tcW w:w="3018" w:type="dxa"/>
            <w:shd w:val="clear" w:color="auto" w:fill="auto"/>
            <w:hideMark/>
          </w:tcPr>
          <w:p w:rsidR="00C513B7" w:rsidRPr="00494815" w:rsidRDefault="00A35E98" w:rsidP="00494815">
            <w:pPr>
              <w:spacing w:after="0"/>
              <w:rPr>
                <w:rFonts w:ascii="Verdana" w:eastAsia="Times New Roman" w:hAnsi="Verdana"/>
                <w:b/>
                <w:bCs/>
                <w:sz w:val="20"/>
                <w:szCs w:val="20"/>
              </w:rPr>
            </w:pPr>
            <w:r w:rsidRPr="00494815">
              <w:rPr>
                <w:rFonts w:ascii="Verdana" w:eastAsia="Times New Roman" w:hAnsi="Verdana"/>
                <w:b/>
                <w:bCs/>
                <w:sz w:val="20"/>
                <w:szCs w:val="20"/>
              </w:rPr>
              <w:lastRenderedPageBreak/>
              <w:t>Investment priority 4.</w:t>
            </w:r>
            <w:r w:rsidRPr="00494815">
              <w:rPr>
                <w:rFonts w:ascii="Verdana" w:eastAsia="Times New Roman" w:hAnsi="Verdana"/>
                <w:iCs/>
                <w:sz w:val="20"/>
                <w:szCs w:val="20"/>
              </w:rPr>
              <w:t xml:space="preserve"> </w:t>
            </w:r>
            <w:r w:rsidRPr="00494815">
              <w:rPr>
                <w:rFonts w:ascii="Verdana" w:hAnsi="Verdana"/>
                <w:i/>
                <w:sz w:val="20"/>
                <w:szCs w:val="20"/>
              </w:rPr>
              <w:t>Improving the labour market relevance of education and training systems, facilitating the transition from education to work, and strengthening vocational education and training systems and their quality, including through mechanisms for skills anticipation, adaptation of curricula and the establishment and development of work-based learning systems, including dual learning systems and apprenticeship schemes</w:t>
            </w:r>
            <w:proofErr w:type="gramStart"/>
            <w:r w:rsidRPr="00494815">
              <w:rPr>
                <w:rFonts w:ascii="Verdana" w:hAnsi="Verdana"/>
                <w:i/>
                <w:sz w:val="20"/>
                <w:szCs w:val="20"/>
              </w:rPr>
              <w:t>..</w:t>
            </w:r>
            <w:proofErr w:type="gramEnd"/>
          </w:p>
        </w:tc>
        <w:tc>
          <w:tcPr>
            <w:tcW w:w="3029" w:type="dxa"/>
            <w:shd w:val="clear" w:color="auto" w:fill="auto"/>
            <w:hideMark/>
          </w:tcPr>
          <w:p w:rsidR="00C513B7" w:rsidRPr="00494815" w:rsidRDefault="00A35E98" w:rsidP="00494815">
            <w:pPr>
              <w:spacing w:after="0"/>
              <w:rPr>
                <w:rFonts w:ascii="Verdana" w:eastAsia="Times New Roman" w:hAnsi="Verdana"/>
                <w:iCs/>
                <w:sz w:val="20"/>
                <w:szCs w:val="20"/>
              </w:rPr>
            </w:pPr>
            <w:r w:rsidRPr="00494815">
              <w:rPr>
                <w:rFonts w:ascii="Verdana" w:eastAsia="Times New Roman" w:hAnsi="Verdana"/>
                <w:sz w:val="20"/>
                <w:szCs w:val="20"/>
              </w:rPr>
              <w:t xml:space="preserve">The beneficiaries are specified as follows: </w:t>
            </w:r>
            <w:r w:rsidRPr="005A221F">
              <w:rPr>
                <w:rFonts w:ascii="Verdana" w:eastAsia="Times New Roman" w:hAnsi="Verdana"/>
                <w:i/>
                <w:iCs/>
                <w:sz w:val="20"/>
                <w:szCs w:val="20"/>
              </w:rPr>
              <w:t>MES and its second level budget executing units including the National Agency for Vocational Education and Training (NAVET), other ministries which provide financing to schools , higher education establishments and/or their main units, kindergartens, school, scientific organizations (BAS and AA scientific institutes, nationally representative organizations of workers, employees and employers, professional organizations, youth organizations, student organizations, registered under the law, organizations operating under NPLEA, municipalities</w:t>
            </w:r>
            <w:r w:rsidRPr="00494815">
              <w:rPr>
                <w:rFonts w:ascii="Verdana" w:eastAsia="Times New Roman" w:hAnsi="Verdana"/>
                <w:iCs/>
                <w:sz w:val="20"/>
                <w:szCs w:val="20"/>
              </w:rPr>
              <w:t>.</w:t>
            </w:r>
          </w:p>
          <w:p w:rsidR="00C513B7" w:rsidRPr="00494815" w:rsidRDefault="00C513B7" w:rsidP="00494815">
            <w:pPr>
              <w:spacing w:after="0"/>
              <w:rPr>
                <w:rFonts w:ascii="Verdana" w:eastAsia="Times New Roman" w:hAnsi="Verdana"/>
                <w:iCs/>
                <w:sz w:val="20"/>
                <w:szCs w:val="20"/>
              </w:rPr>
            </w:pPr>
          </w:p>
          <w:p w:rsidR="00C513B7" w:rsidRPr="00494815" w:rsidRDefault="00A35E98" w:rsidP="00494815">
            <w:pPr>
              <w:spacing w:after="0"/>
              <w:rPr>
                <w:rFonts w:ascii="Verdana" w:eastAsia="Times New Roman" w:hAnsi="Verdana"/>
                <w:sz w:val="20"/>
                <w:szCs w:val="20"/>
              </w:rPr>
            </w:pPr>
            <w:r w:rsidRPr="00494815">
              <w:rPr>
                <w:rFonts w:ascii="Verdana" w:eastAsia="Times New Roman" w:hAnsi="Verdana"/>
                <w:iCs/>
                <w:sz w:val="20"/>
                <w:szCs w:val="20"/>
              </w:rPr>
              <w:t>Except for the kindergartens, the beneficiaries are adequate to the defined scope of support</w:t>
            </w:r>
            <w:r w:rsidRPr="00494815">
              <w:rPr>
                <w:rFonts w:ascii="Verdana" w:eastAsia="Times New Roman" w:hAnsi="Verdana"/>
                <w:sz w:val="20"/>
                <w:szCs w:val="20"/>
              </w:rPr>
              <w:t>.</w:t>
            </w:r>
          </w:p>
        </w:tc>
        <w:tc>
          <w:tcPr>
            <w:tcW w:w="3060" w:type="dxa"/>
            <w:shd w:val="clear" w:color="auto" w:fill="auto"/>
            <w:hideMark/>
          </w:tcPr>
          <w:p w:rsidR="00C513B7" w:rsidRPr="00494815" w:rsidRDefault="00A35E98" w:rsidP="00494815">
            <w:pPr>
              <w:spacing w:after="0"/>
              <w:rPr>
                <w:rFonts w:ascii="Verdana" w:hAnsi="Verdana"/>
                <w:sz w:val="20"/>
                <w:szCs w:val="20"/>
              </w:rPr>
            </w:pPr>
            <w:r w:rsidRPr="00494815">
              <w:rPr>
                <w:rFonts w:ascii="Verdana" w:eastAsia="Times New Roman" w:hAnsi="Verdana"/>
                <w:sz w:val="20"/>
                <w:szCs w:val="20"/>
              </w:rPr>
              <w:t xml:space="preserve">The following target groups have been specified: </w:t>
            </w:r>
            <w:r w:rsidRPr="005A221F">
              <w:rPr>
                <w:rFonts w:ascii="Verdana" w:eastAsia="Times New Roman" w:hAnsi="Verdana"/>
                <w:i/>
                <w:sz w:val="20"/>
                <w:szCs w:val="20"/>
              </w:rPr>
              <w:t>children, young people, university students, PhD students, post-graduate students, young scholars, pedagogical specialists from the system of pre-school and school education, scholars, researchers, professors and staff of higher educational institutes and organizations professional consultants, psychologists, persons who have no education, unemployed and illiterate persons</w:t>
            </w:r>
            <w:r w:rsidRPr="00494815">
              <w:rPr>
                <w:rFonts w:ascii="Verdana" w:eastAsia="Times New Roman" w:hAnsi="Verdana"/>
                <w:sz w:val="20"/>
                <w:szCs w:val="20"/>
              </w:rPr>
              <w:t>.</w:t>
            </w:r>
            <w:r w:rsidRPr="00494815">
              <w:rPr>
                <w:rFonts w:ascii="Verdana" w:eastAsia="Times New Roman" w:hAnsi="Verdana"/>
                <w:sz w:val="20"/>
                <w:szCs w:val="20"/>
              </w:rPr>
              <w:br/>
            </w:r>
          </w:p>
          <w:p w:rsidR="00C513B7" w:rsidRPr="00494815" w:rsidRDefault="00C513B7" w:rsidP="00494815">
            <w:pPr>
              <w:spacing w:after="0"/>
              <w:rPr>
                <w:rFonts w:ascii="Verdana" w:hAnsi="Verdana"/>
                <w:sz w:val="20"/>
                <w:szCs w:val="20"/>
              </w:rPr>
            </w:pPr>
          </w:p>
          <w:p w:rsidR="00C513B7" w:rsidRPr="00494815" w:rsidRDefault="00A35E98" w:rsidP="00494815">
            <w:pPr>
              <w:spacing w:after="0"/>
              <w:rPr>
                <w:rFonts w:ascii="Verdana" w:hAnsi="Verdana"/>
                <w:sz w:val="20"/>
                <w:szCs w:val="20"/>
              </w:rPr>
            </w:pPr>
            <w:r w:rsidRPr="00494815">
              <w:rPr>
                <w:rFonts w:ascii="Verdana" w:eastAsia="Times New Roman" w:hAnsi="Verdana"/>
                <w:sz w:val="20"/>
                <w:szCs w:val="20"/>
              </w:rPr>
              <w:t>The target groups are adequately defined, except for: children, professional consultants and psychologists</w:t>
            </w:r>
            <w:r w:rsidRPr="00494815">
              <w:rPr>
                <w:rFonts w:ascii="Verdana" w:hAnsi="Verdana"/>
                <w:sz w:val="20"/>
                <w:szCs w:val="20"/>
              </w:rPr>
              <w:t>.</w:t>
            </w:r>
          </w:p>
        </w:tc>
      </w:tr>
    </w:tbl>
    <w:p w:rsidR="00C513B7" w:rsidRPr="005B6074" w:rsidRDefault="00A35E98" w:rsidP="00C513B7">
      <w:pPr>
        <w:keepNext/>
        <w:pBdr>
          <w:bottom w:val="single" w:sz="4" w:space="1" w:color="0070C0"/>
        </w:pBdr>
        <w:spacing w:before="360" w:after="120"/>
        <w:jc w:val="both"/>
        <w:rPr>
          <w:rFonts w:ascii="Verdana" w:hAnsi="Verdana"/>
          <w:color w:val="0070C0"/>
          <w:sz w:val="20"/>
          <w:szCs w:val="20"/>
          <w:lang w:eastAsia="cs-CZ"/>
        </w:rPr>
      </w:pPr>
      <w:r w:rsidRPr="005B6074">
        <w:rPr>
          <w:rFonts w:ascii="Verdana" w:hAnsi="Verdana"/>
          <w:color w:val="0070C0"/>
          <w:sz w:val="20"/>
          <w:szCs w:val="20"/>
          <w:lang w:eastAsia="cs-CZ"/>
        </w:rPr>
        <w:lastRenderedPageBreak/>
        <w:t>PA3. Educational environment for active inclusion</w:t>
      </w:r>
    </w:p>
    <w:p w:rsidR="00C513B7" w:rsidRPr="005B6074" w:rsidRDefault="00A35E98" w:rsidP="00C513B7">
      <w:pPr>
        <w:pStyle w:val="BodyText"/>
        <w:tabs>
          <w:tab w:val="left" w:pos="0"/>
          <w:tab w:val="right" w:pos="9214"/>
        </w:tabs>
        <w:spacing w:before="240" w:line="276" w:lineRule="auto"/>
        <w:jc w:val="both"/>
        <w:rPr>
          <w:rFonts w:ascii="Verdana" w:hAnsi="Verdana"/>
          <w:sz w:val="20"/>
          <w:szCs w:val="20"/>
        </w:rPr>
      </w:pPr>
      <w:bookmarkStart w:id="136" w:name="_Toc390257083"/>
      <w:bookmarkStart w:id="137" w:name="_Toc396225622"/>
      <w:r w:rsidRPr="005B6074">
        <w:rPr>
          <w:rFonts w:ascii="Verdana" w:hAnsi="Verdana"/>
          <w:b/>
          <w:color w:val="548DD4" w:themeColor="text2" w:themeTint="99"/>
          <w:sz w:val="20"/>
          <w:szCs w:val="20"/>
        </w:rPr>
        <w:t xml:space="preserve">Table </w:t>
      </w:r>
      <w:r w:rsidRPr="005B6074">
        <w:rPr>
          <w:rFonts w:ascii="Verdana" w:hAnsi="Verdana"/>
          <w:b/>
          <w:color w:val="548DD4" w:themeColor="text2" w:themeTint="99"/>
          <w:sz w:val="20"/>
          <w:szCs w:val="20"/>
        </w:rPr>
        <w:fldChar w:fldCharType="begin"/>
      </w:r>
      <w:r w:rsidRPr="005B6074">
        <w:rPr>
          <w:rFonts w:ascii="Verdana" w:hAnsi="Verdana"/>
          <w:b/>
          <w:color w:val="548DD4" w:themeColor="text2" w:themeTint="99"/>
          <w:sz w:val="20"/>
          <w:szCs w:val="20"/>
        </w:rPr>
        <w:instrText xml:space="preserve"> SEQ таблица \* ARABIC </w:instrText>
      </w:r>
      <w:r w:rsidRPr="005B6074">
        <w:rPr>
          <w:rFonts w:ascii="Verdana" w:hAnsi="Verdana"/>
          <w:b/>
          <w:color w:val="548DD4" w:themeColor="text2" w:themeTint="99"/>
          <w:sz w:val="20"/>
          <w:szCs w:val="20"/>
        </w:rPr>
        <w:fldChar w:fldCharType="separate"/>
      </w:r>
      <w:r w:rsidR="009330F5">
        <w:rPr>
          <w:rFonts w:ascii="Verdana" w:hAnsi="Verdana"/>
          <w:b/>
          <w:noProof/>
          <w:color w:val="548DD4" w:themeColor="text2" w:themeTint="99"/>
          <w:sz w:val="20"/>
          <w:szCs w:val="20"/>
        </w:rPr>
        <w:t>27</w:t>
      </w:r>
      <w:r w:rsidRPr="005B6074">
        <w:rPr>
          <w:rFonts w:ascii="Verdana" w:hAnsi="Verdana"/>
          <w:b/>
          <w:color w:val="548DD4" w:themeColor="text2" w:themeTint="99"/>
          <w:sz w:val="20"/>
          <w:szCs w:val="20"/>
        </w:rPr>
        <w:fldChar w:fldCharType="end"/>
      </w:r>
      <w:r w:rsidRPr="005B6074">
        <w:rPr>
          <w:rFonts w:ascii="Verdana" w:hAnsi="Verdana"/>
          <w:b/>
          <w:color w:val="548DD4" w:themeColor="text2" w:themeTint="99"/>
          <w:sz w:val="20"/>
          <w:szCs w:val="20"/>
        </w:rPr>
        <w:t xml:space="preserve">. PA3 – </w:t>
      </w:r>
      <w:bookmarkEnd w:id="136"/>
      <w:r w:rsidRPr="005B6074">
        <w:rPr>
          <w:rFonts w:ascii="Verdana" w:hAnsi="Verdana"/>
          <w:b/>
          <w:color w:val="548DD4" w:themeColor="text2" w:themeTint="99"/>
          <w:sz w:val="20"/>
          <w:szCs w:val="20"/>
        </w:rPr>
        <w:t>Analysis of beneficiaries and target groups</w:t>
      </w:r>
      <w:bookmarkEnd w:id="137"/>
    </w:p>
    <w:tbl>
      <w:tblPr>
        <w:tblW w:w="9107" w:type="dxa"/>
        <w:tblInd w:w="91"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2987"/>
        <w:gridCol w:w="31"/>
        <w:gridCol w:w="3029"/>
        <w:gridCol w:w="270"/>
        <w:gridCol w:w="2790"/>
      </w:tblGrid>
      <w:tr w:rsidR="00C513B7" w:rsidRPr="00494815" w:rsidTr="00F24971">
        <w:trPr>
          <w:trHeight w:val="315"/>
        </w:trPr>
        <w:tc>
          <w:tcPr>
            <w:tcW w:w="3018" w:type="dxa"/>
            <w:gridSpan w:val="2"/>
            <w:shd w:val="clear" w:color="000000" w:fill="548DD4"/>
            <w:hideMark/>
          </w:tcPr>
          <w:p w:rsidR="00C513B7" w:rsidRPr="00494815" w:rsidRDefault="00A35E98" w:rsidP="00494815">
            <w:pPr>
              <w:jc w:val="center"/>
              <w:rPr>
                <w:rFonts w:ascii="Verdana" w:hAnsi="Verdana"/>
                <w:b/>
                <w:color w:val="FFFFFF" w:themeColor="background1"/>
                <w:sz w:val="20"/>
                <w:szCs w:val="20"/>
              </w:rPr>
            </w:pPr>
            <w:r w:rsidRPr="00494815">
              <w:rPr>
                <w:rFonts w:ascii="Verdana" w:hAnsi="Verdana"/>
                <w:b/>
                <w:color w:val="FFFFFF" w:themeColor="background1"/>
                <w:sz w:val="20"/>
                <w:szCs w:val="20"/>
              </w:rPr>
              <w:t>Investment priority</w:t>
            </w:r>
          </w:p>
        </w:tc>
        <w:tc>
          <w:tcPr>
            <w:tcW w:w="3029" w:type="dxa"/>
            <w:shd w:val="clear" w:color="000000" w:fill="548DD4"/>
            <w:hideMark/>
          </w:tcPr>
          <w:p w:rsidR="00C513B7" w:rsidRPr="00494815" w:rsidRDefault="00A35E98" w:rsidP="00494815">
            <w:pPr>
              <w:jc w:val="center"/>
              <w:rPr>
                <w:rFonts w:ascii="Verdana" w:hAnsi="Verdana"/>
                <w:b/>
                <w:color w:val="FFFFFF" w:themeColor="background1"/>
                <w:sz w:val="20"/>
                <w:szCs w:val="20"/>
              </w:rPr>
            </w:pPr>
            <w:r w:rsidRPr="00494815">
              <w:rPr>
                <w:rFonts w:ascii="Verdana" w:hAnsi="Verdana"/>
                <w:b/>
                <w:color w:val="FFFFFF" w:themeColor="background1"/>
                <w:sz w:val="20"/>
                <w:szCs w:val="20"/>
              </w:rPr>
              <w:t>Eligible beneficiaries (Comment)</w:t>
            </w:r>
          </w:p>
        </w:tc>
        <w:tc>
          <w:tcPr>
            <w:tcW w:w="3060" w:type="dxa"/>
            <w:gridSpan w:val="2"/>
            <w:shd w:val="clear" w:color="000000" w:fill="548DD4"/>
            <w:hideMark/>
          </w:tcPr>
          <w:p w:rsidR="00C513B7" w:rsidRPr="00494815" w:rsidRDefault="00A35E98" w:rsidP="00494815">
            <w:pPr>
              <w:jc w:val="center"/>
              <w:rPr>
                <w:rFonts w:ascii="Verdana" w:hAnsi="Verdana"/>
                <w:b/>
                <w:color w:val="FFFFFF" w:themeColor="background1"/>
                <w:sz w:val="20"/>
                <w:szCs w:val="20"/>
              </w:rPr>
            </w:pPr>
            <w:r w:rsidRPr="00494815">
              <w:rPr>
                <w:rFonts w:ascii="Verdana" w:hAnsi="Verdana"/>
                <w:b/>
                <w:color w:val="FFFFFF" w:themeColor="background1"/>
                <w:sz w:val="20"/>
                <w:szCs w:val="20"/>
              </w:rPr>
              <w:t>Target groups (Comment)</w:t>
            </w:r>
          </w:p>
        </w:tc>
      </w:tr>
      <w:tr w:rsidR="00C513B7" w:rsidRPr="005B6074" w:rsidTr="00F24971">
        <w:trPr>
          <w:trHeight w:val="4216"/>
        </w:trPr>
        <w:tc>
          <w:tcPr>
            <w:tcW w:w="2987" w:type="dxa"/>
            <w:shd w:val="clear" w:color="auto" w:fill="auto"/>
            <w:hideMark/>
          </w:tcPr>
          <w:p w:rsidR="00C513B7" w:rsidRPr="00494815" w:rsidRDefault="00A35E98" w:rsidP="00494815">
            <w:pPr>
              <w:spacing w:after="0"/>
              <w:rPr>
                <w:rFonts w:ascii="Verdana" w:hAnsi="Verdana"/>
                <w:b/>
                <w:bCs/>
                <w:sz w:val="20"/>
                <w:szCs w:val="20"/>
              </w:rPr>
            </w:pPr>
            <w:r w:rsidRPr="00494815">
              <w:rPr>
                <w:rFonts w:ascii="Verdana" w:hAnsi="Verdana"/>
                <w:b/>
                <w:bCs/>
                <w:sz w:val="20"/>
                <w:szCs w:val="20"/>
              </w:rPr>
              <w:t xml:space="preserve">Investment priority 1: </w:t>
            </w:r>
            <w:r w:rsidRPr="00494815">
              <w:rPr>
                <w:rFonts w:ascii="Verdana" w:hAnsi="Verdana"/>
                <w:bCs/>
                <w:i/>
                <w:sz w:val="20"/>
                <w:szCs w:val="20"/>
              </w:rPr>
              <w:t xml:space="preserve">Active inclusion, inter </w:t>
            </w:r>
            <w:proofErr w:type="spellStart"/>
            <w:r w:rsidRPr="00494815">
              <w:rPr>
                <w:rFonts w:ascii="Verdana" w:hAnsi="Verdana"/>
                <w:bCs/>
                <w:i/>
                <w:sz w:val="20"/>
                <w:szCs w:val="20"/>
              </w:rPr>
              <w:t>allia</w:t>
            </w:r>
            <w:proofErr w:type="spellEnd"/>
            <w:r w:rsidRPr="00494815">
              <w:rPr>
                <w:rFonts w:ascii="Verdana" w:hAnsi="Verdana"/>
                <w:bCs/>
                <w:i/>
                <w:sz w:val="20"/>
                <w:szCs w:val="20"/>
              </w:rPr>
              <w:t xml:space="preserve"> with a view to promoting equal opportunities and active participation and better employability.</w:t>
            </w:r>
          </w:p>
        </w:tc>
        <w:tc>
          <w:tcPr>
            <w:tcW w:w="3330" w:type="dxa"/>
            <w:gridSpan w:val="3"/>
            <w:shd w:val="clear" w:color="auto" w:fill="auto"/>
            <w:hideMark/>
          </w:tcPr>
          <w:p w:rsidR="00C513B7" w:rsidRPr="005A221F" w:rsidRDefault="00A35E98" w:rsidP="00494815">
            <w:pPr>
              <w:spacing w:after="0"/>
              <w:rPr>
                <w:rFonts w:ascii="Verdana" w:hAnsi="Verdana"/>
                <w:i/>
                <w:sz w:val="20"/>
                <w:szCs w:val="20"/>
              </w:rPr>
            </w:pPr>
            <w:r w:rsidRPr="00494815">
              <w:rPr>
                <w:rFonts w:ascii="Verdana" w:hAnsi="Verdana"/>
                <w:sz w:val="20"/>
                <w:szCs w:val="20"/>
              </w:rPr>
              <w:t xml:space="preserve">The beneficiaries are specified as follows: </w:t>
            </w:r>
            <w:r w:rsidRPr="005A221F">
              <w:rPr>
                <w:rFonts w:ascii="Verdana" w:hAnsi="Verdana"/>
                <w:i/>
                <w:sz w:val="20"/>
                <w:szCs w:val="20"/>
              </w:rPr>
              <w:t>MES and its second level budget executing units, other school financing ministries, SACP, higher schools, scientific organizations and institute, kindergartens, schools, municipalities, resource centres, organizations under NPLEA.</w:t>
            </w:r>
          </w:p>
          <w:p w:rsidR="00C513B7" w:rsidRPr="00494815" w:rsidRDefault="00C513B7" w:rsidP="00494815">
            <w:pPr>
              <w:spacing w:after="0"/>
              <w:rPr>
                <w:rFonts w:ascii="Verdana" w:hAnsi="Verdana"/>
                <w:sz w:val="20"/>
                <w:szCs w:val="20"/>
              </w:rPr>
            </w:pPr>
          </w:p>
          <w:p w:rsidR="00C513B7" w:rsidRPr="00494815" w:rsidRDefault="00A35E98" w:rsidP="00494815">
            <w:pPr>
              <w:spacing w:after="0"/>
              <w:rPr>
                <w:rFonts w:ascii="Verdana" w:hAnsi="Verdana"/>
                <w:sz w:val="20"/>
                <w:szCs w:val="20"/>
              </w:rPr>
            </w:pPr>
            <w:r w:rsidRPr="00494815">
              <w:rPr>
                <w:rFonts w:ascii="Verdana" w:hAnsi="Verdana"/>
                <w:sz w:val="20"/>
                <w:szCs w:val="20"/>
              </w:rPr>
              <w:t>The beneficiaries are specified adequately with a view to the specified scope of activities.</w:t>
            </w:r>
          </w:p>
        </w:tc>
        <w:tc>
          <w:tcPr>
            <w:tcW w:w="2790" w:type="dxa"/>
            <w:shd w:val="clear" w:color="auto" w:fill="auto"/>
            <w:hideMark/>
          </w:tcPr>
          <w:p w:rsidR="00C513B7" w:rsidRPr="00494815" w:rsidRDefault="00A35E98" w:rsidP="00494815">
            <w:pPr>
              <w:spacing w:after="0"/>
              <w:rPr>
                <w:rFonts w:ascii="Verdana" w:hAnsi="Verdana"/>
                <w:sz w:val="20"/>
                <w:szCs w:val="20"/>
              </w:rPr>
            </w:pPr>
            <w:r w:rsidRPr="00494815">
              <w:rPr>
                <w:rFonts w:ascii="Verdana" w:hAnsi="Verdana"/>
                <w:sz w:val="20"/>
                <w:szCs w:val="20"/>
              </w:rPr>
              <w:t xml:space="preserve">The following target groups have been specified: </w:t>
            </w:r>
            <w:r w:rsidRPr="005A221F">
              <w:rPr>
                <w:rFonts w:ascii="Verdana" w:hAnsi="Verdana"/>
                <w:i/>
                <w:sz w:val="20"/>
                <w:szCs w:val="20"/>
              </w:rPr>
              <w:t>children, high school students, young people, university students, PhD students, post-graduate students, parents, teachers, resource teachers, pedagogical specialists, psychologists, directors</w:t>
            </w:r>
            <w:r w:rsidRPr="00494815">
              <w:rPr>
                <w:rFonts w:ascii="Verdana" w:hAnsi="Verdana"/>
                <w:sz w:val="20"/>
                <w:szCs w:val="20"/>
              </w:rPr>
              <w:t>.</w:t>
            </w:r>
          </w:p>
          <w:p w:rsidR="00C513B7" w:rsidRPr="00494815" w:rsidRDefault="00C513B7" w:rsidP="00494815">
            <w:pPr>
              <w:spacing w:after="0"/>
              <w:rPr>
                <w:rFonts w:ascii="Verdana" w:hAnsi="Verdana"/>
                <w:sz w:val="20"/>
                <w:szCs w:val="20"/>
              </w:rPr>
            </w:pPr>
          </w:p>
          <w:p w:rsidR="00C513B7" w:rsidRPr="00494815" w:rsidRDefault="00A35E98" w:rsidP="00494815">
            <w:pPr>
              <w:spacing w:after="0"/>
              <w:rPr>
                <w:rFonts w:ascii="Verdana" w:hAnsi="Verdana"/>
                <w:sz w:val="20"/>
                <w:szCs w:val="20"/>
              </w:rPr>
            </w:pPr>
            <w:r w:rsidRPr="00494815">
              <w:rPr>
                <w:rFonts w:ascii="Verdana" w:hAnsi="Verdana"/>
                <w:sz w:val="20"/>
                <w:szCs w:val="20"/>
              </w:rPr>
              <w:t>The target groups correspond to the set objectives. </w:t>
            </w:r>
          </w:p>
        </w:tc>
      </w:tr>
      <w:tr w:rsidR="00C513B7" w:rsidRPr="005B6074" w:rsidTr="00F24971">
        <w:trPr>
          <w:trHeight w:val="3496"/>
        </w:trPr>
        <w:tc>
          <w:tcPr>
            <w:tcW w:w="2987" w:type="dxa"/>
            <w:shd w:val="clear" w:color="auto" w:fill="auto"/>
            <w:hideMark/>
          </w:tcPr>
          <w:p w:rsidR="00C513B7" w:rsidRPr="00494815" w:rsidRDefault="00A35E98" w:rsidP="00494815">
            <w:pPr>
              <w:spacing w:after="0"/>
              <w:rPr>
                <w:rFonts w:ascii="Verdana" w:hAnsi="Verdana"/>
                <w:b/>
                <w:bCs/>
                <w:sz w:val="20"/>
                <w:szCs w:val="20"/>
              </w:rPr>
            </w:pPr>
            <w:r w:rsidRPr="00494815">
              <w:rPr>
                <w:rFonts w:ascii="Verdana" w:hAnsi="Verdana"/>
                <w:b/>
                <w:bCs/>
                <w:sz w:val="20"/>
                <w:szCs w:val="20"/>
              </w:rPr>
              <w:t xml:space="preserve">Investment priority 2: </w:t>
            </w:r>
            <w:r w:rsidRPr="00494815">
              <w:rPr>
                <w:rFonts w:ascii="Verdana" w:hAnsi="Verdana"/>
                <w:bCs/>
                <w:i/>
                <w:sz w:val="20"/>
                <w:szCs w:val="20"/>
              </w:rPr>
              <w:t>Social and economic integration</w:t>
            </w:r>
            <w:r w:rsidRPr="00494815">
              <w:rPr>
                <w:rFonts w:ascii="Verdana" w:hAnsi="Verdana"/>
                <w:i/>
                <w:sz w:val="20"/>
                <w:szCs w:val="20"/>
              </w:rPr>
              <w:t xml:space="preserve"> of the marginalized communities, such as the Roma community.</w:t>
            </w:r>
            <w:r w:rsidRPr="00494815">
              <w:rPr>
                <w:rFonts w:ascii="Verdana" w:hAnsi="Verdana"/>
                <w:sz w:val="20"/>
                <w:szCs w:val="20"/>
              </w:rPr>
              <w:t xml:space="preserve"> </w:t>
            </w:r>
          </w:p>
        </w:tc>
        <w:tc>
          <w:tcPr>
            <w:tcW w:w="3330" w:type="dxa"/>
            <w:gridSpan w:val="3"/>
            <w:shd w:val="clear" w:color="auto" w:fill="auto"/>
            <w:hideMark/>
          </w:tcPr>
          <w:p w:rsidR="00C513B7" w:rsidRPr="00494815" w:rsidRDefault="00A35E98" w:rsidP="00494815">
            <w:pPr>
              <w:spacing w:after="0"/>
              <w:rPr>
                <w:rFonts w:ascii="Verdana" w:hAnsi="Verdana"/>
                <w:sz w:val="20"/>
                <w:szCs w:val="20"/>
              </w:rPr>
            </w:pPr>
            <w:r w:rsidRPr="00494815">
              <w:rPr>
                <w:rFonts w:ascii="Verdana" w:hAnsi="Verdana"/>
                <w:sz w:val="20"/>
                <w:szCs w:val="20"/>
              </w:rPr>
              <w:t xml:space="preserve">The beneficiaries are specified as follows: </w:t>
            </w:r>
            <w:r w:rsidRPr="005A221F">
              <w:rPr>
                <w:rFonts w:ascii="Verdana" w:hAnsi="Verdana"/>
                <w:i/>
                <w:sz w:val="20"/>
                <w:szCs w:val="20"/>
              </w:rPr>
              <w:t>MES and its second level budget executing units, other school financing ministries,</w:t>
            </w:r>
            <w:r w:rsidRPr="005A221F">
              <w:rPr>
                <w:rFonts w:ascii="Verdana" w:hAnsi="Verdana" w:cs="Arial"/>
                <w:i/>
                <w:color w:val="545454"/>
                <w:sz w:val="20"/>
                <w:szCs w:val="20"/>
                <w:shd w:val="clear" w:color="auto" w:fill="FFFFFF"/>
              </w:rPr>
              <w:t xml:space="preserve"> </w:t>
            </w:r>
            <w:r w:rsidRPr="005A221F">
              <w:rPr>
                <w:rFonts w:ascii="Verdana" w:hAnsi="Verdana"/>
                <w:i/>
                <w:sz w:val="20"/>
                <w:szCs w:val="20"/>
              </w:rPr>
              <w:t>the Centre for Educational Integration of Children and Students from the Ethnic Minorities (CEICSEM kindergartens, schools, municipalities, and organizations under NPLEA</w:t>
            </w:r>
            <w:r w:rsidRPr="00494815">
              <w:rPr>
                <w:rFonts w:ascii="Verdana" w:hAnsi="Verdana"/>
                <w:sz w:val="20"/>
                <w:szCs w:val="20"/>
              </w:rPr>
              <w:t>.</w:t>
            </w:r>
          </w:p>
          <w:p w:rsidR="00C513B7" w:rsidRPr="00494815" w:rsidRDefault="00C513B7" w:rsidP="00494815">
            <w:pPr>
              <w:spacing w:after="0"/>
              <w:rPr>
                <w:rFonts w:ascii="Verdana" w:hAnsi="Verdana"/>
                <w:sz w:val="20"/>
                <w:szCs w:val="20"/>
              </w:rPr>
            </w:pPr>
          </w:p>
          <w:p w:rsidR="00C513B7" w:rsidRPr="00494815" w:rsidRDefault="00A35E98" w:rsidP="00494815">
            <w:pPr>
              <w:spacing w:after="0"/>
              <w:rPr>
                <w:rFonts w:ascii="Verdana" w:hAnsi="Verdana"/>
                <w:sz w:val="20"/>
                <w:szCs w:val="20"/>
              </w:rPr>
            </w:pPr>
            <w:r w:rsidRPr="00494815">
              <w:rPr>
                <w:rFonts w:ascii="Verdana" w:hAnsi="Verdana"/>
                <w:sz w:val="20"/>
                <w:szCs w:val="20"/>
              </w:rPr>
              <w:t>The beneficiaries are appropriately specified.</w:t>
            </w:r>
          </w:p>
        </w:tc>
        <w:tc>
          <w:tcPr>
            <w:tcW w:w="2790" w:type="dxa"/>
            <w:shd w:val="clear" w:color="auto" w:fill="auto"/>
            <w:hideMark/>
          </w:tcPr>
          <w:p w:rsidR="00C513B7" w:rsidRPr="00494815" w:rsidRDefault="00A35E98" w:rsidP="00494815">
            <w:pPr>
              <w:spacing w:after="0"/>
              <w:rPr>
                <w:rFonts w:ascii="Verdana" w:hAnsi="Verdana"/>
                <w:sz w:val="20"/>
                <w:szCs w:val="20"/>
              </w:rPr>
            </w:pPr>
            <w:r w:rsidRPr="00494815">
              <w:rPr>
                <w:rFonts w:ascii="Verdana" w:hAnsi="Verdana"/>
                <w:sz w:val="20"/>
                <w:szCs w:val="20"/>
              </w:rPr>
              <w:t xml:space="preserve">The following target groups have been specified: </w:t>
            </w:r>
            <w:r w:rsidRPr="005A221F">
              <w:rPr>
                <w:rFonts w:ascii="Verdana" w:hAnsi="Verdana"/>
                <w:i/>
                <w:sz w:val="20"/>
                <w:szCs w:val="20"/>
              </w:rPr>
              <w:t>children, high school students, and young people from the ethnic minorities and from other vulnerable groups, teachers, parents, pedagogical specialists, mediators, directors.</w:t>
            </w:r>
          </w:p>
          <w:p w:rsidR="00C513B7" w:rsidRPr="00494815" w:rsidRDefault="00C513B7" w:rsidP="00494815">
            <w:pPr>
              <w:spacing w:after="0"/>
              <w:rPr>
                <w:rFonts w:ascii="Verdana" w:hAnsi="Verdana"/>
                <w:sz w:val="20"/>
                <w:szCs w:val="20"/>
              </w:rPr>
            </w:pPr>
          </w:p>
          <w:p w:rsidR="00C513B7" w:rsidRPr="00494815" w:rsidRDefault="00A35E98" w:rsidP="00494815">
            <w:pPr>
              <w:spacing w:after="0"/>
              <w:rPr>
                <w:rFonts w:ascii="Verdana" w:hAnsi="Verdana"/>
                <w:sz w:val="20"/>
                <w:szCs w:val="20"/>
              </w:rPr>
            </w:pPr>
            <w:r w:rsidRPr="00494815">
              <w:rPr>
                <w:rFonts w:ascii="Verdana" w:hAnsi="Verdana"/>
                <w:sz w:val="20"/>
                <w:szCs w:val="20"/>
              </w:rPr>
              <w:t>The target groups include the groups which will benefit from the assistance.</w:t>
            </w:r>
          </w:p>
        </w:tc>
      </w:tr>
    </w:tbl>
    <w:p w:rsidR="00C513B7" w:rsidRPr="005B6074" w:rsidRDefault="00C513B7" w:rsidP="00C513B7">
      <w:pPr>
        <w:spacing w:before="120" w:after="120"/>
        <w:jc w:val="both"/>
        <w:rPr>
          <w:rFonts w:ascii="Verdana" w:hAnsi="Verdana"/>
          <w:sz w:val="20"/>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420"/>
        <w:gridCol w:w="8494"/>
      </w:tblGrid>
      <w:tr w:rsidR="00C513B7" w:rsidRPr="005B6074" w:rsidTr="00F24971">
        <w:trPr>
          <w:trHeight w:val="563"/>
        </w:trPr>
        <w:tc>
          <w:tcPr>
            <w:tcW w:w="420" w:type="dxa"/>
            <w:vAlign w:val="center"/>
          </w:tcPr>
          <w:p w:rsidR="00C513B7" w:rsidRPr="005B6074" w:rsidRDefault="00A35E98" w:rsidP="00F24971">
            <w:pPr>
              <w:pStyle w:val="BodyText"/>
              <w:spacing w:after="0" w:line="276" w:lineRule="auto"/>
              <w:jc w:val="center"/>
              <w:rPr>
                <w:rFonts w:ascii="Verdana" w:hAnsi="Verdana"/>
                <w:color w:val="548DD4"/>
                <w:sz w:val="36"/>
                <w:szCs w:val="36"/>
              </w:rPr>
            </w:pPr>
            <w:r w:rsidRPr="005B6074">
              <w:rPr>
                <w:rFonts w:ascii="Verdana" w:hAnsi="Verdana"/>
                <w:color w:val="548DD4"/>
                <w:sz w:val="36"/>
                <w:szCs w:val="36"/>
              </w:rPr>
              <w:t>?</w:t>
            </w:r>
          </w:p>
        </w:tc>
        <w:tc>
          <w:tcPr>
            <w:tcW w:w="8494" w:type="dxa"/>
            <w:shd w:val="clear" w:color="auto" w:fill="B8CCE4"/>
            <w:vAlign w:val="center"/>
          </w:tcPr>
          <w:p w:rsidR="00C513B7" w:rsidRPr="005B6074" w:rsidRDefault="00A35E98" w:rsidP="00F24971">
            <w:pPr>
              <w:autoSpaceDE w:val="0"/>
              <w:autoSpaceDN w:val="0"/>
              <w:adjustRightInd w:val="0"/>
              <w:spacing w:before="120" w:after="120" w:line="240" w:lineRule="auto"/>
              <w:ind w:left="115"/>
              <w:rPr>
                <w:rFonts w:ascii="Verdana" w:hAnsi="Verdana"/>
                <w:sz w:val="20"/>
                <w:szCs w:val="20"/>
              </w:rPr>
            </w:pPr>
            <w:r w:rsidRPr="005B6074">
              <w:rPr>
                <w:rFonts w:ascii="Verdana" w:hAnsi="Verdana"/>
                <w:sz w:val="20"/>
                <w:szCs w:val="20"/>
              </w:rPr>
              <w:t>Relevance of the proposed forms of assistance;</w:t>
            </w:r>
          </w:p>
        </w:tc>
      </w:tr>
    </w:tbl>
    <w:p w:rsidR="00C513B7" w:rsidRPr="005B6074" w:rsidRDefault="00A35E98" w:rsidP="00C513B7">
      <w:pPr>
        <w:widowControl w:val="0"/>
        <w:tabs>
          <w:tab w:val="left" w:pos="0"/>
          <w:tab w:val="right" w:pos="9214"/>
        </w:tabs>
        <w:spacing w:before="120" w:after="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To answer this question, we analysed:</w:t>
      </w:r>
    </w:p>
    <w:p w:rsidR="00C513B7" w:rsidRPr="005B6074" w:rsidRDefault="00A35E98" w:rsidP="00181A22">
      <w:pPr>
        <w:pStyle w:val="ListParagraph"/>
        <w:widowControl w:val="0"/>
        <w:numPr>
          <w:ilvl w:val="0"/>
          <w:numId w:val="26"/>
        </w:numPr>
        <w:tabs>
          <w:tab w:val="left" w:pos="0"/>
          <w:tab w:val="right" w:pos="9214"/>
        </w:tabs>
        <w:spacing w:before="120" w:after="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The leading principles underlying the selection of operations;</w:t>
      </w:r>
    </w:p>
    <w:p w:rsidR="00C513B7" w:rsidRPr="005B6074" w:rsidRDefault="00A35E98" w:rsidP="00181A22">
      <w:pPr>
        <w:pStyle w:val="ListParagraph"/>
        <w:widowControl w:val="0"/>
        <w:numPr>
          <w:ilvl w:val="0"/>
          <w:numId w:val="26"/>
        </w:numPr>
        <w:tabs>
          <w:tab w:val="left" w:pos="0"/>
          <w:tab w:val="right" w:pos="9214"/>
        </w:tabs>
        <w:spacing w:before="120" w:after="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The forms of assistance, whether grants, direct negotiating or some degree of co-financing and utilization of financial instruments.</w:t>
      </w:r>
    </w:p>
    <w:p w:rsidR="00C513B7" w:rsidRPr="005B6074" w:rsidRDefault="00A35E98" w:rsidP="00C513B7">
      <w:pPr>
        <w:keepNext/>
        <w:pBdr>
          <w:bottom w:val="single" w:sz="4" w:space="1" w:color="0070C0"/>
        </w:pBdr>
        <w:spacing w:before="360" w:after="120"/>
        <w:jc w:val="both"/>
        <w:rPr>
          <w:rFonts w:ascii="Verdana" w:hAnsi="Verdana"/>
          <w:color w:val="0070C0"/>
          <w:sz w:val="20"/>
          <w:szCs w:val="20"/>
          <w:lang w:eastAsia="cs-CZ"/>
        </w:rPr>
      </w:pPr>
      <w:r w:rsidRPr="005B6074">
        <w:rPr>
          <w:rFonts w:ascii="Verdana" w:hAnsi="Verdana"/>
          <w:color w:val="0070C0"/>
          <w:sz w:val="20"/>
          <w:szCs w:val="20"/>
          <w:lang w:eastAsia="cs-CZ"/>
        </w:rPr>
        <w:lastRenderedPageBreak/>
        <w:t xml:space="preserve">Leading principles for selection of operations </w:t>
      </w:r>
    </w:p>
    <w:p w:rsidR="00C513B7" w:rsidRPr="005B6074" w:rsidRDefault="00A35E98" w:rsidP="00C513B7">
      <w:pPr>
        <w:widowControl w:val="0"/>
        <w:tabs>
          <w:tab w:val="left" w:pos="0"/>
          <w:tab w:val="right" w:pos="9214"/>
        </w:tabs>
        <w:spacing w:before="120" w:after="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The leading principles in the selection of operations are presented and analysed in the tables below:</w:t>
      </w:r>
    </w:p>
    <w:p w:rsidR="00C513B7" w:rsidRPr="005B6074" w:rsidRDefault="00C513B7" w:rsidP="00C513B7">
      <w:pPr>
        <w:widowControl w:val="0"/>
        <w:tabs>
          <w:tab w:val="left" w:pos="0"/>
          <w:tab w:val="right" w:pos="9214"/>
        </w:tabs>
        <w:spacing w:before="120" w:after="0"/>
        <w:jc w:val="both"/>
        <w:rPr>
          <w:rFonts w:ascii="Verdana" w:eastAsia="Times New Roman" w:hAnsi="Verdana"/>
          <w:bCs/>
          <w:color w:val="000000"/>
          <w:sz w:val="20"/>
          <w:szCs w:val="20"/>
          <w:lang w:eastAsia="bg-BG"/>
        </w:rPr>
      </w:pPr>
    </w:p>
    <w:p w:rsidR="00C513B7" w:rsidRPr="005B6074" w:rsidRDefault="00A35E98" w:rsidP="00C513B7">
      <w:pPr>
        <w:pStyle w:val="Caption"/>
        <w:keepNext/>
        <w:spacing w:after="120"/>
        <w:rPr>
          <w:rFonts w:ascii="Verdana" w:hAnsi="Verdana"/>
          <w:color w:val="548DD4" w:themeColor="text2" w:themeTint="99"/>
        </w:rPr>
      </w:pPr>
      <w:bookmarkStart w:id="138" w:name="_Toc390257084"/>
      <w:bookmarkStart w:id="139" w:name="_Toc396225623"/>
      <w:r w:rsidRPr="005B6074">
        <w:rPr>
          <w:rFonts w:ascii="Verdana" w:hAnsi="Verdana"/>
          <w:color w:val="548DD4" w:themeColor="text2" w:themeTint="99"/>
        </w:rPr>
        <w:t xml:space="preserve">Table </w:t>
      </w:r>
      <w:r w:rsidRPr="005B6074">
        <w:rPr>
          <w:rFonts w:ascii="Verdana" w:hAnsi="Verdana"/>
          <w:color w:val="548DD4" w:themeColor="text2" w:themeTint="99"/>
        </w:rPr>
        <w:fldChar w:fldCharType="begin"/>
      </w:r>
      <w:r w:rsidRPr="005B6074">
        <w:rPr>
          <w:rFonts w:ascii="Verdana" w:hAnsi="Verdana"/>
          <w:color w:val="548DD4" w:themeColor="text2" w:themeTint="99"/>
        </w:rPr>
        <w:instrText xml:space="preserve"> SEQ таблица \* ARABIC </w:instrText>
      </w:r>
      <w:r w:rsidRPr="005B6074">
        <w:rPr>
          <w:rFonts w:ascii="Verdana" w:hAnsi="Verdana"/>
          <w:color w:val="548DD4" w:themeColor="text2" w:themeTint="99"/>
        </w:rPr>
        <w:fldChar w:fldCharType="separate"/>
      </w:r>
      <w:r w:rsidR="009330F5">
        <w:rPr>
          <w:rFonts w:ascii="Verdana" w:hAnsi="Verdana"/>
          <w:noProof/>
          <w:color w:val="548DD4" w:themeColor="text2" w:themeTint="99"/>
        </w:rPr>
        <w:t>28</w:t>
      </w:r>
      <w:r w:rsidRPr="005B6074">
        <w:rPr>
          <w:rFonts w:ascii="Verdana" w:hAnsi="Verdana"/>
          <w:color w:val="548DD4" w:themeColor="text2" w:themeTint="99"/>
        </w:rPr>
        <w:fldChar w:fldCharType="end"/>
      </w:r>
      <w:r w:rsidRPr="005B6074">
        <w:rPr>
          <w:rFonts w:ascii="Verdana" w:hAnsi="Verdana"/>
          <w:color w:val="548DD4" w:themeColor="text2" w:themeTint="99"/>
        </w:rPr>
        <w:t>. Principles referred to as leading in the selection of operations</w:t>
      </w:r>
      <w:bookmarkEnd w:id="138"/>
      <w:bookmarkEnd w:id="139"/>
    </w:p>
    <w:tbl>
      <w:tblPr>
        <w:tblW w:w="90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50"/>
        <w:gridCol w:w="720"/>
        <w:gridCol w:w="720"/>
        <w:gridCol w:w="720"/>
        <w:gridCol w:w="810"/>
        <w:gridCol w:w="810"/>
        <w:gridCol w:w="720"/>
        <w:gridCol w:w="720"/>
        <w:gridCol w:w="720"/>
      </w:tblGrid>
      <w:tr w:rsidR="00C513B7" w:rsidRPr="005B6074" w:rsidTr="00F24971">
        <w:tc>
          <w:tcPr>
            <w:tcW w:w="3150" w:type="dxa"/>
            <w:vMerge w:val="restart"/>
            <w:shd w:val="clear" w:color="auto" w:fill="548DD4" w:themeFill="text2" w:themeFillTint="99"/>
            <w:vAlign w:val="center"/>
            <w:hideMark/>
          </w:tcPr>
          <w:p w:rsidR="00C513B7" w:rsidRPr="00A11546" w:rsidRDefault="00A35E98" w:rsidP="00A11546">
            <w:pPr>
              <w:spacing w:after="0"/>
              <w:rPr>
                <w:rFonts w:ascii="Verdana" w:hAnsi="Verdana"/>
                <w:b/>
                <w:sz w:val="20"/>
                <w:szCs w:val="20"/>
                <w:lang w:eastAsia="bg-BG"/>
              </w:rPr>
            </w:pPr>
            <w:r w:rsidRPr="00A11546">
              <w:rPr>
                <w:rFonts w:ascii="Verdana" w:hAnsi="Verdana"/>
                <w:b/>
                <w:color w:val="FFFFFF" w:themeColor="background1"/>
                <w:sz w:val="20"/>
                <w:szCs w:val="20"/>
                <w:lang w:eastAsia="bg-BG"/>
              </w:rPr>
              <w:t>Leading principles for the selection of operations</w:t>
            </w:r>
          </w:p>
        </w:tc>
        <w:tc>
          <w:tcPr>
            <w:tcW w:w="1440" w:type="dxa"/>
            <w:gridSpan w:val="2"/>
            <w:shd w:val="clear" w:color="auto" w:fill="548DD4" w:themeFill="text2" w:themeFillTint="99"/>
            <w:vAlign w:val="center"/>
            <w:hideMark/>
          </w:tcPr>
          <w:p w:rsidR="00C513B7" w:rsidRPr="00A11546" w:rsidRDefault="00A35E98" w:rsidP="00A11546">
            <w:pPr>
              <w:spacing w:after="0"/>
              <w:jc w:val="center"/>
              <w:rPr>
                <w:rFonts w:ascii="Verdana" w:hAnsi="Verdana"/>
                <w:b/>
                <w:color w:val="FFFFFF" w:themeColor="background1"/>
                <w:sz w:val="20"/>
                <w:szCs w:val="20"/>
                <w:lang w:eastAsia="bg-BG"/>
              </w:rPr>
            </w:pPr>
            <w:r w:rsidRPr="00A11546">
              <w:rPr>
                <w:rFonts w:ascii="Verdana" w:hAnsi="Verdana"/>
                <w:b/>
                <w:color w:val="FFFFFF" w:themeColor="background1"/>
                <w:sz w:val="20"/>
                <w:szCs w:val="20"/>
                <w:lang w:eastAsia="bg-BG"/>
              </w:rPr>
              <w:t>PA 1</w:t>
            </w:r>
          </w:p>
        </w:tc>
        <w:tc>
          <w:tcPr>
            <w:tcW w:w="3060" w:type="dxa"/>
            <w:gridSpan w:val="4"/>
            <w:shd w:val="clear" w:color="auto" w:fill="548DD4" w:themeFill="text2" w:themeFillTint="99"/>
            <w:vAlign w:val="center"/>
            <w:hideMark/>
          </w:tcPr>
          <w:p w:rsidR="00C513B7" w:rsidRPr="00A11546" w:rsidRDefault="00A35E98" w:rsidP="00A11546">
            <w:pPr>
              <w:spacing w:after="0"/>
              <w:jc w:val="center"/>
              <w:rPr>
                <w:rFonts w:ascii="Verdana" w:hAnsi="Verdana"/>
                <w:b/>
                <w:color w:val="FFFFFF" w:themeColor="background1"/>
                <w:sz w:val="20"/>
                <w:szCs w:val="20"/>
                <w:lang w:eastAsia="bg-BG"/>
              </w:rPr>
            </w:pPr>
            <w:r w:rsidRPr="00A11546">
              <w:rPr>
                <w:rFonts w:ascii="Verdana" w:hAnsi="Verdana"/>
                <w:b/>
                <w:color w:val="FFFFFF" w:themeColor="background1"/>
                <w:sz w:val="20"/>
                <w:szCs w:val="20"/>
                <w:lang w:eastAsia="bg-BG"/>
              </w:rPr>
              <w:t>PA 2</w:t>
            </w:r>
          </w:p>
        </w:tc>
        <w:tc>
          <w:tcPr>
            <w:tcW w:w="1440" w:type="dxa"/>
            <w:gridSpan w:val="2"/>
            <w:shd w:val="clear" w:color="auto" w:fill="548DD4" w:themeFill="text2" w:themeFillTint="99"/>
            <w:vAlign w:val="center"/>
            <w:hideMark/>
          </w:tcPr>
          <w:p w:rsidR="00C513B7" w:rsidRPr="00A11546" w:rsidRDefault="00A35E98" w:rsidP="00A11546">
            <w:pPr>
              <w:spacing w:after="0"/>
              <w:jc w:val="center"/>
              <w:rPr>
                <w:rFonts w:ascii="Verdana" w:hAnsi="Verdana"/>
                <w:b/>
                <w:color w:val="FFFFFF" w:themeColor="background1"/>
                <w:sz w:val="20"/>
                <w:szCs w:val="20"/>
                <w:lang w:eastAsia="bg-BG"/>
              </w:rPr>
            </w:pPr>
            <w:r w:rsidRPr="00A11546">
              <w:rPr>
                <w:rFonts w:ascii="Verdana" w:hAnsi="Verdana"/>
                <w:b/>
                <w:color w:val="FFFFFF" w:themeColor="background1"/>
                <w:sz w:val="20"/>
                <w:szCs w:val="20"/>
                <w:lang w:eastAsia="bg-BG"/>
              </w:rPr>
              <w:t>PA 3</w:t>
            </w:r>
          </w:p>
        </w:tc>
      </w:tr>
      <w:tr w:rsidR="00C513B7" w:rsidRPr="005B6074" w:rsidTr="00F24971">
        <w:tc>
          <w:tcPr>
            <w:tcW w:w="3150" w:type="dxa"/>
            <w:vMerge/>
            <w:shd w:val="clear" w:color="auto" w:fill="548DD4" w:themeFill="text2" w:themeFillTint="99"/>
            <w:vAlign w:val="center"/>
            <w:hideMark/>
          </w:tcPr>
          <w:p w:rsidR="00C513B7" w:rsidRPr="00A11546" w:rsidRDefault="00C513B7" w:rsidP="00A11546">
            <w:pPr>
              <w:spacing w:after="0"/>
              <w:rPr>
                <w:rFonts w:ascii="Verdana" w:hAnsi="Verdana"/>
                <w:sz w:val="20"/>
                <w:szCs w:val="20"/>
                <w:lang w:eastAsia="bg-BG"/>
              </w:rPr>
            </w:pPr>
          </w:p>
        </w:tc>
        <w:tc>
          <w:tcPr>
            <w:tcW w:w="720" w:type="dxa"/>
            <w:shd w:val="clear" w:color="auto" w:fill="548DD4" w:themeFill="text2" w:themeFillTint="99"/>
            <w:vAlign w:val="center"/>
            <w:hideMark/>
          </w:tcPr>
          <w:p w:rsidR="00C513B7" w:rsidRPr="00A11546" w:rsidRDefault="00A35E98" w:rsidP="00A11546">
            <w:pPr>
              <w:spacing w:after="0"/>
              <w:jc w:val="center"/>
              <w:rPr>
                <w:rFonts w:ascii="Verdana" w:hAnsi="Verdana"/>
                <w:b/>
                <w:color w:val="FFFFFF" w:themeColor="background1"/>
                <w:sz w:val="20"/>
                <w:szCs w:val="20"/>
                <w:lang w:eastAsia="bg-BG"/>
              </w:rPr>
            </w:pPr>
            <w:r w:rsidRPr="00A11546">
              <w:rPr>
                <w:rFonts w:ascii="Verdana" w:hAnsi="Verdana"/>
                <w:b/>
                <w:color w:val="FFFFFF" w:themeColor="background1"/>
                <w:sz w:val="20"/>
                <w:szCs w:val="20"/>
                <w:lang w:eastAsia="bg-BG"/>
              </w:rPr>
              <w:t>IP 1</w:t>
            </w:r>
          </w:p>
        </w:tc>
        <w:tc>
          <w:tcPr>
            <w:tcW w:w="720" w:type="dxa"/>
            <w:shd w:val="clear" w:color="auto" w:fill="548DD4" w:themeFill="text2" w:themeFillTint="99"/>
            <w:vAlign w:val="center"/>
            <w:hideMark/>
          </w:tcPr>
          <w:p w:rsidR="00C513B7" w:rsidRPr="00A11546" w:rsidRDefault="00A35E98" w:rsidP="00A11546">
            <w:pPr>
              <w:spacing w:after="0"/>
              <w:jc w:val="center"/>
              <w:rPr>
                <w:rFonts w:ascii="Verdana" w:hAnsi="Verdana"/>
                <w:b/>
                <w:color w:val="FFFFFF" w:themeColor="background1"/>
                <w:sz w:val="20"/>
                <w:szCs w:val="20"/>
                <w:lang w:eastAsia="bg-BG"/>
              </w:rPr>
            </w:pPr>
            <w:r w:rsidRPr="00A11546">
              <w:rPr>
                <w:rFonts w:ascii="Verdana" w:hAnsi="Verdana"/>
                <w:b/>
                <w:color w:val="FFFFFF" w:themeColor="background1"/>
                <w:sz w:val="20"/>
                <w:szCs w:val="20"/>
                <w:lang w:eastAsia="bg-BG"/>
              </w:rPr>
              <w:t>IP 2</w:t>
            </w:r>
          </w:p>
        </w:tc>
        <w:tc>
          <w:tcPr>
            <w:tcW w:w="720" w:type="dxa"/>
            <w:shd w:val="clear" w:color="auto" w:fill="548DD4" w:themeFill="text2" w:themeFillTint="99"/>
            <w:vAlign w:val="center"/>
            <w:hideMark/>
          </w:tcPr>
          <w:p w:rsidR="00C513B7" w:rsidRPr="00A11546" w:rsidRDefault="00A35E98" w:rsidP="00A11546">
            <w:pPr>
              <w:spacing w:after="0"/>
              <w:jc w:val="center"/>
              <w:rPr>
                <w:rFonts w:ascii="Verdana" w:hAnsi="Verdana"/>
                <w:b/>
                <w:color w:val="FFFFFF" w:themeColor="background1"/>
                <w:sz w:val="20"/>
                <w:szCs w:val="20"/>
                <w:lang w:eastAsia="bg-BG"/>
              </w:rPr>
            </w:pPr>
            <w:r w:rsidRPr="00A11546">
              <w:rPr>
                <w:rFonts w:ascii="Verdana" w:hAnsi="Verdana"/>
                <w:b/>
                <w:color w:val="FFFFFF" w:themeColor="background1"/>
                <w:sz w:val="20"/>
                <w:szCs w:val="20"/>
                <w:lang w:eastAsia="bg-BG"/>
              </w:rPr>
              <w:t>IP 1</w:t>
            </w:r>
          </w:p>
        </w:tc>
        <w:tc>
          <w:tcPr>
            <w:tcW w:w="810" w:type="dxa"/>
            <w:shd w:val="clear" w:color="auto" w:fill="548DD4" w:themeFill="text2" w:themeFillTint="99"/>
            <w:vAlign w:val="center"/>
            <w:hideMark/>
          </w:tcPr>
          <w:p w:rsidR="00C513B7" w:rsidRPr="00A11546" w:rsidRDefault="00A35E98" w:rsidP="00A11546">
            <w:pPr>
              <w:spacing w:after="0"/>
              <w:jc w:val="center"/>
              <w:rPr>
                <w:rFonts w:ascii="Verdana" w:hAnsi="Verdana"/>
                <w:b/>
                <w:color w:val="FFFFFF" w:themeColor="background1"/>
                <w:sz w:val="20"/>
                <w:szCs w:val="20"/>
                <w:lang w:eastAsia="bg-BG"/>
              </w:rPr>
            </w:pPr>
            <w:r w:rsidRPr="00A11546">
              <w:rPr>
                <w:rFonts w:ascii="Verdana" w:hAnsi="Verdana"/>
                <w:b/>
                <w:color w:val="FFFFFF" w:themeColor="background1"/>
                <w:sz w:val="20"/>
                <w:szCs w:val="20"/>
                <w:lang w:eastAsia="bg-BG"/>
              </w:rPr>
              <w:t>IP 2</w:t>
            </w:r>
          </w:p>
        </w:tc>
        <w:tc>
          <w:tcPr>
            <w:tcW w:w="810" w:type="dxa"/>
            <w:shd w:val="clear" w:color="auto" w:fill="548DD4" w:themeFill="text2" w:themeFillTint="99"/>
            <w:vAlign w:val="center"/>
            <w:hideMark/>
          </w:tcPr>
          <w:p w:rsidR="00C513B7" w:rsidRPr="00A11546" w:rsidRDefault="00A35E98" w:rsidP="00A11546">
            <w:pPr>
              <w:spacing w:after="0"/>
              <w:jc w:val="center"/>
              <w:rPr>
                <w:rFonts w:ascii="Verdana" w:hAnsi="Verdana"/>
                <w:b/>
                <w:color w:val="FFFFFF" w:themeColor="background1"/>
                <w:sz w:val="20"/>
                <w:szCs w:val="20"/>
                <w:lang w:eastAsia="bg-BG"/>
              </w:rPr>
            </w:pPr>
            <w:r w:rsidRPr="00A11546">
              <w:rPr>
                <w:rFonts w:ascii="Verdana" w:hAnsi="Verdana"/>
                <w:b/>
                <w:color w:val="FFFFFF" w:themeColor="background1"/>
                <w:sz w:val="20"/>
                <w:szCs w:val="20"/>
                <w:lang w:eastAsia="bg-BG"/>
              </w:rPr>
              <w:t>IP 3</w:t>
            </w:r>
          </w:p>
        </w:tc>
        <w:tc>
          <w:tcPr>
            <w:tcW w:w="720" w:type="dxa"/>
            <w:shd w:val="clear" w:color="auto" w:fill="548DD4" w:themeFill="text2" w:themeFillTint="99"/>
            <w:vAlign w:val="center"/>
          </w:tcPr>
          <w:p w:rsidR="00C513B7" w:rsidRPr="00A11546" w:rsidRDefault="00A35E98" w:rsidP="00A11546">
            <w:pPr>
              <w:spacing w:after="0"/>
              <w:jc w:val="center"/>
              <w:rPr>
                <w:rFonts w:ascii="Verdana" w:hAnsi="Verdana"/>
                <w:b/>
                <w:color w:val="FFFFFF" w:themeColor="background1"/>
                <w:sz w:val="20"/>
                <w:szCs w:val="20"/>
                <w:lang w:eastAsia="bg-BG"/>
              </w:rPr>
            </w:pPr>
            <w:r w:rsidRPr="00A11546">
              <w:rPr>
                <w:rFonts w:ascii="Verdana" w:hAnsi="Verdana"/>
                <w:b/>
                <w:color w:val="FFFFFF" w:themeColor="background1"/>
                <w:sz w:val="20"/>
                <w:szCs w:val="20"/>
                <w:lang w:eastAsia="bg-BG"/>
              </w:rPr>
              <w:t>IP 4</w:t>
            </w:r>
          </w:p>
        </w:tc>
        <w:tc>
          <w:tcPr>
            <w:tcW w:w="720" w:type="dxa"/>
            <w:shd w:val="clear" w:color="auto" w:fill="548DD4" w:themeFill="text2" w:themeFillTint="99"/>
            <w:vAlign w:val="center"/>
            <w:hideMark/>
          </w:tcPr>
          <w:p w:rsidR="00C513B7" w:rsidRPr="00A11546" w:rsidRDefault="00A35E98" w:rsidP="00A11546">
            <w:pPr>
              <w:spacing w:after="0"/>
              <w:jc w:val="center"/>
              <w:rPr>
                <w:rFonts w:ascii="Verdana" w:hAnsi="Verdana"/>
                <w:b/>
                <w:color w:val="FFFFFF" w:themeColor="background1"/>
                <w:sz w:val="20"/>
                <w:szCs w:val="20"/>
                <w:lang w:eastAsia="bg-BG"/>
              </w:rPr>
            </w:pPr>
            <w:r w:rsidRPr="00A11546">
              <w:rPr>
                <w:rFonts w:ascii="Verdana" w:hAnsi="Verdana"/>
                <w:b/>
                <w:color w:val="FFFFFF" w:themeColor="background1"/>
                <w:sz w:val="20"/>
                <w:szCs w:val="20"/>
                <w:lang w:eastAsia="bg-BG"/>
              </w:rPr>
              <w:t>IP 1</w:t>
            </w:r>
          </w:p>
        </w:tc>
        <w:tc>
          <w:tcPr>
            <w:tcW w:w="720" w:type="dxa"/>
            <w:shd w:val="clear" w:color="auto" w:fill="548DD4" w:themeFill="text2" w:themeFillTint="99"/>
            <w:vAlign w:val="center"/>
            <w:hideMark/>
          </w:tcPr>
          <w:p w:rsidR="00C513B7" w:rsidRPr="00A11546" w:rsidRDefault="00A35E98" w:rsidP="00A11546">
            <w:pPr>
              <w:spacing w:after="0"/>
              <w:jc w:val="center"/>
              <w:rPr>
                <w:rFonts w:ascii="Verdana" w:hAnsi="Verdana"/>
                <w:b/>
                <w:color w:val="FFFFFF" w:themeColor="background1"/>
                <w:sz w:val="20"/>
                <w:szCs w:val="20"/>
                <w:lang w:eastAsia="bg-BG"/>
              </w:rPr>
            </w:pPr>
            <w:r w:rsidRPr="00A11546">
              <w:rPr>
                <w:rFonts w:ascii="Verdana" w:hAnsi="Verdana"/>
                <w:b/>
                <w:color w:val="FFFFFF" w:themeColor="background1"/>
                <w:sz w:val="20"/>
                <w:szCs w:val="20"/>
                <w:lang w:eastAsia="bg-BG"/>
              </w:rPr>
              <w:t>IP 2</w:t>
            </w:r>
          </w:p>
        </w:tc>
      </w:tr>
      <w:tr w:rsidR="00C513B7" w:rsidRPr="005B6074" w:rsidTr="00F24971">
        <w:tc>
          <w:tcPr>
            <w:tcW w:w="3150" w:type="dxa"/>
            <w:shd w:val="clear" w:color="auto" w:fill="auto"/>
            <w:vAlign w:val="center"/>
            <w:hideMark/>
          </w:tcPr>
          <w:p w:rsidR="00C513B7" w:rsidRPr="00A11546" w:rsidRDefault="00A35E98" w:rsidP="00A11546">
            <w:pPr>
              <w:spacing w:after="0"/>
              <w:rPr>
                <w:rFonts w:ascii="Verdana" w:hAnsi="Verdana"/>
                <w:color w:val="000000"/>
                <w:sz w:val="20"/>
                <w:szCs w:val="20"/>
                <w:lang w:eastAsia="bg-BG"/>
              </w:rPr>
            </w:pPr>
            <w:r w:rsidRPr="00A11546">
              <w:rPr>
                <w:rFonts w:ascii="Verdana" w:hAnsi="Verdana"/>
                <w:color w:val="000000"/>
                <w:sz w:val="20"/>
                <w:szCs w:val="20"/>
                <w:lang w:eastAsia="bg-BG"/>
              </w:rPr>
              <w:t>Thematic concentration</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81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81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vAlign w:val="center"/>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r>
      <w:tr w:rsidR="00C513B7" w:rsidRPr="005B6074" w:rsidTr="00F24971">
        <w:tc>
          <w:tcPr>
            <w:tcW w:w="3150" w:type="dxa"/>
            <w:shd w:val="clear" w:color="auto" w:fill="auto"/>
            <w:vAlign w:val="center"/>
            <w:hideMark/>
          </w:tcPr>
          <w:p w:rsidR="00C513B7" w:rsidRPr="00A11546" w:rsidRDefault="00A35E98" w:rsidP="00A11546">
            <w:pPr>
              <w:spacing w:after="0"/>
              <w:rPr>
                <w:rFonts w:ascii="Verdana" w:hAnsi="Verdana"/>
                <w:color w:val="000000"/>
                <w:sz w:val="20"/>
                <w:szCs w:val="20"/>
                <w:lang w:eastAsia="bg-BG"/>
              </w:rPr>
            </w:pPr>
            <w:r w:rsidRPr="00A11546">
              <w:rPr>
                <w:rFonts w:ascii="Verdana" w:hAnsi="Verdana"/>
                <w:color w:val="000000"/>
                <w:sz w:val="20"/>
                <w:szCs w:val="20"/>
                <w:lang w:eastAsia="bg-BG"/>
              </w:rPr>
              <w:t xml:space="preserve">Efficiency of investment for the best achievement of the objectives of </w:t>
            </w:r>
            <w:r w:rsidR="005B35A7">
              <w:rPr>
                <w:rFonts w:ascii="Verdana" w:hAnsi="Verdana"/>
                <w:color w:val="000000"/>
                <w:sz w:val="20"/>
                <w:szCs w:val="20"/>
                <w:lang w:eastAsia="bg-BG"/>
              </w:rPr>
              <w:t>OPSESG</w:t>
            </w:r>
            <w:r w:rsidRPr="00A11546">
              <w:rPr>
                <w:rFonts w:ascii="Verdana" w:hAnsi="Verdana"/>
                <w:color w:val="000000"/>
                <w:sz w:val="20"/>
                <w:szCs w:val="20"/>
                <w:lang w:eastAsia="bg-BG"/>
              </w:rPr>
              <w:t xml:space="preserve"> </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81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81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vAlign w:val="center"/>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r>
      <w:tr w:rsidR="00C513B7" w:rsidRPr="005B6074" w:rsidTr="00F24971">
        <w:tc>
          <w:tcPr>
            <w:tcW w:w="3150" w:type="dxa"/>
            <w:shd w:val="clear" w:color="auto" w:fill="auto"/>
            <w:vAlign w:val="center"/>
            <w:hideMark/>
          </w:tcPr>
          <w:p w:rsidR="00C513B7" w:rsidRPr="00A11546" w:rsidRDefault="00A35E98" w:rsidP="00A11546">
            <w:pPr>
              <w:spacing w:after="0"/>
              <w:rPr>
                <w:rFonts w:ascii="Verdana" w:hAnsi="Verdana"/>
                <w:color w:val="000000"/>
                <w:sz w:val="20"/>
                <w:szCs w:val="20"/>
                <w:lang w:eastAsia="bg-BG"/>
              </w:rPr>
            </w:pPr>
            <w:r w:rsidRPr="00A11546">
              <w:rPr>
                <w:rFonts w:ascii="Verdana" w:hAnsi="Verdana"/>
                <w:color w:val="000000"/>
                <w:sz w:val="20"/>
                <w:szCs w:val="20"/>
                <w:lang w:eastAsia="bg-BG"/>
              </w:rPr>
              <w:t>Complementarity with other financing sources</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81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81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vAlign w:val="center"/>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r>
      <w:tr w:rsidR="00C513B7" w:rsidRPr="005B6074" w:rsidTr="00F24971">
        <w:tc>
          <w:tcPr>
            <w:tcW w:w="3150" w:type="dxa"/>
            <w:shd w:val="clear" w:color="auto" w:fill="auto"/>
            <w:vAlign w:val="center"/>
            <w:hideMark/>
          </w:tcPr>
          <w:p w:rsidR="00C513B7" w:rsidRPr="00A11546" w:rsidRDefault="00A35E98" w:rsidP="00A11546">
            <w:pPr>
              <w:spacing w:after="0"/>
              <w:rPr>
                <w:rFonts w:ascii="Verdana" w:hAnsi="Verdana"/>
                <w:color w:val="000000"/>
                <w:sz w:val="20"/>
                <w:szCs w:val="20"/>
                <w:lang w:eastAsia="bg-BG"/>
              </w:rPr>
            </w:pPr>
            <w:r w:rsidRPr="00A11546">
              <w:rPr>
                <w:rFonts w:ascii="Verdana" w:hAnsi="Verdana"/>
                <w:color w:val="000000"/>
                <w:sz w:val="20"/>
                <w:szCs w:val="20"/>
                <w:lang w:eastAsia="bg-BG"/>
              </w:rPr>
              <w:t>Satisfaction of the specific needs of the target groups</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81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81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vAlign w:val="center"/>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r>
      <w:tr w:rsidR="00C513B7" w:rsidRPr="005B6074" w:rsidTr="00F24971">
        <w:tc>
          <w:tcPr>
            <w:tcW w:w="3150" w:type="dxa"/>
            <w:shd w:val="clear" w:color="auto" w:fill="auto"/>
            <w:vAlign w:val="center"/>
            <w:hideMark/>
          </w:tcPr>
          <w:p w:rsidR="00C513B7" w:rsidRPr="00A11546" w:rsidRDefault="00A35E98" w:rsidP="00A11546">
            <w:pPr>
              <w:spacing w:after="0"/>
              <w:rPr>
                <w:rFonts w:ascii="Verdana" w:hAnsi="Verdana"/>
                <w:color w:val="000000"/>
                <w:sz w:val="20"/>
                <w:szCs w:val="20"/>
                <w:lang w:eastAsia="bg-BG"/>
              </w:rPr>
            </w:pPr>
            <w:r w:rsidRPr="00A11546">
              <w:rPr>
                <w:rFonts w:ascii="Verdana" w:hAnsi="Verdana"/>
                <w:color w:val="000000"/>
                <w:sz w:val="20"/>
                <w:szCs w:val="20"/>
                <w:lang w:eastAsia="bg-BG"/>
              </w:rPr>
              <w:t>Horizontal principles</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81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81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vAlign w:val="center"/>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r>
      <w:tr w:rsidR="00C513B7" w:rsidRPr="005B6074" w:rsidTr="00F24971">
        <w:tc>
          <w:tcPr>
            <w:tcW w:w="3150" w:type="dxa"/>
            <w:shd w:val="clear" w:color="auto" w:fill="auto"/>
            <w:vAlign w:val="center"/>
            <w:hideMark/>
          </w:tcPr>
          <w:p w:rsidR="00C513B7" w:rsidRPr="00A11546" w:rsidRDefault="00A35E98" w:rsidP="00A11546">
            <w:pPr>
              <w:spacing w:after="0"/>
              <w:rPr>
                <w:rFonts w:ascii="Verdana" w:hAnsi="Verdana"/>
                <w:color w:val="000000"/>
                <w:sz w:val="20"/>
                <w:szCs w:val="20"/>
                <w:lang w:eastAsia="bg-BG"/>
              </w:rPr>
            </w:pPr>
            <w:r w:rsidRPr="00A11546">
              <w:rPr>
                <w:rFonts w:ascii="Verdana" w:hAnsi="Verdana"/>
                <w:color w:val="000000"/>
                <w:sz w:val="20"/>
                <w:szCs w:val="20"/>
                <w:lang w:eastAsia="bg-BG"/>
              </w:rPr>
              <w:t>Transparency, partnership and objectivity</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81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81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vAlign w:val="center"/>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r>
      <w:tr w:rsidR="00C513B7" w:rsidRPr="005B6074" w:rsidTr="00F24971">
        <w:tc>
          <w:tcPr>
            <w:tcW w:w="3150" w:type="dxa"/>
            <w:shd w:val="clear" w:color="auto" w:fill="auto"/>
            <w:vAlign w:val="center"/>
            <w:hideMark/>
          </w:tcPr>
          <w:p w:rsidR="00C513B7" w:rsidRPr="00A11546" w:rsidRDefault="00A35E98" w:rsidP="00A11546">
            <w:pPr>
              <w:spacing w:after="0"/>
              <w:rPr>
                <w:rFonts w:ascii="Verdana" w:hAnsi="Verdana"/>
                <w:color w:val="000000"/>
                <w:sz w:val="20"/>
                <w:szCs w:val="20"/>
                <w:lang w:eastAsia="bg-BG"/>
              </w:rPr>
            </w:pPr>
            <w:r w:rsidRPr="00A11546">
              <w:rPr>
                <w:rFonts w:ascii="Verdana" w:hAnsi="Verdana"/>
                <w:color w:val="000000"/>
                <w:sz w:val="20"/>
                <w:szCs w:val="20"/>
                <w:lang w:eastAsia="bg-BG"/>
              </w:rPr>
              <w:t>Integrated approach</w:t>
            </w:r>
          </w:p>
        </w:tc>
        <w:tc>
          <w:tcPr>
            <w:tcW w:w="720" w:type="dxa"/>
            <w:shd w:val="clear" w:color="auto" w:fill="auto"/>
            <w:noWrap/>
            <w:vAlign w:val="center"/>
            <w:hideMark/>
          </w:tcPr>
          <w:p w:rsidR="00C513B7" w:rsidRPr="005B6074" w:rsidRDefault="00C513B7" w:rsidP="00F24971">
            <w:pPr>
              <w:spacing w:after="0" w:line="240" w:lineRule="auto"/>
              <w:jc w:val="center"/>
              <w:rPr>
                <w:rFonts w:ascii="Verdana" w:eastAsia="Times New Roman" w:hAnsi="Verdana" w:cs="Calibri"/>
                <w:sz w:val="18"/>
                <w:szCs w:val="18"/>
                <w:lang w:eastAsia="bg-BG"/>
              </w:rPr>
            </w:pPr>
          </w:p>
        </w:tc>
        <w:tc>
          <w:tcPr>
            <w:tcW w:w="720" w:type="dxa"/>
            <w:shd w:val="clear" w:color="auto" w:fill="auto"/>
            <w:noWrap/>
            <w:vAlign w:val="center"/>
            <w:hideMark/>
          </w:tcPr>
          <w:p w:rsidR="00C513B7" w:rsidRPr="005B6074" w:rsidRDefault="00C513B7" w:rsidP="00F24971">
            <w:pPr>
              <w:spacing w:after="0" w:line="240" w:lineRule="auto"/>
              <w:jc w:val="center"/>
              <w:rPr>
                <w:rFonts w:ascii="Verdana" w:eastAsia="Times New Roman" w:hAnsi="Verdana" w:cs="Calibri"/>
                <w:sz w:val="18"/>
                <w:szCs w:val="18"/>
                <w:lang w:eastAsia="bg-BG"/>
              </w:rPr>
            </w:pPr>
          </w:p>
        </w:tc>
        <w:tc>
          <w:tcPr>
            <w:tcW w:w="720" w:type="dxa"/>
            <w:shd w:val="clear" w:color="auto" w:fill="auto"/>
            <w:noWrap/>
            <w:vAlign w:val="center"/>
            <w:hideMark/>
          </w:tcPr>
          <w:p w:rsidR="00C513B7" w:rsidRPr="005B6074" w:rsidRDefault="00C513B7" w:rsidP="00F24971">
            <w:pPr>
              <w:spacing w:after="0" w:line="240" w:lineRule="auto"/>
              <w:jc w:val="center"/>
              <w:rPr>
                <w:rFonts w:ascii="Verdana" w:eastAsia="Times New Roman" w:hAnsi="Verdana" w:cs="Calibri"/>
                <w:sz w:val="18"/>
                <w:szCs w:val="18"/>
                <w:lang w:eastAsia="bg-BG"/>
              </w:rPr>
            </w:pPr>
          </w:p>
        </w:tc>
        <w:tc>
          <w:tcPr>
            <w:tcW w:w="810" w:type="dxa"/>
            <w:shd w:val="clear" w:color="auto" w:fill="auto"/>
            <w:noWrap/>
            <w:vAlign w:val="center"/>
            <w:hideMark/>
          </w:tcPr>
          <w:p w:rsidR="00C513B7" w:rsidRPr="005B6074" w:rsidRDefault="00C513B7" w:rsidP="00F24971">
            <w:pPr>
              <w:spacing w:after="0" w:line="240" w:lineRule="auto"/>
              <w:jc w:val="center"/>
              <w:rPr>
                <w:rFonts w:ascii="Verdana" w:eastAsia="Times New Roman" w:hAnsi="Verdana" w:cs="Calibri"/>
                <w:sz w:val="18"/>
                <w:szCs w:val="18"/>
                <w:lang w:eastAsia="bg-BG"/>
              </w:rPr>
            </w:pPr>
          </w:p>
        </w:tc>
        <w:tc>
          <w:tcPr>
            <w:tcW w:w="81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vAlign w:val="center"/>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c>
          <w:tcPr>
            <w:tcW w:w="720" w:type="dxa"/>
            <w:shd w:val="clear" w:color="auto" w:fill="auto"/>
            <w:noWrap/>
            <w:vAlign w:val="center"/>
            <w:hideMark/>
          </w:tcPr>
          <w:p w:rsidR="00C513B7" w:rsidRPr="005B6074" w:rsidRDefault="00A35E98" w:rsidP="00F24971">
            <w:pPr>
              <w:spacing w:after="0" w:line="240" w:lineRule="auto"/>
              <w:jc w:val="center"/>
            </w:pPr>
            <w:r w:rsidRPr="005B6074">
              <w:rPr>
                <w:rFonts w:ascii="Wingdings 2" w:eastAsia="Times New Roman" w:hAnsi="Wingdings 2"/>
                <w:color w:val="0070C0"/>
                <w:sz w:val="26"/>
                <w:szCs w:val="26"/>
              </w:rPr>
              <w:t></w:t>
            </w:r>
          </w:p>
        </w:tc>
      </w:tr>
    </w:tbl>
    <w:p w:rsidR="00C513B7" w:rsidRPr="005B6074" w:rsidRDefault="00C513B7" w:rsidP="00C513B7">
      <w:pPr>
        <w:spacing w:before="120" w:after="120"/>
        <w:jc w:val="both"/>
        <w:rPr>
          <w:rFonts w:ascii="Verdana" w:hAnsi="Verdana"/>
          <w:sz w:val="20"/>
          <w:szCs w:val="20"/>
        </w:rPr>
      </w:pPr>
    </w:p>
    <w:p w:rsidR="00C513B7" w:rsidRPr="005B6074" w:rsidRDefault="00C513B7" w:rsidP="00C513B7">
      <w:pPr>
        <w:spacing w:before="120" w:after="120"/>
        <w:jc w:val="both"/>
        <w:rPr>
          <w:rFonts w:ascii="Verdana" w:hAnsi="Verdana"/>
          <w:sz w:val="20"/>
          <w:szCs w:val="20"/>
        </w:rPr>
      </w:pPr>
    </w:p>
    <w:p w:rsidR="00C513B7" w:rsidRPr="005B6074" w:rsidRDefault="00C513B7" w:rsidP="00C513B7">
      <w:pPr>
        <w:spacing w:before="120" w:after="120"/>
        <w:jc w:val="both"/>
        <w:rPr>
          <w:rFonts w:ascii="Verdana" w:hAnsi="Verdana"/>
          <w:sz w:val="20"/>
          <w:szCs w:val="20"/>
        </w:rPr>
        <w:sectPr w:rsidR="00C513B7" w:rsidRPr="005B6074" w:rsidSect="00F24971">
          <w:pgSz w:w="11907" w:h="16839" w:code="9"/>
          <w:pgMar w:top="2163" w:right="1377" w:bottom="1440" w:left="1440" w:header="720" w:footer="379" w:gutter="0"/>
          <w:cols w:space="720"/>
          <w:docGrid w:linePitch="360"/>
        </w:sectPr>
      </w:pPr>
    </w:p>
    <w:p w:rsidR="00C513B7" w:rsidRPr="005B6074" w:rsidRDefault="00A35E98" w:rsidP="00C513B7">
      <w:pPr>
        <w:pStyle w:val="Caption"/>
        <w:spacing w:after="120"/>
        <w:rPr>
          <w:rFonts w:ascii="Verdana" w:hAnsi="Verdana"/>
          <w:color w:val="548DD4" w:themeColor="text2" w:themeTint="99"/>
        </w:rPr>
      </w:pPr>
      <w:bookmarkStart w:id="140" w:name="_Toc373747274"/>
      <w:bookmarkStart w:id="141" w:name="_Toc381712213"/>
      <w:bookmarkStart w:id="142" w:name="_Toc390257085"/>
      <w:bookmarkStart w:id="143" w:name="_Toc396225624"/>
      <w:r w:rsidRPr="005B6074">
        <w:rPr>
          <w:rFonts w:ascii="Verdana" w:hAnsi="Verdana"/>
          <w:color w:val="548DD4" w:themeColor="text2" w:themeTint="99"/>
        </w:rPr>
        <w:lastRenderedPageBreak/>
        <w:t xml:space="preserve">Table </w:t>
      </w:r>
      <w:r w:rsidRPr="005B6074">
        <w:rPr>
          <w:rFonts w:ascii="Verdana" w:hAnsi="Verdana"/>
          <w:color w:val="548DD4" w:themeColor="text2" w:themeTint="99"/>
        </w:rPr>
        <w:fldChar w:fldCharType="begin"/>
      </w:r>
      <w:r w:rsidRPr="005B6074">
        <w:rPr>
          <w:rFonts w:ascii="Verdana" w:hAnsi="Verdana"/>
          <w:color w:val="548DD4" w:themeColor="text2" w:themeTint="99"/>
        </w:rPr>
        <w:instrText xml:space="preserve"> SEQ таблица \* ARABIC </w:instrText>
      </w:r>
      <w:r w:rsidRPr="005B6074">
        <w:rPr>
          <w:rFonts w:ascii="Verdana" w:hAnsi="Verdana"/>
          <w:color w:val="548DD4" w:themeColor="text2" w:themeTint="99"/>
        </w:rPr>
        <w:fldChar w:fldCharType="separate"/>
      </w:r>
      <w:r w:rsidR="009330F5">
        <w:rPr>
          <w:rFonts w:ascii="Verdana" w:hAnsi="Verdana"/>
          <w:noProof/>
          <w:color w:val="548DD4" w:themeColor="text2" w:themeTint="99"/>
        </w:rPr>
        <w:t>29</w:t>
      </w:r>
      <w:r w:rsidRPr="005B6074">
        <w:rPr>
          <w:rFonts w:ascii="Verdana" w:hAnsi="Verdana"/>
          <w:color w:val="548DD4" w:themeColor="text2" w:themeTint="99"/>
        </w:rPr>
        <w:fldChar w:fldCharType="end"/>
      </w:r>
      <w:r w:rsidRPr="005B6074">
        <w:rPr>
          <w:rFonts w:ascii="Verdana" w:hAnsi="Verdana"/>
          <w:color w:val="548DD4" w:themeColor="text2" w:themeTint="99"/>
        </w:rPr>
        <w:t xml:space="preserve">. Analysis of the principles referred to as </w:t>
      </w:r>
      <w:r w:rsidR="00B2073D">
        <w:rPr>
          <w:rFonts w:ascii="Verdana" w:hAnsi="Verdana"/>
          <w:color w:val="548DD4" w:themeColor="text2" w:themeTint="99"/>
        </w:rPr>
        <w:t>guiding principles</w:t>
      </w:r>
      <w:r w:rsidRPr="005B6074">
        <w:rPr>
          <w:rFonts w:ascii="Verdana" w:hAnsi="Verdana"/>
          <w:color w:val="548DD4" w:themeColor="text2" w:themeTint="99"/>
        </w:rPr>
        <w:t xml:space="preserve"> in the selection of operations</w:t>
      </w:r>
      <w:bookmarkEnd w:id="140"/>
      <w:bookmarkEnd w:id="141"/>
      <w:bookmarkEnd w:id="142"/>
      <w:bookmarkEnd w:id="143"/>
    </w:p>
    <w:tbl>
      <w:tblPr>
        <w:tblStyle w:val="MediumShading1-Accent11"/>
        <w:tblW w:w="14459" w:type="dxa"/>
        <w:tblInd w:w="108"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ayout w:type="fixed"/>
        <w:tblLook w:val="04A0" w:firstRow="1" w:lastRow="0" w:firstColumn="1" w:lastColumn="0" w:noHBand="0" w:noVBand="1"/>
      </w:tblPr>
      <w:tblGrid>
        <w:gridCol w:w="2790"/>
        <w:gridCol w:w="8460"/>
        <w:gridCol w:w="3209"/>
      </w:tblGrid>
      <w:tr w:rsidR="00C513B7" w:rsidRPr="005B6074" w:rsidTr="00F24971">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790" w:type="dxa"/>
            <w:vAlign w:val="center"/>
          </w:tcPr>
          <w:p w:rsidR="00C513B7" w:rsidRPr="00A11546" w:rsidRDefault="00A35E98" w:rsidP="00A11546">
            <w:pPr>
              <w:spacing w:after="120"/>
              <w:rPr>
                <w:rFonts w:ascii="Verdana" w:hAnsi="Verdana"/>
                <w:sz w:val="20"/>
                <w:szCs w:val="20"/>
              </w:rPr>
            </w:pPr>
            <w:r w:rsidRPr="00A11546">
              <w:rPr>
                <w:rFonts w:ascii="Verdana" w:hAnsi="Verdana"/>
                <w:sz w:val="20"/>
                <w:szCs w:val="20"/>
              </w:rPr>
              <w:t>Principle and Priority Axis</w:t>
            </w:r>
          </w:p>
        </w:tc>
        <w:tc>
          <w:tcPr>
            <w:tcW w:w="8460" w:type="dxa"/>
            <w:vAlign w:val="center"/>
          </w:tcPr>
          <w:p w:rsidR="00C513B7" w:rsidRPr="00A11546" w:rsidRDefault="00A35E98" w:rsidP="00A11546">
            <w:pPr>
              <w:spacing w:after="120"/>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A11546">
              <w:rPr>
                <w:rFonts w:ascii="Verdana" w:hAnsi="Verdana"/>
                <w:sz w:val="20"/>
                <w:szCs w:val="20"/>
              </w:rPr>
              <w:t>Relevance</w:t>
            </w:r>
          </w:p>
        </w:tc>
        <w:tc>
          <w:tcPr>
            <w:tcW w:w="3209" w:type="dxa"/>
            <w:vAlign w:val="center"/>
          </w:tcPr>
          <w:p w:rsidR="00C513B7" w:rsidRPr="00A11546" w:rsidRDefault="00A35E98" w:rsidP="00A11546">
            <w:pPr>
              <w:spacing w:after="120"/>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A11546">
              <w:rPr>
                <w:rFonts w:ascii="Verdana" w:hAnsi="Verdana"/>
                <w:sz w:val="20"/>
                <w:szCs w:val="20"/>
              </w:rPr>
              <w:t>Recommendation</w:t>
            </w:r>
          </w:p>
        </w:tc>
      </w:tr>
      <w:tr w:rsidR="00C513B7" w:rsidRPr="005B6074" w:rsidTr="00F2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auto"/>
            <w:vAlign w:val="center"/>
          </w:tcPr>
          <w:p w:rsidR="00C513B7" w:rsidRPr="00A11546" w:rsidRDefault="00A35E98" w:rsidP="00A11546">
            <w:pPr>
              <w:spacing w:after="120"/>
              <w:rPr>
                <w:rFonts w:ascii="Verdana" w:eastAsia="Times New Roman" w:hAnsi="Verdana" w:cs="Calibri"/>
                <w:color w:val="000000"/>
                <w:sz w:val="20"/>
                <w:szCs w:val="20"/>
              </w:rPr>
            </w:pPr>
            <w:r w:rsidRPr="00A11546">
              <w:rPr>
                <w:rFonts w:ascii="Verdana" w:eastAsia="Times New Roman" w:hAnsi="Verdana" w:cs="Calibri"/>
                <w:color w:val="000000"/>
                <w:sz w:val="20"/>
                <w:szCs w:val="20"/>
              </w:rPr>
              <w:t>Thematic concentration</w:t>
            </w:r>
          </w:p>
        </w:tc>
        <w:tc>
          <w:tcPr>
            <w:tcW w:w="8460" w:type="dxa"/>
            <w:shd w:val="clear" w:color="auto" w:fill="auto"/>
          </w:tcPr>
          <w:p w:rsidR="00C513B7" w:rsidRPr="00A11546" w:rsidRDefault="00A35E98" w:rsidP="00A11546">
            <w:pPr>
              <w:spacing w:after="12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A11546">
              <w:rPr>
                <w:rFonts w:ascii="Verdana" w:hAnsi="Verdana"/>
                <w:sz w:val="20"/>
                <w:szCs w:val="20"/>
              </w:rPr>
              <w:t>The principle is the same for all investment priorities and it indicates that the foreseen activities and financing are concentrated on the implementation of Thematic objectives 1 and 10 of the General Regulation.</w:t>
            </w:r>
          </w:p>
          <w:p w:rsidR="00C513B7" w:rsidRPr="00A11546" w:rsidRDefault="00A35E98" w:rsidP="00A11546">
            <w:pPr>
              <w:spacing w:after="12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A11546">
              <w:rPr>
                <w:rFonts w:ascii="Verdana" w:hAnsi="Verdana"/>
                <w:sz w:val="20"/>
                <w:szCs w:val="20"/>
              </w:rPr>
              <w:t>The principle is of informative nature and cannot be applied in the selection of operations because the IP already selected, are as a whole within the scope of the thematic objectives.</w:t>
            </w:r>
          </w:p>
        </w:tc>
        <w:tc>
          <w:tcPr>
            <w:tcW w:w="3209" w:type="dxa"/>
            <w:shd w:val="clear" w:color="auto" w:fill="auto"/>
          </w:tcPr>
          <w:p w:rsidR="00C513B7" w:rsidRPr="00A11546" w:rsidRDefault="00B2073D" w:rsidP="00A11546">
            <w:pPr>
              <w:spacing w:after="12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A11546">
              <w:rPr>
                <w:rFonts w:ascii="Verdana" w:hAnsi="Verdana"/>
                <w:sz w:val="20"/>
                <w:szCs w:val="20"/>
              </w:rPr>
              <w:t>Remove</w:t>
            </w:r>
            <w:r w:rsidR="00A35E98" w:rsidRPr="00A11546">
              <w:rPr>
                <w:rFonts w:ascii="Verdana" w:hAnsi="Verdana"/>
                <w:sz w:val="20"/>
                <w:szCs w:val="20"/>
              </w:rPr>
              <w:t xml:space="preserve"> the principle.</w:t>
            </w:r>
          </w:p>
        </w:tc>
      </w:tr>
      <w:tr w:rsidR="00C513B7" w:rsidRPr="005B6074" w:rsidTr="00F24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auto"/>
            <w:vAlign w:val="center"/>
          </w:tcPr>
          <w:p w:rsidR="00C513B7" w:rsidRPr="00A11546" w:rsidRDefault="00A35E98" w:rsidP="00A11546">
            <w:pPr>
              <w:spacing w:after="120"/>
              <w:rPr>
                <w:rFonts w:ascii="Verdana" w:eastAsia="Times New Roman" w:hAnsi="Verdana" w:cs="Calibri"/>
                <w:color w:val="000000"/>
                <w:sz w:val="20"/>
                <w:szCs w:val="20"/>
              </w:rPr>
            </w:pPr>
            <w:r w:rsidRPr="00A11546">
              <w:rPr>
                <w:rFonts w:ascii="Verdana" w:eastAsia="Times New Roman" w:hAnsi="Verdana" w:cs="Calibri"/>
                <w:color w:val="000000"/>
                <w:sz w:val="20"/>
                <w:szCs w:val="20"/>
              </w:rPr>
              <w:t xml:space="preserve">Efficiency </w:t>
            </w:r>
            <w:r w:rsidR="00B2073D" w:rsidRPr="00A11546">
              <w:rPr>
                <w:rFonts w:ascii="Verdana" w:eastAsia="Times New Roman" w:hAnsi="Verdana" w:cs="Calibri"/>
                <w:color w:val="000000"/>
                <w:sz w:val="20"/>
                <w:szCs w:val="20"/>
              </w:rPr>
              <w:t xml:space="preserve">of </w:t>
            </w:r>
            <w:r w:rsidRPr="00A11546">
              <w:rPr>
                <w:rFonts w:ascii="Verdana" w:eastAsia="Times New Roman" w:hAnsi="Verdana" w:cs="Calibri"/>
                <w:color w:val="000000"/>
                <w:sz w:val="20"/>
                <w:szCs w:val="20"/>
              </w:rPr>
              <w:t xml:space="preserve">investment </w:t>
            </w:r>
            <w:r w:rsidR="00B2073D" w:rsidRPr="00A11546">
              <w:rPr>
                <w:rFonts w:ascii="Verdana" w:eastAsia="Times New Roman" w:hAnsi="Verdana" w:cs="Calibri"/>
                <w:color w:val="000000"/>
                <w:sz w:val="20"/>
                <w:szCs w:val="20"/>
              </w:rPr>
              <w:t>achievement of the objectives of OP</w:t>
            </w:r>
            <w:r w:rsidRPr="00A11546">
              <w:rPr>
                <w:rFonts w:ascii="Verdana" w:eastAsia="Times New Roman" w:hAnsi="Verdana" w:cs="Calibri"/>
                <w:color w:val="000000"/>
                <w:sz w:val="20"/>
                <w:szCs w:val="20"/>
              </w:rPr>
              <w:t>SE</w:t>
            </w:r>
            <w:r w:rsidR="003C2963" w:rsidRPr="00A11546">
              <w:rPr>
                <w:rFonts w:ascii="Verdana" w:eastAsia="Times New Roman" w:hAnsi="Verdana" w:cs="Calibri"/>
                <w:color w:val="000000"/>
                <w:sz w:val="20"/>
                <w:szCs w:val="20"/>
              </w:rPr>
              <w:t>S</w:t>
            </w:r>
            <w:r w:rsidRPr="00A11546">
              <w:rPr>
                <w:rFonts w:ascii="Verdana" w:eastAsia="Times New Roman" w:hAnsi="Verdana" w:cs="Calibri"/>
                <w:color w:val="000000"/>
                <w:sz w:val="20"/>
                <w:szCs w:val="20"/>
              </w:rPr>
              <w:t>G</w:t>
            </w:r>
          </w:p>
        </w:tc>
        <w:tc>
          <w:tcPr>
            <w:tcW w:w="8460" w:type="dxa"/>
            <w:shd w:val="clear" w:color="auto" w:fill="auto"/>
          </w:tcPr>
          <w:p w:rsidR="00C513B7" w:rsidRPr="00A11546" w:rsidRDefault="00A35E98" w:rsidP="00A11546">
            <w:pPr>
              <w:spacing w:after="120"/>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A11546">
              <w:rPr>
                <w:rFonts w:ascii="Verdana" w:hAnsi="Verdana"/>
                <w:sz w:val="20"/>
                <w:szCs w:val="20"/>
              </w:rPr>
              <w:t xml:space="preserve">The principle is the same for all investment priorities and it indicates that the measures must contribute to the </w:t>
            </w:r>
            <w:r w:rsidR="00A40B8D" w:rsidRPr="00A11546">
              <w:rPr>
                <w:rFonts w:ascii="Verdana" w:hAnsi="Verdana"/>
                <w:sz w:val="20"/>
                <w:szCs w:val="20"/>
              </w:rPr>
              <w:t xml:space="preserve">achievement </w:t>
            </w:r>
            <w:r w:rsidRPr="00A11546">
              <w:rPr>
                <w:rFonts w:ascii="Verdana" w:hAnsi="Verdana"/>
                <w:sz w:val="20"/>
                <w:szCs w:val="20"/>
              </w:rPr>
              <w:t>of the objectives of the programme and that the most appropriate ways of provis</w:t>
            </w:r>
            <w:r w:rsidR="00A40B8D" w:rsidRPr="00A11546">
              <w:rPr>
                <w:rFonts w:ascii="Verdana" w:hAnsi="Verdana"/>
                <w:sz w:val="20"/>
                <w:szCs w:val="20"/>
              </w:rPr>
              <w:t>ion of</w:t>
            </w:r>
            <w:r w:rsidRPr="00A11546">
              <w:rPr>
                <w:rFonts w:ascii="Verdana" w:hAnsi="Verdana"/>
                <w:sz w:val="20"/>
                <w:szCs w:val="20"/>
              </w:rPr>
              <w:t xml:space="preserve"> assistance and reduction of the administrative burden of beneficiaries will be chosen.</w:t>
            </w:r>
          </w:p>
          <w:p w:rsidR="00C513B7" w:rsidRPr="00A11546" w:rsidRDefault="00A35E98" w:rsidP="00A11546">
            <w:pPr>
              <w:spacing w:after="120"/>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A11546">
              <w:rPr>
                <w:rFonts w:ascii="Verdana" w:hAnsi="Verdana"/>
                <w:sz w:val="20"/>
                <w:szCs w:val="20"/>
              </w:rPr>
              <w:t>The principle is appropriate and feasible to implement.</w:t>
            </w:r>
          </w:p>
        </w:tc>
        <w:tc>
          <w:tcPr>
            <w:tcW w:w="3209" w:type="dxa"/>
            <w:shd w:val="clear" w:color="auto" w:fill="auto"/>
          </w:tcPr>
          <w:p w:rsidR="00C513B7" w:rsidRPr="00A11546" w:rsidRDefault="00A35E98" w:rsidP="00A11546">
            <w:pPr>
              <w:spacing w:after="120"/>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A11546">
              <w:rPr>
                <w:rFonts w:ascii="Verdana" w:hAnsi="Verdana"/>
                <w:sz w:val="20"/>
                <w:szCs w:val="20"/>
              </w:rPr>
              <w:t>None</w:t>
            </w:r>
          </w:p>
        </w:tc>
      </w:tr>
      <w:tr w:rsidR="00C513B7" w:rsidRPr="005B6074" w:rsidTr="00F2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auto"/>
            <w:vAlign w:val="center"/>
          </w:tcPr>
          <w:p w:rsidR="00C513B7" w:rsidRPr="00A11546" w:rsidRDefault="00A35E98" w:rsidP="00A11546">
            <w:pPr>
              <w:spacing w:after="120"/>
              <w:rPr>
                <w:rFonts w:ascii="Verdana" w:eastAsia="Times New Roman" w:hAnsi="Verdana" w:cs="Calibri"/>
                <w:color w:val="000000"/>
                <w:sz w:val="20"/>
                <w:szCs w:val="20"/>
              </w:rPr>
            </w:pPr>
            <w:r w:rsidRPr="00A11546">
              <w:rPr>
                <w:rFonts w:ascii="Verdana" w:eastAsia="Times New Roman" w:hAnsi="Verdana" w:cs="Calibri"/>
                <w:color w:val="000000"/>
                <w:sz w:val="20"/>
                <w:szCs w:val="20"/>
              </w:rPr>
              <w:t>Complementarity with other financing sources</w:t>
            </w:r>
          </w:p>
        </w:tc>
        <w:tc>
          <w:tcPr>
            <w:tcW w:w="8460" w:type="dxa"/>
            <w:shd w:val="clear" w:color="auto" w:fill="auto"/>
          </w:tcPr>
          <w:p w:rsidR="00C513B7" w:rsidRPr="00A11546" w:rsidRDefault="00A35E98" w:rsidP="00A11546">
            <w:pPr>
              <w:spacing w:after="12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A11546">
              <w:rPr>
                <w:rFonts w:ascii="Verdana" w:hAnsi="Verdana"/>
                <w:sz w:val="20"/>
                <w:szCs w:val="20"/>
              </w:rPr>
              <w:t>The principle is the same for all investment prio</w:t>
            </w:r>
            <w:r w:rsidR="00A40B8D" w:rsidRPr="00A11546">
              <w:rPr>
                <w:rFonts w:ascii="Verdana" w:hAnsi="Verdana"/>
                <w:sz w:val="20"/>
                <w:szCs w:val="20"/>
              </w:rPr>
              <w:t>rities and it indicates that</w:t>
            </w:r>
            <w:r w:rsidRPr="00A11546">
              <w:rPr>
                <w:rFonts w:ascii="Verdana" w:hAnsi="Verdana"/>
                <w:sz w:val="20"/>
                <w:szCs w:val="20"/>
              </w:rPr>
              <w:t xml:space="preserve"> maximum efficiency of the measures proposed for funding is to be achieved, complementarity with other programmes, financed with EU and state budget funds, has to be sought.</w:t>
            </w:r>
          </w:p>
          <w:p w:rsidR="00C513B7" w:rsidRPr="00A11546" w:rsidRDefault="00A35E98" w:rsidP="00A11546">
            <w:pPr>
              <w:spacing w:after="12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A11546">
              <w:rPr>
                <w:rFonts w:ascii="Verdana" w:hAnsi="Verdana"/>
                <w:sz w:val="20"/>
                <w:szCs w:val="20"/>
              </w:rPr>
              <w:t>The principle is appropriate and feasible to implement in practice.</w:t>
            </w:r>
          </w:p>
        </w:tc>
        <w:tc>
          <w:tcPr>
            <w:tcW w:w="3209" w:type="dxa"/>
            <w:shd w:val="clear" w:color="auto" w:fill="auto"/>
          </w:tcPr>
          <w:p w:rsidR="00C513B7" w:rsidRPr="00A11546" w:rsidRDefault="00A35E98" w:rsidP="00A11546">
            <w:pPr>
              <w:spacing w:after="12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A11546">
              <w:rPr>
                <w:rFonts w:ascii="Verdana" w:hAnsi="Verdana"/>
                <w:sz w:val="20"/>
                <w:szCs w:val="20"/>
              </w:rPr>
              <w:t>None</w:t>
            </w:r>
          </w:p>
        </w:tc>
      </w:tr>
      <w:tr w:rsidR="00C513B7" w:rsidRPr="005B6074" w:rsidTr="00F24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auto"/>
            <w:vAlign w:val="center"/>
          </w:tcPr>
          <w:p w:rsidR="00C513B7" w:rsidRPr="00A11546" w:rsidRDefault="00B2073D" w:rsidP="00A11546">
            <w:pPr>
              <w:spacing w:after="120"/>
              <w:rPr>
                <w:rFonts w:ascii="Verdana" w:eastAsia="Times New Roman" w:hAnsi="Verdana" w:cs="Calibri"/>
                <w:color w:val="000000"/>
                <w:sz w:val="20"/>
                <w:szCs w:val="20"/>
              </w:rPr>
            </w:pPr>
            <w:r w:rsidRPr="00A11546">
              <w:rPr>
                <w:rFonts w:ascii="Verdana" w:eastAsia="Times New Roman" w:hAnsi="Verdana" w:cs="Calibri"/>
                <w:color w:val="000000"/>
                <w:sz w:val="20"/>
                <w:szCs w:val="20"/>
              </w:rPr>
              <w:t>Meeting the</w:t>
            </w:r>
            <w:r w:rsidR="00A35E98" w:rsidRPr="00A11546">
              <w:rPr>
                <w:rFonts w:ascii="Verdana" w:eastAsia="Times New Roman" w:hAnsi="Verdana" w:cs="Calibri"/>
                <w:color w:val="000000"/>
                <w:sz w:val="20"/>
                <w:szCs w:val="20"/>
              </w:rPr>
              <w:t xml:space="preserve"> specific needs of the target groups</w:t>
            </w:r>
          </w:p>
        </w:tc>
        <w:tc>
          <w:tcPr>
            <w:tcW w:w="8460" w:type="dxa"/>
            <w:shd w:val="clear" w:color="auto" w:fill="auto"/>
          </w:tcPr>
          <w:p w:rsidR="00C513B7" w:rsidRPr="00A11546" w:rsidRDefault="00A35E98" w:rsidP="00A11546">
            <w:pPr>
              <w:spacing w:after="120"/>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A11546">
              <w:rPr>
                <w:rFonts w:ascii="Verdana" w:hAnsi="Verdana"/>
                <w:sz w:val="20"/>
                <w:szCs w:val="20"/>
              </w:rPr>
              <w:t xml:space="preserve">The principle means that the funding of the specific measures will take place solely on the basis of needs of the target groups identified in strategic and analytical documents. It is the same for all investment priorities, except for IP of PA1 and PA2, where it is further specified that the financing of scientific research is limited only to the areas of research defined as priority in the National </w:t>
            </w:r>
            <w:r w:rsidRPr="00A11546">
              <w:rPr>
                <w:rFonts w:ascii="Verdana" w:hAnsi="Verdana"/>
                <w:sz w:val="20"/>
                <w:szCs w:val="20"/>
              </w:rPr>
              <w:lastRenderedPageBreak/>
              <w:t>Strategy for Scientific Research or in the Innovations Strategy. This restriction is not appropriate for the investment priorities of PA2.</w:t>
            </w:r>
          </w:p>
        </w:tc>
        <w:tc>
          <w:tcPr>
            <w:tcW w:w="3209" w:type="dxa"/>
            <w:shd w:val="clear" w:color="auto" w:fill="auto"/>
          </w:tcPr>
          <w:p w:rsidR="00C513B7" w:rsidRPr="00A11546" w:rsidRDefault="00B2073D" w:rsidP="00A11546">
            <w:pPr>
              <w:spacing w:after="120"/>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A11546">
              <w:rPr>
                <w:rFonts w:ascii="Verdana" w:hAnsi="Verdana"/>
                <w:sz w:val="20"/>
                <w:szCs w:val="20"/>
              </w:rPr>
              <w:lastRenderedPageBreak/>
              <w:t>Remove</w:t>
            </w:r>
            <w:r w:rsidR="00A35E98" w:rsidRPr="00A11546">
              <w:rPr>
                <w:rFonts w:ascii="Verdana" w:hAnsi="Verdana"/>
                <w:sz w:val="20"/>
                <w:szCs w:val="20"/>
              </w:rPr>
              <w:t xml:space="preserve"> the limitation concerning scientific research and investment priorities under PA2.</w:t>
            </w:r>
          </w:p>
        </w:tc>
      </w:tr>
      <w:tr w:rsidR="00C513B7" w:rsidRPr="005B6074" w:rsidTr="00F2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auto"/>
            <w:vAlign w:val="center"/>
          </w:tcPr>
          <w:p w:rsidR="00C513B7" w:rsidRPr="005B6074" w:rsidRDefault="00A35E98" w:rsidP="00A11546">
            <w:pPr>
              <w:spacing w:after="120"/>
              <w:rPr>
                <w:rFonts w:ascii="Verdana" w:eastAsia="Times New Roman" w:hAnsi="Verdana" w:cs="Calibri"/>
                <w:color w:val="000000"/>
                <w:sz w:val="20"/>
                <w:szCs w:val="20"/>
              </w:rPr>
            </w:pPr>
            <w:r w:rsidRPr="005B6074">
              <w:rPr>
                <w:rFonts w:ascii="Verdana" w:eastAsia="Times New Roman" w:hAnsi="Verdana" w:cs="Calibri"/>
                <w:color w:val="000000"/>
                <w:sz w:val="20"/>
                <w:szCs w:val="20"/>
              </w:rPr>
              <w:lastRenderedPageBreak/>
              <w:t>Horizontal principles</w:t>
            </w:r>
          </w:p>
        </w:tc>
        <w:tc>
          <w:tcPr>
            <w:tcW w:w="8460" w:type="dxa"/>
            <w:shd w:val="clear" w:color="auto" w:fill="auto"/>
          </w:tcPr>
          <w:p w:rsidR="00C513B7" w:rsidRPr="005B6074" w:rsidRDefault="00A35E98" w:rsidP="00A11546">
            <w:pPr>
              <w:spacing w:after="12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5B6074">
              <w:rPr>
                <w:rFonts w:ascii="Verdana" w:hAnsi="Verdana"/>
                <w:sz w:val="20"/>
                <w:szCs w:val="20"/>
              </w:rPr>
              <w:t xml:space="preserve">The principle is the same for all investment priorities and it indicates that special attention will be </w:t>
            </w:r>
            <w:r w:rsidR="00A40B8D">
              <w:rPr>
                <w:rFonts w:ascii="Verdana" w:hAnsi="Verdana"/>
                <w:sz w:val="20"/>
                <w:szCs w:val="20"/>
              </w:rPr>
              <w:t>paid</w:t>
            </w:r>
            <w:r w:rsidRPr="005B6074">
              <w:rPr>
                <w:rFonts w:ascii="Verdana" w:hAnsi="Verdana"/>
                <w:sz w:val="20"/>
                <w:szCs w:val="20"/>
              </w:rPr>
              <w:t xml:space="preserve"> to ensuring the observation of the principles of sustainable development, equal opportunities, non-discrimination and gender equality. The observation of the horizontal principles is a necessary and compulsory condition and in this sense the introduction of this principle in the selection of operations will have no </w:t>
            </w:r>
            <w:r w:rsidR="00ED2E4D" w:rsidRPr="005B6074">
              <w:rPr>
                <w:rFonts w:ascii="Verdana" w:hAnsi="Verdana"/>
                <w:sz w:val="20"/>
                <w:szCs w:val="20"/>
              </w:rPr>
              <w:t xml:space="preserve">added </w:t>
            </w:r>
            <w:r w:rsidRPr="005B6074">
              <w:rPr>
                <w:rFonts w:ascii="Verdana" w:hAnsi="Verdana"/>
                <w:sz w:val="20"/>
                <w:szCs w:val="20"/>
              </w:rPr>
              <w:t xml:space="preserve">value. </w:t>
            </w:r>
          </w:p>
        </w:tc>
        <w:tc>
          <w:tcPr>
            <w:tcW w:w="3209" w:type="dxa"/>
            <w:shd w:val="clear" w:color="auto" w:fill="auto"/>
          </w:tcPr>
          <w:p w:rsidR="00C513B7" w:rsidRPr="005B6074" w:rsidRDefault="00B2073D" w:rsidP="00A11546">
            <w:pPr>
              <w:spacing w:after="12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Pr>
                <w:rFonts w:ascii="Verdana" w:hAnsi="Verdana"/>
                <w:sz w:val="20"/>
                <w:szCs w:val="20"/>
              </w:rPr>
              <w:t>Remove</w:t>
            </w:r>
            <w:r w:rsidR="00A35E98" w:rsidRPr="005B6074">
              <w:rPr>
                <w:rFonts w:ascii="Verdana" w:hAnsi="Verdana"/>
                <w:sz w:val="20"/>
                <w:szCs w:val="20"/>
              </w:rPr>
              <w:t xml:space="preserve"> this principle</w:t>
            </w:r>
          </w:p>
        </w:tc>
      </w:tr>
      <w:tr w:rsidR="00C513B7" w:rsidRPr="005B6074" w:rsidTr="00F2497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auto"/>
            <w:vAlign w:val="center"/>
          </w:tcPr>
          <w:p w:rsidR="00C513B7" w:rsidRPr="005B6074" w:rsidRDefault="00A35E98" w:rsidP="00A11546">
            <w:pPr>
              <w:spacing w:after="120"/>
              <w:rPr>
                <w:rFonts w:ascii="Verdana" w:eastAsia="Times New Roman" w:hAnsi="Verdana" w:cs="Calibri"/>
                <w:color w:val="000000"/>
                <w:sz w:val="20"/>
                <w:szCs w:val="20"/>
              </w:rPr>
            </w:pPr>
            <w:r w:rsidRPr="005B6074">
              <w:rPr>
                <w:rFonts w:ascii="Verdana" w:eastAsia="Times New Roman" w:hAnsi="Verdana" w:cs="Calibri"/>
                <w:color w:val="000000"/>
                <w:sz w:val="20"/>
                <w:szCs w:val="20"/>
              </w:rPr>
              <w:t>Transparency, partnership and objectivity</w:t>
            </w:r>
          </w:p>
        </w:tc>
        <w:tc>
          <w:tcPr>
            <w:tcW w:w="8460" w:type="dxa"/>
            <w:shd w:val="clear" w:color="auto" w:fill="auto"/>
          </w:tcPr>
          <w:p w:rsidR="00C513B7" w:rsidRPr="005B6074" w:rsidRDefault="00A35E98" w:rsidP="00A11546">
            <w:pPr>
              <w:spacing w:after="120"/>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5B6074">
              <w:rPr>
                <w:rFonts w:ascii="Verdana" w:hAnsi="Verdana"/>
                <w:sz w:val="20"/>
                <w:szCs w:val="20"/>
              </w:rPr>
              <w:t>The principle is the same for all investment priorities and it indicates that maximum transparency and objectivity will be guaranteed in the selection of operations and partnership with and representation of all stakeholders will be sought in programming the operations.</w:t>
            </w:r>
          </w:p>
          <w:p w:rsidR="00C513B7" w:rsidRPr="005B6074" w:rsidRDefault="00A35E98" w:rsidP="00A11546">
            <w:pPr>
              <w:spacing w:after="120"/>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5B6074">
              <w:rPr>
                <w:rFonts w:ascii="Verdana" w:hAnsi="Verdana"/>
                <w:sz w:val="20"/>
                <w:szCs w:val="20"/>
              </w:rPr>
              <w:t>The principle is appropriate and feasible. It will result in improving the quality of programming.</w:t>
            </w:r>
          </w:p>
        </w:tc>
        <w:tc>
          <w:tcPr>
            <w:tcW w:w="3209" w:type="dxa"/>
            <w:shd w:val="clear" w:color="auto" w:fill="auto"/>
          </w:tcPr>
          <w:p w:rsidR="00C513B7" w:rsidRPr="005B6074" w:rsidRDefault="00A35E98" w:rsidP="00A11546">
            <w:pPr>
              <w:spacing w:after="120"/>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5B6074">
              <w:rPr>
                <w:rFonts w:ascii="Verdana" w:hAnsi="Verdana"/>
                <w:sz w:val="20"/>
                <w:szCs w:val="20"/>
              </w:rPr>
              <w:t>None</w:t>
            </w:r>
          </w:p>
        </w:tc>
      </w:tr>
      <w:tr w:rsidR="00C513B7" w:rsidRPr="005B6074" w:rsidTr="00F249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shd w:val="clear" w:color="auto" w:fill="auto"/>
            <w:vAlign w:val="center"/>
          </w:tcPr>
          <w:p w:rsidR="00C513B7" w:rsidRPr="005B6074" w:rsidRDefault="00A35E98" w:rsidP="00A11546">
            <w:pPr>
              <w:spacing w:after="120"/>
              <w:rPr>
                <w:rFonts w:ascii="Verdana" w:eastAsia="Times New Roman" w:hAnsi="Verdana" w:cs="Calibri"/>
                <w:color w:val="000000"/>
                <w:sz w:val="20"/>
                <w:szCs w:val="20"/>
              </w:rPr>
            </w:pPr>
            <w:r w:rsidRPr="005B6074">
              <w:rPr>
                <w:rFonts w:ascii="Verdana" w:eastAsia="Times New Roman" w:hAnsi="Verdana" w:cs="Calibri"/>
                <w:color w:val="000000"/>
                <w:sz w:val="20"/>
                <w:szCs w:val="20"/>
              </w:rPr>
              <w:t>Integrated approach</w:t>
            </w:r>
          </w:p>
        </w:tc>
        <w:tc>
          <w:tcPr>
            <w:tcW w:w="8460" w:type="dxa"/>
            <w:shd w:val="clear" w:color="auto" w:fill="auto"/>
          </w:tcPr>
          <w:p w:rsidR="00C513B7" w:rsidRPr="005B6074" w:rsidRDefault="00A35E98" w:rsidP="00A11546">
            <w:pPr>
              <w:spacing w:after="12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5B6074">
              <w:rPr>
                <w:rFonts w:ascii="Verdana" w:hAnsi="Verdana"/>
                <w:sz w:val="20"/>
                <w:szCs w:val="20"/>
              </w:rPr>
              <w:t xml:space="preserve">The principle is laid down only for IP3 of PA2 and for the investment priorities of PA3, the idea being that integrated operations will be sought in certain directions with a view of achieving the effect of synergy. These are: </w:t>
            </w:r>
            <w:r w:rsidR="003C2963" w:rsidRPr="005B6074">
              <w:rPr>
                <w:rFonts w:ascii="Verdana" w:hAnsi="Verdana"/>
                <w:sz w:val="20"/>
                <w:szCs w:val="20"/>
              </w:rPr>
              <w:t>career</w:t>
            </w:r>
            <w:r w:rsidRPr="005B6074">
              <w:rPr>
                <w:rFonts w:ascii="Verdana" w:hAnsi="Verdana"/>
                <w:sz w:val="20"/>
                <w:szCs w:val="20"/>
              </w:rPr>
              <w:t xml:space="preserve"> counselling in the educational system (</w:t>
            </w:r>
            <w:r w:rsidR="005B35A7">
              <w:rPr>
                <w:rFonts w:ascii="Verdana" w:hAnsi="Verdana"/>
                <w:sz w:val="20"/>
                <w:szCs w:val="20"/>
              </w:rPr>
              <w:t>OPSESG</w:t>
            </w:r>
            <w:r w:rsidRPr="005B6074">
              <w:rPr>
                <w:rFonts w:ascii="Verdana" w:hAnsi="Verdana"/>
                <w:sz w:val="20"/>
                <w:szCs w:val="20"/>
              </w:rPr>
              <w:t>) and outside it (OP HRD) for IP3 of PA2; support for children taken out of institutions, jointly with OPHRD for IP1 of PA3 and integrated projects for the Roma population, again jointly with OPHRD for IP2 of PA3.</w:t>
            </w:r>
          </w:p>
          <w:p w:rsidR="00C513B7" w:rsidRPr="005B6074" w:rsidRDefault="00A35E98" w:rsidP="00A11546">
            <w:pPr>
              <w:spacing w:after="12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5B6074">
              <w:rPr>
                <w:rFonts w:ascii="Verdana" w:hAnsi="Verdana"/>
                <w:sz w:val="20"/>
                <w:szCs w:val="20"/>
              </w:rPr>
              <w:t>The principle is appropriate and feasible. It will help in increasing the effect of the operations.</w:t>
            </w:r>
          </w:p>
        </w:tc>
        <w:tc>
          <w:tcPr>
            <w:tcW w:w="3209" w:type="dxa"/>
            <w:shd w:val="clear" w:color="auto" w:fill="auto"/>
          </w:tcPr>
          <w:p w:rsidR="00C513B7" w:rsidRPr="005B6074" w:rsidRDefault="00A35E98" w:rsidP="00A11546">
            <w:pPr>
              <w:spacing w:after="120"/>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5B6074">
              <w:rPr>
                <w:rFonts w:ascii="Verdana" w:hAnsi="Verdana"/>
                <w:sz w:val="20"/>
                <w:szCs w:val="20"/>
              </w:rPr>
              <w:t>None</w:t>
            </w:r>
          </w:p>
        </w:tc>
      </w:tr>
    </w:tbl>
    <w:p w:rsidR="00C513B7" w:rsidRPr="005B6074" w:rsidRDefault="00C513B7" w:rsidP="00C513B7">
      <w:pPr>
        <w:spacing w:before="120" w:after="120"/>
        <w:jc w:val="both"/>
        <w:rPr>
          <w:rFonts w:ascii="Verdana" w:hAnsi="Verdana"/>
          <w:sz w:val="20"/>
          <w:szCs w:val="20"/>
        </w:rPr>
      </w:pPr>
    </w:p>
    <w:p w:rsidR="00C513B7" w:rsidRPr="005B6074" w:rsidRDefault="00C513B7" w:rsidP="00C513B7">
      <w:pPr>
        <w:spacing w:before="120" w:after="120"/>
        <w:jc w:val="both"/>
        <w:rPr>
          <w:rFonts w:ascii="Verdana" w:hAnsi="Verdana"/>
          <w:sz w:val="20"/>
          <w:szCs w:val="20"/>
        </w:rPr>
        <w:sectPr w:rsidR="00C513B7" w:rsidRPr="005B6074" w:rsidSect="00F24971">
          <w:headerReference w:type="default" r:id="rId39"/>
          <w:pgSz w:w="16839" w:h="11907" w:orient="landscape" w:code="9"/>
          <w:pgMar w:top="1440" w:right="1440" w:bottom="1440" w:left="1440" w:header="720" w:footer="726" w:gutter="0"/>
          <w:cols w:space="720"/>
          <w:docGrid w:linePitch="360"/>
        </w:sectPr>
      </w:pPr>
    </w:p>
    <w:p w:rsidR="00C513B7" w:rsidRPr="005B6074" w:rsidRDefault="00A35E98" w:rsidP="00C513B7">
      <w:pPr>
        <w:keepNext/>
        <w:pBdr>
          <w:bottom w:val="single" w:sz="4" w:space="1" w:color="0070C0"/>
        </w:pBdr>
        <w:spacing w:before="360" w:after="120"/>
        <w:jc w:val="both"/>
        <w:rPr>
          <w:rFonts w:ascii="Verdana" w:hAnsi="Verdana"/>
          <w:color w:val="0070C0"/>
          <w:sz w:val="20"/>
          <w:szCs w:val="20"/>
          <w:lang w:eastAsia="cs-CZ"/>
        </w:rPr>
      </w:pPr>
      <w:r w:rsidRPr="005B6074">
        <w:rPr>
          <w:rFonts w:ascii="Verdana" w:hAnsi="Verdana"/>
          <w:color w:val="0070C0"/>
          <w:sz w:val="20"/>
          <w:szCs w:val="20"/>
          <w:lang w:eastAsia="cs-CZ"/>
        </w:rPr>
        <w:lastRenderedPageBreak/>
        <w:t>Forms of financing and financial instruments</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The text of the programme provides no information about the forms of financing. Given the foreseen measures, it is expected that a portion of the assistance will be rendered on the basis of the competitive principle, but it is also possible to have direct provision of assistance for already determined priority investment or interventions.</w:t>
      </w:r>
    </w:p>
    <w:p w:rsidR="00C513B7" w:rsidRPr="005B6074" w:rsidRDefault="00A35E98" w:rsidP="00C513B7">
      <w:pPr>
        <w:spacing w:before="120" w:after="120"/>
        <w:jc w:val="both"/>
        <w:rPr>
          <w:rFonts w:ascii="Verdana" w:hAnsi="Verdana"/>
          <w:color w:val="006CB6"/>
        </w:rPr>
      </w:pPr>
      <w:r w:rsidRPr="005B6074">
        <w:rPr>
          <w:rFonts w:ascii="Verdana" w:hAnsi="Verdana"/>
          <w:sz w:val="20"/>
          <w:szCs w:val="20"/>
        </w:rPr>
        <w:t>Such are the expectations of most of the respondents of the on-line survey as well (Figure 3).</w:t>
      </w:r>
    </w:p>
    <w:p w:rsidR="00C513B7" w:rsidRPr="005B6074" w:rsidRDefault="00A40B8D" w:rsidP="00C513B7">
      <w:pPr>
        <w:spacing w:before="120" w:after="120"/>
        <w:jc w:val="both"/>
        <w:rPr>
          <w:rFonts w:ascii="Verdana" w:hAnsi="Verdana"/>
          <w:sz w:val="20"/>
          <w:szCs w:val="20"/>
        </w:rPr>
      </w:pPr>
      <w:r>
        <w:rPr>
          <w:rFonts w:ascii="Verdana" w:hAnsi="Verdana"/>
          <w:noProof/>
          <w:sz w:val="20"/>
          <w:szCs w:val="20"/>
          <w:lang w:val="bg-BG" w:eastAsia="bg-BG"/>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252730</wp:posOffset>
                </wp:positionV>
                <wp:extent cx="5865495" cy="314325"/>
                <wp:effectExtent l="0" t="0" r="1905" b="9525"/>
                <wp:wrapNone/>
                <wp:docPr id="382" name="Text Box 382"/>
                <wp:cNvGraphicFramePr/>
                <a:graphic xmlns:a="http://schemas.openxmlformats.org/drawingml/2006/main">
                  <a:graphicData uri="http://schemas.microsoft.com/office/word/2010/wordprocessingShape">
                    <wps:wsp>
                      <wps:cNvSpPr txBox="1"/>
                      <wps:spPr>
                        <a:xfrm>
                          <a:off x="0" y="0"/>
                          <a:ext cx="586549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21F" w:rsidRPr="00A40B8D" w:rsidRDefault="005A221F" w:rsidP="00A40B8D">
                            <w:pPr>
                              <w:jc w:val="both"/>
                              <w:rPr>
                                <w:rFonts w:ascii="Verdana" w:hAnsi="Verdana"/>
                                <w:b/>
                                <w:sz w:val="15"/>
                                <w:szCs w:val="15"/>
                                <w:lang w:eastAsia="bg-BG"/>
                              </w:rPr>
                            </w:pPr>
                            <w:r w:rsidRPr="00A40B8D">
                              <w:rPr>
                                <w:rFonts w:ascii="Verdana" w:hAnsi="Verdana"/>
                                <w:b/>
                                <w:sz w:val="15"/>
                                <w:szCs w:val="15"/>
                                <w:lang w:eastAsia="bg-BG"/>
                              </w:rPr>
                              <w:t>19. In what way, in your opinion, should the contracting of funds under OPSESG 2014-2020 be arranged?</w:t>
                            </w:r>
                          </w:p>
                          <w:p w:rsidR="005A221F" w:rsidRDefault="005A22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82" o:spid="_x0000_s1026" type="#_x0000_t202" style="position:absolute;left:0;text-align:left;margin-left:0;margin-top:19.9pt;width:461.85pt;height:24.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" fillcolor="white [3201]" stroked="f" strokeweight=".5pt">
                <v:textbox>
                  <w:txbxContent>
                    <w:p w:rsidR="005A221F" w:rsidRPr="00A40B8D" w:rsidRDefault="005A221F" w:rsidP="00A40B8D">
                      <w:pPr>
                        <w:jc w:val="both"/>
                        <w:rPr>
                          <w:rFonts w:ascii="Verdana" w:hAnsi="Verdana"/>
                          <w:b/>
                          <w:sz w:val="15"/>
                          <w:szCs w:val="15"/>
                          <w:lang w:eastAsia="bg-BG"/>
                        </w:rPr>
                      </w:pPr>
                      <w:r w:rsidRPr="00A40B8D">
                        <w:rPr>
                          <w:rFonts w:ascii="Verdana" w:hAnsi="Verdana"/>
                          <w:b/>
                          <w:sz w:val="15"/>
                          <w:szCs w:val="15"/>
                          <w:lang w:eastAsia="bg-BG"/>
                        </w:rPr>
                        <w:t>19. In what way, in your opinion, should the contracting of funds under OPSESG 2014-2020 be arranged?</w:t>
                      </w:r>
                    </w:p>
                    <w:p w:rsidR="005A221F" w:rsidRDefault="005A221F"/>
                  </w:txbxContent>
                </v:textbox>
              </v:shape>
            </w:pict>
          </mc:Fallback>
        </mc:AlternateContent>
      </w:r>
    </w:p>
    <w:p w:rsidR="00C513B7" w:rsidRPr="005B6074" w:rsidRDefault="00A40B8D" w:rsidP="00C513B7">
      <w:pPr>
        <w:spacing w:before="120" w:after="120"/>
        <w:jc w:val="both"/>
        <w:rPr>
          <w:rFonts w:ascii="Verdana" w:hAnsi="Verdana"/>
          <w:sz w:val="20"/>
          <w:szCs w:val="20"/>
        </w:rPr>
      </w:pPr>
      <w:r>
        <w:rPr>
          <w:noProof/>
          <w:lang w:val="bg-BG" w:eastAsia="bg-BG"/>
        </w:rPr>
        <mc:AlternateContent>
          <mc:Choice Requires="wps">
            <w:drawing>
              <wp:anchor distT="0" distB="0" distL="114300" distR="114300" simplePos="0" relativeHeight="251669504" behindDoc="0" locked="0" layoutInCell="1" allowOverlap="1">
                <wp:simplePos x="0" y="0"/>
                <wp:positionH relativeFrom="column">
                  <wp:posOffset>3895725</wp:posOffset>
                </wp:positionH>
                <wp:positionV relativeFrom="paragraph">
                  <wp:posOffset>313690</wp:posOffset>
                </wp:positionV>
                <wp:extent cx="2076450" cy="819150"/>
                <wp:effectExtent l="0" t="0" r="0" b="0"/>
                <wp:wrapNone/>
                <wp:docPr id="381" name="Text Box 381"/>
                <wp:cNvGraphicFramePr/>
                <a:graphic xmlns:a="http://schemas.openxmlformats.org/drawingml/2006/main">
                  <a:graphicData uri="http://schemas.microsoft.com/office/word/2010/wordprocessingShape">
                    <wps:wsp>
                      <wps:cNvSpPr txBox="1"/>
                      <wps:spPr>
                        <a:xfrm>
                          <a:off x="0" y="0"/>
                          <a:ext cx="207645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21F" w:rsidRPr="00A40B8D" w:rsidRDefault="005A221F" w:rsidP="00A40B8D">
                            <w:pPr>
                              <w:spacing w:after="0"/>
                              <w:rPr>
                                <w:rFonts w:ascii="Verdana" w:hAnsi="Verdana"/>
                                <w:sz w:val="14"/>
                                <w:szCs w:val="14"/>
                                <w:lang w:eastAsia="bg-BG"/>
                              </w:rPr>
                            </w:pPr>
                            <w:r w:rsidRPr="00A40B8D">
                              <w:rPr>
                                <w:rFonts w:ascii="Verdana" w:hAnsi="Verdana"/>
                                <w:sz w:val="14"/>
                                <w:szCs w:val="14"/>
                                <w:lang w:eastAsia="bg-BG"/>
                              </w:rPr>
                              <w:t>55% - Through a combination of the two</w:t>
                            </w:r>
                          </w:p>
                          <w:p w:rsidR="005A221F" w:rsidRPr="00A40B8D" w:rsidRDefault="005A221F" w:rsidP="00A40B8D">
                            <w:pPr>
                              <w:spacing w:after="0"/>
                              <w:rPr>
                                <w:rFonts w:ascii="Verdana" w:hAnsi="Verdana"/>
                                <w:sz w:val="14"/>
                                <w:szCs w:val="14"/>
                                <w:lang w:eastAsia="bg-BG"/>
                              </w:rPr>
                            </w:pPr>
                            <w:r w:rsidRPr="00A40B8D">
                              <w:rPr>
                                <w:rFonts w:ascii="Verdana" w:hAnsi="Verdana"/>
                                <w:sz w:val="14"/>
                                <w:szCs w:val="14"/>
                                <w:lang w:eastAsia="bg-BG"/>
                              </w:rPr>
                              <w:t>21% - On a competitive basis</w:t>
                            </w:r>
                          </w:p>
                          <w:p w:rsidR="005A221F" w:rsidRPr="00A40B8D" w:rsidRDefault="005A221F" w:rsidP="00A40B8D">
                            <w:pPr>
                              <w:spacing w:after="0"/>
                              <w:rPr>
                                <w:rFonts w:ascii="Verdana" w:hAnsi="Verdana"/>
                                <w:sz w:val="14"/>
                                <w:szCs w:val="14"/>
                                <w:lang w:eastAsia="bg-BG"/>
                              </w:rPr>
                            </w:pPr>
                            <w:r w:rsidRPr="00A40B8D">
                              <w:rPr>
                                <w:rFonts w:ascii="Verdana" w:hAnsi="Verdana"/>
                                <w:sz w:val="14"/>
                                <w:szCs w:val="14"/>
                                <w:lang w:eastAsia="bg-BG"/>
                              </w:rPr>
                              <w:t>16% - Through the provision of financial support to specific beneficiaries</w:t>
                            </w:r>
                          </w:p>
                          <w:p w:rsidR="005A221F" w:rsidRPr="00A40B8D" w:rsidRDefault="005A221F" w:rsidP="00A40B8D">
                            <w:pPr>
                              <w:spacing w:after="0"/>
                              <w:rPr>
                                <w:rFonts w:ascii="Verdana" w:hAnsi="Verdana"/>
                                <w:sz w:val="14"/>
                                <w:szCs w:val="14"/>
                                <w:lang w:eastAsia="bg-BG"/>
                              </w:rPr>
                            </w:pPr>
                            <w:r w:rsidRPr="00A40B8D">
                              <w:rPr>
                                <w:rFonts w:ascii="Verdana" w:hAnsi="Verdana"/>
                                <w:sz w:val="14"/>
                                <w:szCs w:val="14"/>
                                <w:lang w:eastAsia="bg-BG"/>
                              </w:rPr>
                              <w:t>6</w:t>
                            </w:r>
                            <w:proofErr w:type="gramStart"/>
                            <w:r w:rsidRPr="00A40B8D">
                              <w:rPr>
                                <w:rFonts w:ascii="Verdana" w:hAnsi="Verdana"/>
                                <w:sz w:val="14"/>
                                <w:szCs w:val="14"/>
                                <w:lang w:eastAsia="bg-BG"/>
                              </w:rPr>
                              <w:t>%  -</w:t>
                            </w:r>
                            <w:proofErr w:type="gramEnd"/>
                            <w:r w:rsidRPr="00A40B8D">
                              <w:rPr>
                                <w:rFonts w:ascii="Verdana" w:hAnsi="Verdana"/>
                                <w:sz w:val="14"/>
                                <w:szCs w:val="14"/>
                                <w:lang w:eastAsia="bg-BG"/>
                              </w:rPr>
                              <w:t xml:space="preserve"> I cannot </w:t>
                            </w:r>
                            <w:r w:rsidR="009330F5">
                              <w:rPr>
                                <w:rFonts w:ascii="Verdana" w:hAnsi="Verdana"/>
                                <w:sz w:val="14"/>
                                <w:szCs w:val="14"/>
                                <w:lang w:eastAsia="bg-BG"/>
                              </w:rPr>
                              <w:t>answer</w:t>
                            </w:r>
                          </w:p>
                          <w:p w:rsidR="005A221F" w:rsidRDefault="005A221F" w:rsidP="00A40B8D">
                            <w:pPr>
                              <w:spacing w:after="0"/>
                              <w:jc w:val="both"/>
                            </w:pPr>
                            <w:r w:rsidRPr="00A40B8D">
                              <w:rPr>
                                <w:rFonts w:ascii="Verdana" w:hAnsi="Verdana"/>
                                <w:sz w:val="14"/>
                                <w:szCs w:val="14"/>
                                <w:lang w:eastAsia="bg-BG"/>
                              </w:rPr>
                              <w:t>2% - Other, please specify.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1" o:spid="_x0000_s1027" type="#_x0000_t202" style="position:absolute;left:0;text-align:left;margin-left:306.75pt;margin-top:24.7pt;width:163.5pt;height:6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" fillcolor="white [3201]" stroked="f" strokeweight=".5pt">
                <v:textbox>
                  <w:txbxContent>
                    <w:p w:rsidR="005A221F" w:rsidRPr="00A40B8D" w:rsidRDefault="005A221F" w:rsidP="00A40B8D">
                      <w:pPr>
                        <w:spacing w:after="0"/>
                        <w:rPr>
                          <w:rFonts w:ascii="Verdana" w:hAnsi="Verdana"/>
                          <w:sz w:val="14"/>
                          <w:szCs w:val="14"/>
                          <w:lang w:eastAsia="bg-BG"/>
                        </w:rPr>
                      </w:pPr>
                      <w:r w:rsidRPr="00A40B8D">
                        <w:rPr>
                          <w:rFonts w:ascii="Verdana" w:hAnsi="Verdana"/>
                          <w:sz w:val="14"/>
                          <w:szCs w:val="14"/>
                          <w:lang w:eastAsia="bg-BG"/>
                        </w:rPr>
                        <w:t>55% - Through a combination of the two</w:t>
                      </w:r>
                    </w:p>
                    <w:p w:rsidR="005A221F" w:rsidRPr="00A40B8D" w:rsidRDefault="005A221F" w:rsidP="00A40B8D">
                      <w:pPr>
                        <w:spacing w:after="0"/>
                        <w:rPr>
                          <w:rFonts w:ascii="Verdana" w:hAnsi="Verdana"/>
                          <w:sz w:val="14"/>
                          <w:szCs w:val="14"/>
                          <w:lang w:eastAsia="bg-BG"/>
                        </w:rPr>
                      </w:pPr>
                      <w:r w:rsidRPr="00A40B8D">
                        <w:rPr>
                          <w:rFonts w:ascii="Verdana" w:hAnsi="Verdana"/>
                          <w:sz w:val="14"/>
                          <w:szCs w:val="14"/>
                          <w:lang w:eastAsia="bg-BG"/>
                        </w:rPr>
                        <w:t>21% - On a competitive basis</w:t>
                      </w:r>
                    </w:p>
                    <w:p w:rsidR="005A221F" w:rsidRPr="00A40B8D" w:rsidRDefault="005A221F" w:rsidP="00A40B8D">
                      <w:pPr>
                        <w:spacing w:after="0"/>
                        <w:rPr>
                          <w:rFonts w:ascii="Verdana" w:hAnsi="Verdana"/>
                          <w:sz w:val="14"/>
                          <w:szCs w:val="14"/>
                          <w:lang w:eastAsia="bg-BG"/>
                        </w:rPr>
                      </w:pPr>
                      <w:r w:rsidRPr="00A40B8D">
                        <w:rPr>
                          <w:rFonts w:ascii="Verdana" w:hAnsi="Verdana"/>
                          <w:sz w:val="14"/>
                          <w:szCs w:val="14"/>
                          <w:lang w:eastAsia="bg-BG"/>
                        </w:rPr>
                        <w:t>16% - Through the provision of financial support to specific beneficiaries</w:t>
                      </w:r>
                    </w:p>
                    <w:p w:rsidR="005A221F" w:rsidRPr="00A40B8D" w:rsidRDefault="005A221F" w:rsidP="00A40B8D">
                      <w:pPr>
                        <w:spacing w:after="0"/>
                        <w:rPr>
                          <w:rFonts w:ascii="Verdana" w:hAnsi="Verdana"/>
                          <w:sz w:val="14"/>
                          <w:szCs w:val="14"/>
                          <w:lang w:eastAsia="bg-BG"/>
                        </w:rPr>
                      </w:pPr>
                      <w:r w:rsidRPr="00A40B8D">
                        <w:rPr>
                          <w:rFonts w:ascii="Verdana" w:hAnsi="Verdana"/>
                          <w:sz w:val="14"/>
                          <w:szCs w:val="14"/>
                          <w:lang w:eastAsia="bg-BG"/>
                        </w:rPr>
                        <w:t>6</w:t>
                      </w:r>
                      <w:proofErr w:type="gramStart"/>
                      <w:r w:rsidRPr="00A40B8D">
                        <w:rPr>
                          <w:rFonts w:ascii="Verdana" w:hAnsi="Verdana"/>
                          <w:sz w:val="14"/>
                          <w:szCs w:val="14"/>
                          <w:lang w:eastAsia="bg-BG"/>
                        </w:rPr>
                        <w:t>%  -</w:t>
                      </w:r>
                      <w:proofErr w:type="gramEnd"/>
                      <w:r w:rsidRPr="00A40B8D">
                        <w:rPr>
                          <w:rFonts w:ascii="Verdana" w:hAnsi="Verdana"/>
                          <w:sz w:val="14"/>
                          <w:szCs w:val="14"/>
                          <w:lang w:eastAsia="bg-BG"/>
                        </w:rPr>
                        <w:t xml:space="preserve"> I cannot </w:t>
                      </w:r>
                      <w:r w:rsidR="009330F5">
                        <w:rPr>
                          <w:rFonts w:ascii="Verdana" w:hAnsi="Verdana"/>
                          <w:sz w:val="14"/>
                          <w:szCs w:val="14"/>
                          <w:lang w:eastAsia="bg-BG"/>
                        </w:rPr>
                        <w:t>answer</w:t>
                      </w:r>
                    </w:p>
                    <w:p w:rsidR="005A221F" w:rsidRDefault="005A221F" w:rsidP="00A40B8D">
                      <w:pPr>
                        <w:spacing w:after="0"/>
                        <w:jc w:val="both"/>
                      </w:pPr>
                      <w:r w:rsidRPr="00A40B8D">
                        <w:rPr>
                          <w:rFonts w:ascii="Verdana" w:hAnsi="Verdana"/>
                          <w:sz w:val="14"/>
                          <w:szCs w:val="14"/>
                          <w:lang w:eastAsia="bg-BG"/>
                        </w:rPr>
                        <w:t>2% - Other, please specify.</w:t>
                      </w:r>
                    </w:p>
                  </w:txbxContent>
                </v:textbox>
              </v:shape>
            </w:pict>
          </mc:Fallback>
        </mc:AlternateContent>
      </w:r>
      <w:r w:rsidR="00C513B7" w:rsidRPr="005B6074">
        <w:rPr>
          <w:noProof/>
          <w:lang w:val="bg-BG" w:eastAsia="bg-BG"/>
        </w:rPr>
        <w:drawing>
          <wp:inline distT="0" distB="0" distL="0" distR="0" wp14:anchorId="220707FC" wp14:editId="02CA1EF3">
            <wp:extent cx="5772150" cy="2571750"/>
            <wp:effectExtent l="0" t="0" r="0" b="0"/>
            <wp:docPr id="31" name="New picture"/>
            <wp:cNvGraphicFramePr/>
            <a:graphic xmlns:a="http://schemas.openxmlformats.org/drawingml/2006/main">
              <a:graphicData uri="http://schemas.openxmlformats.org/drawingml/2006/picture">
                <pic:pic xmlns:pic="http://schemas.openxmlformats.org/drawingml/2006/picture">
                  <pic:nvPicPr>
                    <pic:cNvPr id="2" name="New picture"/>
                    <pic:cNvPicPr/>
                  </pic:nvPicPr>
                  <pic:blipFill>
                    <a:blip r:embed="rId40" cstate="print"/>
                    <a:srcRect/>
                    <a:stretch>
                      <a:fillRect/>
                    </a:stretch>
                  </pic:blipFill>
                  <pic:spPr>
                    <a:xfrm>
                      <a:off x="0" y="0"/>
                      <a:ext cx="5772150" cy="2571750"/>
                    </a:xfrm>
                    <a:prstGeom prst="rect">
                      <a:avLst/>
                    </a:prstGeom>
                    <a:ln>
                      <a:noFill/>
                    </a:ln>
                  </pic:spPr>
                </pic:pic>
              </a:graphicData>
            </a:graphic>
          </wp:inline>
        </w:drawing>
      </w:r>
    </w:p>
    <w:p w:rsidR="00C513B7" w:rsidRPr="005B6074" w:rsidRDefault="00A35E98" w:rsidP="00C513B7">
      <w:pPr>
        <w:jc w:val="both"/>
        <w:rPr>
          <w:rFonts w:ascii="Verdana" w:hAnsi="Verdana"/>
          <w:i/>
          <w:sz w:val="16"/>
          <w:szCs w:val="16"/>
          <w:lang w:eastAsia="bg-BG"/>
        </w:rPr>
      </w:pPr>
      <w:bookmarkStart w:id="144" w:name="_Ref384995491"/>
      <w:r w:rsidRPr="005B6074">
        <w:rPr>
          <w:rFonts w:ascii="Verdana" w:hAnsi="Verdana"/>
          <w:i/>
          <w:sz w:val="16"/>
          <w:szCs w:val="16"/>
          <w:lang w:eastAsia="bg-BG"/>
        </w:rPr>
        <w:t xml:space="preserve">Source: On-line survey of potential beneficiaries of the Programme, members of the Working group for preparation of the Programme and experts of MA. </w:t>
      </w:r>
    </w:p>
    <w:p w:rsidR="00C513B7" w:rsidRPr="005B6074" w:rsidRDefault="00A35E98" w:rsidP="00C513B7">
      <w:pPr>
        <w:pStyle w:val="Caption"/>
        <w:jc w:val="center"/>
        <w:rPr>
          <w:rFonts w:ascii="Verdana" w:hAnsi="Verdana"/>
          <w:color w:val="006CB6"/>
        </w:rPr>
      </w:pPr>
      <w:bookmarkStart w:id="145" w:name="_Toc390257328"/>
      <w:bookmarkStart w:id="146" w:name="_Toc396225639"/>
      <w:r w:rsidRPr="005B6074">
        <w:rPr>
          <w:rFonts w:ascii="Verdana" w:hAnsi="Verdana"/>
          <w:color w:val="006CB6"/>
        </w:rPr>
        <w:t xml:space="preserve">Figure </w:t>
      </w:r>
      <w:r w:rsidRPr="005B6074">
        <w:rPr>
          <w:rFonts w:ascii="Verdana" w:hAnsi="Verdana"/>
          <w:color w:val="006CB6"/>
        </w:rPr>
        <w:fldChar w:fldCharType="begin"/>
      </w:r>
      <w:r w:rsidRPr="005B6074">
        <w:rPr>
          <w:rFonts w:ascii="Verdana" w:hAnsi="Verdana"/>
          <w:color w:val="006CB6"/>
        </w:rPr>
        <w:instrText xml:space="preserve"> SEQ Фигура \* ARABIC </w:instrText>
      </w:r>
      <w:r w:rsidRPr="005B6074">
        <w:rPr>
          <w:rFonts w:ascii="Verdana" w:hAnsi="Verdana"/>
          <w:color w:val="006CB6"/>
        </w:rPr>
        <w:fldChar w:fldCharType="separate"/>
      </w:r>
      <w:r w:rsidR="009330F5">
        <w:rPr>
          <w:rFonts w:ascii="Verdana" w:hAnsi="Verdana"/>
          <w:noProof/>
          <w:color w:val="006CB6"/>
        </w:rPr>
        <w:t>3</w:t>
      </w:r>
      <w:r w:rsidRPr="005B6074">
        <w:rPr>
          <w:rFonts w:ascii="Verdana" w:hAnsi="Verdana"/>
          <w:color w:val="006CB6"/>
        </w:rPr>
        <w:fldChar w:fldCharType="end"/>
      </w:r>
      <w:bookmarkEnd w:id="144"/>
      <w:r w:rsidRPr="005B6074">
        <w:rPr>
          <w:rFonts w:ascii="Verdana" w:hAnsi="Verdana"/>
          <w:color w:val="006CB6"/>
        </w:rPr>
        <w:t>: Approaches to the provision of the funds under the Programme</w:t>
      </w:r>
      <w:bookmarkEnd w:id="145"/>
      <w:bookmarkEnd w:id="146"/>
    </w:p>
    <w:p w:rsidR="00C513B7" w:rsidRPr="005B6074" w:rsidRDefault="00C513B7" w:rsidP="00C513B7">
      <w:pPr>
        <w:spacing w:before="120" w:after="120"/>
        <w:jc w:val="both"/>
        <w:rPr>
          <w:rFonts w:ascii="Verdana" w:hAnsi="Verdana"/>
          <w:sz w:val="20"/>
          <w:szCs w:val="20"/>
        </w:rPr>
      </w:pP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The May 2014 draft of the Programme does not foresee the utilization of financial instruments. Given the types of activities proposed for loans to be extended for higher education, as well as the possibilities for joint initiatives of business-science and business – higher education it is recommendable to analyse the opportunities and advantages of using financial instruments.</w:t>
      </w:r>
    </w:p>
    <w:p w:rsidR="00C513B7" w:rsidRPr="005B6074" w:rsidRDefault="00A35E98" w:rsidP="00C513B7">
      <w:pPr>
        <w:spacing w:before="120" w:after="120"/>
        <w:jc w:val="both"/>
        <w:rPr>
          <w:rFonts w:ascii="Verdana" w:hAnsi="Verdana"/>
          <w:i/>
          <w:sz w:val="18"/>
          <w:szCs w:val="18"/>
          <w:lang w:eastAsia="bg-BG"/>
        </w:rPr>
      </w:pPr>
      <w:r w:rsidRPr="005B6074">
        <w:rPr>
          <w:rFonts w:ascii="Verdana" w:hAnsi="Verdana"/>
          <w:sz w:val="20"/>
          <w:szCs w:val="20"/>
        </w:rPr>
        <w:t>The respondents of the on-line survey are of the opinion that the utilization of financial instruments is appropriate: in the extending of loans to undergraduate, post-graduate students and PhD students; in cases of investing in applied science research; for the purpose of promoting the relations between higher schools and businesses; for technical and technological equipment of higher schools; for the purpose of modernization of the educational process and introduction of the models of distant and electronic training (Fig. 4).</w:t>
      </w:r>
    </w:p>
    <w:p w:rsidR="00C513B7" w:rsidRPr="005B6074" w:rsidRDefault="00C513B7" w:rsidP="00C513B7">
      <w:pPr>
        <w:spacing w:before="120" w:after="120"/>
        <w:jc w:val="both"/>
        <w:rPr>
          <w:rFonts w:ascii="Verdana" w:hAnsi="Verdana"/>
          <w:sz w:val="20"/>
          <w:szCs w:val="20"/>
        </w:rPr>
      </w:pPr>
    </w:p>
    <w:p w:rsidR="00C513B7" w:rsidRPr="005B6074" w:rsidRDefault="00FA40AA" w:rsidP="00FA40AA">
      <w:pPr>
        <w:spacing w:before="120" w:after="120"/>
        <w:jc w:val="both"/>
        <w:rPr>
          <w:rFonts w:ascii="Verdana" w:hAnsi="Verdana"/>
          <w:color w:val="006CB6"/>
          <w:sz w:val="16"/>
          <w:szCs w:val="16"/>
        </w:rPr>
      </w:pPr>
      <w:r>
        <w:rPr>
          <w:noProof/>
          <w:lang w:val="bg-BG" w:eastAsia="bg-BG"/>
        </w:rPr>
        <w:lastRenderedPageBreak/>
        <mc:AlternateContent>
          <mc:Choice Requires="wps">
            <w:drawing>
              <wp:anchor distT="0" distB="0" distL="114300" distR="114300" simplePos="0" relativeHeight="251674624" behindDoc="0" locked="0" layoutInCell="1" allowOverlap="1" wp14:anchorId="068FCBA7" wp14:editId="55848AE7">
                <wp:simplePos x="0" y="0"/>
                <wp:positionH relativeFrom="column">
                  <wp:posOffset>0</wp:posOffset>
                </wp:positionH>
                <wp:positionV relativeFrom="paragraph">
                  <wp:posOffset>904875</wp:posOffset>
                </wp:positionV>
                <wp:extent cx="2343150" cy="1562100"/>
                <wp:effectExtent l="0" t="0" r="0" b="0"/>
                <wp:wrapNone/>
                <wp:docPr id="384" name="Text Box 384"/>
                <wp:cNvGraphicFramePr/>
                <a:graphic xmlns:a="http://schemas.openxmlformats.org/drawingml/2006/main">
                  <a:graphicData uri="http://schemas.microsoft.com/office/word/2010/wordprocessingShape">
                    <wps:wsp>
                      <wps:cNvSpPr txBox="1"/>
                      <wps:spPr>
                        <a:xfrm>
                          <a:off x="0" y="0"/>
                          <a:ext cx="2343150" cy="1562100"/>
                        </a:xfrm>
                        <a:prstGeom prst="rect">
                          <a:avLst/>
                        </a:prstGeom>
                        <a:solidFill>
                          <a:sysClr val="window" lastClr="FFFFFF"/>
                        </a:solidFill>
                        <a:ln w="6350">
                          <a:noFill/>
                        </a:ln>
                        <a:effectLst/>
                      </wps:spPr>
                      <wps:txbx>
                        <w:txbxContent>
                          <w:p w:rsidR="005A221F" w:rsidRPr="00FA40AA" w:rsidRDefault="005A221F" w:rsidP="00FA40AA">
                            <w:pPr>
                              <w:spacing w:after="0" w:line="384" w:lineRule="auto"/>
                              <w:jc w:val="both"/>
                              <w:rPr>
                                <w:rFonts w:ascii="Verdana" w:hAnsi="Verdana"/>
                                <w:sz w:val="15"/>
                                <w:szCs w:val="15"/>
                                <w:lang w:eastAsia="bg-BG"/>
                              </w:rPr>
                            </w:pPr>
                            <w:r w:rsidRPr="00FA40AA">
                              <w:rPr>
                                <w:rFonts w:ascii="Verdana" w:hAnsi="Verdana"/>
                                <w:sz w:val="15"/>
                                <w:szCs w:val="15"/>
                                <w:lang w:eastAsia="bg-BG"/>
                              </w:rPr>
                              <w:t>1. Extension of loans to students and PhD students</w:t>
                            </w:r>
                          </w:p>
                          <w:p w:rsidR="005A221F" w:rsidRPr="00FA40AA" w:rsidRDefault="005A221F" w:rsidP="00FA40AA">
                            <w:pPr>
                              <w:spacing w:after="0" w:line="384" w:lineRule="auto"/>
                              <w:jc w:val="both"/>
                              <w:rPr>
                                <w:rFonts w:ascii="Verdana" w:hAnsi="Verdana"/>
                                <w:sz w:val="15"/>
                                <w:szCs w:val="15"/>
                                <w:lang w:eastAsia="bg-BG"/>
                              </w:rPr>
                            </w:pPr>
                            <w:r w:rsidRPr="00FA40AA">
                              <w:rPr>
                                <w:rFonts w:ascii="Verdana" w:hAnsi="Verdana"/>
                                <w:sz w:val="15"/>
                                <w:szCs w:val="15"/>
                                <w:lang w:eastAsia="bg-BG"/>
                              </w:rPr>
                              <w:t>2. Investing in applied science research</w:t>
                            </w:r>
                          </w:p>
                          <w:p w:rsidR="005A221F" w:rsidRPr="00FA40AA" w:rsidRDefault="005A221F" w:rsidP="00FA40AA">
                            <w:pPr>
                              <w:spacing w:after="0" w:line="384" w:lineRule="auto"/>
                              <w:jc w:val="both"/>
                              <w:rPr>
                                <w:rFonts w:ascii="Verdana" w:hAnsi="Verdana"/>
                                <w:sz w:val="15"/>
                                <w:szCs w:val="15"/>
                                <w:lang w:eastAsia="bg-BG"/>
                              </w:rPr>
                            </w:pPr>
                            <w:r w:rsidRPr="00FA40AA">
                              <w:rPr>
                                <w:rFonts w:ascii="Verdana" w:hAnsi="Verdana"/>
                                <w:sz w:val="15"/>
                                <w:szCs w:val="15"/>
                                <w:lang w:eastAsia="bg-BG"/>
                              </w:rPr>
                              <w:t>3. Modernization of the educational process</w:t>
                            </w:r>
                          </w:p>
                          <w:p w:rsidR="005A221F" w:rsidRPr="00FA40AA" w:rsidRDefault="005A221F" w:rsidP="00FA40AA">
                            <w:pPr>
                              <w:spacing w:after="0" w:line="384" w:lineRule="auto"/>
                              <w:jc w:val="both"/>
                              <w:rPr>
                                <w:rFonts w:ascii="Verdana" w:hAnsi="Verdana"/>
                                <w:sz w:val="15"/>
                                <w:szCs w:val="15"/>
                                <w:lang w:eastAsia="bg-BG"/>
                              </w:rPr>
                            </w:pPr>
                            <w:r w:rsidRPr="00FA40AA">
                              <w:rPr>
                                <w:rFonts w:ascii="Verdana" w:hAnsi="Verdana"/>
                                <w:sz w:val="15"/>
                                <w:szCs w:val="15"/>
                                <w:lang w:eastAsia="bg-BG"/>
                              </w:rPr>
                              <w:t>4. Introduction of models of distant and electronic education</w:t>
                            </w:r>
                          </w:p>
                          <w:p w:rsidR="005A221F" w:rsidRPr="00FA40AA" w:rsidRDefault="005A221F" w:rsidP="00FA40AA">
                            <w:pPr>
                              <w:spacing w:after="0" w:line="384" w:lineRule="auto"/>
                              <w:jc w:val="both"/>
                              <w:rPr>
                                <w:rFonts w:ascii="Verdana" w:hAnsi="Verdana"/>
                                <w:sz w:val="15"/>
                                <w:szCs w:val="15"/>
                                <w:lang w:eastAsia="bg-BG"/>
                              </w:rPr>
                            </w:pPr>
                            <w:proofErr w:type="gramStart"/>
                            <w:r w:rsidRPr="00FA40AA">
                              <w:rPr>
                                <w:rFonts w:ascii="Verdana" w:hAnsi="Verdana"/>
                                <w:sz w:val="15"/>
                                <w:szCs w:val="15"/>
                                <w:lang w:eastAsia="bg-BG"/>
                              </w:rPr>
                              <w:t>5.Others</w:t>
                            </w:r>
                            <w:proofErr w:type="gramEnd"/>
                            <w:r w:rsidRPr="00FA40AA">
                              <w:rPr>
                                <w:rFonts w:ascii="Verdana" w:hAnsi="Verdana"/>
                                <w:sz w:val="15"/>
                                <w:szCs w:val="15"/>
                                <w:lang w:eastAsia="bg-BG"/>
                              </w:rPr>
                              <w:t>, please specify</w:t>
                            </w:r>
                          </w:p>
                          <w:p w:rsidR="005A221F" w:rsidRDefault="005A221F" w:rsidP="00FA40AA">
                            <w:pPr>
                              <w:spacing w:after="0" w:line="384" w:lineRule="auto"/>
                              <w:jc w:val="both"/>
                            </w:pPr>
                            <w:r w:rsidRPr="00FA40AA">
                              <w:rPr>
                                <w:rFonts w:ascii="Verdana" w:hAnsi="Verdana"/>
                                <w:sz w:val="15"/>
                                <w:szCs w:val="15"/>
                                <w:lang w:eastAsia="bg-BG"/>
                              </w:rPr>
                              <w:t xml:space="preserve">6. Cannot </w:t>
                            </w:r>
                            <w:r w:rsidR="009330F5">
                              <w:rPr>
                                <w:rFonts w:ascii="Verdana" w:hAnsi="Verdana"/>
                                <w:sz w:val="15"/>
                                <w:szCs w:val="15"/>
                                <w:lang w:eastAsia="bg-BG"/>
                              </w:rPr>
                              <w:t>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FCBA7" id="Text Box 384" o:spid="_x0000_s1028" type="#_x0000_t202" style="position:absolute;left:0;text-align:left;margin-left:0;margin-top:71.25pt;width:184.5pt;height:1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" fillcolor="window" stroked="f" strokeweight=".5pt">
                <v:textbox>
                  <w:txbxContent>
                    <w:p w:rsidR="005A221F" w:rsidRPr="00FA40AA" w:rsidRDefault="005A221F" w:rsidP="00FA40AA">
                      <w:pPr>
                        <w:spacing w:after="0" w:line="384" w:lineRule="auto"/>
                        <w:jc w:val="both"/>
                        <w:rPr>
                          <w:rFonts w:ascii="Verdana" w:hAnsi="Verdana"/>
                          <w:sz w:val="15"/>
                          <w:szCs w:val="15"/>
                          <w:lang w:eastAsia="bg-BG"/>
                        </w:rPr>
                      </w:pPr>
                      <w:r w:rsidRPr="00FA40AA">
                        <w:rPr>
                          <w:rFonts w:ascii="Verdana" w:hAnsi="Verdana"/>
                          <w:sz w:val="15"/>
                          <w:szCs w:val="15"/>
                          <w:lang w:eastAsia="bg-BG"/>
                        </w:rPr>
                        <w:t>1. Extension of loans to students and PhD students</w:t>
                      </w:r>
                    </w:p>
                    <w:p w:rsidR="005A221F" w:rsidRPr="00FA40AA" w:rsidRDefault="005A221F" w:rsidP="00FA40AA">
                      <w:pPr>
                        <w:spacing w:after="0" w:line="384" w:lineRule="auto"/>
                        <w:jc w:val="both"/>
                        <w:rPr>
                          <w:rFonts w:ascii="Verdana" w:hAnsi="Verdana"/>
                          <w:sz w:val="15"/>
                          <w:szCs w:val="15"/>
                          <w:lang w:eastAsia="bg-BG"/>
                        </w:rPr>
                      </w:pPr>
                      <w:r w:rsidRPr="00FA40AA">
                        <w:rPr>
                          <w:rFonts w:ascii="Verdana" w:hAnsi="Verdana"/>
                          <w:sz w:val="15"/>
                          <w:szCs w:val="15"/>
                          <w:lang w:eastAsia="bg-BG"/>
                        </w:rPr>
                        <w:t>2. Investing in applied science research</w:t>
                      </w:r>
                    </w:p>
                    <w:p w:rsidR="005A221F" w:rsidRPr="00FA40AA" w:rsidRDefault="005A221F" w:rsidP="00FA40AA">
                      <w:pPr>
                        <w:spacing w:after="0" w:line="384" w:lineRule="auto"/>
                        <w:jc w:val="both"/>
                        <w:rPr>
                          <w:rFonts w:ascii="Verdana" w:hAnsi="Verdana"/>
                          <w:sz w:val="15"/>
                          <w:szCs w:val="15"/>
                          <w:lang w:eastAsia="bg-BG"/>
                        </w:rPr>
                      </w:pPr>
                      <w:r w:rsidRPr="00FA40AA">
                        <w:rPr>
                          <w:rFonts w:ascii="Verdana" w:hAnsi="Verdana"/>
                          <w:sz w:val="15"/>
                          <w:szCs w:val="15"/>
                          <w:lang w:eastAsia="bg-BG"/>
                        </w:rPr>
                        <w:t>3. Modernization of the educational process</w:t>
                      </w:r>
                    </w:p>
                    <w:p w:rsidR="005A221F" w:rsidRPr="00FA40AA" w:rsidRDefault="005A221F" w:rsidP="00FA40AA">
                      <w:pPr>
                        <w:spacing w:after="0" w:line="384" w:lineRule="auto"/>
                        <w:jc w:val="both"/>
                        <w:rPr>
                          <w:rFonts w:ascii="Verdana" w:hAnsi="Verdana"/>
                          <w:sz w:val="15"/>
                          <w:szCs w:val="15"/>
                          <w:lang w:eastAsia="bg-BG"/>
                        </w:rPr>
                      </w:pPr>
                      <w:r w:rsidRPr="00FA40AA">
                        <w:rPr>
                          <w:rFonts w:ascii="Verdana" w:hAnsi="Verdana"/>
                          <w:sz w:val="15"/>
                          <w:szCs w:val="15"/>
                          <w:lang w:eastAsia="bg-BG"/>
                        </w:rPr>
                        <w:t>4. Introduction of models of distant and electronic education</w:t>
                      </w:r>
                    </w:p>
                    <w:p w:rsidR="005A221F" w:rsidRPr="00FA40AA" w:rsidRDefault="005A221F" w:rsidP="00FA40AA">
                      <w:pPr>
                        <w:spacing w:after="0" w:line="384" w:lineRule="auto"/>
                        <w:jc w:val="both"/>
                        <w:rPr>
                          <w:rFonts w:ascii="Verdana" w:hAnsi="Verdana"/>
                          <w:sz w:val="15"/>
                          <w:szCs w:val="15"/>
                          <w:lang w:eastAsia="bg-BG"/>
                        </w:rPr>
                      </w:pPr>
                      <w:proofErr w:type="gramStart"/>
                      <w:r w:rsidRPr="00FA40AA">
                        <w:rPr>
                          <w:rFonts w:ascii="Verdana" w:hAnsi="Verdana"/>
                          <w:sz w:val="15"/>
                          <w:szCs w:val="15"/>
                          <w:lang w:eastAsia="bg-BG"/>
                        </w:rPr>
                        <w:t>5.Others</w:t>
                      </w:r>
                      <w:proofErr w:type="gramEnd"/>
                      <w:r w:rsidRPr="00FA40AA">
                        <w:rPr>
                          <w:rFonts w:ascii="Verdana" w:hAnsi="Verdana"/>
                          <w:sz w:val="15"/>
                          <w:szCs w:val="15"/>
                          <w:lang w:eastAsia="bg-BG"/>
                        </w:rPr>
                        <w:t>, please specify</w:t>
                      </w:r>
                    </w:p>
                    <w:p w:rsidR="005A221F" w:rsidRDefault="005A221F" w:rsidP="00FA40AA">
                      <w:pPr>
                        <w:spacing w:after="0" w:line="384" w:lineRule="auto"/>
                        <w:jc w:val="both"/>
                      </w:pPr>
                      <w:r w:rsidRPr="00FA40AA">
                        <w:rPr>
                          <w:rFonts w:ascii="Verdana" w:hAnsi="Verdana"/>
                          <w:sz w:val="15"/>
                          <w:szCs w:val="15"/>
                          <w:lang w:eastAsia="bg-BG"/>
                        </w:rPr>
                        <w:t xml:space="preserve">6. Cannot </w:t>
                      </w:r>
                      <w:r w:rsidR="009330F5">
                        <w:rPr>
                          <w:rFonts w:ascii="Verdana" w:hAnsi="Verdana"/>
                          <w:sz w:val="15"/>
                          <w:szCs w:val="15"/>
                          <w:lang w:eastAsia="bg-BG"/>
                        </w:rPr>
                        <w:t>answer</w:t>
                      </w:r>
                    </w:p>
                  </w:txbxContent>
                </v:textbox>
              </v:shape>
            </w:pict>
          </mc:Fallback>
        </mc:AlternateContent>
      </w:r>
      <w:r w:rsidR="00A40B8D">
        <w:rPr>
          <w:rFonts w:ascii="Verdana" w:hAnsi="Verdana"/>
          <w:noProof/>
          <w:sz w:val="20"/>
          <w:szCs w:val="20"/>
          <w:lang w:val="bg-BG" w:eastAsia="bg-BG"/>
        </w:rPr>
        <mc:AlternateContent>
          <mc:Choice Requires="wps">
            <w:drawing>
              <wp:anchor distT="0" distB="0" distL="114300" distR="114300" simplePos="0" relativeHeight="251672576" behindDoc="0" locked="0" layoutInCell="1" allowOverlap="1" wp14:anchorId="58D19376" wp14:editId="7B130402">
                <wp:simplePos x="0" y="0"/>
                <wp:positionH relativeFrom="column">
                  <wp:posOffset>0</wp:posOffset>
                </wp:positionH>
                <wp:positionV relativeFrom="paragraph">
                  <wp:posOffset>0</wp:posOffset>
                </wp:positionV>
                <wp:extent cx="5865495" cy="523875"/>
                <wp:effectExtent l="0" t="0" r="1905" b="9525"/>
                <wp:wrapNone/>
                <wp:docPr id="383" name="Text Box 383"/>
                <wp:cNvGraphicFramePr/>
                <a:graphic xmlns:a="http://schemas.openxmlformats.org/drawingml/2006/main">
                  <a:graphicData uri="http://schemas.microsoft.com/office/word/2010/wordprocessingShape">
                    <wps:wsp>
                      <wps:cNvSpPr txBox="1"/>
                      <wps:spPr>
                        <a:xfrm>
                          <a:off x="0" y="0"/>
                          <a:ext cx="5865495" cy="523875"/>
                        </a:xfrm>
                        <a:prstGeom prst="rect">
                          <a:avLst/>
                        </a:prstGeom>
                        <a:solidFill>
                          <a:sysClr val="window" lastClr="FFFFFF"/>
                        </a:solidFill>
                        <a:ln w="6350">
                          <a:noFill/>
                        </a:ln>
                        <a:effectLst/>
                      </wps:spPr>
                      <wps:txbx>
                        <w:txbxContent>
                          <w:p w:rsidR="005A221F" w:rsidRPr="00A40B8D" w:rsidRDefault="005A221F" w:rsidP="00A40B8D">
                            <w:pPr>
                              <w:jc w:val="both"/>
                              <w:rPr>
                                <w:rFonts w:ascii="Verdana" w:hAnsi="Verdana"/>
                                <w:b/>
                                <w:sz w:val="15"/>
                                <w:szCs w:val="15"/>
                                <w:lang w:eastAsia="bg-BG"/>
                              </w:rPr>
                            </w:pPr>
                            <w:r w:rsidRPr="00A40B8D">
                              <w:rPr>
                                <w:rFonts w:ascii="Verdana" w:hAnsi="Verdana"/>
                                <w:b/>
                                <w:sz w:val="15"/>
                                <w:szCs w:val="15"/>
                                <w:lang w:eastAsia="bg-BG"/>
                              </w:rPr>
                              <w:t>18. In which areas of assistance do you think it is possible to use equity participation, loans at preferential interest rate and other forms of financial instruments? (You may indicate more than one answer)</w:t>
                            </w:r>
                          </w:p>
                          <w:p w:rsidR="005A221F" w:rsidRDefault="005A221F" w:rsidP="00A40B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D19376" id="Text Box 383" o:spid="_x0000_s1029" type="#_x0000_t202" style="position:absolute;left:0;text-align:left;margin-left:0;margin-top:0;width:461.85pt;height:41.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" fillcolor="window" stroked="f" strokeweight=".5pt">
                <v:textbox>
                  <w:txbxContent>
                    <w:p w:rsidR="005A221F" w:rsidRPr="00A40B8D" w:rsidRDefault="005A221F" w:rsidP="00A40B8D">
                      <w:pPr>
                        <w:jc w:val="both"/>
                        <w:rPr>
                          <w:rFonts w:ascii="Verdana" w:hAnsi="Verdana"/>
                          <w:b/>
                          <w:sz w:val="15"/>
                          <w:szCs w:val="15"/>
                          <w:lang w:eastAsia="bg-BG"/>
                        </w:rPr>
                      </w:pPr>
                      <w:r w:rsidRPr="00A40B8D">
                        <w:rPr>
                          <w:rFonts w:ascii="Verdana" w:hAnsi="Verdana"/>
                          <w:b/>
                          <w:sz w:val="15"/>
                          <w:szCs w:val="15"/>
                          <w:lang w:eastAsia="bg-BG"/>
                        </w:rPr>
                        <w:t>18. In which areas of assistance do you think it is possible to use equity participation, loans at preferential interest rate and other forms of financial instruments? (You may indicate more than one answer)</w:t>
                      </w:r>
                    </w:p>
                    <w:p w:rsidR="005A221F" w:rsidRDefault="005A221F" w:rsidP="00A40B8D"/>
                  </w:txbxContent>
                </v:textbox>
              </v:shape>
            </w:pict>
          </mc:Fallback>
        </mc:AlternateContent>
      </w:r>
      <w:r w:rsidR="00C513B7" w:rsidRPr="005B6074">
        <w:rPr>
          <w:rFonts w:ascii="Verdana" w:hAnsi="Verdana"/>
          <w:noProof/>
          <w:sz w:val="20"/>
          <w:szCs w:val="20"/>
          <w:lang w:val="bg-BG" w:eastAsia="bg-BG"/>
        </w:rPr>
        <w:drawing>
          <wp:inline distT="0" distB="0" distL="0" distR="0" wp14:anchorId="238DC161" wp14:editId="10407B6F">
            <wp:extent cx="5772150" cy="2894965"/>
            <wp:effectExtent l="0" t="0" r="0" b="635"/>
            <wp:docPr id="1" name="New picture"/>
            <wp:cNvGraphicFramePr/>
            <a:graphic xmlns:a="http://schemas.openxmlformats.org/drawingml/2006/main">
              <a:graphicData uri="http://schemas.openxmlformats.org/drawingml/2006/picture">
                <pic:pic xmlns:pic="http://schemas.openxmlformats.org/drawingml/2006/picture">
                  <pic:nvPicPr>
                    <pic:cNvPr id="2" name="New picture"/>
                    <pic:cNvPicPr/>
                  </pic:nvPicPr>
                  <pic:blipFill>
                    <a:blip r:embed="rId41" cstate="print"/>
                    <a:srcRect/>
                    <a:stretch>
                      <a:fillRect/>
                    </a:stretch>
                  </pic:blipFill>
                  <pic:spPr>
                    <a:xfrm>
                      <a:off x="0" y="0"/>
                      <a:ext cx="5772150" cy="2894965"/>
                    </a:xfrm>
                    <a:prstGeom prst="rect">
                      <a:avLst/>
                    </a:prstGeom>
                    <a:ln>
                      <a:noFill/>
                    </a:ln>
                  </pic:spPr>
                </pic:pic>
              </a:graphicData>
            </a:graphic>
          </wp:inline>
        </w:drawing>
      </w:r>
      <w:bookmarkStart w:id="147" w:name="_Ref384996137"/>
      <w:r w:rsidR="00A35E98" w:rsidRPr="005B6074">
        <w:rPr>
          <w:rFonts w:ascii="Verdana" w:hAnsi="Verdana"/>
          <w:i/>
          <w:sz w:val="16"/>
          <w:szCs w:val="16"/>
          <w:lang w:eastAsia="bg-BG"/>
        </w:rPr>
        <w:t>Source: On-line survey of potential beneficiaries of the Programme, members of the Working group for preparation of the Programme and experts of MA.  (</w:t>
      </w:r>
      <w:proofErr w:type="gramStart"/>
      <w:r w:rsidR="00A35E98" w:rsidRPr="005B6074">
        <w:rPr>
          <w:rFonts w:ascii="Verdana" w:hAnsi="Verdana"/>
          <w:i/>
          <w:sz w:val="16"/>
          <w:szCs w:val="16"/>
          <w:lang w:eastAsia="bg-BG"/>
        </w:rPr>
        <w:t>preliminary</w:t>
      </w:r>
      <w:proofErr w:type="gramEnd"/>
      <w:r w:rsidR="00A35E98" w:rsidRPr="005B6074">
        <w:rPr>
          <w:rFonts w:ascii="Verdana" w:hAnsi="Verdana"/>
          <w:i/>
          <w:sz w:val="16"/>
          <w:szCs w:val="16"/>
          <w:lang w:eastAsia="bg-BG"/>
        </w:rPr>
        <w:t xml:space="preserve"> results as at 10 April 2014)</w:t>
      </w:r>
    </w:p>
    <w:p w:rsidR="00C513B7" w:rsidRPr="005B6074" w:rsidRDefault="00A35E98" w:rsidP="00C513B7">
      <w:pPr>
        <w:pStyle w:val="Caption"/>
        <w:jc w:val="center"/>
        <w:rPr>
          <w:rFonts w:ascii="Verdana" w:hAnsi="Verdana"/>
          <w:color w:val="006CB6"/>
        </w:rPr>
      </w:pPr>
      <w:bookmarkStart w:id="148" w:name="_Toc390257329"/>
      <w:bookmarkStart w:id="149" w:name="_Toc396225640"/>
      <w:r w:rsidRPr="005B6074">
        <w:rPr>
          <w:rFonts w:ascii="Verdana" w:hAnsi="Verdana"/>
          <w:color w:val="006CB6"/>
        </w:rPr>
        <w:t xml:space="preserve">Figure </w:t>
      </w:r>
      <w:r w:rsidRPr="005B6074">
        <w:rPr>
          <w:rFonts w:ascii="Verdana" w:hAnsi="Verdana"/>
          <w:color w:val="006CB6"/>
        </w:rPr>
        <w:fldChar w:fldCharType="begin"/>
      </w:r>
      <w:r w:rsidRPr="005B6074">
        <w:rPr>
          <w:rFonts w:ascii="Verdana" w:hAnsi="Verdana"/>
          <w:color w:val="006CB6"/>
        </w:rPr>
        <w:instrText xml:space="preserve"> SEQ Фигура \* ARABIC </w:instrText>
      </w:r>
      <w:r w:rsidRPr="005B6074">
        <w:rPr>
          <w:rFonts w:ascii="Verdana" w:hAnsi="Verdana"/>
          <w:color w:val="006CB6"/>
        </w:rPr>
        <w:fldChar w:fldCharType="separate"/>
      </w:r>
      <w:r w:rsidR="009330F5">
        <w:rPr>
          <w:rFonts w:ascii="Verdana" w:hAnsi="Verdana"/>
          <w:noProof/>
          <w:color w:val="006CB6"/>
        </w:rPr>
        <w:t>4</w:t>
      </w:r>
      <w:r w:rsidRPr="005B6074">
        <w:rPr>
          <w:rFonts w:ascii="Verdana" w:hAnsi="Verdana"/>
          <w:color w:val="006CB6"/>
        </w:rPr>
        <w:fldChar w:fldCharType="end"/>
      </w:r>
      <w:bookmarkEnd w:id="147"/>
      <w:r w:rsidRPr="005B6074">
        <w:rPr>
          <w:rFonts w:ascii="Verdana" w:hAnsi="Verdana"/>
          <w:color w:val="006CB6"/>
        </w:rPr>
        <w:t>: Possible areas for application of financial instruments</w:t>
      </w:r>
      <w:bookmarkEnd w:id="148"/>
      <w:bookmarkEnd w:id="149"/>
    </w:p>
    <w:p w:rsidR="00C513B7" w:rsidRPr="005B6074" w:rsidRDefault="00C513B7" w:rsidP="00C513B7">
      <w:pPr>
        <w:spacing w:before="120" w:after="120"/>
        <w:jc w:val="both"/>
        <w:rPr>
          <w:rFonts w:ascii="Verdana" w:hAnsi="Verdana"/>
          <w:sz w:val="20"/>
          <w:szCs w:val="20"/>
        </w:rPr>
      </w:pPr>
    </w:p>
    <w:p w:rsidR="00C513B7" w:rsidRDefault="00A35E98" w:rsidP="00C513B7">
      <w:pPr>
        <w:spacing w:before="120" w:after="120"/>
        <w:jc w:val="both"/>
        <w:rPr>
          <w:rFonts w:ascii="Verdana" w:hAnsi="Verdana"/>
          <w:sz w:val="20"/>
          <w:szCs w:val="20"/>
        </w:rPr>
      </w:pPr>
      <w:r w:rsidRPr="005B6074">
        <w:rPr>
          <w:rFonts w:ascii="Verdana" w:hAnsi="Verdana"/>
          <w:sz w:val="20"/>
          <w:szCs w:val="20"/>
        </w:rPr>
        <w:t xml:space="preserve">Even though financial instruments have been foreseen neither in the current draft of </w:t>
      </w:r>
      <w:r w:rsidR="005B35A7">
        <w:rPr>
          <w:rFonts w:ascii="Verdana" w:hAnsi="Verdana"/>
          <w:sz w:val="20"/>
          <w:szCs w:val="20"/>
        </w:rPr>
        <w:t>OPSESG</w:t>
      </w:r>
      <w:r w:rsidRPr="005B6074">
        <w:rPr>
          <w:rFonts w:ascii="Verdana" w:hAnsi="Verdana"/>
          <w:sz w:val="20"/>
          <w:szCs w:val="20"/>
        </w:rPr>
        <w:t xml:space="preserve">, nor in the </w:t>
      </w:r>
      <w:proofErr w:type="spellStart"/>
      <w:r w:rsidRPr="005B6074">
        <w:rPr>
          <w:rFonts w:ascii="Verdana" w:hAnsi="Verdana"/>
          <w:sz w:val="20"/>
          <w:szCs w:val="20"/>
        </w:rPr>
        <w:t>ToR</w:t>
      </w:r>
      <w:proofErr w:type="spellEnd"/>
      <w:r w:rsidRPr="005B6074">
        <w:rPr>
          <w:rFonts w:ascii="Verdana" w:hAnsi="Verdana"/>
          <w:sz w:val="20"/>
          <w:szCs w:val="20"/>
        </w:rPr>
        <w:t xml:space="preserve"> for the procurement for “</w:t>
      </w:r>
      <w:r w:rsidRPr="005B6074">
        <w:rPr>
          <w:rFonts w:ascii="Verdana" w:hAnsi="Verdana"/>
          <w:i/>
          <w:sz w:val="20"/>
          <w:szCs w:val="20"/>
        </w:rPr>
        <w:t xml:space="preserve">Developing a preliminary evaluation of the application of financial instruments under the national OPs during the programming period 2014-2020” </w:t>
      </w:r>
      <w:r w:rsidRPr="005B6074">
        <w:rPr>
          <w:rFonts w:ascii="Verdana" w:hAnsi="Verdana"/>
          <w:sz w:val="20"/>
          <w:szCs w:val="20"/>
        </w:rPr>
        <w:t>of the Ministry of Finance, financial instruments could be used in the sphere of education and science. Several exemplary financing schemes are listed below, which were successfully utilized in the period 2007-2013 in EU and on the basis of which we could develop our national financial instruments, for financing for example the scientific activity of the universities, or for the provision of student loans.</w:t>
      </w:r>
    </w:p>
    <w:p w:rsidR="00FA40AA" w:rsidRPr="005B6074" w:rsidRDefault="00FA40AA" w:rsidP="00C513B7">
      <w:pPr>
        <w:spacing w:before="120" w:after="120"/>
        <w:jc w:val="both"/>
        <w:rPr>
          <w:rFonts w:ascii="Verdana" w:hAnsi="Verdana"/>
          <w:sz w:val="20"/>
          <w:szCs w:val="20"/>
        </w:rPr>
      </w:pPr>
    </w:p>
    <w:p w:rsidR="00C513B7" w:rsidRPr="005B6074" w:rsidRDefault="00A35E98" w:rsidP="00FA40AA">
      <w:pPr>
        <w:pStyle w:val="Caption"/>
        <w:keepNext/>
        <w:spacing w:after="120"/>
        <w:rPr>
          <w:rFonts w:ascii="Verdana" w:hAnsi="Verdana"/>
          <w:color w:val="548DD4" w:themeColor="text2" w:themeTint="99"/>
        </w:rPr>
      </w:pPr>
      <w:bookmarkStart w:id="150" w:name="_Toc390257086"/>
      <w:bookmarkStart w:id="151" w:name="_Toc396225625"/>
      <w:r w:rsidRPr="005B6074">
        <w:rPr>
          <w:rFonts w:ascii="Verdana" w:hAnsi="Verdana"/>
          <w:color w:val="548DD4" w:themeColor="text2" w:themeTint="99"/>
        </w:rPr>
        <w:t xml:space="preserve">Table </w:t>
      </w:r>
      <w:r w:rsidRPr="005B6074">
        <w:rPr>
          <w:rFonts w:ascii="Verdana" w:hAnsi="Verdana"/>
          <w:color w:val="548DD4" w:themeColor="text2" w:themeTint="99"/>
        </w:rPr>
        <w:fldChar w:fldCharType="begin"/>
      </w:r>
      <w:r w:rsidRPr="005B6074">
        <w:rPr>
          <w:rFonts w:ascii="Verdana" w:hAnsi="Verdana"/>
          <w:color w:val="548DD4" w:themeColor="text2" w:themeTint="99"/>
        </w:rPr>
        <w:instrText xml:space="preserve"> SEQ таблица \* ARABIC </w:instrText>
      </w:r>
      <w:r w:rsidRPr="005B6074">
        <w:rPr>
          <w:rFonts w:ascii="Verdana" w:hAnsi="Verdana"/>
          <w:color w:val="548DD4" w:themeColor="text2" w:themeTint="99"/>
        </w:rPr>
        <w:fldChar w:fldCharType="separate"/>
      </w:r>
      <w:r w:rsidR="009330F5">
        <w:rPr>
          <w:rFonts w:ascii="Verdana" w:hAnsi="Verdana"/>
          <w:noProof/>
          <w:color w:val="548DD4" w:themeColor="text2" w:themeTint="99"/>
        </w:rPr>
        <w:t>30</w:t>
      </w:r>
      <w:r w:rsidRPr="005B6074">
        <w:rPr>
          <w:rFonts w:ascii="Verdana" w:hAnsi="Verdana"/>
          <w:color w:val="548DD4" w:themeColor="text2" w:themeTint="99"/>
        </w:rPr>
        <w:fldChar w:fldCharType="end"/>
      </w:r>
      <w:r w:rsidRPr="005B6074">
        <w:rPr>
          <w:rFonts w:ascii="Verdana" w:hAnsi="Verdana"/>
          <w:color w:val="548DD4" w:themeColor="text2" w:themeTint="99"/>
        </w:rPr>
        <w:t>. Examples of financial instruments in the area of science and education</w:t>
      </w:r>
      <w:bookmarkEnd w:id="150"/>
      <w:bookmarkEnd w:id="151"/>
    </w:p>
    <w:tbl>
      <w:tblPr>
        <w:tblStyle w:val="Ikastyle"/>
        <w:tblW w:w="9090" w:type="dxa"/>
        <w:tblInd w:w="108"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ayout w:type="fixed"/>
        <w:tblLook w:val="04A0" w:firstRow="1" w:lastRow="0" w:firstColumn="1" w:lastColumn="0" w:noHBand="0" w:noVBand="1"/>
      </w:tblPr>
      <w:tblGrid>
        <w:gridCol w:w="1560"/>
        <w:gridCol w:w="1417"/>
        <w:gridCol w:w="1867"/>
        <w:gridCol w:w="2953"/>
        <w:gridCol w:w="1293"/>
      </w:tblGrid>
      <w:tr w:rsidR="00C513B7" w:rsidRPr="005B6074" w:rsidTr="00FA40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548DD4" w:themeFill="text2" w:themeFillTint="99"/>
          </w:tcPr>
          <w:p w:rsidR="00C513B7" w:rsidRPr="00A11546" w:rsidRDefault="00A35E98" w:rsidP="00A11546">
            <w:pPr>
              <w:spacing w:after="0"/>
              <w:rPr>
                <w:rFonts w:ascii="Verdana" w:hAnsi="Verdana"/>
                <w:sz w:val="20"/>
                <w:szCs w:val="20"/>
              </w:rPr>
            </w:pPr>
            <w:r w:rsidRPr="00A11546">
              <w:rPr>
                <w:rFonts w:ascii="Verdana" w:hAnsi="Verdana"/>
                <w:sz w:val="20"/>
                <w:szCs w:val="20"/>
              </w:rPr>
              <w:t>Financial instrument</w:t>
            </w:r>
          </w:p>
        </w:tc>
        <w:tc>
          <w:tcPr>
            <w:tcW w:w="1417" w:type="dxa"/>
            <w:shd w:val="clear" w:color="auto" w:fill="548DD4" w:themeFill="text2" w:themeFillTint="99"/>
          </w:tcPr>
          <w:p w:rsidR="00C513B7" w:rsidRPr="00A11546" w:rsidRDefault="00A35E98" w:rsidP="00A11546">
            <w:pPr>
              <w:spacing w:after="0"/>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A11546">
              <w:rPr>
                <w:rFonts w:ascii="Verdana" w:hAnsi="Verdana"/>
                <w:sz w:val="20"/>
                <w:szCs w:val="20"/>
              </w:rPr>
              <w:t>Period of application</w:t>
            </w:r>
          </w:p>
        </w:tc>
        <w:tc>
          <w:tcPr>
            <w:tcW w:w="1867" w:type="dxa"/>
            <w:shd w:val="clear" w:color="auto" w:fill="548DD4" w:themeFill="text2" w:themeFillTint="99"/>
          </w:tcPr>
          <w:p w:rsidR="00C513B7" w:rsidRPr="00A11546" w:rsidRDefault="00A35E98" w:rsidP="00A11546">
            <w:pPr>
              <w:spacing w:after="0"/>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A11546">
              <w:rPr>
                <w:rFonts w:ascii="Verdana" w:hAnsi="Verdana"/>
                <w:sz w:val="20"/>
                <w:szCs w:val="20"/>
              </w:rPr>
              <w:t xml:space="preserve">Type of the instrument, relevant to the activities under OP SERIG </w:t>
            </w:r>
          </w:p>
        </w:tc>
        <w:tc>
          <w:tcPr>
            <w:tcW w:w="2953" w:type="dxa"/>
            <w:shd w:val="clear" w:color="auto" w:fill="548DD4" w:themeFill="text2" w:themeFillTint="99"/>
          </w:tcPr>
          <w:p w:rsidR="00C513B7" w:rsidRPr="00A11546" w:rsidRDefault="00A35E98" w:rsidP="00A11546">
            <w:pPr>
              <w:spacing w:after="0"/>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A11546">
              <w:rPr>
                <w:rFonts w:ascii="Verdana" w:hAnsi="Verdana"/>
                <w:sz w:val="20"/>
                <w:szCs w:val="20"/>
              </w:rPr>
              <w:t>Description</w:t>
            </w:r>
          </w:p>
        </w:tc>
        <w:tc>
          <w:tcPr>
            <w:tcW w:w="1293" w:type="dxa"/>
            <w:shd w:val="clear" w:color="auto" w:fill="548DD4" w:themeFill="text2" w:themeFillTint="99"/>
          </w:tcPr>
          <w:p w:rsidR="00C513B7" w:rsidRPr="00A11546" w:rsidRDefault="00A35E98" w:rsidP="00A11546">
            <w:pPr>
              <w:spacing w:after="0"/>
              <w:cnfStyle w:val="100000000000" w:firstRow="1" w:lastRow="0" w:firstColumn="0" w:lastColumn="0" w:oddVBand="0" w:evenVBand="0" w:oddHBand="0" w:evenHBand="0" w:firstRowFirstColumn="0" w:firstRowLastColumn="0" w:lastRowFirstColumn="0" w:lastRowLastColumn="0"/>
              <w:rPr>
                <w:rFonts w:ascii="Verdana" w:hAnsi="Verdana"/>
                <w:sz w:val="20"/>
                <w:szCs w:val="20"/>
              </w:rPr>
            </w:pPr>
            <w:r w:rsidRPr="00A11546">
              <w:rPr>
                <w:rFonts w:ascii="Verdana" w:hAnsi="Verdana"/>
                <w:sz w:val="20"/>
                <w:szCs w:val="20"/>
              </w:rPr>
              <w:t>Budget</w:t>
            </w:r>
          </w:p>
        </w:tc>
      </w:tr>
      <w:tr w:rsidR="00C513B7" w:rsidRPr="005B6074" w:rsidTr="00FA4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C513B7" w:rsidRPr="00A11546" w:rsidRDefault="00A35E98" w:rsidP="005B35A7">
            <w:pPr>
              <w:spacing w:after="0"/>
              <w:rPr>
                <w:rFonts w:ascii="Verdana" w:hAnsi="Verdana"/>
                <w:sz w:val="20"/>
                <w:szCs w:val="20"/>
              </w:rPr>
            </w:pPr>
            <w:r w:rsidRPr="00A11546">
              <w:rPr>
                <w:rFonts w:ascii="Verdana" w:hAnsi="Verdana"/>
                <w:sz w:val="20"/>
                <w:szCs w:val="20"/>
              </w:rPr>
              <w:t>Pilot project for technology transfer</w:t>
            </w:r>
          </w:p>
        </w:tc>
        <w:tc>
          <w:tcPr>
            <w:tcW w:w="1417" w:type="dxa"/>
            <w:shd w:val="clear" w:color="auto" w:fill="auto"/>
          </w:tcPr>
          <w:p w:rsidR="00C513B7" w:rsidRPr="00A11546" w:rsidRDefault="00A35E98" w:rsidP="005B35A7">
            <w:pPr>
              <w:spacing w:after="0"/>
              <w:jc w:val="left"/>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A11546">
              <w:rPr>
                <w:rFonts w:ascii="Verdana" w:hAnsi="Verdana"/>
                <w:sz w:val="20"/>
                <w:szCs w:val="20"/>
              </w:rPr>
              <w:t>2007–2013</w:t>
            </w:r>
          </w:p>
        </w:tc>
        <w:tc>
          <w:tcPr>
            <w:tcW w:w="1867" w:type="dxa"/>
            <w:shd w:val="clear" w:color="auto" w:fill="auto"/>
          </w:tcPr>
          <w:p w:rsidR="00C513B7" w:rsidRPr="00A11546" w:rsidRDefault="00A35E98" w:rsidP="005B35A7">
            <w:pPr>
              <w:spacing w:after="0"/>
              <w:jc w:val="left"/>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A11546">
              <w:rPr>
                <w:rFonts w:ascii="Verdana" w:hAnsi="Verdana"/>
                <w:sz w:val="20"/>
                <w:szCs w:val="20"/>
              </w:rPr>
              <w:t>Investment in venture capital and other investment options</w:t>
            </w:r>
          </w:p>
        </w:tc>
        <w:tc>
          <w:tcPr>
            <w:tcW w:w="2953" w:type="dxa"/>
            <w:shd w:val="clear" w:color="auto" w:fill="auto"/>
          </w:tcPr>
          <w:p w:rsidR="00C513B7" w:rsidRPr="00A11546" w:rsidRDefault="00A35E98" w:rsidP="005B35A7">
            <w:pPr>
              <w:spacing w:after="0"/>
              <w:jc w:val="left"/>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A11546">
              <w:rPr>
                <w:rFonts w:ascii="Verdana" w:hAnsi="Verdana"/>
                <w:sz w:val="20"/>
                <w:szCs w:val="20"/>
              </w:rPr>
              <w:t xml:space="preserve">It finances activities relating to technology transfers to the universities, research organizations or SMEs through EIF. The focus of interventions is on </w:t>
            </w:r>
            <w:r w:rsidRPr="00A11546">
              <w:rPr>
                <w:rFonts w:ascii="Verdana" w:hAnsi="Verdana"/>
                <w:sz w:val="20"/>
                <w:szCs w:val="20"/>
              </w:rPr>
              <w:lastRenderedPageBreak/>
              <w:t>commercialization of the intellectual property.</w:t>
            </w:r>
          </w:p>
        </w:tc>
        <w:tc>
          <w:tcPr>
            <w:tcW w:w="1293" w:type="dxa"/>
            <w:shd w:val="clear" w:color="auto" w:fill="auto"/>
          </w:tcPr>
          <w:p w:rsidR="00C513B7" w:rsidRPr="00A11546" w:rsidRDefault="00A35E98" w:rsidP="005B35A7">
            <w:pPr>
              <w:spacing w:after="0"/>
              <w:jc w:val="left"/>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A11546">
              <w:rPr>
                <w:rFonts w:ascii="Verdana" w:hAnsi="Verdana"/>
                <w:sz w:val="20"/>
                <w:szCs w:val="20"/>
              </w:rPr>
              <w:lastRenderedPageBreak/>
              <w:t>EUR 2 million (per year)</w:t>
            </w:r>
          </w:p>
        </w:tc>
      </w:tr>
      <w:tr w:rsidR="00C513B7" w:rsidRPr="005B6074" w:rsidTr="00FA40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C513B7" w:rsidRPr="00A11546" w:rsidRDefault="00A35E98" w:rsidP="005B35A7">
            <w:pPr>
              <w:spacing w:after="0"/>
              <w:rPr>
                <w:rFonts w:ascii="Verdana" w:hAnsi="Verdana"/>
                <w:sz w:val="20"/>
                <w:szCs w:val="20"/>
              </w:rPr>
            </w:pPr>
            <w:r w:rsidRPr="00A11546">
              <w:rPr>
                <w:rFonts w:ascii="Verdana" w:hAnsi="Verdana"/>
                <w:sz w:val="20"/>
                <w:szCs w:val="20"/>
              </w:rPr>
              <w:lastRenderedPageBreak/>
              <w:t>Erasmus for all</w:t>
            </w:r>
          </w:p>
        </w:tc>
        <w:tc>
          <w:tcPr>
            <w:tcW w:w="1417" w:type="dxa"/>
            <w:shd w:val="clear" w:color="auto" w:fill="auto"/>
          </w:tcPr>
          <w:p w:rsidR="00C513B7" w:rsidRPr="00A11546" w:rsidRDefault="00A35E98" w:rsidP="005B35A7">
            <w:pPr>
              <w:spacing w:after="0"/>
              <w:jc w:val="left"/>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A11546">
              <w:rPr>
                <w:rFonts w:ascii="Verdana" w:hAnsi="Verdana"/>
                <w:sz w:val="20"/>
                <w:szCs w:val="20"/>
              </w:rPr>
              <w:t>2014–2020</w:t>
            </w:r>
          </w:p>
        </w:tc>
        <w:tc>
          <w:tcPr>
            <w:tcW w:w="1867" w:type="dxa"/>
            <w:shd w:val="clear" w:color="auto" w:fill="auto"/>
          </w:tcPr>
          <w:p w:rsidR="00C513B7" w:rsidRPr="00A11546" w:rsidRDefault="00A35E98" w:rsidP="005B35A7">
            <w:pPr>
              <w:spacing w:after="0"/>
              <w:jc w:val="left"/>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A11546">
              <w:rPr>
                <w:rFonts w:ascii="Verdana" w:hAnsi="Verdana"/>
                <w:sz w:val="20"/>
                <w:szCs w:val="20"/>
              </w:rPr>
              <w:t>Loans</w:t>
            </w:r>
          </w:p>
        </w:tc>
        <w:tc>
          <w:tcPr>
            <w:tcW w:w="2953" w:type="dxa"/>
            <w:shd w:val="clear" w:color="auto" w:fill="auto"/>
          </w:tcPr>
          <w:p w:rsidR="00C513B7" w:rsidRPr="00A11546" w:rsidRDefault="00A35E98" w:rsidP="005B35A7">
            <w:pPr>
              <w:spacing w:after="0"/>
              <w:jc w:val="left"/>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A11546">
              <w:rPr>
                <w:rFonts w:ascii="Verdana" w:hAnsi="Verdana"/>
                <w:sz w:val="20"/>
                <w:szCs w:val="20"/>
              </w:rPr>
              <w:t>This Programme ensures support to students in MA programmes to finance their education abroad through cheap loans.</w:t>
            </w:r>
          </w:p>
        </w:tc>
        <w:tc>
          <w:tcPr>
            <w:tcW w:w="1293" w:type="dxa"/>
            <w:shd w:val="clear" w:color="auto" w:fill="auto"/>
          </w:tcPr>
          <w:p w:rsidR="00C513B7" w:rsidRPr="00A11546" w:rsidRDefault="00A35E98" w:rsidP="005B35A7">
            <w:pPr>
              <w:spacing w:after="0"/>
              <w:jc w:val="left"/>
              <w:cnfStyle w:val="000000010000" w:firstRow="0" w:lastRow="0" w:firstColumn="0" w:lastColumn="0" w:oddVBand="0" w:evenVBand="0" w:oddHBand="0" w:evenHBand="1" w:firstRowFirstColumn="0" w:firstRowLastColumn="0" w:lastRowFirstColumn="0" w:lastRowLastColumn="0"/>
              <w:rPr>
                <w:rFonts w:ascii="Verdana" w:hAnsi="Verdana"/>
                <w:sz w:val="20"/>
                <w:szCs w:val="20"/>
              </w:rPr>
            </w:pPr>
            <w:r w:rsidRPr="00A11546">
              <w:rPr>
                <w:rFonts w:ascii="Verdana" w:hAnsi="Verdana"/>
                <w:sz w:val="20"/>
                <w:szCs w:val="20"/>
              </w:rPr>
              <w:t>Planned budget EUR 880 million</w:t>
            </w:r>
          </w:p>
        </w:tc>
      </w:tr>
      <w:tr w:rsidR="00C513B7" w:rsidRPr="005B6074" w:rsidTr="00FA40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auto"/>
          </w:tcPr>
          <w:p w:rsidR="00C513B7" w:rsidRPr="00A11546" w:rsidRDefault="00A35E98" w:rsidP="005B35A7">
            <w:pPr>
              <w:spacing w:after="0"/>
              <w:rPr>
                <w:rFonts w:ascii="Verdana" w:hAnsi="Verdana"/>
                <w:sz w:val="20"/>
                <w:szCs w:val="20"/>
              </w:rPr>
            </w:pPr>
            <w:r w:rsidRPr="00A11546">
              <w:rPr>
                <w:rFonts w:ascii="Verdana" w:hAnsi="Verdana"/>
                <w:sz w:val="20"/>
                <w:szCs w:val="20"/>
              </w:rPr>
              <w:t>„Horizon 2020“</w:t>
            </w:r>
          </w:p>
        </w:tc>
        <w:tc>
          <w:tcPr>
            <w:tcW w:w="1417" w:type="dxa"/>
            <w:shd w:val="clear" w:color="auto" w:fill="auto"/>
          </w:tcPr>
          <w:p w:rsidR="00C513B7" w:rsidRPr="00A11546" w:rsidRDefault="00A35E98" w:rsidP="005B35A7">
            <w:pPr>
              <w:spacing w:after="0"/>
              <w:jc w:val="left"/>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A11546">
              <w:rPr>
                <w:rFonts w:ascii="Verdana" w:hAnsi="Verdana"/>
                <w:sz w:val="20"/>
                <w:szCs w:val="20"/>
              </w:rPr>
              <w:t>2014–2020</w:t>
            </w:r>
          </w:p>
        </w:tc>
        <w:tc>
          <w:tcPr>
            <w:tcW w:w="1867" w:type="dxa"/>
            <w:shd w:val="clear" w:color="auto" w:fill="auto"/>
          </w:tcPr>
          <w:p w:rsidR="00C513B7" w:rsidRPr="00A11546" w:rsidRDefault="00A35E98" w:rsidP="005B35A7">
            <w:pPr>
              <w:spacing w:after="0"/>
              <w:jc w:val="left"/>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A11546">
              <w:rPr>
                <w:rFonts w:ascii="Verdana" w:hAnsi="Verdana"/>
                <w:sz w:val="20"/>
                <w:szCs w:val="20"/>
              </w:rPr>
              <w:t>Loans and share holding</w:t>
            </w:r>
          </w:p>
        </w:tc>
        <w:tc>
          <w:tcPr>
            <w:tcW w:w="2953" w:type="dxa"/>
            <w:shd w:val="clear" w:color="auto" w:fill="auto"/>
          </w:tcPr>
          <w:p w:rsidR="00C513B7" w:rsidRPr="00A11546" w:rsidRDefault="00A35E98" w:rsidP="005B35A7">
            <w:pPr>
              <w:spacing w:after="0"/>
              <w:jc w:val="left"/>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r w:rsidRPr="00A11546">
              <w:rPr>
                <w:rFonts w:ascii="Verdana" w:hAnsi="Verdana"/>
                <w:sz w:val="20"/>
                <w:szCs w:val="20"/>
              </w:rPr>
              <w:t>This programme uses debt and shareholding, the aim of which is to support SMEs, start-ups with small or medium capitalization, as well as universities participating in research and development and innovation activities.</w:t>
            </w:r>
          </w:p>
        </w:tc>
        <w:tc>
          <w:tcPr>
            <w:tcW w:w="1293" w:type="dxa"/>
            <w:shd w:val="clear" w:color="auto" w:fill="auto"/>
          </w:tcPr>
          <w:p w:rsidR="00C513B7" w:rsidRPr="00A11546" w:rsidRDefault="00C513B7" w:rsidP="005B35A7">
            <w:pPr>
              <w:spacing w:after="0"/>
              <w:jc w:val="left"/>
              <w:cnfStyle w:val="000000100000" w:firstRow="0" w:lastRow="0" w:firstColumn="0" w:lastColumn="0" w:oddVBand="0" w:evenVBand="0" w:oddHBand="1" w:evenHBand="0" w:firstRowFirstColumn="0" w:firstRowLastColumn="0" w:lastRowFirstColumn="0" w:lastRowLastColumn="0"/>
              <w:rPr>
                <w:rFonts w:ascii="Verdana" w:hAnsi="Verdana"/>
                <w:sz w:val="20"/>
                <w:szCs w:val="20"/>
              </w:rPr>
            </w:pPr>
          </w:p>
        </w:tc>
      </w:tr>
    </w:tbl>
    <w:p w:rsidR="00A511E7" w:rsidRPr="005B6074" w:rsidRDefault="00A35E98" w:rsidP="005B6074">
      <w:pPr>
        <w:rPr>
          <w:rFonts w:ascii="Verdana" w:hAnsi="Verdana"/>
          <w:i/>
          <w:sz w:val="16"/>
          <w:szCs w:val="16"/>
        </w:rPr>
      </w:pPr>
      <w:r w:rsidRPr="005B6074">
        <w:rPr>
          <w:rFonts w:ascii="Verdana" w:eastAsia="Times New Roman" w:hAnsi="Verdana"/>
          <w:bCs/>
          <w:i/>
          <w:color w:val="000000"/>
          <w:sz w:val="16"/>
          <w:szCs w:val="16"/>
          <w:lang w:eastAsia="bg-BG"/>
        </w:rPr>
        <w:t xml:space="preserve">Source: </w:t>
      </w:r>
      <w:hyperlink r:id="rId42" w:history="1">
        <w:r w:rsidRPr="005B6074">
          <w:rPr>
            <w:rStyle w:val="Hyperlink"/>
            <w:rFonts w:ascii="Verdana" w:hAnsi="Verdana"/>
            <w:i/>
            <w:sz w:val="16"/>
            <w:szCs w:val="16"/>
          </w:rPr>
          <w:t>http://www.europarl.europa.eu/RegData/etudes/etudes/join/2013/495870/IPOL-REGI_ET%282013%29495870_EN.pdf</w:t>
        </w:r>
      </w:hyperlink>
    </w:p>
    <w:p w:rsidR="00C513B7" w:rsidRPr="005B6074" w:rsidRDefault="00A35E98" w:rsidP="00C513B7">
      <w:pPr>
        <w:widowControl w:val="0"/>
        <w:tabs>
          <w:tab w:val="left" w:pos="0"/>
          <w:tab w:val="right" w:pos="9214"/>
        </w:tabs>
        <w:spacing w:before="240" w:after="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The following studies were conducted in addition to the above mentioned analyses:</w:t>
      </w:r>
    </w:p>
    <w:p w:rsidR="00C513B7" w:rsidRPr="005B6074" w:rsidRDefault="00A35E98" w:rsidP="00181A22">
      <w:pPr>
        <w:pStyle w:val="ListParagraph"/>
        <w:widowControl w:val="0"/>
        <w:numPr>
          <w:ilvl w:val="0"/>
          <w:numId w:val="28"/>
        </w:numPr>
        <w:tabs>
          <w:tab w:val="left" w:pos="0"/>
          <w:tab w:val="right" w:pos="9214"/>
        </w:tabs>
        <w:spacing w:before="120" w:after="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The experience in the implementation of the Operational programmes from the previous programming period 2007-2013, where measures similar to the ones expected to be financed under </w:t>
      </w:r>
      <w:r w:rsidR="005B35A7">
        <w:rPr>
          <w:rFonts w:ascii="Verdana" w:eastAsia="Times New Roman" w:hAnsi="Verdana"/>
          <w:bCs/>
          <w:color w:val="000000"/>
          <w:sz w:val="20"/>
          <w:szCs w:val="20"/>
          <w:lang w:eastAsia="bg-BG"/>
        </w:rPr>
        <w:t>OPSESG</w:t>
      </w:r>
      <w:r w:rsidRPr="005B6074">
        <w:rPr>
          <w:rFonts w:ascii="Verdana" w:eastAsia="Times New Roman" w:hAnsi="Verdana"/>
          <w:bCs/>
          <w:color w:val="000000"/>
          <w:sz w:val="20"/>
          <w:szCs w:val="20"/>
          <w:lang w:eastAsia="bg-BG"/>
        </w:rPr>
        <w:t xml:space="preserve"> 2014-2020 were implemented;;</w:t>
      </w:r>
    </w:p>
    <w:p w:rsidR="00C513B7" w:rsidRPr="005B6074" w:rsidRDefault="00A35E98" w:rsidP="00181A22">
      <w:pPr>
        <w:pStyle w:val="ListParagraph"/>
        <w:widowControl w:val="0"/>
        <w:numPr>
          <w:ilvl w:val="0"/>
          <w:numId w:val="28"/>
        </w:numPr>
        <w:tabs>
          <w:tab w:val="left" w:pos="0"/>
          <w:tab w:val="right" w:pos="9214"/>
        </w:tabs>
        <w:spacing w:before="120" w:after="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Analysis of the information received at the consultations held in a focus group with representatives of the working group set up for the preparation of </w:t>
      </w:r>
      <w:r w:rsidR="005B35A7">
        <w:rPr>
          <w:rFonts w:ascii="Verdana" w:eastAsia="Times New Roman" w:hAnsi="Verdana"/>
          <w:bCs/>
          <w:color w:val="000000"/>
          <w:sz w:val="20"/>
          <w:szCs w:val="20"/>
          <w:lang w:eastAsia="bg-BG"/>
        </w:rPr>
        <w:t>OPSESG</w:t>
      </w:r>
      <w:r w:rsidRPr="005B6074">
        <w:rPr>
          <w:rFonts w:ascii="Verdana" w:eastAsia="Times New Roman" w:hAnsi="Verdana"/>
          <w:bCs/>
          <w:color w:val="000000"/>
          <w:sz w:val="20"/>
          <w:szCs w:val="20"/>
          <w:lang w:eastAsia="bg-BG"/>
        </w:rPr>
        <w:t xml:space="preserve"> 2014-2020 and from the on-line survey of potential beneficiaries of the programme.</w:t>
      </w:r>
    </w:p>
    <w:p w:rsidR="00C513B7" w:rsidRPr="005B6074" w:rsidRDefault="00A35E98" w:rsidP="00C513B7">
      <w:pPr>
        <w:spacing w:before="120" w:after="120"/>
        <w:jc w:val="both"/>
        <w:rPr>
          <w:rFonts w:ascii="Verdana" w:hAnsi="Verdana"/>
          <w:color w:val="548DD4" w:themeColor="text2" w:themeTint="99"/>
          <w:sz w:val="20"/>
          <w:szCs w:val="20"/>
        </w:rPr>
      </w:pPr>
      <w:r w:rsidRPr="005B6074">
        <w:rPr>
          <w:rFonts w:ascii="Verdana" w:eastAsia="Times New Roman" w:hAnsi="Verdana"/>
          <w:bCs/>
          <w:color w:val="548DD4" w:themeColor="text2" w:themeTint="99"/>
          <w:sz w:val="20"/>
          <w:szCs w:val="20"/>
          <w:lang w:eastAsia="bg-BG"/>
        </w:rPr>
        <w:t xml:space="preserve">Experience in the implementation of the Operational programmes from the previous programming period 2007-2013, where measures similar to the ones expected to be financed under </w:t>
      </w:r>
      <w:r w:rsidR="005B35A7">
        <w:rPr>
          <w:rFonts w:ascii="Verdana" w:eastAsia="Times New Roman" w:hAnsi="Verdana"/>
          <w:bCs/>
          <w:color w:val="548DD4" w:themeColor="text2" w:themeTint="99"/>
          <w:sz w:val="20"/>
          <w:szCs w:val="20"/>
          <w:lang w:eastAsia="bg-BG"/>
        </w:rPr>
        <w:t>OPSESG</w:t>
      </w:r>
      <w:r w:rsidRPr="005B6074">
        <w:rPr>
          <w:rFonts w:ascii="Verdana" w:eastAsia="Times New Roman" w:hAnsi="Verdana"/>
          <w:bCs/>
          <w:color w:val="548DD4" w:themeColor="text2" w:themeTint="99"/>
          <w:sz w:val="20"/>
          <w:szCs w:val="20"/>
          <w:lang w:eastAsia="bg-BG"/>
        </w:rPr>
        <w:t xml:space="preserve"> 2014-2020 were implemented</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 xml:space="preserve">Measures similar to the ones expected to be financed under </w:t>
      </w:r>
      <w:r w:rsidR="005B35A7">
        <w:rPr>
          <w:rFonts w:ascii="Verdana" w:hAnsi="Verdana"/>
          <w:sz w:val="20"/>
          <w:szCs w:val="20"/>
        </w:rPr>
        <w:t>OPSESG</w:t>
      </w:r>
      <w:r w:rsidRPr="005B6074">
        <w:rPr>
          <w:rFonts w:ascii="Verdana" w:hAnsi="Verdana"/>
          <w:sz w:val="20"/>
          <w:szCs w:val="20"/>
        </w:rPr>
        <w:t>, were supported under the following programmes:</w:t>
      </w:r>
    </w:p>
    <w:p w:rsidR="00C513B7" w:rsidRPr="005B6074" w:rsidRDefault="00A35E98" w:rsidP="00181A22">
      <w:pPr>
        <w:pStyle w:val="BodyText"/>
        <w:widowControl w:val="0"/>
        <w:numPr>
          <w:ilvl w:val="0"/>
          <w:numId w:val="31"/>
        </w:numPr>
        <w:spacing w:line="276" w:lineRule="auto"/>
        <w:jc w:val="both"/>
        <w:rPr>
          <w:rFonts w:ascii="Verdana" w:hAnsi="Verdana"/>
          <w:sz w:val="20"/>
          <w:szCs w:val="20"/>
          <w:lang w:eastAsia="en-US"/>
        </w:rPr>
      </w:pPr>
      <w:r w:rsidRPr="005B6074">
        <w:rPr>
          <w:rFonts w:ascii="Verdana" w:hAnsi="Verdana"/>
          <w:sz w:val="20"/>
          <w:szCs w:val="20"/>
          <w:lang w:eastAsia="en-US"/>
        </w:rPr>
        <w:t xml:space="preserve">OP Administrative Capacity 2007–2013 – one project for raising the administrative capacity of institutes from the Bulgarian Academy of Sciences was supported. The project included training of the staff of the institutes and on the whole was not connected with the measures to be supported under </w:t>
      </w:r>
      <w:r w:rsidR="005B35A7">
        <w:rPr>
          <w:rFonts w:ascii="Verdana" w:hAnsi="Verdana"/>
          <w:sz w:val="20"/>
          <w:szCs w:val="20"/>
          <w:lang w:eastAsia="en-US"/>
        </w:rPr>
        <w:t>OPSESG</w:t>
      </w:r>
      <w:r w:rsidRPr="005B6074">
        <w:rPr>
          <w:rFonts w:ascii="Verdana" w:hAnsi="Verdana"/>
          <w:sz w:val="20"/>
          <w:szCs w:val="20"/>
          <w:lang w:eastAsia="en-US"/>
        </w:rPr>
        <w:t xml:space="preserve"> 2014–2020;</w:t>
      </w:r>
    </w:p>
    <w:p w:rsidR="00C513B7" w:rsidRPr="005B6074" w:rsidRDefault="00A35E98" w:rsidP="00181A22">
      <w:pPr>
        <w:pStyle w:val="BodyText"/>
        <w:widowControl w:val="0"/>
        <w:numPr>
          <w:ilvl w:val="0"/>
          <w:numId w:val="31"/>
        </w:numPr>
        <w:spacing w:line="276" w:lineRule="auto"/>
        <w:jc w:val="both"/>
        <w:rPr>
          <w:rFonts w:ascii="Verdana" w:hAnsi="Verdana"/>
          <w:sz w:val="20"/>
          <w:szCs w:val="20"/>
          <w:lang w:eastAsia="en-US"/>
        </w:rPr>
      </w:pPr>
      <w:r w:rsidRPr="005B6074">
        <w:rPr>
          <w:rFonts w:ascii="Verdana" w:hAnsi="Verdana"/>
          <w:sz w:val="20"/>
          <w:szCs w:val="20"/>
          <w:lang w:eastAsia="en-US"/>
        </w:rPr>
        <w:t xml:space="preserve">OP Development of the Competitiveness of the Bulgarian Economy 2007–2013 – was focused on the development of innovations and ensuring better relations between science and business. The supported projects were aimed at introducing innovative products and measures for the improvement of the innovative infrastructure, including for creating offices for technology transfer, and the development of applied science research by the scientific research organizations. The interim evaluation of the implementation of the procedures of provision of grants, performed in 2011, focused mainly on the issues of administrative and </w:t>
      </w:r>
      <w:r w:rsidRPr="005B6074">
        <w:rPr>
          <w:rFonts w:ascii="Verdana" w:hAnsi="Verdana"/>
          <w:sz w:val="20"/>
          <w:szCs w:val="20"/>
          <w:lang w:eastAsia="en-US"/>
        </w:rPr>
        <w:lastRenderedPageBreak/>
        <w:t xml:space="preserve">managerial nature and the recommendations were entirely in these directions. This was partially due to the fact that the implementation was at a very early stage and there were no results from the activities yet. That is why the report did not contain recommendations that could be used for improving the programming of </w:t>
      </w:r>
      <w:r w:rsidR="005B35A7">
        <w:rPr>
          <w:rFonts w:ascii="Verdana" w:hAnsi="Verdana"/>
          <w:sz w:val="20"/>
          <w:szCs w:val="20"/>
          <w:lang w:eastAsia="en-US"/>
        </w:rPr>
        <w:t>OPSESG</w:t>
      </w:r>
      <w:r w:rsidRPr="005B6074">
        <w:rPr>
          <w:rFonts w:ascii="Verdana" w:hAnsi="Verdana"/>
          <w:sz w:val="20"/>
          <w:szCs w:val="20"/>
          <w:lang w:eastAsia="en-US"/>
        </w:rPr>
        <w:t xml:space="preserve"> 2014–2020.</w:t>
      </w:r>
    </w:p>
    <w:p w:rsidR="00C513B7" w:rsidRPr="005B6074" w:rsidRDefault="00A35E98" w:rsidP="00181A22">
      <w:pPr>
        <w:pStyle w:val="BodyText"/>
        <w:widowControl w:val="0"/>
        <w:numPr>
          <w:ilvl w:val="0"/>
          <w:numId w:val="31"/>
        </w:numPr>
        <w:spacing w:line="276" w:lineRule="auto"/>
        <w:jc w:val="both"/>
        <w:rPr>
          <w:rFonts w:ascii="Verdana" w:hAnsi="Verdana"/>
          <w:sz w:val="20"/>
          <w:szCs w:val="20"/>
          <w:lang w:eastAsia="en-US"/>
        </w:rPr>
      </w:pPr>
      <w:r w:rsidRPr="005B6074">
        <w:rPr>
          <w:rFonts w:ascii="Verdana" w:hAnsi="Verdana"/>
          <w:sz w:val="20"/>
          <w:szCs w:val="20"/>
          <w:lang w:eastAsia="en-US"/>
        </w:rPr>
        <w:t xml:space="preserve">Under PA1 OP Regional Development 2007–2013 rendered support for investments in the improvement of the infrastructure of higher schools, which improvement was mainly aimed at the energy efficiency of the buildings. That is the reason why this programme does not allow us to make use of the experience in programming </w:t>
      </w:r>
      <w:r w:rsidR="005B35A7">
        <w:rPr>
          <w:rFonts w:ascii="Verdana" w:hAnsi="Verdana"/>
          <w:sz w:val="20"/>
          <w:szCs w:val="20"/>
          <w:lang w:eastAsia="en-US"/>
        </w:rPr>
        <w:t>OPSESG</w:t>
      </w:r>
      <w:r w:rsidRPr="005B6074">
        <w:rPr>
          <w:rFonts w:ascii="Verdana" w:hAnsi="Verdana"/>
          <w:sz w:val="20"/>
          <w:szCs w:val="20"/>
          <w:lang w:eastAsia="en-US"/>
        </w:rPr>
        <w:t xml:space="preserve">. Through IP1 Operational Programme SESG will support the construction of scientific research infrastructure. </w:t>
      </w:r>
    </w:p>
    <w:p w:rsidR="00C513B7" w:rsidRPr="005B6074" w:rsidRDefault="00A35E98" w:rsidP="00181A22">
      <w:pPr>
        <w:pStyle w:val="BodyText"/>
        <w:widowControl w:val="0"/>
        <w:numPr>
          <w:ilvl w:val="0"/>
          <w:numId w:val="31"/>
        </w:numPr>
        <w:spacing w:line="276" w:lineRule="auto"/>
        <w:jc w:val="both"/>
        <w:rPr>
          <w:rFonts w:ascii="Verdana" w:hAnsi="Verdana"/>
          <w:sz w:val="20"/>
          <w:szCs w:val="20"/>
          <w:lang w:eastAsia="en-US"/>
        </w:rPr>
      </w:pPr>
      <w:r w:rsidRPr="005B6074">
        <w:rPr>
          <w:rFonts w:ascii="Verdana" w:hAnsi="Verdana"/>
          <w:sz w:val="20"/>
          <w:szCs w:val="20"/>
          <w:lang w:eastAsia="en-US"/>
        </w:rPr>
        <w:t>Under PA3 and PA4 the Operational Programme HRD 2007–2013 contained projects aimed at improving the quality of education (PA3) and the access to education (PA4).</w:t>
      </w:r>
    </w:p>
    <w:p w:rsidR="00C513B7" w:rsidRPr="005B6074" w:rsidRDefault="00A35E98" w:rsidP="00C513B7">
      <w:pPr>
        <w:pStyle w:val="BodyText"/>
        <w:tabs>
          <w:tab w:val="left" w:pos="0"/>
          <w:tab w:val="right" w:pos="9214"/>
        </w:tabs>
        <w:spacing w:after="0" w:line="276" w:lineRule="auto"/>
        <w:jc w:val="both"/>
        <w:rPr>
          <w:rFonts w:ascii="Verdana" w:hAnsi="Verdana"/>
          <w:sz w:val="20"/>
          <w:szCs w:val="20"/>
        </w:rPr>
      </w:pPr>
      <w:r w:rsidRPr="005B6074">
        <w:rPr>
          <w:rFonts w:ascii="Verdana" w:hAnsi="Verdana"/>
          <w:sz w:val="20"/>
          <w:szCs w:val="20"/>
        </w:rPr>
        <w:t>The implementation has been commented and reported in the annual progress reports and in the following performed evaluations and studies:</w:t>
      </w:r>
    </w:p>
    <w:p w:rsidR="00C513B7" w:rsidRPr="005B6074" w:rsidRDefault="00A35E98" w:rsidP="00181A22">
      <w:pPr>
        <w:pStyle w:val="BodyText"/>
        <w:numPr>
          <w:ilvl w:val="0"/>
          <w:numId w:val="29"/>
        </w:numPr>
        <w:tabs>
          <w:tab w:val="left" w:pos="0"/>
          <w:tab w:val="right" w:pos="9214"/>
        </w:tabs>
        <w:spacing w:after="0" w:line="276" w:lineRule="auto"/>
        <w:jc w:val="both"/>
        <w:rPr>
          <w:rFonts w:ascii="Verdana" w:hAnsi="Verdana"/>
          <w:i/>
          <w:sz w:val="20"/>
          <w:szCs w:val="20"/>
        </w:rPr>
      </w:pPr>
      <w:r w:rsidRPr="005B6074">
        <w:rPr>
          <w:rFonts w:ascii="Verdana" w:hAnsi="Verdana"/>
          <w:i/>
          <w:sz w:val="20"/>
          <w:szCs w:val="20"/>
        </w:rPr>
        <w:t>Special study aimed at establishing baseline data for the indicators contained in Chapter 6: Areas of Activities relating to the Roma Community of OP HRD, 2012, conducted by Prime Consulting.</w:t>
      </w:r>
    </w:p>
    <w:p w:rsidR="00C513B7" w:rsidRPr="005B6074" w:rsidRDefault="00A35E98" w:rsidP="00181A22">
      <w:pPr>
        <w:pStyle w:val="BodyText"/>
        <w:numPr>
          <w:ilvl w:val="0"/>
          <w:numId w:val="29"/>
        </w:numPr>
        <w:tabs>
          <w:tab w:val="left" w:pos="0"/>
          <w:tab w:val="right" w:pos="9214"/>
        </w:tabs>
        <w:spacing w:after="0" w:line="276" w:lineRule="auto"/>
        <w:rPr>
          <w:rFonts w:ascii="Verdana" w:hAnsi="Verdana"/>
          <w:i/>
          <w:sz w:val="20"/>
          <w:szCs w:val="20"/>
        </w:rPr>
      </w:pPr>
      <w:r w:rsidRPr="005B6074">
        <w:rPr>
          <w:rFonts w:ascii="Verdana" w:hAnsi="Verdana"/>
          <w:i/>
          <w:sz w:val="20"/>
          <w:szCs w:val="20"/>
        </w:rPr>
        <w:t xml:space="preserve">Evaluation of the progress achieved </w:t>
      </w:r>
      <w:r w:rsidR="00DF3377" w:rsidRPr="005B6074">
        <w:rPr>
          <w:rFonts w:ascii="Verdana" w:hAnsi="Verdana"/>
          <w:i/>
          <w:sz w:val="20"/>
          <w:szCs w:val="20"/>
        </w:rPr>
        <w:t xml:space="preserve">under </w:t>
      </w:r>
      <w:r w:rsidRPr="005B6074">
        <w:rPr>
          <w:rFonts w:ascii="Verdana" w:hAnsi="Verdana"/>
          <w:i/>
          <w:sz w:val="20"/>
          <w:szCs w:val="20"/>
        </w:rPr>
        <w:t>6 schemes of OP HRD 2007-2010, conducted by FIIAPP.</w:t>
      </w:r>
    </w:p>
    <w:p w:rsidR="00C513B7" w:rsidRPr="005B6074" w:rsidRDefault="00A35E98" w:rsidP="00181A22">
      <w:pPr>
        <w:pStyle w:val="BodyText"/>
        <w:numPr>
          <w:ilvl w:val="0"/>
          <w:numId w:val="29"/>
        </w:numPr>
        <w:tabs>
          <w:tab w:val="left" w:pos="0"/>
          <w:tab w:val="right" w:pos="9214"/>
        </w:tabs>
        <w:spacing w:after="0" w:line="276" w:lineRule="auto"/>
        <w:rPr>
          <w:rFonts w:ascii="Verdana" w:hAnsi="Verdana"/>
          <w:i/>
          <w:sz w:val="20"/>
          <w:szCs w:val="20"/>
        </w:rPr>
      </w:pPr>
      <w:r w:rsidRPr="005B6074">
        <w:rPr>
          <w:rFonts w:ascii="Verdana" w:hAnsi="Verdana"/>
          <w:i/>
          <w:sz w:val="20"/>
          <w:szCs w:val="20"/>
        </w:rPr>
        <w:t>Evaluation of the achievement of the strategic goal and specific objectives of OP HRD 2007-2010, 2013, conducted by Corporate and Public Management Consulting Group and Partners.</w:t>
      </w:r>
    </w:p>
    <w:p w:rsidR="00C513B7" w:rsidRPr="005B6074" w:rsidRDefault="00C513B7" w:rsidP="00C513B7">
      <w:pPr>
        <w:pStyle w:val="BodyText"/>
        <w:tabs>
          <w:tab w:val="left" w:pos="0"/>
          <w:tab w:val="right" w:pos="9214"/>
        </w:tabs>
        <w:spacing w:after="0" w:line="276" w:lineRule="auto"/>
        <w:rPr>
          <w:rFonts w:ascii="Verdana" w:hAnsi="Verdana"/>
          <w:i/>
          <w:sz w:val="20"/>
          <w:szCs w:val="20"/>
        </w:rPr>
      </w:pPr>
    </w:p>
    <w:p w:rsidR="00C513B7" w:rsidRDefault="00A35E98" w:rsidP="00C513B7">
      <w:pPr>
        <w:pStyle w:val="BodyText"/>
        <w:tabs>
          <w:tab w:val="left" w:pos="0"/>
          <w:tab w:val="right" w:pos="9214"/>
        </w:tabs>
        <w:spacing w:after="0" w:line="276" w:lineRule="auto"/>
        <w:jc w:val="both"/>
        <w:rPr>
          <w:rFonts w:ascii="Verdana" w:hAnsi="Verdana"/>
          <w:sz w:val="20"/>
          <w:szCs w:val="20"/>
        </w:rPr>
      </w:pPr>
      <w:r w:rsidRPr="005B6074">
        <w:rPr>
          <w:rFonts w:ascii="Verdana" w:hAnsi="Verdana"/>
          <w:sz w:val="20"/>
          <w:szCs w:val="20"/>
        </w:rPr>
        <w:t xml:space="preserve">The recommendations to the topics, which are in the scope of </w:t>
      </w:r>
      <w:r w:rsidR="005B35A7">
        <w:rPr>
          <w:rFonts w:ascii="Verdana" w:hAnsi="Verdana"/>
          <w:sz w:val="20"/>
          <w:szCs w:val="20"/>
        </w:rPr>
        <w:t>OPSESG</w:t>
      </w:r>
      <w:r w:rsidRPr="005B6074">
        <w:rPr>
          <w:rFonts w:ascii="Verdana" w:hAnsi="Verdana"/>
          <w:sz w:val="20"/>
          <w:szCs w:val="20"/>
        </w:rPr>
        <w:t xml:space="preserve"> 2014–2020, which are relevant to the programming of the programme, are commented in the table below:</w:t>
      </w:r>
    </w:p>
    <w:p w:rsidR="00FA40AA" w:rsidRPr="005B6074" w:rsidRDefault="00FA40AA" w:rsidP="00C513B7">
      <w:pPr>
        <w:pStyle w:val="BodyText"/>
        <w:tabs>
          <w:tab w:val="left" w:pos="0"/>
          <w:tab w:val="right" w:pos="9214"/>
        </w:tabs>
        <w:spacing w:after="0" w:line="276" w:lineRule="auto"/>
        <w:jc w:val="both"/>
        <w:rPr>
          <w:rFonts w:ascii="Verdana" w:hAnsi="Verdana"/>
          <w:sz w:val="20"/>
          <w:szCs w:val="20"/>
        </w:rPr>
      </w:pPr>
    </w:p>
    <w:p w:rsidR="00C513B7" w:rsidRPr="005B6074" w:rsidRDefault="00A35E98" w:rsidP="00FA40AA">
      <w:pPr>
        <w:pStyle w:val="Caption"/>
        <w:keepNext/>
        <w:spacing w:after="120"/>
        <w:rPr>
          <w:rFonts w:ascii="Verdana" w:hAnsi="Verdana"/>
          <w:color w:val="548DD4" w:themeColor="text2" w:themeTint="99"/>
        </w:rPr>
      </w:pPr>
      <w:bookmarkStart w:id="152" w:name="_Toc373747270"/>
      <w:bookmarkStart w:id="153" w:name="_Toc381712209"/>
      <w:bookmarkStart w:id="154" w:name="_Toc390257087"/>
      <w:bookmarkStart w:id="155" w:name="_Toc396225626"/>
      <w:r w:rsidRPr="005B6074">
        <w:rPr>
          <w:rFonts w:ascii="Verdana" w:hAnsi="Verdana"/>
          <w:color w:val="548DD4" w:themeColor="text2" w:themeTint="99"/>
        </w:rPr>
        <w:t xml:space="preserve">Table </w:t>
      </w:r>
      <w:r w:rsidRPr="005B6074">
        <w:rPr>
          <w:rFonts w:ascii="Verdana" w:hAnsi="Verdana"/>
          <w:color w:val="548DD4" w:themeColor="text2" w:themeTint="99"/>
        </w:rPr>
        <w:fldChar w:fldCharType="begin"/>
      </w:r>
      <w:r w:rsidRPr="005B6074">
        <w:rPr>
          <w:rFonts w:ascii="Verdana" w:hAnsi="Verdana"/>
          <w:color w:val="548DD4" w:themeColor="text2" w:themeTint="99"/>
        </w:rPr>
        <w:instrText xml:space="preserve"> SEQ таблица \* ARABIC </w:instrText>
      </w:r>
      <w:r w:rsidRPr="005B6074">
        <w:rPr>
          <w:rFonts w:ascii="Verdana" w:hAnsi="Verdana"/>
          <w:color w:val="548DD4" w:themeColor="text2" w:themeTint="99"/>
        </w:rPr>
        <w:fldChar w:fldCharType="separate"/>
      </w:r>
      <w:r w:rsidR="009330F5">
        <w:rPr>
          <w:rFonts w:ascii="Verdana" w:hAnsi="Verdana"/>
          <w:noProof/>
          <w:color w:val="548DD4" w:themeColor="text2" w:themeTint="99"/>
        </w:rPr>
        <w:t>31</w:t>
      </w:r>
      <w:r w:rsidRPr="005B6074">
        <w:rPr>
          <w:rFonts w:ascii="Verdana" w:hAnsi="Verdana"/>
          <w:color w:val="548DD4" w:themeColor="text2" w:themeTint="99"/>
        </w:rPr>
        <w:fldChar w:fldCharType="end"/>
      </w:r>
      <w:r w:rsidRPr="005B6074">
        <w:rPr>
          <w:rFonts w:ascii="Verdana" w:hAnsi="Verdana"/>
          <w:color w:val="548DD4" w:themeColor="text2" w:themeTint="99"/>
        </w:rPr>
        <w:t>. Recommendations on the topics which are in the scope of OPSESG 2014–2020</w:t>
      </w:r>
      <w:bookmarkEnd w:id="152"/>
      <w:bookmarkEnd w:id="153"/>
      <w:bookmarkEnd w:id="154"/>
      <w:bookmarkEnd w:id="155"/>
    </w:p>
    <w:tbl>
      <w:tblPr>
        <w:tblStyle w:val="TableGrid"/>
        <w:tblW w:w="9090" w:type="dxa"/>
        <w:tblInd w:w="108"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4860"/>
        <w:gridCol w:w="4230"/>
      </w:tblGrid>
      <w:tr w:rsidR="0015066D" w:rsidRPr="00A11546" w:rsidTr="0015066D">
        <w:tc>
          <w:tcPr>
            <w:tcW w:w="4860" w:type="dxa"/>
            <w:shd w:val="clear" w:color="auto" w:fill="548DD4" w:themeFill="text2" w:themeFillTint="99"/>
            <w:vAlign w:val="center"/>
          </w:tcPr>
          <w:p w:rsidR="0015066D" w:rsidRPr="00A11546" w:rsidRDefault="0015066D" w:rsidP="00A11546">
            <w:pPr>
              <w:spacing w:before="60" w:after="60"/>
              <w:jc w:val="center"/>
              <w:rPr>
                <w:rFonts w:ascii="Verdana" w:hAnsi="Verdana"/>
                <w:b/>
                <w:color w:val="FFFFFF" w:themeColor="background1"/>
                <w:sz w:val="18"/>
                <w:szCs w:val="18"/>
              </w:rPr>
            </w:pPr>
            <w:r w:rsidRPr="00A11546">
              <w:rPr>
                <w:rFonts w:ascii="Verdana" w:hAnsi="Verdana"/>
                <w:b/>
                <w:color w:val="FFFFFF" w:themeColor="background1"/>
                <w:sz w:val="18"/>
                <w:szCs w:val="18"/>
              </w:rPr>
              <w:t>Recommendations</w:t>
            </w:r>
          </w:p>
        </w:tc>
        <w:tc>
          <w:tcPr>
            <w:tcW w:w="4230" w:type="dxa"/>
            <w:shd w:val="clear" w:color="auto" w:fill="548DD4" w:themeFill="text2" w:themeFillTint="99"/>
            <w:vAlign w:val="center"/>
          </w:tcPr>
          <w:p w:rsidR="0015066D" w:rsidRPr="00A11546" w:rsidRDefault="0015066D" w:rsidP="005B35A7">
            <w:pPr>
              <w:spacing w:before="60" w:after="60"/>
              <w:jc w:val="center"/>
              <w:rPr>
                <w:rFonts w:ascii="Verdana" w:hAnsi="Verdana"/>
                <w:b/>
                <w:color w:val="FFFFFF" w:themeColor="background1"/>
                <w:sz w:val="18"/>
                <w:szCs w:val="18"/>
              </w:rPr>
            </w:pPr>
            <w:r w:rsidRPr="00A11546">
              <w:rPr>
                <w:rFonts w:ascii="Verdana" w:hAnsi="Verdana"/>
                <w:b/>
                <w:color w:val="FFFFFF" w:themeColor="background1"/>
                <w:sz w:val="18"/>
                <w:szCs w:val="18"/>
              </w:rPr>
              <w:t>Comments and application in OPSESG 2014–2020</w:t>
            </w:r>
          </w:p>
        </w:tc>
      </w:tr>
      <w:tr w:rsidR="0015066D" w:rsidRPr="00A11546" w:rsidTr="0015066D">
        <w:tc>
          <w:tcPr>
            <w:tcW w:w="9090" w:type="dxa"/>
            <w:gridSpan w:val="2"/>
            <w:shd w:val="clear" w:color="auto" w:fill="FABF8F" w:themeFill="accent6" w:themeFillTint="99"/>
          </w:tcPr>
          <w:p w:rsidR="0015066D" w:rsidRPr="00A11546" w:rsidRDefault="0015066D" w:rsidP="00A11546">
            <w:pPr>
              <w:spacing w:before="60" w:after="60"/>
              <w:rPr>
                <w:rFonts w:ascii="Verdana" w:hAnsi="Verdana"/>
                <w:sz w:val="18"/>
                <w:szCs w:val="18"/>
              </w:rPr>
            </w:pPr>
            <w:r w:rsidRPr="00A11546">
              <w:rPr>
                <w:rFonts w:ascii="Verdana" w:hAnsi="Verdana"/>
                <w:i/>
                <w:sz w:val="18"/>
                <w:szCs w:val="18"/>
              </w:rPr>
              <w:t>Evaluation of the progress made under 6 schemes of OPHRD 2007-2010</w:t>
            </w:r>
          </w:p>
        </w:tc>
      </w:tr>
      <w:tr w:rsidR="0015066D" w:rsidRPr="005B6074" w:rsidTr="0015066D">
        <w:trPr>
          <w:trHeight w:val="1399"/>
        </w:trPr>
        <w:tc>
          <w:tcPr>
            <w:tcW w:w="4860" w:type="dxa"/>
          </w:tcPr>
          <w:p w:rsidR="0015066D" w:rsidRPr="00A11546" w:rsidRDefault="0015066D" w:rsidP="00A11546">
            <w:pPr>
              <w:spacing w:before="60" w:after="60"/>
              <w:rPr>
                <w:rFonts w:ascii="Verdana" w:hAnsi="Verdana"/>
                <w:sz w:val="18"/>
                <w:szCs w:val="18"/>
              </w:rPr>
            </w:pPr>
            <w:r w:rsidRPr="00A11546">
              <w:rPr>
                <w:rFonts w:ascii="Verdana" w:hAnsi="Verdana"/>
                <w:sz w:val="18"/>
                <w:szCs w:val="18"/>
              </w:rPr>
              <w:t>A number of recommendations were made, referring to the administrative capacity for implementation and reduction of the administrative burden, including for simplification of procedures, electronic documents, for development of clear guidelines and rules;</w:t>
            </w:r>
          </w:p>
        </w:tc>
        <w:tc>
          <w:tcPr>
            <w:tcW w:w="423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The recommendations are applicable with a view to raising the capacity for programme management and implementation.</w:t>
            </w:r>
          </w:p>
        </w:tc>
      </w:tr>
      <w:tr w:rsidR="0015066D" w:rsidRPr="005B6074" w:rsidTr="0015066D">
        <w:tc>
          <w:tcPr>
            <w:tcW w:w="4860" w:type="dxa"/>
          </w:tcPr>
          <w:p w:rsidR="0015066D" w:rsidRPr="00A11546" w:rsidRDefault="0015066D" w:rsidP="00A11546">
            <w:pPr>
              <w:spacing w:before="60" w:after="60"/>
              <w:rPr>
                <w:rFonts w:ascii="Verdana" w:hAnsi="Verdana"/>
                <w:sz w:val="18"/>
                <w:szCs w:val="18"/>
              </w:rPr>
            </w:pPr>
            <w:r w:rsidRPr="00A11546">
              <w:rPr>
                <w:rFonts w:ascii="Verdana" w:hAnsi="Verdana"/>
                <w:sz w:val="18"/>
                <w:szCs w:val="18"/>
              </w:rPr>
              <w:t>The specificity of the scientific areas should be taken into account and scientific experiments with technical applicability should be encouraged to a greater extent;</w:t>
            </w:r>
          </w:p>
        </w:tc>
        <w:tc>
          <w:tcPr>
            <w:tcW w:w="423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 xml:space="preserve">It is relevant and was taken into account in </w:t>
            </w:r>
            <w:r w:rsidR="005B35A7">
              <w:rPr>
                <w:rFonts w:ascii="Verdana" w:hAnsi="Verdana"/>
                <w:color w:val="000000"/>
                <w:sz w:val="18"/>
                <w:szCs w:val="18"/>
              </w:rPr>
              <w:t>OPSESG</w:t>
            </w:r>
            <w:r w:rsidRPr="00A11546">
              <w:rPr>
                <w:rFonts w:ascii="Verdana" w:hAnsi="Verdana"/>
                <w:color w:val="000000"/>
                <w:sz w:val="18"/>
                <w:szCs w:val="18"/>
              </w:rPr>
              <w:t xml:space="preserve"> by offering support that encourages applied science research.</w:t>
            </w:r>
          </w:p>
        </w:tc>
      </w:tr>
      <w:tr w:rsidR="0015066D" w:rsidRPr="005B6074" w:rsidTr="0015066D">
        <w:tc>
          <w:tcPr>
            <w:tcW w:w="4860" w:type="dxa"/>
          </w:tcPr>
          <w:p w:rsidR="0015066D" w:rsidRPr="00A11546" w:rsidRDefault="0015066D" w:rsidP="00A11546">
            <w:pPr>
              <w:spacing w:before="60" w:after="60"/>
              <w:rPr>
                <w:rFonts w:ascii="Verdana" w:hAnsi="Verdana"/>
                <w:sz w:val="18"/>
                <w:szCs w:val="18"/>
              </w:rPr>
            </w:pPr>
            <w:r w:rsidRPr="00A11546">
              <w:rPr>
                <w:rFonts w:ascii="Verdana" w:hAnsi="Verdana"/>
                <w:sz w:val="18"/>
                <w:szCs w:val="18"/>
              </w:rPr>
              <w:lastRenderedPageBreak/>
              <w:t>The programme should continue encouraging the involvement of PhD students in scientific research;</w:t>
            </w:r>
          </w:p>
        </w:tc>
        <w:tc>
          <w:tcPr>
            <w:tcW w:w="423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It is relevant. The January 2014 draft of the programme does not contain clearly defined activities encouraging the involvement of PhD students in scientific research.</w:t>
            </w:r>
          </w:p>
        </w:tc>
      </w:tr>
      <w:tr w:rsidR="0015066D" w:rsidRPr="005B6074" w:rsidTr="0015066D">
        <w:tc>
          <w:tcPr>
            <w:tcW w:w="4860" w:type="dxa"/>
          </w:tcPr>
          <w:p w:rsidR="0015066D" w:rsidRPr="00A11546" w:rsidRDefault="0015066D" w:rsidP="00A11546">
            <w:pPr>
              <w:spacing w:before="60" w:after="60"/>
              <w:rPr>
                <w:rFonts w:ascii="Verdana" w:hAnsi="Verdana"/>
                <w:sz w:val="18"/>
                <w:szCs w:val="18"/>
              </w:rPr>
            </w:pPr>
            <w:r w:rsidRPr="00A11546">
              <w:rPr>
                <w:rFonts w:ascii="Verdana" w:hAnsi="Verdana"/>
                <w:sz w:val="18"/>
                <w:szCs w:val="18"/>
              </w:rPr>
              <w:t>The transfer of knowledge and skills should continue and research tasks performed jointly by Bulgarian and international research centres, as well as the participation in international conferences should be supported.</w:t>
            </w:r>
          </w:p>
        </w:tc>
        <w:tc>
          <w:tcPr>
            <w:tcW w:w="423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 xml:space="preserve">It is relevant and is reflected in the support foreseen under </w:t>
            </w:r>
            <w:r w:rsidR="005B35A7">
              <w:rPr>
                <w:rFonts w:ascii="Verdana" w:hAnsi="Verdana"/>
                <w:color w:val="000000"/>
                <w:sz w:val="18"/>
                <w:szCs w:val="18"/>
              </w:rPr>
              <w:t>OPSESG</w:t>
            </w:r>
            <w:r w:rsidRPr="00A11546">
              <w:rPr>
                <w:rFonts w:ascii="Verdana" w:hAnsi="Verdana"/>
                <w:color w:val="000000"/>
                <w:sz w:val="18"/>
                <w:szCs w:val="18"/>
              </w:rPr>
              <w:t>.</w:t>
            </w:r>
          </w:p>
        </w:tc>
      </w:tr>
      <w:tr w:rsidR="0015066D" w:rsidRPr="005B6074" w:rsidTr="0015066D">
        <w:tc>
          <w:tcPr>
            <w:tcW w:w="4860" w:type="dxa"/>
          </w:tcPr>
          <w:p w:rsidR="0015066D" w:rsidRPr="00A11546" w:rsidRDefault="0015066D" w:rsidP="00A11546">
            <w:pPr>
              <w:spacing w:before="60" w:after="60"/>
              <w:rPr>
                <w:rFonts w:ascii="Verdana" w:hAnsi="Verdana"/>
                <w:sz w:val="18"/>
                <w:szCs w:val="18"/>
              </w:rPr>
            </w:pPr>
            <w:r w:rsidRPr="00A11546">
              <w:rPr>
                <w:rFonts w:ascii="Verdana" w:hAnsi="Verdana"/>
                <w:sz w:val="18"/>
                <w:szCs w:val="18"/>
              </w:rPr>
              <w:t>Needs assessments should be conducted with a view to including the children and students from ethnic minorities in the educational process in the settlements where they live and with view to integrating children at the pre-school age.</w:t>
            </w:r>
          </w:p>
        </w:tc>
        <w:tc>
          <w:tcPr>
            <w:tcW w:w="423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 xml:space="preserve">It is relevant. </w:t>
            </w:r>
            <w:r w:rsidR="005B35A7">
              <w:rPr>
                <w:rFonts w:ascii="Verdana" w:hAnsi="Verdana"/>
                <w:color w:val="000000"/>
                <w:sz w:val="18"/>
                <w:szCs w:val="18"/>
              </w:rPr>
              <w:t>OPSESG</w:t>
            </w:r>
            <w:r w:rsidRPr="00A11546">
              <w:rPr>
                <w:rFonts w:ascii="Verdana" w:hAnsi="Verdana"/>
                <w:color w:val="000000"/>
                <w:sz w:val="18"/>
                <w:szCs w:val="18"/>
              </w:rPr>
              <w:t xml:space="preserve"> foresees measures for social integration of children from the earliest pre-school age. The Programmes make no analysis of needs by settlements and regions.</w:t>
            </w:r>
          </w:p>
        </w:tc>
      </w:tr>
      <w:tr w:rsidR="0015066D" w:rsidRPr="00A11546" w:rsidTr="0015066D">
        <w:tc>
          <w:tcPr>
            <w:tcW w:w="9090" w:type="dxa"/>
            <w:gridSpan w:val="2"/>
            <w:shd w:val="clear" w:color="auto" w:fill="FABF8F" w:themeFill="accent6" w:themeFillTint="99"/>
          </w:tcPr>
          <w:p w:rsidR="0015066D" w:rsidRPr="00A11546" w:rsidRDefault="0015066D" w:rsidP="00A11546">
            <w:pPr>
              <w:spacing w:before="60" w:after="60"/>
              <w:rPr>
                <w:rFonts w:ascii="Verdana" w:hAnsi="Verdana"/>
                <w:i/>
                <w:sz w:val="18"/>
                <w:szCs w:val="18"/>
              </w:rPr>
            </w:pPr>
            <w:r w:rsidRPr="00A11546">
              <w:rPr>
                <w:rFonts w:ascii="Verdana" w:hAnsi="Verdana"/>
                <w:i/>
                <w:sz w:val="18"/>
                <w:szCs w:val="18"/>
              </w:rPr>
              <w:t xml:space="preserve">Evaluation of the achievement of the strategic goal and specific objectives of </w:t>
            </w:r>
            <w:r w:rsidR="005B35A7">
              <w:rPr>
                <w:rFonts w:ascii="Verdana" w:hAnsi="Verdana"/>
                <w:i/>
                <w:sz w:val="18"/>
                <w:szCs w:val="18"/>
              </w:rPr>
              <w:t>OPSESG</w:t>
            </w:r>
            <w:r w:rsidRPr="00A11546">
              <w:rPr>
                <w:rFonts w:ascii="Verdana" w:hAnsi="Verdana"/>
                <w:i/>
                <w:sz w:val="18"/>
                <w:szCs w:val="18"/>
              </w:rPr>
              <w:t xml:space="preserve"> 2007-2010 </w:t>
            </w:r>
          </w:p>
        </w:tc>
      </w:tr>
      <w:tr w:rsidR="0015066D" w:rsidRPr="005B6074" w:rsidTr="0015066D">
        <w:tc>
          <w:tcPr>
            <w:tcW w:w="4860" w:type="dxa"/>
          </w:tcPr>
          <w:p w:rsidR="0015066D" w:rsidRPr="00A11546" w:rsidRDefault="0015066D" w:rsidP="00A11546">
            <w:pPr>
              <w:spacing w:before="60" w:after="60"/>
              <w:rPr>
                <w:rFonts w:ascii="Verdana" w:hAnsi="Verdana"/>
                <w:color w:val="000000"/>
                <w:sz w:val="18"/>
                <w:szCs w:val="18"/>
              </w:rPr>
            </w:pPr>
            <w:r w:rsidRPr="00A11546">
              <w:rPr>
                <w:rFonts w:ascii="Verdana" w:hAnsi="Verdana"/>
                <w:sz w:val="18"/>
                <w:szCs w:val="18"/>
              </w:rPr>
              <w:t>Introduction of innovations in the qualification and education of the teachers, career development for teachers. The training must be bound with teacher career development and with the system for human resources management in education.</w:t>
            </w:r>
          </w:p>
        </w:tc>
        <w:tc>
          <w:tcPr>
            <w:tcW w:w="4230" w:type="dxa"/>
          </w:tcPr>
          <w:p w:rsidR="0015066D" w:rsidRPr="00A11546" w:rsidRDefault="005B35A7" w:rsidP="00A11546">
            <w:pPr>
              <w:spacing w:before="60" w:after="60"/>
              <w:rPr>
                <w:rFonts w:ascii="Verdana" w:hAnsi="Verdana"/>
                <w:color w:val="000000"/>
                <w:sz w:val="18"/>
                <w:szCs w:val="18"/>
              </w:rPr>
            </w:pPr>
            <w:r>
              <w:rPr>
                <w:rFonts w:ascii="Verdana" w:hAnsi="Verdana"/>
                <w:color w:val="000000"/>
                <w:sz w:val="18"/>
                <w:szCs w:val="18"/>
              </w:rPr>
              <w:t>OPSESG</w:t>
            </w:r>
            <w:r w:rsidR="0015066D" w:rsidRPr="00A11546">
              <w:rPr>
                <w:rFonts w:ascii="Verdana" w:hAnsi="Verdana"/>
                <w:color w:val="000000"/>
                <w:sz w:val="18"/>
                <w:szCs w:val="18"/>
              </w:rPr>
              <w:t xml:space="preserve"> contains activities for qualification and career development of the people employed in education.</w:t>
            </w:r>
          </w:p>
        </w:tc>
      </w:tr>
      <w:tr w:rsidR="0015066D" w:rsidRPr="005B6074" w:rsidTr="0015066D">
        <w:tc>
          <w:tcPr>
            <w:tcW w:w="486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Career orientation of the students must be supported.</w:t>
            </w:r>
          </w:p>
        </w:tc>
        <w:tc>
          <w:tcPr>
            <w:tcW w:w="423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The recommendation is relevant and it will contribute to the better career orientation of the students to the opportunities at the labour market according to their personal preferences and attitudes. The support for career development of the students is foreseen in IP3 of PA2 of the Programme.</w:t>
            </w:r>
          </w:p>
        </w:tc>
      </w:tr>
      <w:tr w:rsidR="0015066D" w:rsidRPr="005B6074" w:rsidTr="0015066D">
        <w:tc>
          <w:tcPr>
            <w:tcW w:w="486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Increasing the attractiveness of RIA and improving the conditions for the development of such activities.</w:t>
            </w:r>
          </w:p>
        </w:tc>
        <w:tc>
          <w:tcPr>
            <w:tcW w:w="423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It is relevant and has been reflected through the support under PA1 of the Programme.</w:t>
            </w:r>
          </w:p>
        </w:tc>
      </w:tr>
      <w:tr w:rsidR="0015066D" w:rsidRPr="005B6074" w:rsidTr="0015066D">
        <w:tc>
          <w:tcPr>
            <w:tcW w:w="486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Increasing the concentration and capacity for R&amp;D outside Sofia.</w:t>
            </w:r>
          </w:p>
        </w:tc>
        <w:tc>
          <w:tcPr>
            <w:tcW w:w="423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 xml:space="preserve">It is relevant in view of the objectives for balanced territorial development. In the draft of May 2014 </w:t>
            </w:r>
            <w:r w:rsidR="005B35A7">
              <w:rPr>
                <w:rFonts w:ascii="Verdana" w:hAnsi="Verdana"/>
                <w:color w:val="000000"/>
                <w:sz w:val="18"/>
                <w:szCs w:val="18"/>
              </w:rPr>
              <w:t>OPSESG</w:t>
            </w:r>
            <w:r w:rsidRPr="00A11546">
              <w:rPr>
                <w:rFonts w:ascii="Verdana" w:hAnsi="Verdana"/>
                <w:color w:val="000000"/>
                <w:sz w:val="18"/>
                <w:szCs w:val="18"/>
              </w:rPr>
              <w:t xml:space="preserve"> contains analyses in this aspect.</w:t>
            </w:r>
          </w:p>
        </w:tc>
      </w:tr>
      <w:tr w:rsidR="0015066D" w:rsidRPr="005B6074" w:rsidTr="0015066D">
        <w:tc>
          <w:tcPr>
            <w:tcW w:w="4860" w:type="dxa"/>
          </w:tcPr>
          <w:p w:rsidR="0015066D" w:rsidRPr="00A11546" w:rsidRDefault="0015066D" w:rsidP="00A11546">
            <w:pPr>
              <w:spacing w:before="60" w:after="60"/>
              <w:rPr>
                <w:rFonts w:ascii="Verdana" w:hAnsi="Verdana"/>
                <w:sz w:val="18"/>
                <w:szCs w:val="18"/>
              </w:rPr>
            </w:pPr>
            <w:r w:rsidRPr="00A11546">
              <w:rPr>
                <w:rFonts w:ascii="Verdana" w:hAnsi="Verdana"/>
                <w:color w:val="000000"/>
                <w:sz w:val="18"/>
                <w:szCs w:val="18"/>
              </w:rPr>
              <w:t>Validation of the informal education and training.</w:t>
            </w:r>
          </w:p>
        </w:tc>
        <w:tc>
          <w:tcPr>
            <w:tcW w:w="423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 xml:space="preserve">It is relevant because the opportunities for acquiring qualification and education will be increased. It is foreseen in </w:t>
            </w:r>
            <w:r w:rsidR="005B35A7">
              <w:rPr>
                <w:rFonts w:ascii="Verdana" w:hAnsi="Verdana"/>
                <w:color w:val="000000"/>
                <w:sz w:val="18"/>
                <w:szCs w:val="18"/>
              </w:rPr>
              <w:t>OPSESG</w:t>
            </w:r>
            <w:r w:rsidRPr="00A11546">
              <w:rPr>
                <w:rFonts w:ascii="Verdana" w:hAnsi="Verdana"/>
                <w:color w:val="000000"/>
                <w:sz w:val="18"/>
                <w:szCs w:val="18"/>
              </w:rPr>
              <w:t>.</w:t>
            </w:r>
          </w:p>
        </w:tc>
      </w:tr>
      <w:tr w:rsidR="0015066D" w:rsidRPr="005B6074" w:rsidTr="0015066D">
        <w:tc>
          <w:tcPr>
            <w:tcW w:w="4860" w:type="dxa"/>
          </w:tcPr>
          <w:p w:rsidR="0015066D" w:rsidRPr="00A11546" w:rsidRDefault="0015066D" w:rsidP="00A11546">
            <w:pPr>
              <w:spacing w:before="60" w:after="60"/>
              <w:rPr>
                <w:rFonts w:ascii="Verdana" w:hAnsi="Verdana"/>
                <w:sz w:val="18"/>
                <w:szCs w:val="18"/>
              </w:rPr>
            </w:pPr>
            <w:r w:rsidRPr="00A11546">
              <w:rPr>
                <w:rFonts w:ascii="Verdana" w:hAnsi="Verdana"/>
                <w:sz w:val="18"/>
                <w:szCs w:val="18"/>
              </w:rPr>
              <w:t>Providing support to the education and additional classes in Bulgarian language for children from the minority groups. This will support their integration in the receiving schools. Besides, the involvement of parents and the work of specialists with them and their children will further step up their successful integration, the adequacy and quality of the educational services.</w:t>
            </w:r>
          </w:p>
        </w:tc>
        <w:tc>
          <w:tcPr>
            <w:tcW w:w="423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 xml:space="preserve">It is relevant. </w:t>
            </w:r>
            <w:r w:rsidR="005B35A7">
              <w:rPr>
                <w:rFonts w:ascii="Verdana" w:hAnsi="Verdana"/>
                <w:color w:val="000000"/>
                <w:sz w:val="18"/>
                <w:szCs w:val="18"/>
              </w:rPr>
              <w:t>OPSESG</w:t>
            </w:r>
            <w:r w:rsidRPr="00A11546">
              <w:rPr>
                <w:rFonts w:ascii="Verdana" w:hAnsi="Verdana"/>
                <w:color w:val="000000"/>
                <w:sz w:val="18"/>
                <w:szCs w:val="18"/>
              </w:rPr>
              <w:t xml:space="preserve"> foresees support for additional classes in Bulgarian language as well as measures encouraging the participation of parents in the educational process.</w:t>
            </w:r>
          </w:p>
        </w:tc>
      </w:tr>
      <w:tr w:rsidR="0015066D" w:rsidRPr="005B6074" w:rsidTr="0015066D">
        <w:tc>
          <w:tcPr>
            <w:tcW w:w="4860" w:type="dxa"/>
          </w:tcPr>
          <w:p w:rsidR="0015066D" w:rsidRPr="00A11546" w:rsidRDefault="0015066D" w:rsidP="00A11546">
            <w:pPr>
              <w:spacing w:before="60" w:after="60"/>
              <w:rPr>
                <w:rFonts w:ascii="Verdana" w:hAnsi="Verdana"/>
                <w:color w:val="000000"/>
                <w:sz w:val="18"/>
                <w:szCs w:val="18"/>
              </w:rPr>
            </w:pPr>
            <w:r w:rsidRPr="00A11546">
              <w:rPr>
                <w:rFonts w:ascii="Verdana" w:hAnsi="Verdana"/>
                <w:sz w:val="18"/>
                <w:szCs w:val="18"/>
              </w:rPr>
              <w:lastRenderedPageBreak/>
              <w:t>The support to the building of capacity of the teachers, instructors, school managers and staff must continue, systems must be put in place to ensure quality control, the content of education must be improved, by applying ICT, the skills for creative work must be enhanced and the struggle against gender stereotypes in education must continue.</w:t>
            </w:r>
          </w:p>
        </w:tc>
        <w:tc>
          <w:tcPr>
            <w:tcW w:w="423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 xml:space="preserve">The problems specified in the recommendation have been taken into account in the process of preparation of </w:t>
            </w:r>
            <w:r w:rsidR="005B35A7">
              <w:rPr>
                <w:rFonts w:ascii="Verdana" w:hAnsi="Verdana"/>
                <w:color w:val="000000"/>
                <w:sz w:val="18"/>
                <w:szCs w:val="18"/>
              </w:rPr>
              <w:t>OPSESG</w:t>
            </w:r>
            <w:r w:rsidRPr="00A11546">
              <w:rPr>
                <w:rFonts w:ascii="Verdana" w:hAnsi="Verdana"/>
                <w:color w:val="000000"/>
                <w:sz w:val="18"/>
                <w:szCs w:val="18"/>
              </w:rPr>
              <w:t>, which contains measures addressing them.</w:t>
            </w:r>
          </w:p>
        </w:tc>
      </w:tr>
      <w:tr w:rsidR="0015066D" w:rsidRPr="005B6074" w:rsidTr="0015066D">
        <w:tc>
          <w:tcPr>
            <w:tcW w:w="4860" w:type="dxa"/>
          </w:tcPr>
          <w:p w:rsidR="0015066D" w:rsidRPr="00A11546" w:rsidRDefault="0015066D" w:rsidP="00A11546">
            <w:pPr>
              <w:spacing w:before="60" w:after="60"/>
              <w:rPr>
                <w:rFonts w:ascii="Verdana" w:hAnsi="Verdana"/>
                <w:color w:val="000000"/>
                <w:sz w:val="18"/>
                <w:szCs w:val="18"/>
              </w:rPr>
            </w:pPr>
            <w:r w:rsidRPr="00A11546">
              <w:rPr>
                <w:rFonts w:ascii="Verdana" w:hAnsi="Verdana"/>
                <w:sz w:val="18"/>
                <w:szCs w:val="18"/>
              </w:rPr>
              <w:t>For the purpose of raising the quality of education and binding it with the labour market demand, the employers and their professional organizations must be directly involved in the preparation of the curricula, especially in the post-graduate programmes.</w:t>
            </w:r>
          </w:p>
        </w:tc>
        <w:tc>
          <w:tcPr>
            <w:tcW w:w="423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 xml:space="preserve">The recommendation is appropriate particularly regarding the profile-oriented and vocational education, as well as in certain cases – some post-graduate programmes. </w:t>
            </w:r>
            <w:r w:rsidR="005B35A7">
              <w:rPr>
                <w:rFonts w:ascii="Verdana" w:hAnsi="Verdana"/>
                <w:color w:val="000000"/>
                <w:sz w:val="18"/>
                <w:szCs w:val="18"/>
              </w:rPr>
              <w:t>OPSESG</w:t>
            </w:r>
            <w:r w:rsidRPr="00A11546">
              <w:rPr>
                <w:rFonts w:ascii="Verdana" w:hAnsi="Verdana"/>
                <w:color w:val="000000"/>
                <w:sz w:val="18"/>
                <w:szCs w:val="18"/>
              </w:rPr>
              <w:t xml:space="preserve"> foresees support to be rendered for the updating of the curricula and syllabuses in the vocational education jointly with the employers</w:t>
            </w:r>
            <w:r w:rsidRPr="00A11546">
              <w:rPr>
                <w:rFonts w:ascii="Verdana" w:eastAsia="Times New Roman" w:hAnsi="Verdana"/>
                <w:sz w:val="18"/>
                <w:szCs w:val="18"/>
              </w:rPr>
              <w:t>.</w:t>
            </w:r>
          </w:p>
        </w:tc>
      </w:tr>
      <w:tr w:rsidR="0015066D" w:rsidRPr="005B6074" w:rsidTr="0015066D">
        <w:tc>
          <w:tcPr>
            <w:tcW w:w="4860" w:type="dxa"/>
          </w:tcPr>
          <w:p w:rsidR="0015066D" w:rsidRPr="00A11546" w:rsidRDefault="0015066D" w:rsidP="00A11546">
            <w:pPr>
              <w:spacing w:before="60" w:after="60"/>
              <w:rPr>
                <w:rFonts w:ascii="Verdana" w:hAnsi="Verdana"/>
                <w:color w:val="000000"/>
                <w:sz w:val="18"/>
                <w:szCs w:val="18"/>
              </w:rPr>
            </w:pPr>
            <w:r w:rsidRPr="00A11546">
              <w:rPr>
                <w:rFonts w:ascii="Verdana" w:hAnsi="Verdana"/>
                <w:sz w:val="18"/>
                <w:szCs w:val="18"/>
              </w:rPr>
              <w:t>Opportunities must be planned for the new programming period for financing projects for joint curricula and internships, as well as forums for joint initiatives of the higher educational institutes and the employers or their associations for employment of the graduates from a specific educational level.</w:t>
            </w:r>
          </w:p>
        </w:tc>
        <w:tc>
          <w:tcPr>
            <w:tcW w:w="423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 xml:space="preserve">The recommendation is relevant and will promote the ties between the educational institutes and the real economy. </w:t>
            </w:r>
            <w:r w:rsidR="005B35A7">
              <w:rPr>
                <w:rFonts w:ascii="Verdana" w:hAnsi="Verdana"/>
                <w:color w:val="000000"/>
                <w:sz w:val="18"/>
                <w:szCs w:val="18"/>
              </w:rPr>
              <w:t>OPSESG</w:t>
            </w:r>
            <w:r w:rsidRPr="00A11546">
              <w:rPr>
                <w:rFonts w:ascii="Verdana" w:hAnsi="Verdana"/>
                <w:color w:val="000000"/>
                <w:sz w:val="18"/>
                <w:szCs w:val="18"/>
              </w:rPr>
              <w:t xml:space="preserve"> foresees assistance through “training by working „for students in the vocational high schools, at the universities and PhD students.</w:t>
            </w:r>
          </w:p>
        </w:tc>
      </w:tr>
      <w:tr w:rsidR="0015066D" w:rsidRPr="005B6074" w:rsidTr="0015066D">
        <w:tc>
          <w:tcPr>
            <w:tcW w:w="4860" w:type="dxa"/>
          </w:tcPr>
          <w:p w:rsidR="0015066D" w:rsidRPr="00A11546" w:rsidRDefault="0015066D" w:rsidP="00A11546">
            <w:pPr>
              <w:spacing w:before="60" w:after="60"/>
              <w:rPr>
                <w:rFonts w:ascii="Verdana" w:hAnsi="Verdana"/>
                <w:sz w:val="18"/>
                <w:szCs w:val="18"/>
              </w:rPr>
            </w:pPr>
            <w:r w:rsidRPr="00A11546">
              <w:rPr>
                <w:rFonts w:ascii="Verdana" w:hAnsi="Verdana"/>
                <w:sz w:val="18"/>
                <w:szCs w:val="18"/>
              </w:rPr>
              <w:t>It will be useful to continue the financial support for the students through student scholarships and rewards during the next programming period.</w:t>
            </w:r>
          </w:p>
        </w:tc>
        <w:tc>
          <w:tcPr>
            <w:tcW w:w="4230" w:type="dxa"/>
          </w:tcPr>
          <w:p w:rsidR="0015066D" w:rsidRPr="00A11546" w:rsidRDefault="005B35A7" w:rsidP="00A11546">
            <w:pPr>
              <w:spacing w:before="60" w:after="60"/>
              <w:rPr>
                <w:rFonts w:ascii="Verdana" w:hAnsi="Verdana"/>
                <w:color w:val="000000"/>
                <w:sz w:val="18"/>
                <w:szCs w:val="18"/>
              </w:rPr>
            </w:pPr>
            <w:r>
              <w:rPr>
                <w:rFonts w:ascii="Verdana" w:hAnsi="Verdana"/>
                <w:color w:val="000000"/>
                <w:sz w:val="18"/>
                <w:szCs w:val="18"/>
              </w:rPr>
              <w:t>OPSESG</w:t>
            </w:r>
            <w:r w:rsidR="0015066D" w:rsidRPr="00A11546">
              <w:rPr>
                <w:rFonts w:ascii="Verdana" w:hAnsi="Verdana"/>
                <w:color w:val="000000"/>
                <w:sz w:val="18"/>
                <w:szCs w:val="18"/>
              </w:rPr>
              <w:t xml:space="preserve"> foresees this support to continue through the student scholarships.</w:t>
            </w:r>
          </w:p>
        </w:tc>
      </w:tr>
      <w:tr w:rsidR="0015066D" w:rsidRPr="005B6074" w:rsidTr="0015066D">
        <w:tc>
          <w:tcPr>
            <w:tcW w:w="4860" w:type="dxa"/>
          </w:tcPr>
          <w:p w:rsidR="0015066D" w:rsidRPr="00A11546" w:rsidRDefault="0015066D" w:rsidP="00A11546">
            <w:pPr>
              <w:spacing w:before="60" w:after="60"/>
              <w:rPr>
                <w:rFonts w:ascii="Verdana" w:hAnsi="Verdana"/>
                <w:sz w:val="18"/>
                <w:szCs w:val="18"/>
              </w:rPr>
            </w:pPr>
            <w:r w:rsidRPr="00A11546">
              <w:rPr>
                <w:rFonts w:ascii="Verdana" w:hAnsi="Verdana"/>
                <w:sz w:val="18"/>
                <w:szCs w:val="18"/>
              </w:rPr>
              <w:t>New schemes could be laid down for the next programming period, which will support PhD students in the following areas, important not only for Bulgaria: nanotechnologies, alternative energy sources, anti-earthquake construction, struggle against climate change and global warming, organization of public healthcare, application of ICT in all public services.</w:t>
            </w:r>
          </w:p>
        </w:tc>
        <w:tc>
          <w:tcPr>
            <w:tcW w:w="4230" w:type="dxa"/>
          </w:tcPr>
          <w:p w:rsidR="0015066D" w:rsidRPr="00A11546" w:rsidRDefault="0015066D" w:rsidP="00A11546">
            <w:pPr>
              <w:spacing w:before="60" w:after="60"/>
              <w:rPr>
                <w:rFonts w:ascii="Verdana" w:hAnsi="Verdana"/>
                <w:color w:val="000000"/>
                <w:sz w:val="18"/>
                <w:szCs w:val="18"/>
              </w:rPr>
            </w:pPr>
            <w:r w:rsidRPr="00A11546">
              <w:rPr>
                <w:rFonts w:ascii="Verdana" w:hAnsi="Verdana"/>
                <w:color w:val="000000"/>
                <w:sz w:val="18"/>
                <w:szCs w:val="18"/>
              </w:rPr>
              <w:t xml:space="preserve">The recommendation is relevant, so long as the targeted support for definite areas is well justified. </w:t>
            </w:r>
            <w:r w:rsidR="005B35A7">
              <w:rPr>
                <w:rFonts w:ascii="Verdana" w:hAnsi="Verdana"/>
                <w:color w:val="000000"/>
                <w:sz w:val="18"/>
                <w:szCs w:val="18"/>
              </w:rPr>
              <w:t>OPSESG</w:t>
            </w:r>
            <w:r w:rsidRPr="00A11546">
              <w:rPr>
                <w:rFonts w:ascii="Verdana" w:hAnsi="Verdana"/>
                <w:color w:val="000000"/>
                <w:sz w:val="18"/>
                <w:szCs w:val="18"/>
              </w:rPr>
              <w:t xml:space="preserve"> foresees support to PhD students in the priority areas and economic sectors for the country.</w:t>
            </w:r>
          </w:p>
        </w:tc>
      </w:tr>
    </w:tbl>
    <w:p w:rsidR="0015066D" w:rsidRPr="005B6074" w:rsidRDefault="0015066D" w:rsidP="0015066D"/>
    <w:p w:rsidR="00C513B7" w:rsidRPr="005B6074" w:rsidRDefault="00A35E98" w:rsidP="00C513B7">
      <w:pPr>
        <w:keepNext/>
        <w:pBdr>
          <w:bottom w:val="single" w:sz="4" w:space="1" w:color="0070C0"/>
        </w:pBdr>
        <w:spacing w:before="360" w:after="120"/>
        <w:jc w:val="both"/>
        <w:rPr>
          <w:rFonts w:ascii="Verdana" w:hAnsi="Verdana"/>
          <w:color w:val="0070C0"/>
          <w:sz w:val="20"/>
          <w:szCs w:val="20"/>
          <w:lang w:eastAsia="cs-CZ"/>
        </w:rPr>
      </w:pPr>
      <w:r w:rsidRPr="005B6074">
        <w:rPr>
          <w:rFonts w:ascii="Verdana" w:hAnsi="Verdana"/>
          <w:color w:val="0070C0"/>
          <w:sz w:val="20"/>
          <w:szCs w:val="20"/>
          <w:lang w:eastAsia="cs-CZ"/>
        </w:rPr>
        <w:t>Analysis of the information obtained at the conducted consultations in the focus group with representatives of the wor</w:t>
      </w:r>
      <w:r w:rsidR="005B35A7">
        <w:rPr>
          <w:rFonts w:ascii="Verdana" w:hAnsi="Verdana"/>
          <w:color w:val="0070C0"/>
          <w:sz w:val="20"/>
          <w:szCs w:val="20"/>
          <w:lang w:eastAsia="cs-CZ"/>
        </w:rPr>
        <w:t>king group set up to prepare OP</w:t>
      </w:r>
      <w:r w:rsidRPr="005B6074">
        <w:rPr>
          <w:rFonts w:ascii="Verdana" w:hAnsi="Verdana"/>
          <w:color w:val="0070C0"/>
          <w:sz w:val="20"/>
          <w:szCs w:val="20"/>
          <w:lang w:eastAsia="cs-CZ"/>
        </w:rPr>
        <w:t>SES</w:t>
      </w:r>
      <w:r w:rsidR="005B35A7">
        <w:rPr>
          <w:rFonts w:ascii="Verdana" w:hAnsi="Verdana"/>
          <w:color w:val="0070C0"/>
          <w:sz w:val="20"/>
          <w:szCs w:val="20"/>
          <w:lang w:eastAsia="cs-CZ"/>
        </w:rPr>
        <w:t>G</w:t>
      </w:r>
      <w:r w:rsidRPr="005B6074">
        <w:rPr>
          <w:rFonts w:ascii="Verdana" w:hAnsi="Verdana"/>
          <w:color w:val="0070C0"/>
          <w:sz w:val="20"/>
          <w:szCs w:val="20"/>
          <w:lang w:eastAsia="cs-CZ"/>
        </w:rPr>
        <w:t xml:space="preserve"> 2014–2020 and from the on-line survey of potential beneficiaries of the Programme.</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The focus group discussed the needs and priorities in the following areas: (1) science and applied research; (2) higher education; (3) school education.</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 xml:space="preserve">Regarding </w:t>
      </w:r>
      <w:r w:rsidRPr="005B6074">
        <w:rPr>
          <w:rFonts w:ascii="Verdana" w:hAnsi="Verdana"/>
          <w:color w:val="548DD4" w:themeColor="text2" w:themeTint="99"/>
          <w:sz w:val="20"/>
          <w:szCs w:val="20"/>
        </w:rPr>
        <w:t>science and applied research</w:t>
      </w:r>
      <w:r w:rsidRPr="005B6074">
        <w:rPr>
          <w:rFonts w:ascii="Verdana" w:hAnsi="Verdana"/>
          <w:sz w:val="20"/>
          <w:szCs w:val="20"/>
        </w:rPr>
        <w:t xml:space="preserve"> the main conclusions from the discussions point out to the necessity of dualism in the approach to science and scientific research: on one hand, what is needed is investment in excellence, and on the other hand – investment in competences and applied research. Currently there is no clear vision </w:t>
      </w:r>
      <w:r w:rsidR="005B35A7">
        <w:rPr>
          <w:rFonts w:ascii="Verdana" w:hAnsi="Verdana"/>
          <w:sz w:val="20"/>
          <w:szCs w:val="20"/>
        </w:rPr>
        <w:t>on</w:t>
      </w:r>
      <w:r w:rsidRPr="005B6074">
        <w:rPr>
          <w:rFonts w:ascii="Verdana" w:hAnsi="Verdana"/>
          <w:sz w:val="20"/>
          <w:szCs w:val="20"/>
        </w:rPr>
        <w:t xml:space="preserve"> the areas in which </w:t>
      </w:r>
      <w:r w:rsidRPr="005B6074">
        <w:rPr>
          <w:rFonts w:ascii="Verdana" w:hAnsi="Verdana"/>
          <w:sz w:val="20"/>
          <w:szCs w:val="20"/>
        </w:rPr>
        <w:lastRenderedPageBreak/>
        <w:t xml:space="preserve">the centres of competence will </w:t>
      </w:r>
      <w:r w:rsidR="005B35A7">
        <w:rPr>
          <w:rFonts w:ascii="Verdana" w:hAnsi="Verdana"/>
          <w:sz w:val="20"/>
          <w:szCs w:val="20"/>
        </w:rPr>
        <w:t xml:space="preserve">be </w:t>
      </w:r>
      <w:r w:rsidRPr="005B6074">
        <w:rPr>
          <w:rFonts w:ascii="Verdana" w:hAnsi="Verdana"/>
          <w:sz w:val="20"/>
          <w:szCs w:val="20"/>
        </w:rPr>
        <w:t>develop. This is largely due to the still missing “Innovations Strategy for Smart Specialization</w:t>
      </w:r>
      <w:r w:rsidR="005B35A7">
        <w:rPr>
          <w:rFonts w:ascii="Verdana" w:hAnsi="Verdana"/>
          <w:sz w:val="20"/>
          <w:szCs w:val="20"/>
        </w:rPr>
        <w:t xml:space="preserve">” </w:t>
      </w:r>
      <w:r w:rsidRPr="005B6074">
        <w:rPr>
          <w:rFonts w:ascii="Verdana" w:hAnsi="Verdana"/>
          <w:sz w:val="20"/>
          <w:szCs w:val="20"/>
        </w:rPr>
        <w:t xml:space="preserve">which is being prepared. The need for a reliable evaluation of the capacity of the organizations to make use of the provided assistance for the development of such centres was underlined. </w:t>
      </w:r>
      <w:r w:rsidRPr="005B35A7">
        <w:rPr>
          <w:rFonts w:ascii="Verdana" w:hAnsi="Verdana"/>
          <w:sz w:val="20"/>
          <w:szCs w:val="20"/>
        </w:rPr>
        <w:t>At the same time it was pointed out how important it was to consider the regional aspect of the provision of support for the development of the centres for the purpose of developing the regions. With</w:t>
      </w:r>
      <w:r w:rsidRPr="005B6074">
        <w:rPr>
          <w:rFonts w:ascii="Verdana" w:hAnsi="Verdana"/>
          <w:sz w:val="20"/>
          <w:szCs w:val="20"/>
        </w:rPr>
        <w:t xml:space="preserve"> respect to the optimization of the work of the scientific organizations, it was pointed out that the major lever should be the binding of the financing (including from the budget) with the outcomes.</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The importance of ensuring a complementing effect with the programme for scientific research and innovations “Horizon 2020” was point</w:t>
      </w:r>
      <w:r w:rsidR="004F6C05">
        <w:rPr>
          <w:rFonts w:ascii="Verdana" w:hAnsi="Verdana"/>
          <w:sz w:val="20"/>
          <w:szCs w:val="20"/>
        </w:rPr>
        <w:t>ed out, as well as with other OP</w:t>
      </w:r>
      <w:r w:rsidRPr="005B6074">
        <w:rPr>
          <w:rFonts w:ascii="Verdana" w:hAnsi="Verdana"/>
          <w:sz w:val="20"/>
          <w:szCs w:val="20"/>
        </w:rPr>
        <w:t xml:space="preserve">s in Bulgaria for the next programming period, such as RDP, MFR, OPIC, including by implementing integrated projects. The integrated projects with OPIC and greater clarity on their nature are essential. The effect of synergy with OPIC will create opportunities for strengthening the ties between science and business. The offices for technological transfer offer a good opportunity for making the applied research widely known in the business circles and they are instrumental especially as intermediary units. An opinion was voiced that the place where such centres should be given support was </w:t>
      </w:r>
      <w:r w:rsidR="005B35A7">
        <w:rPr>
          <w:rFonts w:ascii="Verdana" w:hAnsi="Verdana"/>
          <w:sz w:val="20"/>
          <w:szCs w:val="20"/>
        </w:rPr>
        <w:t>OPSESG</w:t>
      </w:r>
      <w:r w:rsidRPr="005B6074">
        <w:rPr>
          <w:rFonts w:ascii="Verdana" w:hAnsi="Verdana"/>
          <w:sz w:val="20"/>
          <w:szCs w:val="20"/>
        </w:rPr>
        <w:t>, n</w:t>
      </w:r>
      <w:r w:rsidR="004F6C05">
        <w:rPr>
          <w:rFonts w:ascii="Verdana" w:hAnsi="Verdana"/>
          <w:sz w:val="20"/>
          <w:szCs w:val="20"/>
        </w:rPr>
        <w:t>o</w:t>
      </w:r>
      <w:r w:rsidRPr="005B6074">
        <w:rPr>
          <w:rFonts w:ascii="Verdana" w:hAnsi="Verdana"/>
          <w:sz w:val="20"/>
          <w:szCs w:val="20"/>
        </w:rPr>
        <w:t>t OPIC. Presently however this idea has not been given enough attention.</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 xml:space="preserve">Regarding </w:t>
      </w:r>
      <w:r w:rsidRPr="005B6074">
        <w:rPr>
          <w:rFonts w:ascii="Verdana" w:hAnsi="Verdana"/>
          <w:color w:val="548DD4" w:themeColor="text2" w:themeTint="99"/>
          <w:sz w:val="20"/>
          <w:szCs w:val="20"/>
        </w:rPr>
        <w:t xml:space="preserve">higher education, </w:t>
      </w:r>
      <w:r w:rsidRPr="005B6074">
        <w:rPr>
          <w:rFonts w:ascii="Verdana" w:hAnsi="Verdana"/>
          <w:sz w:val="20"/>
          <w:szCs w:val="20"/>
        </w:rPr>
        <w:t>it was pointed out that the reforms in the higher education system must be based on financing that is bound with quality of education and student performance at the labour market. In this respect the project for creating a rating system for the higher educational establishments is a big step forward, because this increases the transparency of the higher education system. It was pointed out that additional work is still needed in this respect that the schemes for financing science development in the higher education system need to be further optimized. The management of higher schools needs to be improved and opened</w:t>
      </w:r>
      <w:proofErr w:type="gramStart"/>
      <w:r w:rsidRPr="005B6074">
        <w:rPr>
          <w:rFonts w:ascii="Verdana" w:hAnsi="Verdana"/>
          <w:sz w:val="20"/>
          <w:szCs w:val="20"/>
        </w:rPr>
        <w:t>“ to</w:t>
      </w:r>
      <w:proofErr w:type="gramEnd"/>
      <w:r w:rsidRPr="005B6074">
        <w:rPr>
          <w:rFonts w:ascii="Verdana" w:hAnsi="Verdana"/>
          <w:sz w:val="20"/>
          <w:szCs w:val="20"/>
        </w:rPr>
        <w:t xml:space="preserve"> stakeholders, which is another important reform that depends to a great extent on the currently developed Higher Education Strategy.</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 xml:space="preserve">The need to improve the higher education – public sector relations must be addressed if the needs of the local communities are to be taken account of. A better concordance is needed therefore between </w:t>
      </w:r>
      <w:r w:rsidR="005B35A7">
        <w:rPr>
          <w:rFonts w:ascii="Verdana" w:hAnsi="Verdana"/>
          <w:sz w:val="20"/>
          <w:szCs w:val="20"/>
        </w:rPr>
        <w:t>OPSESG</w:t>
      </w:r>
      <w:r w:rsidRPr="005B6074">
        <w:rPr>
          <w:rFonts w:ascii="Verdana" w:hAnsi="Verdana"/>
          <w:sz w:val="20"/>
          <w:szCs w:val="20"/>
        </w:rPr>
        <w:t xml:space="preserve"> and OPGG.</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 xml:space="preserve">The experience from implementation of projects in the current programming period shows that the small projects do not provide big value added, especially in the area of development of human resources – by supporting PhD students, under-graduate students, internships, scholarships. The effect of the consolidation of projects at the national level has yielded better results. </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 xml:space="preserve">Regarding </w:t>
      </w:r>
      <w:r w:rsidRPr="005B6074">
        <w:rPr>
          <w:rFonts w:ascii="Verdana" w:hAnsi="Verdana"/>
          <w:color w:val="548DD4" w:themeColor="text2" w:themeTint="99"/>
          <w:sz w:val="20"/>
          <w:szCs w:val="20"/>
        </w:rPr>
        <w:t xml:space="preserve">school education </w:t>
      </w:r>
      <w:r w:rsidRPr="005B6074">
        <w:rPr>
          <w:rFonts w:ascii="Verdana" w:hAnsi="Verdana"/>
          <w:sz w:val="20"/>
          <w:szCs w:val="20"/>
        </w:rPr>
        <w:t xml:space="preserve">there is a distinct need for reform and prioritization of investment, while at the same time decentralizing the support of the schools through the local authorities. A major emphasis should be laid on improving the quality of education and modernizing it. The regional problems that school and pre-school education and kindergartens are faced with have to be considered and addressed. The current draft of the Programme is too detailed with respect to the support; while the opinion of the participants in the focus group is that the Programme should address the priorities above </w:t>
      </w:r>
      <w:r w:rsidRPr="005B6074">
        <w:rPr>
          <w:rFonts w:ascii="Verdana" w:hAnsi="Verdana"/>
          <w:sz w:val="20"/>
          <w:szCs w:val="20"/>
        </w:rPr>
        <w:lastRenderedPageBreak/>
        <w:t>all and should not dissipate resources in activities, which are basically the obligation of the administration – such as updating of curricula and syllabuses.</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The integration of marginalized communities in the education system should not be confined to the Roma community only. The increasing migration flow to the country calls for addressing the problem in a broader aspect, including for the purpose of solving demographic problems.</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The car</w:t>
      </w:r>
      <w:r w:rsidR="009E3F87" w:rsidRPr="005B6074">
        <w:rPr>
          <w:rFonts w:ascii="Verdana" w:hAnsi="Verdana"/>
          <w:sz w:val="20"/>
          <w:szCs w:val="20"/>
        </w:rPr>
        <w:t>e</w:t>
      </w:r>
      <w:r w:rsidRPr="005B6074">
        <w:rPr>
          <w:rFonts w:ascii="Verdana" w:hAnsi="Verdana"/>
          <w:sz w:val="20"/>
          <w:szCs w:val="20"/>
        </w:rPr>
        <w:t>er development support for teachers may be more efficient if it builds on the existing car</w:t>
      </w:r>
      <w:r w:rsidR="009E3F87" w:rsidRPr="005B6074">
        <w:rPr>
          <w:rFonts w:ascii="Verdana" w:hAnsi="Verdana"/>
          <w:sz w:val="20"/>
          <w:szCs w:val="20"/>
        </w:rPr>
        <w:t>e</w:t>
      </w:r>
      <w:r w:rsidRPr="005B6074">
        <w:rPr>
          <w:rFonts w:ascii="Verdana" w:hAnsi="Verdana"/>
          <w:sz w:val="20"/>
          <w:szCs w:val="20"/>
        </w:rPr>
        <w:t>er development mechanisms, including by ensuring teacher mobility.</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 xml:space="preserve">With respect to human resources the main problem in all areas is labour remuneration – a problem which is not considered and analysed and for which the Programme foresees no solutions. </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The following additional recommendations were made:</w:t>
      </w:r>
    </w:p>
    <w:p w:rsidR="00C513B7" w:rsidRPr="005B6074" w:rsidRDefault="00A35E98" w:rsidP="00181A22">
      <w:pPr>
        <w:pStyle w:val="ListParagraph"/>
        <w:numPr>
          <w:ilvl w:val="0"/>
          <w:numId w:val="51"/>
        </w:numPr>
        <w:spacing w:before="120" w:after="120"/>
        <w:jc w:val="both"/>
        <w:rPr>
          <w:rFonts w:ascii="Verdana" w:hAnsi="Verdana"/>
          <w:sz w:val="20"/>
          <w:szCs w:val="20"/>
        </w:rPr>
      </w:pPr>
      <w:r w:rsidRPr="005B6074">
        <w:rPr>
          <w:rFonts w:ascii="Verdana" w:hAnsi="Verdana"/>
          <w:sz w:val="20"/>
          <w:szCs w:val="20"/>
        </w:rPr>
        <w:t>The cooperation of the specialized directorates of MES should be sought for improving the analyses in the Programme;</w:t>
      </w:r>
    </w:p>
    <w:p w:rsidR="00C513B7" w:rsidRPr="005B6074" w:rsidRDefault="00A35E98" w:rsidP="00181A22">
      <w:pPr>
        <w:pStyle w:val="ListParagraph"/>
        <w:numPr>
          <w:ilvl w:val="0"/>
          <w:numId w:val="51"/>
        </w:numPr>
        <w:spacing w:before="120" w:after="120"/>
        <w:jc w:val="both"/>
        <w:rPr>
          <w:rFonts w:ascii="Verdana" w:hAnsi="Verdana"/>
          <w:sz w:val="20"/>
          <w:szCs w:val="20"/>
        </w:rPr>
      </w:pPr>
      <w:r w:rsidRPr="005B6074">
        <w:rPr>
          <w:rFonts w:ascii="Verdana" w:hAnsi="Verdana"/>
          <w:sz w:val="20"/>
          <w:szCs w:val="20"/>
        </w:rPr>
        <w:t>The topics and activities should be consolidated;</w:t>
      </w:r>
    </w:p>
    <w:p w:rsidR="00C513B7" w:rsidRPr="005B6074" w:rsidRDefault="00A35E98" w:rsidP="00181A22">
      <w:pPr>
        <w:pStyle w:val="ListParagraph"/>
        <w:numPr>
          <w:ilvl w:val="0"/>
          <w:numId w:val="51"/>
        </w:numPr>
        <w:spacing w:before="120" w:after="120"/>
        <w:jc w:val="both"/>
        <w:rPr>
          <w:rFonts w:ascii="Verdana" w:hAnsi="Verdana"/>
          <w:sz w:val="20"/>
          <w:szCs w:val="20"/>
        </w:rPr>
      </w:pPr>
      <w:r w:rsidRPr="005B6074">
        <w:rPr>
          <w:rFonts w:ascii="Verdana" w:hAnsi="Verdana"/>
          <w:sz w:val="20"/>
          <w:szCs w:val="20"/>
        </w:rPr>
        <w:t>The indicators should be made more precise.</w:t>
      </w:r>
    </w:p>
    <w:p w:rsidR="00C513B7" w:rsidRDefault="00A35E98" w:rsidP="00C513B7">
      <w:pPr>
        <w:spacing w:before="120" w:after="120"/>
        <w:jc w:val="both"/>
        <w:rPr>
          <w:rFonts w:ascii="Verdana" w:hAnsi="Verdana"/>
          <w:sz w:val="20"/>
          <w:szCs w:val="20"/>
        </w:rPr>
      </w:pPr>
      <w:r w:rsidRPr="005B6074">
        <w:rPr>
          <w:rFonts w:ascii="Verdana" w:hAnsi="Verdana"/>
          <w:sz w:val="20"/>
          <w:szCs w:val="20"/>
        </w:rPr>
        <w:t>The information obtained from the on-line survey confirms to a great extent the views expressed at the focus group discussion.</w:t>
      </w:r>
    </w:p>
    <w:p w:rsidR="005A221F" w:rsidRPr="005B6074" w:rsidRDefault="005A221F" w:rsidP="005A221F">
      <w:pPr>
        <w:spacing w:before="120" w:after="120"/>
        <w:jc w:val="both"/>
        <w:rPr>
          <w:rFonts w:ascii="Verdana" w:hAnsi="Verdana"/>
          <w:sz w:val="20"/>
          <w:szCs w:val="20"/>
        </w:rPr>
      </w:pPr>
      <w:r w:rsidRPr="005B6074">
        <w:rPr>
          <w:rFonts w:ascii="Verdana" w:hAnsi="Verdana"/>
          <w:sz w:val="20"/>
          <w:szCs w:val="20"/>
        </w:rPr>
        <w:t>The problems identified as basic ones that need to be addressed with priority are the ones pertaining to the quality of school, higher and vocational education, followed by the problems of development of science and research and building of synergy between business, science and education (Figure 5).</w:t>
      </w:r>
    </w:p>
    <w:p w:rsidR="005A221F" w:rsidRPr="005B6074" w:rsidRDefault="005A221F" w:rsidP="005A221F">
      <w:pPr>
        <w:spacing w:before="120" w:after="120"/>
        <w:jc w:val="both"/>
        <w:rPr>
          <w:rFonts w:ascii="Verdana" w:hAnsi="Verdana"/>
          <w:sz w:val="20"/>
          <w:szCs w:val="20"/>
        </w:rPr>
      </w:pPr>
      <w:r w:rsidRPr="005B6074">
        <w:rPr>
          <w:rFonts w:ascii="Verdana" w:hAnsi="Verdana"/>
          <w:sz w:val="20"/>
          <w:szCs w:val="20"/>
        </w:rPr>
        <w:t xml:space="preserve">The responses to the on-line questionnaire are presented in Appendix 4 to this Report. </w:t>
      </w:r>
    </w:p>
    <w:p w:rsidR="005A221F" w:rsidRPr="005B6074" w:rsidRDefault="005A221F" w:rsidP="00C513B7">
      <w:pPr>
        <w:spacing w:before="120" w:after="120"/>
        <w:jc w:val="both"/>
        <w:rPr>
          <w:rFonts w:ascii="Verdana" w:hAnsi="Verdana"/>
          <w:sz w:val="20"/>
          <w:szCs w:val="20"/>
        </w:rPr>
      </w:pPr>
    </w:p>
    <w:p w:rsidR="00C513B7" w:rsidRPr="005B6074" w:rsidRDefault="009330F5" w:rsidP="005A221F">
      <w:pPr>
        <w:spacing w:before="120" w:after="120"/>
        <w:jc w:val="both"/>
        <w:rPr>
          <w:rFonts w:ascii="Verdana" w:hAnsi="Verdana"/>
          <w:color w:val="006CB6"/>
          <w:sz w:val="16"/>
          <w:szCs w:val="16"/>
        </w:rPr>
      </w:pPr>
      <w:r w:rsidRPr="009330F5">
        <w:rPr>
          <w:rFonts w:ascii="Verdana" w:hAnsi="Verdana"/>
          <w:noProof/>
          <w:sz w:val="20"/>
          <w:szCs w:val="20"/>
          <w:lang w:val="bg-BG" w:eastAsia="bg-BG"/>
        </w:rPr>
        <w:lastRenderedPageBreak/>
        <mc:AlternateContent>
          <mc:Choice Requires="wps">
            <w:drawing>
              <wp:anchor distT="0" distB="0" distL="114300" distR="114300" simplePos="0" relativeHeight="251678720" behindDoc="0" locked="0" layoutInCell="1" allowOverlap="1" wp14:anchorId="5787728C" wp14:editId="02424140">
                <wp:simplePos x="0" y="0"/>
                <wp:positionH relativeFrom="column">
                  <wp:posOffset>0</wp:posOffset>
                </wp:positionH>
                <wp:positionV relativeFrom="paragraph">
                  <wp:posOffset>781050</wp:posOffset>
                </wp:positionV>
                <wp:extent cx="2566035" cy="3050540"/>
                <wp:effectExtent l="0" t="0" r="0" b="0"/>
                <wp:wrapNone/>
                <wp:docPr id="37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3050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0F5" w:rsidRPr="009330F5" w:rsidRDefault="009330F5" w:rsidP="009330F5">
                            <w:pPr>
                              <w:pStyle w:val="ListParagraph"/>
                              <w:numPr>
                                <w:ilvl w:val="0"/>
                                <w:numId w:val="92"/>
                              </w:numPr>
                              <w:spacing w:after="0" w:line="240" w:lineRule="auto"/>
                              <w:ind w:left="426"/>
                              <w:rPr>
                                <w:rFonts w:ascii="Verdana" w:hAnsi="Verdana"/>
                                <w:sz w:val="16"/>
                                <w:szCs w:val="16"/>
                                <w:lang w:val="en-US"/>
                              </w:rPr>
                            </w:pPr>
                            <w:r w:rsidRPr="009330F5">
                              <w:rPr>
                                <w:rFonts w:ascii="Verdana" w:hAnsi="Verdana"/>
                                <w:sz w:val="16"/>
                                <w:szCs w:val="16"/>
                                <w:lang w:val="en-US"/>
                              </w:rPr>
                              <w:t>Raising the quality of pre-school, basic and secondary education</w:t>
                            </w:r>
                          </w:p>
                          <w:p w:rsidR="009330F5" w:rsidRPr="009330F5" w:rsidRDefault="009330F5" w:rsidP="009330F5">
                            <w:pPr>
                              <w:pStyle w:val="ListParagraph"/>
                              <w:numPr>
                                <w:ilvl w:val="0"/>
                                <w:numId w:val="92"/>
                              </w:numPr>
                              <w:spacing w:before="60" w:after="0" w:line="240" w:lineRule="auto"/>
                              <w:ind w:left="425" w:hanging="357"/>
                              <w:rPr>
                                <w:rFonts w:ascii="Verdana" w:hAnsi="Verdana"/>
                                <w:sz w:val="16"/>
                                <w:szCs w:val="16"/>
                                <w:lang w:val="en-US"/>
                              </w:rPr>
                            </w:pPr>
                            <w:r w:rsidRPr="009330F5">
                              <w:rPr>
                                <w:rFonts w:ascii="Verdana" w:hAnsi="Verdana"/>
                                <w:sz w:val="16"/>
                                <w:szCs w:val="16"/>
                                <w:lang w:val="en-US"/>
                              </w:rPr>
                              <w:t xml:space="preserve">Improving the access of the vulnerable groups to education </w:t>
                            </w:r>
                          </w:p>
                          <w:p w:rsidR="009330F5" w:rsidRPr="009330F5" w:rsidRDefault="009330F5" w:rsidP="009330F5">
                            <w:pPr>
                              <w:pStyle w:val="ListParagraph"/>
                              <w:numPr>
                                <w:ilvl w:val="0"/>
                                <w:numId w:val="92"/>
                              </w:numPr>
                              <w:spacing w:before="40" w:after="0" w:line="240" w:lineRule="auto"/>
                              <w:ind w:left="425" w:hanging="357"/>
                              <w:rPr>
                                <w:rFonts w:ascii="Verdana" w:hAnsi="Verdana"/>
                                <w:sz w:val="16"/>
                                <w:szCs w:val="16"/>
                                <w:lang w:val="en-US"/>
                              </w:rPr>
                            </w:pPr>
                            <w:r w:rsidRPr="009330F5">
                              <w:rPr>
                                <w:rFonts w:ascii="Verdana" w:hAnsi="Verdana"/>
                                <w:sz w:val="16"/>
                                <w:szCs w:val="16"/>
                                <w:lang w:val="en-US"/>
                              </w:rPr>
                              <w:t>Prevention and reduction of early school leaving</w:t>
                            </w:r>
                          </w:p>
                          <w:p w:rsidR="009330F5" w:rsidRPr="009330F5" w:rsidRDefault="009330F5" w:rsidP="009330F5">
                            <w:pPr>
                              <w:pStyle w:val="ListParagraph"/>
                              <w:numPr>
                                <w:ilvl w:val="0"/>
                                <w:numId w:val="92"/>
                              </w:numPr>
                              <w:spacing w:before="80" w:after="0" w:line="240" w:lineRule="auto"/>
                              <w:ind w:left="425" w:hanging="357"/>
                              <w:rPr>
                                <w:rFonts w:ascii="Verdana" w:hAnsi="Verdana"/>
                                <w:sz w:val="16"/>
                                <w:szCs w:val="16"/>
                                <w:lang w:val="en-US"/>
                              </w:rPr>
                            </w:pPr>
                            <w:r w:rsidRPr="009330F5">
                              <w:rPr>
                                <w:rFonts w:ascii="Verdana" w:hAnsi="Verdana"/>
                                <w:sz w:val="16"/>
                                <w:szCs w:val="16"/>
                                <w:lang w:val="en-US"/>
                              </w:rPr>
                              <w:t>Liquidation of illiteracy among adults</w:t>
                            </w:r>
                          </w:p>
                          <w:p w:rsidR="009330F5" w:rsidRPr="009330F5" w:rsidRDefault="009330F5" w:rsidP="009330F5">
                            <w:pPr>
                              <w:pStyle w:val="ListParagraph"/>
                              <w:numPr>
                                <w:ilvl w:val="0"/>
                                <w:numId w:val="92"/>
                              </w:numPr>
                              <w:spacing w:before="160" w:after="0" w:line="240" w:lineRule="auto"/>
                              <w:ind w:left="425" w:hanging="357"/>
                              <w:rPr>
                                <w:rFonts w:ascii="Verdana" w:hAnsi="Verdana"/>
                                <w:sz w:val="16"/>
                                <w:szCs w:val="16"/>
                                <w:lang w:val="en-US"/>
                              </w:rPr>
                            </w:pPr>
                            <w:r w:rsidRPr="009330F5">
                              <w:rPr>
                                <w:rFonts w:ascii="Verdana" w:hAnsi="Verdana"/>
                                <w:sz w:val="16"/>
                                <w:szCs w:val="16"/>
                                <w:lang w:val="en-US"/>
                              </w:rPr>
                              <w:t>Support for the development of vocational education and training</w:t>
                            </w:r>
                          </w:p>
                          <w:p w:rsidR="009330F5" w:rsidRPr="009330F5" w:rsidRDefault="009330F5" w:rsidP="009330F5">
                            <w:pPr>
                              <w:pStyle w:val="ListParagraph"/>
                              <w:numPr>
                                <w:ilvl w:val="0"/>
                                <w:numId w:val="92"/>
                              </w:numPr>
                              <w:spacing w:before="160" w:after="0" w:line="240" w:lineRule="auto"/>
                              <w:ind w:left="425" w:hanging="357"/>
                              <w:rPr>
                                <w:rFonts w:ascii="Verdana" w:hAnsi="Verdana"/>
                                <w:sz w:val="16"/>
                                <w:szCs w:val="16"/>
                                <w:lang w:val="en-US"/>
                              </w:rPr>
                            </w:pPr>
                            <w:r w:rsidRPr="009330F5">
                              <w:rPr>
                                <w:rFonts w:ascii="Verdana" w:hAnsi="Verdana"/>
                                <w:sz w:val="16"/>
                                <w:szCs w:val="16"/>
                                <w:lang w:val="en-US"/>
                              </w:rPr>
                              <w:t>Promotion of continuing education</w:t>
                            </w:r>
                          </w:p>
                          <w:p w:rsidR="009330F5" w:rsidRPr="009330F5" w:rsidRDefault="009330F5" w:rsidP="009330F5">
                            <w:pPr>
                              <w:pStyle w:val="ListParagraph"/>
                              <w:numPr>
                                <w:ilvl w:val="0"/>
                                <w:numId w:val="92"/>
                              </w:numPr>
                              <w:spacing w:before="80" w:after="0" w:line="240" w:lineRule="auto"/>
                              <w:ind w:left="425" w:hanging="357"/>
                              <w:rPr>
                                <w:rFonts w:ascii="Verdana" w:hAnsi="Verdana"/>
                                <w:sz w:val="16"/>
                                <w:szCs w:val="16"/>
                                <w:lang w:val="en-US"/>
                              </w:rPr>
                            </w:pPr>
                            <w:r w:rsidRPr="009330F5">
                              <w:rPr>
                                <w:rFonts w:ascii="Verdana" w:hAnsi="Verdana"/>
                                <w:sz w:val="16"/>
                                <w:szCs w:val="16"/>
                                <w:lang w:val="en-US"/>
                              </w:rPr>
                              <w:t>Improving the quality of higher education</w:t>
                            </w:r>
                          </w:p>
                          <w:p w:rsidR="009330F5" w:rsidRPr="009330F5" w:rsidRDefault="009330F5" w:rsidP="009330F5">
                            <w:pPr>
                              <w:pStyle w:val="ListParagraph"/>
                              <w:numPr>
                                <w:ilvl w:val="0"/>
                                <w:numId w:val="92"/>
                              </w:numPr>
                              <w:spacing w:before="40" w:after="0" w:line="240" w:lineRule="auto"/>
                              <w:ind w:left="425" w:hanging="357"/>
                              <w:rPr>
                                <w:rFonts w:ascii="Verdana" w:hAnsi="Verdana"/>
                                <w:sz w:val="16"/>
                                <w:szCs w:val="16"/>
                                <w:lang w:val="en-US"/>
                              </w:rPr>
                            </w:pPr>
                            <w:r w:rsidRPr="009330F5">
                              <w:rPr>
                                <w:rFonts w:ascii="Verdana" w:hAnsi="Verdana"/>
                                <w:sz w:val="16"/>
                                <w:szCs w:val="16"/>
                                <w:lang w:val="en-US"/>
                              </w:rPr>
                              <w:t>Improving the access to higher education</w:t>
                            </w:r>
                          </w:p>
                          <w:p w:rsidR="009330F5" w:rsidRPr="009330F5" w:rsidRDefault="009330F5" w:rsidP="009330F5">
                            <w:pPr>
                              <w:pStyle w:val="ListParagraph"/>
                              <w:numPr>
                                <w:ilvl w:val="0"/>
                                <w:numId w:val="92"/>
                              </w:numPr>
                              <w:spacing w:after="0" w:line="240" w:lineRule="auto"/>
                              <w:ind w:left="426"/>
                              <w:rPr>
                                <w:rFonts w:ascii="Verdana" w:hAnsi="Verdana"/>
                                <w:sz w:val="16"/>
                                <w:szCs w:val="16"/>
                                <w:lang w:val="en-US"/>
                              </w:rPr>
                            </w:pPr>
                            <w:r w:rsidRPr="009330F5">
                              <w:rPr>
                                <w:rFonts w:ascii="Verdana" w:hAnsi="Verdana"/>
                                <w:sz w:val="16"/>
                                <w:szCs w:val="16"/>
                                <w:lang w:val="en-US"/>
                              </w:rPr>
                              <w:t>Science, research and innovations</w:t>
                            </w:r>
                          </w:p>
                          <w:p w:rsidR="009330F5" w:rsidRPr="009330F5" w:rsidRDefault="009330F5" w:rsidP="009330F5">
                            <w:pPr>
                              <w:pStyle w:val="ListParagraph"/>
                              <w:numPr>
                                <w:ilvl w:val="0"/>
                                <w:numId w:val="92"/>
                              </w:numPr>
                              <w:spacing w:before="120" w:after="0" w:line="240" w:lineRule="auto"/>
                              <w:ind w:left="425" w:hanging="357"/>
                              <w:rPr>
                                <w:rFonts w:ascii="Verdana" w:hAnsi="Verdana"/>
                                <w:sz w:val="16"/>
                                <w:szCs w:val="16"/>
                                <w:lang w:val="en-US"/>
                              </w:rPr>
                            </w:pPr>
                            <w:r w:rsidRPr="009330F5">
                              <w:rPr>
                                <w:rFonts w:ascii="Verdana" w:hAnsi="Verdana"/>
                                <w:sz w:val="16"/>
                                <w:szCs w:val="16"/>
                                <w:lang w:val="en-US"/>
                              </w:rPr>
                              <w:t xml:space="preserve">Development of synergy between the enterprises, scientific research </w:t>
                            </w:r>
                            <w:proofErr w:type="spellStart"/>
                            <w:r w:rsidRPr="009330F5">
                              <w:rPr>
                                <w:rFonts w:ascii="Verdana" w:hAnsi="Verdana"/>
                                <w:sz w:val="16"/>
                                <w:szCs w:val="16"/>
                                <w:lang w:val="en-US"/>
                              </w:rPr>
                              <w:t>centres</w:t>
                            </w:r>
                            <w:proofErr w:type="spellEnd"/>
                            <w:r w:rsidRPr="009330F5">
                              <w:rPr>
                                <w:rFonts w:ascii="Verdana" w:hAnsi="Verdana"/>
                                <w:sz w:val="16"/>
                                <w:szCs w:val="16"/>
                                <w:lang w:val="en-US"/>
                              </w:rPr>
                              <w:t>, higher and vocational education</w:t>
                            </w:r>
                          </w:p>
                          <w:p w:rsidR="009330F5" w:rsidRPr="006B4633" w:rsidRDefault="009330F5" w:rsidP="009330F5">
                            <w:pPr>
                              <w:pStyle w:val="ListParagraph"/>
                              <w:numPr>
                                <w:ilvl w:val="0"/>
                                <w:numId w:val="92"/>
                              </w:numPr>
                              <w:spacing w:before="40" w:after="0"/>
                              <w:ind w:left="425" w:hanging="357"/>
                              <w:rPr>
                                <w:rFonts w:ascii="Verdana" w:hAnsi="Verdana"/>
                                <w:sz w:val="16"/>
                                <w:szCs w:val="16"/>
                              </w:rPr>
                            </w:pPr>
                            <w:r w:rsidRPr="009330F5">
                              <w:rPr>
                                <w:rFonts w:ascii="Verdana" w:hAnsi="Verdana"/>
                                <w:sz w:val="16"/>
                                <w:szCs w:val="16"/>
                                <w:lang w:val="en-US"/>
                              </w:rPr>
                              <w:t>Raising the capacity of the employed in the sector of education and science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7728C" id="Text Box 54" o:spid="_x0000_s1030" type="#_x0000_t202" style="position:absolute;left:0;text-align:left;margin-left:0;margin-top:61.5pt;width:202.05pt;height:24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" stroked="f">
                <v:textbox>
                  <w:txbxContent>
                    <w:p w:rsidR="009330F5" w:rsidRPr="009330F5" w:rsidRDefault="009330F5" w:rsidP="009330F5">
                      <w:pPr>
                        <w:pStyle w:val="ListParagraph"/>
                        <w:numPr>
                          <w:ilvl w:val="0"/>
                          <w:numId w:val="92"/>
                        </w:numPr>
                        <w:spacing w:after="0" w:line="240" w:lineRule="auto"/>
                        <w:ind w:left="426"/>
                        <w:rPr>
                          <w:rFonts w:ascii="Verdana" w:hAnsi="Verdana"/>
                          <w:sz w:val="16"/>
                          <w:szCs w:val="16"/>
                          <w:lang w:val="en-US"/>
                        </w:rPr>
                      </w:pPr>
                      <w:r w:rsidRPr="009330F5">
                        <w:rPr>
                          <w:rFonts w:ascii="Verdana" w:hAnsi="Verdana"/>
                          <w:sz w:val="16"/>
                          <w:szCs w:val="16"/>
                          <w:lang w:val="en-US"/>
                        </w:rPr>
                        <w:t>Raising the quality of pre-school, basic and secondary education</w:t>
                      </w:r>
                    </w:p>
                    <w:p w:rsidR="009330F5" w:rsidRPr="009330F5" w:rsidRDefault="009330F5" w:rsidP="009330F5">
                      <w:pPr>
                        <w:pStyle w:val="ListParagraph"/>
                        <w:numPr>
                          <w:ilvl w:val="0"/>
                          <w:numId w:val="92"/>
                        </w:numPr>
                        <w:spacing w:before="60" w:after="0" w:line="240" w:lineRule="auto"/>
                        <w:ind w:left="425" w:hanging="357"/>
                        <w:rPr>
                          <w:rFonts w:ascii="Verdana" w:hAnsi="Verdana"/>
                          <w:sz w:val="16"/>
                          <w:szCs w:val="16"/>
                          <w:lang w:val="en-US"/>
                        </w:rPr>
                      </w:pPr>
                      <w:r w:rsidRPr="009330F5">
                        <w:rPr>
                          <w:rFonts w:ascii="Verdana" w:hAnsi="Verdana"/>
                          <w:sz w:val="16"/>
                          <w:szCs w:val="16"/>
                          <w:lang w:val="en-US"/>
                        </w:rPr>
                        <w:t xml:space="preserve">Improving the access of the vulnerable groups to education </w:t>
                      </w:r>
                    </w:p>
                    <w:p w:rsidR="009330F5" w:rsidRPr="009330F5" w:rsidRDefault="009330F5" w:rsidP="009330F5">
                      <w:pPr>
                        <w:pStyle w:val="ListParagraph"/>
                        <w:numPr>
                          <w:ilvl w:val="0"/>
                          <w:numId w:val="92"/>
                        </w:numPr>
                        <w:spacing w:before="40" w:after="0" w:line="240" w:lineRule="auto"/>
                        <w:ind w:left="425" w:hanging="357"/>
                        <w:rPr>
                          <w:rFonts w:ascii="Verdana" w:hAnsi="Verdana"/>
                          <w:sz w:val="16"/>
                          <w:szCs w:val="16"/>
                          <w:lang w:val="en-US"/>
                        </w:rPr>
                      </w:pPr>
                      <w:r w:rsidRPr="009330F5">
                        <w:rPr>
                          <w:rFonts w:ascii="Verdana" w:hAnsi="Verdana"/>
                          <w:sz w:val="16"/>
                          <w:szCs w:val="16"/>
                          <w:lang w:val="en-US"/>
                        </w:rPr>
                        <w:t>Prevention and reduction of early school leaving</w:t>
                      </w:r>
                    </w:p>
                    <w:p w:rsidR="009330F5" w:rsidRPr="009330F5" w:rsidRDefault="009330F5" w:rsidP="009330F5">
                      <w:pPr>
                        <w:pStyle w:val="ListParagraph"/>
                        <w:numPr>
                          <w:ilvl w:val="0"/>
                          <w:numId w:val="92"/>
                        </w:numPr>
                        <w:spacing w:before="80" w:after="0" w:line="240" w:lineRule="auto"/>
                        <w:ind w:left="425" w:hanging="357"/>
                        <w:rPr>
                          <w:rFonts w:ascii="Verdana" w:hAnsi="Verdana"/>
                          <w:sz w:val="16"/>
                          <w:szCs w:val="16"/>
                          <w:lang w:val="en-US"/>
                        </w:rPr>
                      </w:pPr>
                      <w:r w:rsidRPr="009330F5">
                        <w:rPr>
                          <w:rFonts w:ascii="Verdana" w:hAnsi="Verdana"/>
                          <w:sz w:val="16"/>
                          <w:szCs w:val="16"/>
                          <w:lang w:val="en-US"/>
                        </w:rPr>
                        <w:t>Liquidation of illiteracy among adults</w:t>
                      </w:r>
                    </w:p>
                    <w:p w:rsidR="009330F5" w:rsidRPr="009330F5" w:rsidRDefault="009330F5" w:rsidP="009330F5">
                      <w:pPr>
                        <w:pStyle w:val="ListParagraph"/>
                        <w:numPr>
                          <w:ilvl w:val="0"/>
                          <w:numId w:val="92"/>
                        </w:numPr>
                        <w:spacing w:before="160" w:after="0" w:line="240" w:lineRule="auto"/>
                        <w:ind w:left="425" w:hanging="357"/>
                        <w:rPr>
                          <w:rFonts w:ascii="Verdana" w:hAnsi="Verdana"/>
                          <w:sz w:val="16"/>
                          <w:szCs w:val="16"/>
                          <w:lang w:val="en-US"/>
                        </w:rPr>
                      </w:pPr>
                      <w:r w:rsidRPr="009330F5">
                        <w:rPr>
                          <w:rFonts w:ascii="Verdana" w:hAnsi="Verdana"/>
                          <w:sz w:val="16"/>
                          <w:szCs w:val="16"/>
                          <w:lang w:val="en-US"/>
                        </w:rPr>
                        <w:t>Support for the development of vocational education and training</w:t>
                      </w:r>
                    </w:p>
                    <w:p w:rsidR="009330F5" w:rsidRPr="009330F5" w:rsidRDefault="009330F5" w:rsidP="009330F5">
                      <w:pPr>
                        <w:pStyle w:val="ListParagraph"/>
                        <w:numPr>
                          <w:ilvl w:val="0"/>
                          <w:numId w:val="92"/>
                        </w:numPr>
                        <w:spacing w:before="160" w:after="0" w:line="240" w:lineRule="auto"/>
                        <w:ind w:left="425" w:hanging="357"/>
                        <w:rPr>
                          <w:rFonts w:ascii="Verdana" w:hAnsi="Verdana"/>
                          <w:sz w:val="16"/>
                          <w:szCs w:val="16"/>
                          <w:lang w:val="en-US"/>
                        </w:rPr>
                      </w:pPr>
                      <w:r w:rsidRPr="009330F5">
                        <w:rPr>
                          <w:rFonts w:ascii="Verdana" w:hAnsi="Verdana"/>
                          <w:sz w:val="16"/>
                          <w:szCs w:val="16"/>
                          <w:lang w:val="en-US"/>
                        </w:rPr>
                        <w:t>Promotion of continuing education</w:t>
                      </w:r>
                    </w:p>
                    <w:p w:rsidR="009330F5" w:rsidRPr="009330F5" w:rsidRDefault="009330F5" w:rsidP="009330F5">
                      <w:pPr>
                        <w:pStyle w:val="ListParagraph"/>
                        <w:numPr>
                          <w:ilvl w:val="0"/>
                          <w:numId w:val="92"/>
                        </w:numPr>
                        <w:spacing w:before="80" w:after="0" w:line="240" w:lineRule="auto"/>
                        <w:ind w:left="425" w:hanging="357"/>
                        <w:rPr>
                          <w:rFonts w:ascii="Verdana" w:hAnsi="Verdana"/>
                          <w:sz w:val="16"/>
                          <w:szCs w:val="16"/>
                          <w:lang w:val="en-US"/>
                        </w:rPr>
                      </w:pPr>
                      <w:r w:rsidRPr="009330F5">
                        <w:rPr>
                          <w:rFonts w:ascii="Verdana" w:hAnsi="Verdana"/>
                          <w:sz w:val="16"/>
                          <w:szCs w:val="16"/>
                          <w:lang w:val="en-US"/>
                        </w:rPr>
                        <w:t>Improving the quality of higher education</w:t>
                      </w:r>
                    </w:p>
                    <w:p w:rsidR="009330F5" w:rsidRPr="009330F5" w:rsidRDefault="009330F5" w:rsidP="009330F5">
                      <w:pPr>
                        <w:pStyle w:val="ListParagraph"/>
                        <w:numPr>
                          <w:ilvl w:val="0"/>
                          <w:numId w:val="92"/>
                        </w:numPr>
                        <w:spacing w:before="40" w:after="0" w:line="240" w:lineRule="auto"/>
                        <w:ind w:left="425" w:hanging="357"/>
                        <w:rPr>
                          <w:rFonts w:ascii="Verdana" w:hAnsi="Verdana"/>
                          <w:sz w:val="16"/>
                          <w:szCs w:val="16"/>
                          <w:lang w:val="en-US"/>
                        </w:rPr>
                      </w:pPr>
                      <w:r w:rsidRPr="009330F5">
                        <w:rPr>
                          <w:rFonts w:ascii="Verdana" w:hAnsi="Verdana"/>
                          <w:sz w:val="16"/>
                          <w:szCs w:val="16"/>
                          <w:lang w:val="en-US"/>
                        </w:rPr>
                        <w:t>Improving the access to higher education</w:t>
                      </w:r>
                    </w:p>
                    <w:p w:rsidR="009330F5" w:rsidRPr="009330F5" w:rsidRDefault="009330F5" w:rsidP="009330F5">
                      <w:pPr>
                        <w:pStyle w:val="ListParagraph"/>
                        <w:numPr>
                          <w:ilvl w:val="0"/>
                          <w:numId w:val="92"/>
                        </w:numPr>
                        <w:spacing w:after="0" w:line="240" w:lineRule="auto"/>
                        <w:ind w:left="426"/>
                        <w:rPr>
                          <w:rFonts w:ascii="Verdana" w:hAnsi="Verdana"/>
                          <w:sz w:val="16"/>
                          <w:szCs w:val="16"/>
                          <w:lang w:val="en-US"/>
                        </w:rPr>
                      </w:pPr>
                      <w:r w:rsidRPr="009330F5">
                        <w:rPr>
                          <w:rFonts w:ascii="Verdana" w:hAnsi="Verdana"/>
                          <w:sz w:val="16"/>
                          <w:szCs w:val="16"/>
                          <w:lang w:val="en-US"/>
                        </w:rPr>
                        <w:t>Science, research and innovations</w:t>
                      </w:r>
                    </w:p>
                    <w:p w:rsidR="009330F5" w:rsidRPr="009330F5" w:rsidRDefault="009330F5" w:rsidP="009330F5">
                      <w:pPr>
                        <w:pStyle w:val="ListParagraph"/>
                        <w:numPr>
                          <w:ilvl w:val="0"/>
                          <w:numId w:val="92"/>
                        </w:numPr>
                        <w:spacing w:before="120" w:after="0" w:line="240" w:lineRule="auto"/>
                        <w:ind w:left="425" w:hanging="357"/>
                        <w:rPr>
                          <w:rFonts w:ascii="Verdana" w:hAnsi="Verdana"/>
                          <w:sz w:val="16"/>
                          <w:szCs w:val="16"/>
                          <w:lang w:val="en-US"/>
                        </w:rPr>
                      </w:pPr>
                      <w:r w:rsidRPr="009330F5">
                        <w:rPr>
                          <w:rFonts w:ascii="Verdana" w:hAnsi="Verdana"/>
                          <w:sz w:val="16"/>
                          <w:szCs w:val="16"/>
                          <w:lang w:val="en-US"/>
                        </w:rPr>
                        <w:t xml:space="preserve">Development of synergy between the enterprises, scientific research </w:t>
                      </w:r>
                      <w:proofErr w:type="spellStart"/>
                      <w:r w:rsidRPr="009330F5">
                        <w:rPr>
                          <w:rFonts w:ascii="Verdana" w:hAnsi="Verdana"/>
                          <w:sz w:val="16"/>
                          <w:szCs w:val="16"/>
                          <w:lang w:val="en-US"/>
                        </w:rPr>
                        <w:t>centres</w:t>
                      </w:r>
                      <w:proofErr w:type="spellEnd"/>
                      <w:r w:rsidRPr="009330F5">
                        <w:rPr>
                          <w:rFonts w:ascii="Verdana" w:hAnsi="Verdana"/>
                          <w:sz w:val="16"/>
                          <w:szCs w:val="16"/>
                          <w:lang w:val="en-US"/>
                        </w:rPr>
                        <w:t>, higher and vocational education</w:t>
                      </w:r>
                    </w:p>
                    <w:p w:rsidR="009330F5" w:rsidRPr="006B4633" w:rsidRDefault="009330F5" w:rsidP="009330F5">
                      <w:pPr>
                        <w:pStyle w:val="ListParagraph"/>
                        <w:numPr>
                          <w:ilvl w:val="0"/>
                          <w:numId w:val="92"/>
                        </w:numPr>
                        <w:spacing w:before="40" w:after="0"/>
                        <w:ind w:left="425" w:hanging="357"/>
                        <w:rPr>
                          <w:rFonts w:ascii="Verdana" w:hAnsi="Verdana"/>
                          <w:sz w:val="16"/>
                          <w:szCs w:val="16"/>
                        </w:rPr>
                      </w:pPr>
                      <w:r w:rsidRPr="009330F5">
                        <w:rPr>
                          <w:rFonts w:ascii="Verdana" w:hAnsi="Verdana"/>
                          <w:sz w:val="16"/>
                          <w:szCs w:val="16"/>
                          <w:lang w:val="en-US"/>
                        </w:rPr>
                        <w:t>Raising the capacity of the employed in the sector of education and science</w:t>
                      </w:r>
                    </w:p>
                  </w:txbxContent>
                </v:textbox>
              </v:shape>
            </w:pict>
          </mc:Fallback>
        </mc:AlternateContent>
      </w:r>
      <w:r w:rsidR="001C0323" w:rsidRPr="005B6074">
        <w:rPr>
          <w:rFonts w:ascii="Verdana" w:hAnsi="Verdana"/>
          <w:noProof/>
          <w:sz w:val="20"/>
          <w:szCs w:val="20"/>
          <w:lang w:val="bg-BG" w:eastAsia="bg-BG"/>
        </w:rPr>
        <mc:AlternateContent>
          <mc:Choice Requires="wps">
            <w:drawing>
              <wp:anchor distT="0" distB="0" distL="114300" distR="114300" simplePos="0" relativeHeight="251664384" behindDoc="0" locked="0" layoutInCell="1" allowOverlap="1" wp14:anchorId="6B0D1BE8" wp14:editId="70F484B8">
                <wp:simplePos x="0" y="0"/>
                <wp:positionH relativeFrom="column">
                  <wp:posOffset>381000</wp:posOffset>
                </wp:positionH>
                <wp:positionV relativeFrom="paragraph">
                  <wp:posOffset>5248275</wp:posOffset>
                </wp:positionV>
                <wp:extent cx="1352550" cy="228600"/>
                <wp:effectExtent l="0" t="0" r="0" b="0"/>
                <wp:wrapNone/>
                <wp:docPr id="38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86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EAEAEA"/>
                              </a:solidFill>
                              <a:miter lim="800000"/>
                              <a:headEnd/>
                              <a:tailEnd/>
                            </a14:hiddenLine>
                          </a:ext>
                        </a:extLst>
                      </wps:spPr>
                      <wps:txbx>
                        <w:txbxContent>
                          <w:p w:rsidR="005A221F" w:rsidRPr="00686CC8" w:rsidRDefault="009330F5" w:rsidP="009330F5">
                            <w:pPr>
                              <w:spacing w:after="0" w:line="240" w:lineRule="auto"/>
                              <w:rPr>
                                <w:color w:val="000000" w:themeColor="text1"/>
                                <w:sz w:val="18"/>
                                <w:szCs w:val="18"/>
                                <w:lang w:val="en-US"/>
                              </w:rPr>
                            </w:pPr>
                            <w:r w:rsidRPr="009330F5">
                              <w:rPr>
                                <w:rFonts w:ascii="Verdana" w:hAnsi="Verdana"/>
                                <w:sz w:val="14"/>
                                <w:szCs w:val="14"/>
                                <w:lang w:val="en-US"/>
                              </w:rPr>
                              <w:t>Cannot</w:t>
                            </w:r>
                            <w:r>
                              <w:rPr>
                                <w:rFonts w:ascii="Verdana" w:hAnsi="Verdana"/>
                                <w:sz w:val="14"/>
                                <w:szCs w:val="14"/>
                                <w:lang w:val="en-US"/>
                              </w:rPr>
                              <w:t xml:space="preserve"> answer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D1BE8" id="Text Box 55" o:spid="_x0000_s1031" type="#_x0000_t202" style="position:absolute;left:0;text-align:left;margin-left:30pt;margin-top:413.25pt;width:106.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" fillcolor="#f2f2f2 [3052]" stroked="f" strokecolor="#eaeaea">
                <v:textbox>
                  <w:txbxContent>
                    <w:p w:rsidR="005A221F" w:rsidRPr="00686CC8" w:rsidRDefault="009330F5" w:rsidP="009330F5">
                      <w:pPr>
                        <w:spacing w:after="0" w:line="240" w:lineRule="auto"/>
                        <w:rPr>
                          <w:color w:val="000000" w:themeColor="text1"/>
                          <w:sz w:val="18"/>
                          <w:szCs w:val="18"/>
                          <w:lang w:val="en-US"/>
                        </w:rPr>
                      </w:pPr>
                      <w:r w:rsidRPr="009330F5">
                        <w:rPr>
                          <w:rFonts w:ascii="Verdana" w:hAnsi="Verdana"/>
                          <w:sz w:val="14"/>
                          <w:szCs w:val="14"/>
                          <w:lang w:val="en-US"/>
                        </w:rPr>
                        <w:t>Cannot</w:t>
                      </w:r>
                      <w:r>
                        <w:rPr>
                          <w:rFonts w:ascii="Verdana" w:hAnsi="Verdana"/>
                          <w:sz w:val="14"/>
                          <w:szCs w:val="14"/>
                          <w:lang w:val="en-US"/>
                        </w:rPr>
                        <w:t xml:space="preserve"> answer </w:t>
                      </w:r>
                    </w:p>
                  </w:txbxContent>
                </v:textbox>
              </v:shape>
            </w:pict>
          </mc:Fallback>
        </mc:AlternateContent>
      </w:r>
      <w:r w:rsidR="001C0323" w:rsidRPr="005B6074">
        <w:rPr>
          <w:rFonts w:ascii="Verdana" w:hAnsi="Verdana"/>
          <w:noProof/>
          <w:sz w:val="20"/>
          <w:szCs w:val="20"/>
          <w:lang w:val="bg-BG" w:eastAsia="bg-BG"/>
        </w:rPr>
        <mc:AlternateContent>
          <mc:Choice Requires="wps">
            <w:drawing>
              <wp:anchor distT="0" distB="0" distL="114300" distR="114300" simplePos="0" relativeHeight="251662336" behindDoc="0" locked="0" layoutInCell="1" allowOverlap="1" wp14:anchorId="6F948758" wp14:editId="30192897">
                <wp:simplePos x="0" y="0"/>
                <wp:positionH relativeFrom="column">
                  <wp:posOffset>25400</wp:posOffset>
                </wp:positionH>
                <wp:positionV relativeFrom="paragraph">
                  <wp:posOffset>45085</wp:posOffset>
                </wp:positionV>
                <wp:extent cx="5581650" cy="477520"/>
                <wp:effectExtent l="0" t="0" r="3175" b="0"/>
                <wp:wrapNone/>
                <wp:docPr id="37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477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21F" w:rsidRPr="009C03F0" w:rsidRDefault="005A221F" w:rsidP="003764DF">
                            <w:pPr>
                              <w:spacing w:after="0" w:line="240" w:lineRule="auto"/>
                              <w:ind w:left="-142"/>
                              <w:rPr>
                                <w:rFonts w:ascii="Verdana" w:hAnsi="Verdana"/>
                                <w:sz w:val="14"/>
                                <w:szCs w:val="14"/>
                                <w:lang w:val="en-US"/>
                              </w:rPr>
                            </w:pPr>
                            <w:r>
                              <w:rPr>
                                <w:rFonts w:ascii="Verdana" w:hAnsi="Verdana"/>
                                <w:b/>
                                <w:noProof/>
                                <w:sz w:val="16"/>
                                <w:szCs w:val="16"/>
                                <w:lang w:val="bg-BG" w:eastAsia="bg-BG"/>
                              </w:rPr>
                              <w:drawing>
                                <wp:inline distT="0" distB="0" distL="0" distR="0" wp14:anchorId="76A90991" wp14:editId="4DE0FBFB">
                                  <wp:extent cx="5398770" cy="461874"/>
                                  <wp:effectExtent l="1905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3"/>
                                          <a:srcRect/>
                                          <a:stretch>
                                            <a:fillRect/>
                                          </a:stretch>
                                        </pic:blipFill>
                                        <pic:spPr bwMode="auto">
                                          <a:xfrm>
                                            <a:off x="0" y="0"/>
                                            <a:ext cx="5398770" cy="46187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48758" id="Text Box 52" o:spid="_x0000_s1032" type="#_x0000_t202" style="position:absolute;left:0;text-align:left;margin-left:2pt;margin-top:3.55pt;width:439.5pt;height:3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" stroked="f">
                <v:textbox>
                  <w:txbxContent>
                    <w:p w:rsidR="005A221F" w:rsidRPr="009C03F0" w:rsidRDefault="005A221F" w:rsidP="003764DF">
                      <w:pPr>
                        <w:spacing w:after="0" w:line="240" w:lineRule="auto"/>
                        <w:ind w:left="-142"/>
                        <w:rPr>
                          <w:rFonts w:ascii="Verdana" w:hAnsi="Verdana"/>
                          <w:sz w:val="14"/>
                          <w:szCs w:val="14"/>
                          <w:lang w:val="en-US"/>
                        </w:rPr>
                      </w:pPr>
                      <w:r>
                        <w:rPr>
                          <w:rFonts w:ascii="Verdana" w:hAnsi="Verdana"/>
                          <w:b/>
                          <w:noProof/>
                          <w:sz w:val="16"/>
                          <w:szCs w:val="16"/>
                          <w:lang w:val="bg-BG" w:eastAsia="bg-BG"/>
                        </w:rPr>
                        <w:drawing>
                          <wp:inline distT="0" distB="0" distL="0" distR="0" wp14:anchorId="76A90991" wp14:editId="4DE0FBFB">
                            <wp:extent cx="5398770" cy="461874"/>
                            <wp:effectExtent l="1905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3"/>
                                    <a:srcRect/>
                                    <a:stretch>
                                      <a:fillRect/>
                                    </a:stretch>
                                  </pic:blipFill>
                                  <pic:spPr bwMode="auto">
                                    <a:xfrm>
                                      <a:off x="0" y="0"/>
                                      <a:ext cx="5398770" cy="461874"/>
                                    </a:xfrm>
                                    <a:prstGeom prst="rect">
                                      <a:avLst/>
                                    </a:prstGeom>
                                    <a:noFill/>
                                    <a:ln w="9525">
                                      <a:noFill/>
                                      <a:miter lim="800000"/>
                                      <a:headEnd/>
                                      <a:tailEnd/>
                                    </a:ln>
                                  </pic:spPr>
                                </pic:pic>
                              </a:graphicData>
                            </a:graphic>
                          </wp:inline>
                        </w:drawing>
                      </w:r>
                    </w:p>
                  </w:txbxContent>
                </v:textbox>
              </v:shape>
            </w:pict>
          </mc:Fallback>
        </mc:AlternateContent>
      </w:r>
      <w:r w:rsidR="00C513B7" w:rsidRPr="005B6074">
        <w:rPr>
          <w:rFonts w:ascii="Verdana" w:hAnsi="Verdana"/>
          <w:noProof/>
          <w:sz w:val="20"/>
          <w:szCs w:val="20"/>
          <w:lang w:val="bg-BG" w:eastAsia="bg-BG"/>
        </w:rPr>
        <w:drawing>
          <wp:inline distT="0" distB="0" distL="0" distR="0" wp14:anchorId="5509E0BB" wp14:editId="76FF483D">
            <wp:extent cx="5772150" cy="5629275"/>
            <wp:effectExtent l="0" t="0" r="0" b="9525"/>
            <wp:docPr id="2" name="New picture"/>
            <wp:cNvGraphicFramePr/>
            <a:graphic xmlns:a="http://schemas.openxmlformats.org/drawingml/2006/main">
              <a:graphicData uri="http://schemas.openxmlformats.org/drawingml/2006/picture">
                <pic:pic xmlns:pic="http://schemas.openxmlformats.org/drawingml/2006/picture">
                  <pic:nvPicPr>
                    <pic:cNvPr id="2" name="New picture"/>
                    <pic:cNvPicPr/>
                  </pic:nvPicPr>
                  <pic:blipFill>
                    <a:blip r:embed="rId44" cstate="print"/>
                    <a:srcRect/>
                    <a:stretch>
                      <a:fillRect/>
                    </a:stretch>
                  </pic:blipFill>
                  <pic:spPr>
                    <a:xfrm>
                      <a:off x="0" y="0"/>
                      <a:ext cx="5772150" cy="5629275"/>
                    </a:xfrm>
                    <a:prstGeom prst="rect">
                      <a:avLst/>
                    </a:prstGeom>
                    <a:ln>
                      <a:noFill/>
                    </a:ln>
                  </pic:spPr>
                </pic:pic>
              </a:graphicData>
            </a:graphic>
          </wp:inline>
        </w:drawing>
      </w:r>
      <w:bookmarkStart w:id="156" w:name="_Ref384994195"/>
      <w:bookmarkStart w:id="157" w:name="_Ref384994183"/>
      <w:r w:rsidR="00A35E98" w:rsidRPr="005B6074">
        <w:rPr>
          <w:rFonts w:ascii="Verdana" w:hAnsi="Verdana"/>
          <w:i/>
          <w:sz w:val="16"/>
          <w:szCs w:val="16"/>
          <w:lang w:eastAsia="bg-BG"/>
        </w:rPr>
        <w:t>Source: On-line survey of potential beneficiaries of the Programme, members of the Working group for preparation of the Programme and experts from the MA.</w:t>
      </w:r>
    </w:p>
    <w:p w:rsidR="00C513B7" w:rsidRDefault="00A35E98" w:rsidP="003753FE">
      <w:pPr>
        <w:pStyle w:val="Caption"/>
        <w:keepNext/>
        <w:jc w:val="center"/>
        <w:rPr>
          <w:rFonts w:ascii="Verdana" w:hAnsi="Verdana"/>
          <w:color w:val="006CB6"/>
        </w:rPr>
      </w:pPr>
      <w:bookmarkStart w:id="158" w:name="_Toc390257330"/>
      <w:bookmarkStart w:id="159" w:name="_Toc396225641"/>
      <w:r w:rsidRPr="005B6074">
        <w:rPr>
          <w:rFonts w:ascii="Verdana" w:hAnsi="Verdana"/>
          <w:color w:val="006CB6"/>
        </w:rPr>
        <w:t xml:space="preserve">Figure </w:t>
      </w:r>
      <w:r w:rsidRPr="005B6074">
        <w:rPr>
          <w:rFonts w:ascii="Verdana" w:hAnsi="Verdana"/>
          <w:color w:val="006CB6"/>
        </w:rPr>
        <w:fldChar w:fldCharType="begin"/>
      </w:r>
      <w:r w:rsidRPr="005B6074">
        <w:rPr>
          <w:rFonts w:ascii="Verdana" w:hAnsi="Verdana"/>
          <w:color w:val="006CB6"/>
        </w:rPr>
        <w:instrText xml:space="preserve"> SEQ Фигура \* ARABIC </w:instrText>
      </w:r>
      <w:r w:rsidRPr="005B6074">
        <w:rPr>
          <w:rFonts w:ascii="Verdana" w:hAnsi="Verdana"/>
          <w:color w:val="006CB6"/>
        </w:rPr>
        <w:fldChar w:fldCharType="separate"/>
      </w:r>
      <w:r w:rsidR="009330F5">
        <w:rPr>
          <w:rFonts w:ascii="Verdana" w:hAnsi="Verdana"/>
          <w:noProof/>
          <w:color w:val="006CB6"/>
        </w:rPr>
        <w:t>5</w:t>
      </w:r>
      <w:r w:rsidRPr="005B6074">
        <w:rPr>
          <w:rFonts w:ascii="Verdana" w:hAnsi="Verdana"/>
          <w:color w:val="006CB6"/>
        </w:rPr>
        <w:fldChar w:fldCharType="end"/>
      </w:r>
      <w:bookmarkEnd w:id="156"/>
      <w:r w:rsidRPr="005B6074">
        <w:rPr>
          <w:rFonts w:ascii="Verdana" w:hAnsi="Verdana"/>
          <w:color w:val="006CB6"/>
        </w:rPr>
        <w:t>: Priority areas of support according to the conducted on-line survey</w:t>
      </w:r>
      <w:bookmarkEnd w:id="157"/>
      <w:bookmarkEnd w:id="158"/>
      <w:bookmarkEnd w:id="159"/>
    </w:p>
    <w:p w:rsidR="005A221F" w:rsidRPr="005A221F" w:rsidRDefault="005A221F" w:rsidP="005A221F"/>
    <w:tbl>
      <w:tblPr>
        <w:tblW w:w="0" w:type="auto"/>
        <w:tblInd w:w="108" w:type="dxa"/>
        <w:tblBorders>
          <w:top w:val="single" w:sz="4" w:space="0" w:color="auto"/>
          <w:bottom w:val="single" w:sz="4" w:space="0" w:color="auto"/>
        </w:tblBorders>
        <w:tblLook w:val="04A0" w:firstRow="1" w:lastRow="0" w:firstColumn="1" w:lastColumn="0" w:noHBand="0" w:noVBand="1"/>
      </w:tblPr>
      <w:tblGrid>
        <w:gridCol w:w="713"/>
        <w:gridCol w:w="8269"/>
      </w:tblGrid>
      <w:tr w:rsidR="00C513B7" w:rsidRPr="00A11546" w:rsidTr="00F24971">
        <w:tc>
          <w:tcPr>
            <w:tcW w:w="720" w:type="dxa"/>
            <w:vAlign w:val="center"/>
          </w:tcPr>
          <w:p w:rsidR="00C513B7" w:rsidRPr="00A11546" w:rsidRDefault="00A35E98" w:rsidP="00A11546">
            <w:pPr>
              <w:rPr>
                <w:rFonts w:ascii="Verdana" w:hAnsi="Verdana"/>
                <w:b/>
                <w:sz w:val="44"/>
                <w:szCs w:val="44"/>
              </w:rPr>
            </w:pPr>
            <w:r w:rsidRPr="00A11546">
              <w:rPr>
                <w:rFonts w:ascii="Verdana" w:hAnsi="Verdana"/>
                <w:b/>
                <w:color w:val="548DD4" w:themeColor="text2" w:themeTint="99"/>
                <w:sz w:val="44"/>
                <w:szCs w:val="44"/>
              </w:rPr>
              <w:t>?</w:t>
            </w:r>
          </w:p>
        </w:tc>
        <w:tc>
          <w:tcPr>
            <w:tcW w:w="8460" w:type="dxa"/>
            <w:shd w:val="clear" w:color="auto" w:fill="B8CCE4"/>
          </w:tcPr>
          <w:p w:rsidR="00C513B7" w:rsidRPr="00A11546" w:rsidRDefault="00A35E98" w:rsidP="00A11546">
            <w:pPr>
              <w:rPr>
                <w:rFonts w:ascii="Verdana" w:hAnsi="Verdana"/>
                <w:sz w:val="20"/>
                <w:szCs w:val="20"/>
              </w:rPr>
            </w:pPr>
            <w:r w:rsidRPr="00A11546">
              <w:rPr>
                <w:rFonts w:ascii="Verdana" w:hAnsi="Verdana"/>
                <w:sz w:val="20"/>
                <w:szCs w:val="20"/>
              </w:rPr>
              <w:t>Evaluation of the integration of the horizontal principles</w:t>
            </w:r>
          </w:p>
          <w:p w:rsidR="00C513B7" w:rsidRPr="00A11546" w:rsidRDefault="00A35E98" w:rsidP="00A11546">
            <w:pPr>
              <w:rPr>
                <w:rFonts w:ascii="Verdana" w:hAnsi="Verdana"/>
                <w:sz w:val="20"/>
                <w:szCs w:val="20"/>
              </w:rPr>
            </w:pPr>
            <w:r w:rsidRPr="00A11546">
              <w:rPr>
                <w:rFonts w:ascii="Verdana" w:hAnsi="Verdana"/>
                <w:sz w:val="20"/>
                <w:szCs w:val="20"/>
              </w:rPr>
              <w:t>Analysis of the extent to which the principle of equality and non-discrimination has been laid down in the programme document and the extent to which it is really present in the different parts of the Programme:;</w:t>
            </w:r>
          </w:p>
          <w:p w:rsidR="00C513B7" w:rsidRPr="00A11546" w:rsidRDefault="00A35E98" w:rsidP="00A11546">
            <w:pPr>
              <w:rPr>
                <w:rFonts w:ascii="Verdana" w:hAnsi="Verdana"/>
                <w:sz w:val="20"/>
                <w:szCs w:val="20"/>
              </w:rPr>
            </w:pPr>
            <w:r w:rsidRPr="00A11546">
              <w:rPr>
                <w:rFonts w:ascii="Verdana" w:hAnsi="Verdana"/>
                <w:sz w:val="20"/>
                <w:szCs w:val="20"/>
              </w:rPr>
              <w:t>Evaluation of the potential contribution of the Programme to the promotion of equal gender opportunities and non-discrimination;</w:t>
            </w:r>
          </w:p>
        </w:tc>
      </w:tr>
    </w:tbl>
    <w:p w:rsidR="00C513B7" w:rsidRPr="005B6074" w:rsidRDefault="00A35E98" w:rsidP="003753FE">
      <w:pPr>
        <w:pBdr>
          <w:bottom w:val="single" w:sz="4" w:space="1" w:color="0070C0"/>
        </w:pBdr>
        <w:spacing w:before="360" w:after="120"/>
        <w:ind w:right="27"/>
        <w:jc w:val="both"/>
        <w:rPr>
          <w:rFonts w:ascii="Verdana" w:hAnsi="Verdana"/>
          <w:color w:val="0070C0"/>
          <w:sz w:val="20"/>
          <w:szCs w:val="20"/>
          <w:lang w:eastAsia="cs-CZ"/>
        </w:rPr>
      </w:pPr>
      <w:r w:rsidRPr="005B6074">
        <w:rPr>
          <w:rFonts w:ascii="Verdana" w:hAnsi="Verdana"/>
          <w:color w:val="0070C0"/>
          <w:sz w:val="20"/>
          <w:szCs w:val="20"/>
          <w:lang w:eastAsia="cs-CZ"/>
        </w:rPr>
        <w:lastRenderedPageBreak/>
        <w:t>Horizontal principles underlying the main regulations for the period 2014–2020</w:t>
      </w:r>
    </w:p>
    <w:p w:rsidR="00C513B7" w:rsidRPr="005B6074" w:rsidRDefault="00A35E98" w:rsidP="003753FE">
      <w:pPr>
        <w:spacing w:before="120" w:after="120"/>
        <w:jc w:val="both"/>
        <w:rPr>
          <w:rFonts w:ascii="Verdana" w:hAnsi="Verdana"/>
          <w:sz w:val="20"/>
          <w:szCs w:val="20"/>
        </w:rPr>
      </w:pPr>
      <w:r w:rsidRPr="005B6074">
        <w:rPr>
          <w:rFonts w:ascii="Verdana" w:hAnsi="Verdana"/>
          <w:sz w:val="20"/>
          <w:szCs w:val="20"/>
        </w:rPr>
        <w:t>The horizontal principles specified in the main regulations for the programming period 2014–2020, as well as in the draft for the Partnership Agreement between the Republic of Bulgaria and the European Commission, are systematically lis</w:t>
      </w:r>
      <w:r w:rsidRPr="003753FE">
        <w:rPr>
          <w:rFonts w:ascii="Verdana" w:hAnsi="Verdana"/>
          <w:sz w:val="20"/>
          <w:szCs w:val="20"/>
        </w:rPr>
        <w:t xml:space="preserve">ted in </w:t>
      </w:r>
      <w:r w:rsidRPr="003753FE">
        <w:fldChar w:fldCharType="begin"/>
      </w:r>
      <w:r w:rsidRPr="003753FE">
        <w:instrText xml:space="preserve"> REF _Ref366664420 \h  \* MERGEFORMAT </w:instrText>
      </w:r>
      <w:r w:rsidRPr="003753FE">
        <w:fldChar w:fldCharType="separate"/>
      </w:r>
      <w:r w:rsidR="009330F5" w:rsidRPr="009330F5">
        <w:rPr>
          <w:rFonts w:ascii="Verdana" w:hAnsi="Verdana"/>
          <w:sz w:val="20"/>
          <w:szCs w:val="20"/>
        </w:rPr>
        <w:t>Table 32</w:t>
      </w:r>
      <w:r w:rsidRPr="003753FE">
        <w:fldChar w:fldCharType="end"/>
      </w:r>
      <w:r w:rsidR="003753FE">
        <w:t>.</w:t>
      </w:r>
    </w:p>
    <w:p w:rsidR="00C513B7" w:rsidRPr="005B6074" w:rsidRDefault="00A35E98" w:rsidP="003753FE">
      <w:pPr>
        <w:pStyle w:val="Caption"/>
        <w:spacing w:after="120"/>
        <w:jc w:val="both"/>
        <w:rPr>
          <w:rFonts w:ascii="Verdana" w:hAnsi="Verdana"/>
          <w:color w:val="548DD4" w:themeColor="text2" w:themeTint="99"/>
        </w:rPr>
      </w:pPr>
      <w:bookmarkStart w:id="160" w:name="_Ref366664420"/>
      <w:bookmarkStart w:id="161" w:name="_Toc373747285"/>
      <w:bookmarkStart w:id="162" w:name="_Toc381712224"/>
      <w:bookmarkStart w:id="163" w:name="_Toc390257088"/>
      <w:bookmarkStart w:id="164" w:name="_Toc396225627"/>
      <w:r w:rsidRPr="005B6074">
        <w:rPr>
          <w:rFonts w:ascii="Verdana" w:hAnsi="Verdana"/>
          <w:color w:val="548DD4" w:themeColor="text2" w:themeTint="99"/>
        </w:rPr>
        <w:t xml:space="preserve">Table </w:t>
      </w:r>
      <w:r w:rsidRPr="005B6074">
        <w:rPr>
          <w:rFonts w:ascii="Verdana" w:hAnsi="Verdana"/>
          <w:color w:val="548DD4" w:themeColor="text2" w:themeTint="99"/>
        </w:rPr>
        <w:fldChar w:fldCharType="begin"/>
      </w:r>
      <w:r w:rsidRPr="005B6074">
        <w:rPr>
          <w:rFonts w:ascii="Verdana" w:hAnsi="Verdana"/>
          <w:color w:val="548DD4" w:themeColor="text2" w:themeTint="99"/>
        </w:rPr>
        <w:instrText xml:space="preserve"> SEQ таблица \* ARABIC </w:instrText>
      </w:r>
      <w:r w:rsidRPr="005B6074">
        <w:rPr>
          <w:rFonts w:ascii="Verdana" w:hAnsi="Verdana"/>
          <w:color w:val="548DD4" w:themeColor="text2" w:themeTint="99"/>
        </w:rPr>
        <w:fldChar w:fldCharType="separate"/>
      </w:r>
      <w:r w:rsidR="009330F5">
        <w:rPr>
          <w:rFonts w:ascii="Verdana" w:hAnsi="Verdana"/>
          <w:noProof/>
          <w:color w:val="548DD4" w:themeColor="text2" w:themeTint="99"/>
        </w:rPr>
        <w:t>32</w:t>
      </w:r>
      <w:r w:rsidRPr="005B6074">
        <w:rPr>
          <w:rFonts w:ascii="Verdana" w:hAnsi="Verdana"/>
          <w:color w:val="548DD4" w:themeColor="text2" w:themeTint="99"/>
        </w:rPr>
        <w:fldChar w:fldCharType="end"/>
      </w:r>
      <w:bookmarkEnd w:id="160"/>
      <w:r w:rsidRPr="005B6074">
        <w:rPr>
          <w:rFonts w:ascii="Verdana" w:hAnsi="Verdana"/>
          <w:color w:val="548DD4" w:themeColor="text2" w:themeTint="99"/>
        </w:rPr>
        <w:t>. Horizontal principles, laid down in the regulations for the period 2014-2020 and in the Partnership Agreement</w:t>
      </w:r>
      <w:bookmarkEnd w:id="161"/>
      <w:bookmarkEnd w:id="162"/>
      <w:bookmarkEnd w:id="163"/>
      <w:bookmarkEnd w:id="164"/>
    </w:p>
    <w:tbl>
      <w:tblPr>
        <w:tblStyle w:val="TableGrid"/>
        <w:tblW w:w="0" w:type="auto"/>
        <w:tblInd w:w="108"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2559"/>
        <w:gridCol w:w="3883"/>
        <w:gridCol w:w="2520"/>
      </w:tblGrid>
      <w:tr w:rsidR="00A11546" w:rsidRPr="00A11546" w:rsidTr="00F24971">
        <w:tc>
          <w:tcPr>
            <w:tcW w:w="2581" w:type="dxa"/>
            <w:shd w:val="clear" w:color="auto" w:fill="548DD4" w:themeFill="text2" w:themeFillTint="99"/>
            <w:vAlign w:val="center"/>
          </w:tcPr>
          <w:p w:rsidR="00C513B7" w:rsidRPr="00A11546" w:rsidRDefault="00A35E98" w:rsidP="00A11546">
            <w:pPr>
              <w:jc w:val="center"/>
              <w:rPr>
                <w:rFonts w:ascii="Verdana" w:hAnsi="Verdana"/>
                <w:b/>
                <w:color w:val="F2F2F2" w:themeColor="background1" w:themeShade="F2"/>
                <w:sz w:val="18"/>
                <w:szCs w:val="18"/>
              </w:rPr>
            </w:pPr>
            <w:r w:rsidRPr="00A11546">
              <w:rPr>
                <w:rFonts w:ascii="Verdana" w:hAnsi="Verdana"/>
                <w:b/>
                <w:color w:val="F2F2F2" w:themeColor="background1" w:themeShade="F2"/>
                <w:sz w:val="18"/>
                <w:szCs w:val="18"/>
              </w:rPr>
              <w:t>Regulation laying down the common provisions</w:t>
            </w:r>
            <w:r w:rsidRPr="00A11546">
              <w:rPr>
                <w:rStyle w:val="FootnoteReference"/>
                <w:rFonts w:ascii="Verdana" w:hAnsi="Verdana"/>
                <w:b/>
                <w:color w:val="F2F2F2" w:themeColor="background1" w:themeShade="F2"/>
                <w:sz w:val="18"/>
                <w:szCs w:val="18"/>
              </w:rPr>
              <w:footnoteReference w:id="4"/>
            </w:r>
          </w:p>
        </w:tc>
        <w:tc>
          <w:tcPr>
            <w:tcW w:w="3969" w:type="dxa"/>
            <w:shd w:val="clear" w:color="auto" w:fill="548DD4" w:themeFill="text2" w:themeFillTint="99"/>
            <w:vAlign w:val="center"/>
          </w:tcPr>
          <w:p w:rsidR="00C513B7" w:rsidRPr="00A11546" w:rsidRDefault="00A35E98" w:rsidP="00A11546">
            <w:pPr>
              <w:jc w:val="center"/>
              <w:rPr>
                <w:rFonts w:ascii="Verdana" w:hAnsi="Verdana"/>
                <w:b/>
                <w:color w:val="F2F2F2" w:themeColor="background1" w:themeShade="F2"/>
                <w:sz w:val="18"/>
                <w:szCs w:val="18"/>
              </w:rPr>
            </w:pPr>
            <w:r w:rsidRPr="00A11546">
              <w:rPr>
                <w:rFonts w:ascii="Verdana" w:hAnsi="Verdana"/>
                <w:b/>
                <w:color w:val="F2F2F2" w:themeColor="background1" w:themeShade="F2"/>
                <w:sz w:val="18"/>
                <w:szCs w:val="18"/>
              </w:rPr>
              <w:t>ESF Regulation</w:t>
            </w:r>
            <w:r w:rsidRPr="00A11546">
              <w:rPr>
                <w:rStyle w:val="FootnoteReference"/>
                <w:rFonts w:ascii="Verdana" w:hAnsi="Verdana"/>
                <w:b/>
                <w:color w:val="F2F2F2" w:themeColor="background1" w:themeShade="F2"/>
                <w:sz w:val="18"/>
                <w:szCs w:val="18"/>
              </w:rPr>
              <w:footnoteReference w:id="5"/>
            </w:r>
          </w:p>
        </w:tc>
        <w:tc>
          <w:tcPr>
            <w:tcW w:w="2540" w:type="dxa"/>
            <w:shd w:val="clear" w:color="auto" w:fill="548DD4" w:themeFill="text2" w:themeFillTint="99"/>
            <w:vAlign w:val="center"/>
          </w:tcPr>
          <w:p w:rsidR="00C513B7" w:rsidRPr="00A11546" w:rsidRDefault="00A35E98" w:rsidP="00A11546">
            <w:pPr>
              <w:jc w:val="center"/>
              <w:rPr>
                <w:rFonts w:ascii="Verdana" w:hAnsi="Verdana"/>
                <w:b/>
                <w:color w:val="F2F2F2" w:themeColor="background1" w:themeShade="F2"/>
                <w:sz w:val="18"/>
                <w:szCs w:val="18"/>
              </w:rPr>
            </w:pPr>
            <w:r w:rsidRPr="00A11546">
              <w:rPr>
                <w:rFonts w:ascii="Verdana" w:hAnsi="Verdana"/>
                <w:b/>
                <w:color w:val="F2F2F2" w:themeColor="background1" w:themeShade="F2"/>
                <w:sz w:val="18"/>
                <w:szCs w:val="18"/>
              </w:rPr>
              <w:t>Partnership Agreement</w:t>
            </w:r>
          </w:p>
        </w:tc>
      </w:tr>
      <w:tr w:rsidR="00C513B7" w:rsidRPr="005B6074" w:rsidTr="00F24971">
        <w:tc>
          <w:tcPr>
            <w:tcW w:w="2581" w:type="dxa"/>
          </w:tcPr>
          <w:p w:rsidR="00C513B7" w:rsidRPr="00A11546" w:rsidRDefault="00A35E98" w:rsidP="00181A22">
            <w:pPr>
              <w:pStyle w:val="ListParagraph"/>
              <w:numPr>
                <w:ilvl w:val="0"/>
                <w:numId w:val="98"/>
              </w:numPr>
              <w:spacing w:after="0"/>
              <w:ind w:left="483" w:hanging="283"/>
              <w:rPr>
                <w:rFonts w:ascii="Verdana" w:hAnsi="Verdana"/>
                <w:sz w:val="20"/>
                <w:szCs w:val="20"/>
              </w:rPr>
            </w:pPr>
            <w:r w:rsidRPr="00A11546">
              <w:rPr>
                <w:rFonts w:ascii="Verdana" w:hAnsi="Verdana"/>
                <w:sz w:val="20"/>
                <w:szCs w:val="20"/>
              </w:rPr>
              <w:t xml:space="preserve">Partnership </w:t>
            </w:r>
            <w:r w:rsidR="00C32D72" w:rsidRPr="00A11546">
              <w:rPr>
                <w:rFonts w:ascii="Verdana" w:hAnsi="Verdana"/>
                <w:sz w:val="20"/>
                <w:szCs w:val="20"/>
              </w:rPr>
              <w:t>and</w:t>
            </w:r>
            <w:r w:rsidRPr="00A11546">
              <w:rPr>
                <w:rFonts w:ascii="Verdana" w:hAnsi="Verdana"/>
                <w:sz w:val="20"/>
                <w:szCs w:val="20"/>
              </w:rPr>
              <w:t xml:space="preserve"> multi-level governance</w:t>
            </w:r>
          </w:p>
          <w:p w:rsidR="00C513B7" w:rsidRPr="00A11546" w:rsidRDefault="00A35E98" w:rsidP="00181A22">
            <w:pPr>
              <w:pStyle w:val="ListParagraph"/>
              <w:numPr>
                <w:ilvl w:val="0"/>
                <w:numId w:val="98"/>
              </w:numPr>
              <w:spacing w:after="0"/>
              <w:ind w:left="483" w:hanging="283"/>
              <w:rPr>
                <w:rFonts w:ascii="Verdana" w:hAnsi="Verdana"/>
                <w:sz w:val="20"/>
                <w:szCs w:val="20"/>
              </w:rPr>
            </w:pPr>
            <w:r w:rsidRPr="00A11546">
              <w:rPr>
                <w:rFonts w:ascii="Verdana" w:hAnsi="Verdana"/>
                <w:sz w:val="20"/>
                <w:szCs w:val="20"/>
              </w:rPr>
              <w:t>Promotion of equality of men and women and non-discrimination</w:t>
            </w:r>
          </w:p>
          <w:p w:rsidR="00C513B7" w:rsidRPr="00A11546" w:rsidRDefault="00A35E98" w:rsidP="00181A22">
            <w:pPr>
              <w:pStyle w:val="ListParagraph"/>
              <w:numPr>
                <w:ilvl w:val="0"/>
                <w:numId w:val="98"/>
              </w:numPr>
              <w:spacing w:after="0"/>
              <w:ind w:left="483" w:hanging="283"/>
              <w:rPr>
                <w:rFonts w:ascii="Verdana" w:hAnsi="Verdana"/>
                <w:sz w:val="20"/>
                <w:szCs w:val="20"/>
              </w:rPr>
            </w:pPr>
            <w:r w:rsidRPr="00A11546">
              <w:rPr>
                <w:rFonts w:ascii="Verdana" w:hAnsi="Verdana"/>
                <w:sz w:val="20"/>
                <w:szCs w:val="20"/>
              </w:rPr>
              <w:t>Sustainable development</w:t>
            </w:r>
          </w:p>
        </w:tc>
        <w:tc>
          <w:tcPr>
            <w:tcW w:w="3969" w:type="dxa"/>
          </w:tcPr>
          <w:p w:rsidR="00C513B7" w:rsidRPr="00A11546" w:rsidRDefault="00A35E98" w:rsidP="00181A22">
            <w:pPr>
              <w:pStyle w:val="ListParagraph"/>
              <w:numPr>
                <w:ilvl w:val="0"/>
                <w:numId w:val="98"/>
              </w:numPr>
              <w:spacing w:after="0"/>
              <w:ind w:left="483" w:hanging="283"/>
              <w:rPr>
                <w:rFonts w:ascii="Verdana" w:hAnsi="Verdana"/>
                <w:sz w:val="20"/>
                <w:szCs w:val="20"/>
              </w:rPr>
            </w:pPr>
            <w:r w:rsidRPr="00A11546">
              <w:rPr>
                <w:rFonts w:ascii="Verdana" w:hAnsi="Verdana"/>
                <w:sz w:val="20"/>
                <w:szCs w:val="20"/>
              </w:rPr>
              <w:t>Partner participation</w:t>
            </w:r>
          </w:p>
          <w:p w:rsidR="00C513B7" w:rsidRPr="00A11546" w:rsidRDefault="00A35E98" w:rsidP="00181A22">
            <w:pPr>
              <w:pStyle w:val="ListParagraph"/>
              <w:numPr>
                <w:ilvl w:val="0"/>
                <w:numId w:val="98"/>
              </w:numPr>
              <w:spacing w:after="0"/>
              <w:ind w:left="483" w:hanging="283"/>
              <w:rPr>
                <w:rFonts w:ascii="Verdana" w:hAnsi="Verdana"/>
                <w:sz w:val="20"/>
                <w:szCs w:val="20"/>
              </w:rPr>
            </w:pPr>
            <w:r w:rsidRPr="00A11546">
              <w:rPr>
                <w:rFonts w:ascii="Verdana" w:hAnsi="Verdana"/>
                <w:sz w:val="20"/>
                <w:szCs w:val="20"/>
              </w:rPr>
              <w:t>Promotion of equality of men and women</w:t>
            </w:r>
          </w:p>
          <w:p w:rsidR="00C513B7" w:rsidRPr="00A11546" w:rsidRDefault="00A35E98" w:rsidP="00181A22">
            <w:pPr>
              <w:pStyle w:val="ListParagraph"/>
              <w:numPr>
                <w:ilvl w:val="0"/>
                <w:numId w:val="98"/>
              </w:numPr>
              <w:spacing w:after="0"/>
              <w:ind w:left="483" w:hanging="283"/>
              <w:rPr>
                <w:rFonts w:ascii="Verdana" w:hAnsi="Verdana"/>
                <w:sz w:val="20"/>
                <w:szCs w:val="20"/>
              </w:rPr>
            </w:pPr>
            <w:r w:rsidRPr="00A11546">
              <w:rPr>
                <w:rFonts w:ascii="Verdana" w:hAnsi="Verdana"/>
                <w:sz w:val="20"/>
                <w:szCs w:val="20"/>
              </w:rPr>
              <w:t>Promotion of equal opportunities and non-discrimination</w:t>
            </w:r>
          </w:p>
          <w:p w:rsidR="00C513B7" w:rsidRPr="00A11546" w:rsidRDefault="00A35E98" w:rsidP="00181A22">
            <w:pPr>
              <w:pStyle w:val="ListParagraph"/>
              <w:numPr>
                <w:ilvl w:val="0"/>
                <w:numId w:val="98"/>
              </w:numPr>
              <w:spacing w:after="0"/>
              <w:ind w:left="483" w:hanging="283"/>
              <w:rPr>
                <w:rFonts w:ascii="Verdana" w:hAnsi="Verdana"/>
                <w:sz w:val="20"/>
                <w:szCs w:val="20"/>
              </w:rPr>
            </w:pPr>
            <w:r w:rsidRPr="00A11546">
              <w:rPr>
                <w:rFonts w:ascii="Verdana" w:hAnsi="Verdana"/>
                <w:sz w:val="20"/>
                <w:szCs w:val="20"/>
              </w:rPr>
              <w:t>Social innovations</w:t>
            </w:r>
          </w:p>
          <w:p w:rsidR="00C513B7" w:rsidRPr="00A11546" w:rsidRDefault="00A35E98" w:rsidP="00181A22">
            <w:pPr>
              <w:pStyle w:val="ListParagraph"/>
              <w:numPr>
                <w:ilvl w:val="0"/>
                <w:numId w:val="98"/>
              </w:numPr>
              <w:spacing w:after="0"/>
              <w:ind w:left="483" w:hanging="283"/>
              <w:rPr>
                <w:rFonts w:ascii="Verdana" w:hAnsi="Verdana"/>
                <w:sz w:val="20"/>
                <w:szCs w:val="20"/>
              </w:rPr>
            </w:pPr>
            <w:r w:rsidRPr="00A11546">
              <w:rPr>
                <w:rFonts w:ascii="Verdana" w:hAnsi="Verdana"/>
                <w:sz w:val="20"/>
                <w:szCs w:val="20"/>
              </w:rPr>
              <w:t>Trans-national cooperation</w:t>
            </w:r>
          </w:p>
        </w:tc>
        <w:tc>
          <w:tcPr>
            <w:tcW w:w="2540" w:type="dxa"/>
          </w:tcPr>
          <w:p w:rsidR="00C513B7" w:rsidRPr="00A11546" w:rsidRDefault="00A35E98" w:rsidP="00181A22">
            <w:pPr>
              <w:pStyle w:val="ListParagraph"/>
              <w:numPr>
                <w:ilvl w:val="0"/>
                <w:numId w:val="98"/>
              </w:numPr>
              <w:spacing w:after="0"/>
              <w:ind w:left="483" w:hanging="283"/>
              <w:rPr>
                <w:rFonts w:ascii="Verdana" w:hAnsi="Verdana"/>
                <w:sz w:val="20"/>
                <w:szCs w:val="20"/>
              </w:rPr>
            </w:pPr>
            <w:r w:rsidRPr="00A11546">
              <w:rPr>
                <w:rFonts w:ascii="Verdana" w:hAnsi="Verdana"/>
                <w:sz w:val="20"/>
                <w:szCs w:val="20"/>
              </w:rPr>
              <w:t>Partnership</w:t>
            </w:r>
          </w:p>
          <w:p w:rsidR="00C513B7" w:rsidRPr="00A11546" w:rsidRDefault="00A35E98" w:rsidP="00181A22">
            <w:pPr>
              <w:pStyle w:val="ListParagraph"/>
              <w:numPr>
                <w:ilvl w:val="0"/>
                <w:numId w:val="98"/>
              </w:numPr>
              <w:spacing w:after="0"/>
              <w:ind w:left="483" w:hanging="283"/>
              <w:rPr>
                <w:rFonts w:ascii="Verdana" w:hAnsi="Verdana"/>
                <w:sz w:val="20"/>
                <w:szCs w:val="20"/>
              </w:rPr>
            </w:pPr>
            <w:r w:rsidRPr="00A11546">
              <w:rPr>
                <w:rFonts w:ascii="Verdana" w:hAnsi="Verdana"/>
                <w:sz w:val="20"/>
                <w:szCs w:val="20"/>
              </w:rPr>
              <w:t>Promotion of equality of men and women and non-discrimination and accessibility</w:t>
            </w:r>
          </w:p>
          <w:p w:rsidR="00C513B7" w:rsidRPr="00A11546" w:rsidRDefault="00A35E98" w:rsidP="00181A22">
            <w:pPr>
              <w:pStyle w:val="ListParagraph"/>
              <w:numPr>
                <w:ilvl w:val="0"/>
                <w:numId w:val="98"/>
              </w:numPr>
              <w:spacing w:after="0"/>
              <w:ind w:left="483" w:hanging="283"/>
              <w:rPr>
                <w:rFonts w:ascii="Verdana" w:hAnsi="Verdana"/>
                <w:sz w:val="20"/>
                <w:szCs w:val="20"/>
              </w:rPr>
            </w:pPr>
            <w:r w:rsidRPr="00A11546">
              <w:rPr>
                <w:rFonts w:ascii="Verdana" w:hAnsi="Verdana"/>
                <w:sz w:val="20"/>
                <w:szCs w:val="20"/>
              </w:rPr>
              <w:t>Sustainable development</w:t>
            </w:r>
          </w:p>
        </w:tc>
      </w:tr>
    </w:tbl>
    <w:p w:rsidR="00C513B7" w:rsidRPr="005B6074" w:rsidRDefault="00A35E98" w:rsidP="003753FE">
      <w:pPr>
        <w:spacing w:before="120" w:after="120"/>
        <w:jc w:val="both"/>
        <w:rPr>
          <w:rFonts w:ascii="Verdana" w:hAnsi="Verdana"/>
          <w:sz w:val="20"/>
          <w:szCs w:val="20"/>
        </w:rPr>
      </w:pPr>
      <w:r w:rsidRPr="005B6074">
        <w:rPr>
          <w:rFonts w:ascii="Verdana" w:hAnsi="Verdana"/>
          <w:sz w:val="20"/>
          <w:szCs w:val="20"/>
        </w:rPr>
        <w:t>Art. 55 of the Regulation laying down the common provisions foresees the ex-ante evaluation to appraise:</w:t>
      </w:r>
    </w:p>
    <w:p w:rsidR="00C513B7" w:rsidRPr="005B6074" w:rsidRDefault="00A35E98" w:rsidP="00C513B7">
      <w:pPr>
        <w:spacing w:before="120" w:after="120"/>
        <w:ind w:left="708"/>
        <w:jc w:val="both"/>
        <w:rPr>
          <w:rFonts w:ascii="Verdana" w:eastAsiaTheme="minorHAnsi" w:hAnsi="Verdana" w:cs="EUAlbertina"/>
          <w:i/>
          <w:color w:val="000000"/>
          <w:sz w:val="20"/>
          <w:szCs w:val="20"/>
        </w:rPr>
      </w:pPr>
      <w:r w:rsidRPr="005B6074">
        <w:rPr>
          <w:rFonts w:ascii="EUAlbertina" w:eastAsiaTheme="minorHAnsi" w:hAnsi="EUAlbertina" w:cs="EUAlbertina"/>
          <w:i/>
          <w:color w:val="000000"/>
          <w:sz w:val="19"/>
          <w:szCs w:val="19"/>
        </w:rPr>
        <w:t>(</w:t>
      </w:r>
      <w:r w:rsidRPr="005B6074">
        <w:rPr>
          <w:rFonts w:ascii="Verdana" w:eastAsiaTheme="minorHAnsi" w:hAnsi="Verdana" w:cs="EUAlbertina"/>
          <w:i/>
          <w:color w:val="000000"/>
          <w:sz w:val="20"/>
          <w:szCs w:val="20"/>
        </w:rPr>
        <w:t xml:space="preserve">l) the adequacy of planned measures to promote equal opportunities between men and women and to prevent any discrimination, in particular as regards accessibility for persons with disabilities; </w:t>
      </w:r>
    </w:p>
    <w:p w:rsidR="00C513B7" w:rsidRPr="005B6074" w:rsidRDefault="00A35E98" w:rsidP="008215DE">
      <w:pPr>
        <w:spacing w:before="120" w:after="120"/>
        <w:ind w:left="708"/>
        <w:jc w:val="both"/>
        <w:rPr>
          <w:rFonts w:ascii="Verdana" w:hAnsi="Verdana"/>
          <w:i/>
          <w:sz w:val="20"/>
          <w:szCs w:val="20"/>
        </w:rPr>
      </w:pPr>
      <w:r w:rsidRPr="005B6074">
        <w:rPr>
          <w:rFonts w:ascii="Verdana" w:eastAsiaTheme="minorHAnsi" w:hAnsi="Verdana" w:cs="EUAlbertina"/>
          <w:i/>
          <w:color w:val="000000"/>
          <w:sz w:val="20"/>
          <w:szCs w:val="20"/>
        </w:rPr>
        <w:t xml:space="preserve">(m) </w:t>
      </w:r>
      <w:proofErr w:type="gramStart"/>
      <w:r w:rsidRPr="005B6074">
        <w:rPr>
          <w:rFonts w:ascii="Verdana" w:eastAsiaTheme="minorHAnsi" w:hAnsi="Verdana" w:cs="EUAlbertina"/>
          <w:i/>
          <w:color w:val="000000"/>
          <w:sz w:val="20"/>
          <w:szCs w:val="20"/>
        </w:rPr>
        <w:t>the</w:t>
      </w:r>
      <w:proofErr w:type="gramEnd"/>
      <w:r w:rsidRPr="005B6074">
        <w:rPr>
          <w:rFonts w:ascii="Verdana" w:eastAsiaTheme="minorHAnsi" w:hAnsi="Verdana" w:cs="EUAlbertina"/>
          <w:i/>
          <w:color w:val="000000"/>
          <w:sz w:val="20"/>
          <w:szCs w:val="20"/>
        </w:rPr>
        <w:t xml:space="preserve"> adequacy of planned measures to promote sustainable development</w:t>
      </w:r>
      <w:r w:rsidR="008215DE" w:rsidRPr="005B6074">
        <w:rPr>
          <w:rFonts w:ascii="Verdana" w:eastAsiaTheme="minorHAnsi" w:hAnsi="Verdana" w:cs="EUAlbertina"/>
          <w:i/>
          <w:color w:val="000000"/>
          <w:sz w:val="20"/>
          <w:szCs w:val="20"/>
        </w:rPr>
        <w:t>.</w:t>
      </w:r>
    </w:p>
    <w:p w:rsidR="00A511E7" w:rsidRPr="005B6074" w:rsidRDefault="00A35E98" w:rsidP="005B6074">
      <w:pPr>
        <w:pStyle w:val="CM1"/>
        <w:spacing w:before="200" w:after="200"/>
        <w:jc w:val="both"/>
        <w:rPr>
          <w:rFonts w:ascii="Verdana" w:eastAsiaTheme="minorHAnsi" w:hAnsi="Verdana" w:cs="EUAlbertina"/>
          <w:sz w:val="20"/>
          <w:szCs w:val="20"/>
        </w:rPr>
      </w:pPr>
      <w:r w:rsidRPr="005B6074">
        <w:rPr>
          <w:rFonts w:ascii="Verdana" w:hAnsi="Verdana" w:cs="TimesNewRoman"/>
          <w:sz w:val="20"/>
          <w:szCs w:val="20"/>
        </w:rPr>
        <w:t xml:space="preserve">In addition, Article 96 (7) points out </w:t>
      </w:r>
      <w:r w:rsidRPr="005B6074">
        <w:rPr>
          <w:rFonts w:ascii="Verdana" w:hAnsi="Verdana" w:cs="TimesNewRoman"/>
          <w:i/>
          <w:sz w:val="20"/>
          <w:szCs w:val="20"/>
        </w:rPr>
        <w:t xml:space="preserve">that </w:t>
      </w:r>
      <w:r w:rsidRPr="005B6074">
        <w:rPr>
          <w:rFonts w:ascii="Verdana" w:eastAsiaTheme="minorHAnsi" w:hAnsi="Verdana" w:cs="EUAlbertina"/>
          <w:i/>
          <w:sz w:val="20"/>
          <w:szCs w:val="20"/>
        </w:rPr>
        <w:t>each operational programme, except those where technical assistance is undertaken under a specific operational programme, shall include a description of</w:t>
      </w:r>
      <w:r w:rsidRPr="005B6074">
        <w:rPr>
          <w:rFonts w:ascii="Verdana" w:eastAsiaTheme="minorHAnsi" w:hAnsi="Verdana" w:cs="EUAlbertina"/>
          <w:sz w:val="20"/>
          <w:szCs w:val="20"/>
        </w:rPr>
        <w:t xml:space="preserve">: </w:t>
      </w:r>
    </w:p>
    <w:p w:rsidR="00C513B7" w:rsidRPr="005B6074" w:rsidRDefault="00A35E98" w:rsidP="008215DE">
      <w:pPr>
        <w:autoSpaceDE w:val="0"/>
        <w:autoSpaceDN w:val="0"/>
        <w:adjustRightInd w:val="0"/>
        <w:spacing w:before="120" w:after="120" w:line="240" w:lineRule="auto"/>
        <w:jc w:val="both"/>
        <w:rPr>
          <w:rFonts w:ascii="Verdana" w:hAnsi="Verdana" w:cs="TimesNewRoman"/>
          <w:i/>
          <w:sz w:val="20"/>
          <w:szCs w:val="20"/>
          <w:lang w:eastAsia="bg-BG"/>
        </w:rPr>
      </w:pPr>
      <w:r w:rsidRPr="005B6074">
        <w:rPr>
          <w:rFonts w:ascii="Verdana" w:eastAsiaTheme="minorHAnsi" w:hAnsi="Verdana" w:cs="EUAlbertina"/>
          <w:i/>
          <w:color w:val="000000"/>
          <w:sz w:val="20"/>
          <w:szCs w:val="20"/>
        </w:rPr>
        <w:t>(a) the specific actions to take into account environmental protection requirements, resource efficiency, and climate change mitigation and adaptation, disaster resilience and risk prevention and management, in the selection of operations;</w:t>
      </w:r>
    </w:p>
    <w:p w:rsidR="00A511E7" w:rsidRPr="005B6074" w:rsidRDefault="00A35E98" w:rsidP="005B6074">
      <w:pPr>
        <w:autoSpaceDE w:val="0"/>
        <w:autoSpaceDN w:val="0"/>
        <w:adjustRightInd w:val="0"/>
        <w:spacing w:before="60" w:after="60" w:line="240" w:lineRule="auto"/>
        <w:jc w:val="both"/>
        <w:rPr>
          <w:rFonts w:ascii="Verdana" w:eastAsiaTheme="minorHAnsi" w:hAnsi="Verdana" w:cs="EUAlbertina"/>
          <w:i/>
          <w:color w:val="000000"/>
          <w:sz w:val="20"/>
          <w:szCs w:val="20"/>
        </w:rPr>
      </w:pPr>
      <w:r w:rsidRPr="005B6074">
        <w:rPr>
          <w:rFonts w:ascii="Verdana" w:eastAsiaTheme="minorHAnsi" w:hAnsi="Verdana" w:cs="EUAlbertina"/>
          <w:i/>
          <w:color w:val="000000"/>
          <w:sz w:val="20"/>
          <w:szCs w:val="20"/>
        </w:rPr>
        <w:t xml:space="preserve">(b) the specific actions to promote equal opportunities and prevent discrimination based on sex, racial or ethnic origin, religion or belief, disability, age or sexual orientation during the preparation, design and implementation of the operational programme and in particular in relation to access to funding, taking account of the needs of the various target groups </w:t>
      </w:r>
      <w:r w:rsidRPr="005B6074">
        <w:rPr>
          <w:rFonts w:ascii="Verdana" w:eastAsiaTheme="minorHAnsi" w:hAnsi="Verdana" w:cs="EUAlbertina"/>
          <w:i/>
          <w:color w:val="000000"/>
          <w:sz w:val="20"/>
          <w:szCs w:val="20"/>
        </w:rPr>
        <w:lastRenderedPageBreak/>
        <w:t xml:space="preserve">at risk of such discrimination and in particular the requirements to ensure accessibility for persons with disabilities; </w:t>
      </w:r>
    </w:p>
    <w:p w:rsidR="00C513B7" w:rsidRPr="005B6074" w:rsidRDefault="00A35E98" w:rsidP="008215DE">
      <w:pPr>
        <w:autoSpaceDE w:val="0"/>
        <w:autoSpaceDN w:val="0"/>
        <w:adjustRightInd w:val="0"/>
        <w:spacing w:before="120" w:after="120" w:line="240" w:lineRule="auto"/>
        <w:jc w:val="both"/>
        <w:rPr>
          <w:rFonts w:ascii="Verdana" w:hAnsi="Verdana" w:cs="TimesNewRoman"/>
          <w:i/>
          <w:sz w:val="20"/>
          <w:szCs w:val="20"/>
          <w:lang w:eastAsia="bg-BG"/>
        </w:rPr>
      </w:pPr>
      <w:r w:rsidRPr="005B6074">
        <w:rPr>
          <w:rFonts w:ascii="Verdana" w:eastAsiaTheme="minorHAnsi" w:hAnsi="Verdana" w:cs="EUAlbertina"/>
          <w:i/>
          <w:color w:val="000000"/>
          <w:sz w:val="20"/>
          <w:szCs w:val="20"/>
        </w:rPr>
        <w:t xml:space="preserve">(c) </w:t>
      </w:r>
      <w:proofErr w:type="gramStart"/>
      <w:r w:rsidRPr="005B6074">
        <w:rPr>
          <w:rFonts w:ascii="Verdana" w:eastAsiaTheme="minorHAnsi" w:hAnsi="Verdana" w:cs="EUAlbertina"/>
          <w:i/>
          <w:color w:val="000000"/>
          <w:sz w:val="20"/>
          <w:szCs w:val="20"/>
        </w:rPr>
        <w:t>the</w:t>
      </w:r>
      <w:proofErr w:type="gramEnd"/>
      <w:r w:rsidRPr="005B6074">
        <w:rPr>
          <w:rFonts w:ascii="Verdana" w:eastAsiaTheme="minorHAnsi" w:hAnsi="Verdana" w:cs="EUAlbertina"/>
          <w:i/>
          <w:color w:val="000000"/>
          <w:sz w:val="20"/>
          <w:szCs w:val="20"/>
        </w:rPr>
        <w:t xml:space="preserve"> contribution of the operational programme to the promotion of equality between men and women and, where appropriate, the arrangements to ensure the integration of gender perspective at operational programme and operation level.</w:t>
      </w:r>
    </w:p>
    <w:p w:rsidR="00C513B7" w:rsidRPr="005B6074" w:rsidRDefault="00A35E98" w:rsidP="008215DE">
      <w:pPr>
        <w:spacing w:before="120" w:after="120"/>
        <w:jc w:val="both"/>
        <w:rPr>
          <w:rFonts w:ascii="Verdana" w:hAnsi="Verdana"/>
          <w:sz w:val="20"/>
          <w:szCs w:val="20"/>
        </w:rPr>
      </w:pPr>
      <w:r w:rsidRPr="005B6074">
        <w:rPr>
          <w:rFonts w:ascii="Verdana" w:hAnsi="Verdana" w:cs="TimesNewRoman"/>
          <w:sz w:val="20"/>
          <w:szCs w:val="20"/>
          <w:lang w:eastAsia="bg-BG"/>
        </w:rPr>
        <w:t>Following these requirements, the European Commission form for presentation of the Operational programmes in Section 11 requires a description of the following horizontal principles</w:t>
      </w:r>
      <w:r w:rsidRPr="005B6074">
        <w:rPr>
          <w:rFonts w:ascii="Verdana" w:hAnsi="Verdana"/>
          <w:sz w:val="20"/>
          <w:szCs w:val="20"/>
        </w:rPr>
        <w:t>:</w:t>
      </w:r>
    </w:p>
    <w:p w:rsidR="00C513B7" w:rsidRPr="005B6074" w:rsidRDefault="00A35E98" w:rsidP="00181A22">
      <w:pPr>
        <w:pStyle w:val="ListParagraph"/>
        <w:numPr>
          <w:ilvl w:val="0"/>
          <w:numId w:val="27"/>
        </w:numPr>
        <w:spacing w:before="120" w:after="120"/>
        <w:jc w:val="both"/>
        <w:rPr>
          <w:rFonts w:ascii="Verdana" w:hAnsi="Verdana"/>
          <w:sz w:val="20"/>
          <w:szCs w:val="20"/>
        </w:rPr>
      </w:pPr>
      <w:r w:rsidRPr="005B6074">
        <w:rPr>
          <w:rFonts w:ascii="Verdana" w:hAnsi="Verdana"/>
          <w:sz w:val="20"/>
          <w:szCs w:val="20"/>
        </w:rPr>
        <w:t>Sustainable development (</w:t>
      </w:r>
      <w:r w:rsidRPr="005B6074">
        <w:rPr>
          <w:rFonts w:ascii="Verdana" w:hAnsi="Verdana"/>
          <w:i/>
          <w:sz w:val="20"/>
          <w:szCs w:val="20"/>
        </w:rPr>
        <w:t>description of the specific activities, undertaken to satisfy the requirements relating to protection of environment, resource efficiency, mitigation of the consequences of and adaptation to climate change, sustainability against natural disasters and risk prevention</w:t>
      </w:r>
      <w:r w:rsidRPr="005B6074">
        <w:rPr>
          <w:rFonts w:ascii="Verdana" w:hAnsi="Verdana"/>
          <w:sz w:val="20"/>
          <w:szCs w:val="20"/>
        </w:rPr>
        <w:t>)</w:t>
      </w:r>
      <w:r w:rsidR="00146BB1" w:rsidRPr="005B6074">
        <w:rPr>
          <w:rFonts w:ascii="Verdana" w:hAnsi="Verdana"/>
          <w:sz w:val="20"/>
          <w:szCs w:val="20"/>
        </w:rPr>
        <w:t>;</w:t>
      </w:r>
    </w:p>
    <w:p w:rsidR="00C513B7" w:rsidRPr="005B6074" w:rsidRDefault="00A35E98" w:rsidP="00181A22">
      <w:pPr>
        <w:pStyle w:val="ListParagraph"/>
        <w:numPr>
          <w:ilvl w:val="0"/>
          <w:numId w:val="27"/>
        </w:numPr>
        <w:spacing w:before="120" w:after="120"/>
        <w:jc w:val="both"/>
        <w:rPr>
          <w:rFonts w:ascii="Verdana" w:hAnsi="Verdana"/>
          <w:sz w:val="20"/>
          <w:szCs w:val="20"/>
        </w:rPr>
      </w:pPr>
      <w:r w:rsidRPr="005B6074">
        <w:rPr>
          <w:rFonts w:ascii="Verdana" w:hAnsi="Verdana"/>
          <w:sz w:val="20"/>
          <w:szCs w:val="20"/>
        </w:rPr>
        <w:t>Equal opportunities (</w:t>
      </w:r>
      <w:r w:rsidRPr="005B6074">
        <w:rPr>
          <w:rFonts w:ascii="Verdana" w:hAnsi="Verdana"/>
          <w:i/>
          <w:sz w:val="20"/>
          <w:szCs w:val="20"/>
        </w:rPr>
        <w:t>description of specific actions of promotion of equal opportunities and prevention of discrimination</w:t>
      </w:r>
      <w:r w:rsidRPr="005B6074">
        <w:rPr>
          <w:rFonts w:ascii="Verdana" w:hAnsi="Verdana"/>
          <w:sz w:val="20"/>
          <w:szCs w:val="20"/>
        </w:rPr>
        <w:t>)</w:t>
      </w:r>
      <w:r w:rsidR="00146BB1" w:rsidRPr="005B6074">
        <w:rPr>
          <w:rFonts w:ascii="Verdana" w:hAnsi="Verdana"/>
          <w:sz w:val="20"/>
          <w:szCs w:val="20"/>
        </w:rPr>
        <w:t>;</w:t>
      </w:r>
    </w:p>
    <w:p w:rsidR="00C513B7" w:rsidRPr="005B6074" w:rsidRDefault="00A35E98" w:rsidP="00181A22">
      <w:pPr>
        <w:pStyle w:val="ListParagraph"/>
        <w:numPr>
          <w:ilvl w:val="0"/>
          <w:numId w:val="27"/>
        </w:numPr>
        <w:spacing w:before="120" w:after="120"/>
        <w:jc w:val="both"/>
        <w:rPr>
          <w:rFonts w:ascii="Verdana" w:hAnsi="Verdana"/>
          <w:sz w:val="20"/>
          <w:szCs w:val="20"/>
        </w:rPr>
      </w:pPr>
      <w:r w:rsidRPr="005B6074">
        <w:rPr>
          <w:rFonts w:ascii="Verdana" w:hAnsi="Verdana"/>
          <w:sz w:val="20"/>
          <w:szCs w:val="20"/>
        </w:rPr>
        <w:t>Equality of men and women (</w:t>
      </w:r>
      <w:r w:rsidRPr="005B6074">
        <w:rPr>
          <w:rFonts w:ascii="Verdana" w:hAnsi="Verdana"/>
          <w:i/>
          <w:sz w:val="20"/>
          <w:szCs w:val="20"/>
        </w:rPr>
        <w:t>description of the contribution to promoting gender equality</w:t>
      </w:r>
      <w:r w:rsidR="00371F81" w:rsidRPr="005B6074">
        <w:rPr>
          <w:rFonts w:ascii="Verdana" w:hAnsi="Verdana"/>
          <w:i/>
          <w:sz w:val="20"/>
          <w:szCs w:val="20"/>
        </w:rPr>
        <w:t>)</w:t>
      </w:r>
      <w:r w:rsidRPr="005B6074">
        <w:rPr>
          <w:rFonts w:ascii="Verdana" w:hAnsi="Verdana"/>
          <w:sz w:val="20"/>
          <w:szCs w:val="20"/>
        </w:rPr>
        <w:t>.</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 xml:space="preserve">Besides, in describing the interventions and activities under the selected priorities, the format of the Operational Programme allows to point out the leading principles, underlying the selection of operations in a way that will ensure activities of higher quality, contributing to the achievement of the objectives. The Programme will thus incorporate specific principles, directly relating to and supporting the achievement of the objectives and implementation of programme activities. </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 xml:space="preserve">All data referring to the common indicators for </w:t>
      </w:r>
      <w:r w:rsidR="00C72578">
        <w:rPr>
          <w:rFonts w:ascii="Verdana" w:hAnsi="Verdana"/>
          <w:sz w:val="20"/>
          <w:szCs w:val="20"/>
        </w:rPr>
        <w:t>output and results</w:t>
      </w:r>
      <w:r w:rsidRPr="005B6074">
        <w:rPr>
          <w:rFonts w:ascii="Verdana" w:hAnsi="Verdana"/>
          <w:sz w:val="20"/>
          <w:szCs w:val="20"/>
        </w:rPr>
        <w:t xml:space="preserve"> of ESF, according to REGULATION (EU) No 1304/2013 OF THE EUROPEAN PARLIAMENT AND OF THE COUNCIL of 17 December 2013 on the European Social Fund and repealing Council Regulation (EC) No 1081/2006 must be presented broken down by gender.</w:t>
      </w:r>
    </w:p>
    <w:p w:rsidR="00C513B7" w:rsidRPr="005B6074" w:rsidRDefault="00A35E98" w:rsidP="00C513B7">
      <w:pPr>
        <w:keepNext/>
        <w:pBdr>
          <w:bottom w:val="single" w:sz="4" w:space="1" w:color="0070C0"/>
        </w:pBdr>
        <w:spacing w:before="360" w:after="120"/>
        <w:jc w:val="both"/>
        <w:rPr>
          <w:rFonts w:ascii="Verdana" w:hAnsi="Verdana"/>
          <w:color w:val="0070C0"/>
          <w:sz w:val="20"/>
          <w:szCs w:val="20"/>
          <w:lang w:eastAsia="cs-CZ"/>
        </w:rPr>
      </w:pPr>
      <w:r w:rsidRPr="005B6074">
        <w:rPr>
          <w:rFonts w:ascii="Verdana" w:hAnsi="Verdana"/>
          <w:color w:val="0070C0"/>
          <w:sz w:val="20"/>
          <w:szCs w:val="20"/>
          <w:lang w:eastAsia="cs-CZ"/>
        </w:rPr>
        <w:t xml:space="preserve">Analysis of the adequacy of presentation of the principles in the different parts of the Programme and opportunities for monitoring </w:t>
      </w:r>
    </w:p>
    <w:p w:rsidR="00C513B7" w:rsidRPr="005B6074" w:rsidRDefault="00A35E98" w:rsidP="00C513B7">
      <w:pPr>
        <w:spacing w:before="120" w:after="120"/>
        <w:jc w:val="both"/>
        <w:rPr>
          <w:rFonts w:ascii="Verdana" w:hAnsi="Verdana"/>
          <w:sz w:val="20"/>
          <w:szCs w:val="20"/>
        </w:rPr>
      </w:pPr>
      <w:r w:rsidRPr="005B6074">
        <w:rPr>
          <w:rFonts w:ascii="Verdana" w:hAnsi="Verdana"/>
          <w:color w:val="548DD4" w:themeColor="text2" w:themeTint="99"/>
          <w:sz w:val="20"/>
          <w:szCs w:val="20"/>
        </w:rPr>
        <w:t xml:space="preserve">The horizontal principles in </w:t>
      </w:r>
      <w:r w:rsidR="005B35A7">
        <w:rPr>
          <w:rFonts w:ascii="Verdana" w:hAnsi="Verdana"/>
          <w:color w:val="548DD4" w:themeColor="text2" w:themeTint="99"/>
          <w:sz w:val="20"/>
          <w:szCs w:val="20"/>
        </w:rPr>
        <w:t>OPSESG</w:t>
      </w:r>
      <w:r w:rsidRPr="005B6074">
        <w:rPr>
          <w:rFonts w:ascii="Verdana" w:hAnsi="Verdana"/>
          <w:color w:val="548DD4" w:themeColor="text2" w:themeTint="99"/>
          <w:sz w:val="20"/>
          <w:szCs w:val="20"/>
        </w:rPr>
        <w:t xml:space="preserve"> 2014–2020 </w:t>
      </w:r>
      <w:r w:rsidRPr="005B6074">
        <w:rPr>
          <w:rFonts w:ascii="Verdana" w:hAnsi="Verdana"/>
          <w:sz w:val="20"/>
          <w:szCs w:val="20"/>
        </w:rPr>
        <w:t xml:space="preserve">referring to sustainable development, equal opportunities of men and women and prevention of discrimination are laid down in Section 11 of the Programme </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 xml:space="preserve">The principle of partnership is discussed particularly in p. 7.2 </w:t>
      </w:r>
      <w:r w:rsidR="00146BB1" w:rsidRPr="005B6074">
        <w:rPr>
          <w:rFonts w:ascii="Verdana" w:hAnsi="Verdana"/>
          <w:sz w:val="20"/>
          <w:szCs w:val="20"/>
        </w:rPr>
        <w:t>“</w:t>
      </w:r>
      <w:r w:rsidRPr="005B6074">
        <w:rPr>
          <w:rFonts w:ascii="Verdana" w:hAnsi="Verdana"/>
          <w:sz w:val="20"/>
          <w:szCs w:val="20"/>
        </w:rPr>
        <w:t>Actions undertaken for Partner Participation</w:t>
      </w:r>
      <w:r w:rsidR="00146BB1" w:rsidRPr="005B6074">
        <w:rPr>
          <w:rFonts w:ascii="Verdana" w:hAnsi="Verdana"/>
          <w:sz w:val="20"/>
          <w:szCs w:val="20"/>
        </w:rPr>
        <w:t>”</w:t>
      </w:r>
      <w:r w:rsidRPr="005B6074">
        <w:rPr>
          <w:rFonts w:ascii="Verdana" w:hAnsi="Verdana"/>
          <w:sz w:val="20"/>
          <w:szCs w:val="20"/>
        </w:rPr>
        <w:t xml:space="preserve">. The conducted analysis of stakeholders shows that the opinion of the main groups of stakeholders has been presented in the process of programming. The results of the on-line survey also demonstrate that a large majority of respondents (87%) are of the opinion that the existing mechanisms of information and consultations allow the opinion of their organization to be taken </w:t>
      </w:r>
      <w:r w:rsidR="00146BB1" w:rsidRPr="005B6074">
        <w:rPr>
          <w:rFonts w:ascii="Verdana" w:hAnsi="Verdana"/>
          <w:sz w:val="20"/>
          <w:szCs w:val="20"/>
        </w:rPr>
        <w:t xml:space="preserve">into </w:t>
      </w:r>
      <w:r w:rsidRPr="005B6074">
        <w:rPr>
          <w:rFonts w:ascii="Verdana" w:hAnsi="Verdana"/>
          <w:sz w:val="20"/>
          <w:szCs w:val="20"/>
        </w:rPr>
        <w:t>account in the process of preparation of the Programme.  The main reason for dissatisfaction is quoted to be the fact that opinions are recorded, but not actually taken into consideration or that no feedback is received on whether the proposals have been included in the Programme. The respondents point out that their preferred channels for presentation and reception of information are MES</w:t>
      </w:r>
      <w:r w:rsidR="00146BB1" w:rsidRPr="005B6074">
        <w:rPr>
          <w:rFonts w:ascii="Verdana" w:hAnsi="Verdana"/>
          <w:sz w:val="20"/>
          <w:szCs w:val="20"/>
        </w:rPr>
        <w:t>’ web-</w:t>
      </w:r>
      <w:r w:rsidR="00146BB1" w:rsidRPr="005B6074">
        <w:rPr>
          <w:rFonts w:ascii="Verdana" w:hAnsi="Verdana"/>
          <w:sz w:val="20"/>
          <w:szCs w:val="20"/>
        </w:rPr>
        <w:lastRenderedPageBreak/>
        <w:t>site</w:t>
      </w:r>
      <w:r w:rsidRPr="005B6074">
        <w:rPr>
          <w:rFonts w:ascii="Verdana" w:hAnsi="Verdana"/>
          <w:sz w:val="20"/>
          <w:szCs w:val="20"/>
        </w:rPr>
        <w:t>, information campaigns and focus groups. An additional information means they see in the letters and written information sent to specific stakeholders. The thematic working group is also quoted as an appropriate instrument for consultations.</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 xml:space="preserve">Most of the respondents are of the opinion that the Thematic Working group for the preparation of the Programme includes the main stakeholders (only 2% do not share this opinion). There are proposals to make the composition of the Working group better balanced by including more representatives of organizations other than the administration, as well as by optimizing the number of participants in order to make the work at the meetings more efficient. </w:t>
      </w: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 xml:space="preserve">The comparison of the horizontal principles laid down in the main regulations on the assistance under ESIF and the Partnership Agreement (see the Table below) shows that the main horizontal principles laid down in these documents are also underlying </w:t>
      </w:r>
      <w:r w:rsidR="005B35A7">
        <w:rPr>
          <w:rFonts w:ascii="Verdana" w:hAnsi="Verdana"/>
          <w:sz w:val="20"/>
          <w:szCs w:val="20"/>
        </w:rPr>
        <w:t>OPSESG</w:t>
      </w:r>
      <w:r w:rsidRPr="005B6074">
        <w:rPr>
          <w:rFonts w:ascii="Verdana" w:hAnsi="Verdana"/>
          <w:sz w:val="20"/>
          <w:szCs w:val="20"/>
        </w:rPr>
        <w:t xml:space="preserve"> 2014-2020.</w:t>
      </w:r>
    </w:p>
    <w:p w:rsidR="00C513B7" w:rsidRPr="005B6074" w:rsidRDefault="00A35E98" w:rsidP="00C513B7">
      <w:pPr>
        <w:pStyle w:val="Caption"/>
        <w:keepNext/>
        <w:spacing w:after="120"/>
        <w:rPr>
          <w:rFonts w:ascii="Verdana" w:hAnsi="Verdana"/>
          <w:color w:val="548DD4" w:themeColor="text2" w:themeTint="99"/>
        </w:rPr>
      </w:pPr>
      <w:bookmarkStart w:id="165" w:name="_Toc373747287"/>
      <w:bookmarkStart w:id="166" w:name="_Toc381712226"/>
      <w:bookmarkStart w:id="167" w:name="_Toc390257089"/>
      <w:bookmarkStart w:id="168" w:name="_Toc396225628"/>
      <w:r w:rsidRPr="005B6074">
        <w:rPr>
          <w:rFonts w:ascii="Verdana" w:hAnsi="Verdana"/>
          <w:color w:val="548DD4" w:themeColor="text2" w:themeTint="99"/>
        </w:rPr>
        <w:t xml:space="preserve">Table </w:t>
      </w:r>
      <w:r w:rsidRPr="005B6074">
        <w:rPr>
          <w:rFonts w:ascii="Verdana" w:hAnsi="Verdana"/>
          <w:color w:val="548DD4" w:themeColor="text2" w:themeTint="99"/>
        </w:rPr>
        <w:fldChar w:fldCharType="begin"/>
      </w:r>
      <w:r w:rsidRPr="005B6074">
        <w:rPr>
          <w:rFonts w:ascii="Verdana" w:hAnsi="Verdana"/>
          <w:color w:val="548DD4" w:themeColor="text2" w:themeTint="99"/>
        </w:rPr>
        <w:instrText xml:space="preserve"> SEQ таблица \* ARABIC </w:instrText>
      </w:r>
      <w:r w:rsidRPr="005B6074">
        <w:rPr>
          <w:rFonts w:ascii="Verdana" w:hAnsi="Verdana"/>
          <w:color w:val="548DD4" w:themeColor="text2" w:themeTint="99"/>
        </w:rPr>
        <w:fldChar w:fldCharType="separate"/>
      </w:r>
      <w:r w:rsidR="009330F5">
        <w:rPr>
          <w:rFonts w:ascii="Verdana" w:hAnsi="Verdana"/>
          <w:noProof/>
          <w:color w:val="548DD4" w:themeColor="text2" w:themeTint="99"/>
        </w:rPr>
        <w:t>33</w:t>
      </w:r>
      <w:r w:rsidRPr="005B6074">
        <w:rPr>
          <w:rFonts w:ascii="Verdana" w:hAnsi="Verdana"/>
          <w:color w:val="548DD4" w:themeColor="text2" w:themeTint="99"/>
        </w:rPr>
        <w:fldChar w:fldCharType="end"/>
      </w:r>
      <w:r w:rsidRPr="005B6074">
        <w:rPr>
          <w:rFonts w:ascii="Verdana" w:hAnsi="Verdana"/>
          <w:color w:val="548DD4" w:themeColor="text2" w:themeTint="99"/>
        </w:rPr>
        <w:t>. Comparison of the horizontal principles laid down in the Regulations on the assistance under ESIF in the period 2014-2020 and the Partnership Agreement</w:t>
      </w:r>
      <w:bookmarkEnd w:id="165"/>
      <w:bookmarkEnd w:id="166"/>
      <w:bookmarkEnd w:id="167"/>
      <w:bookmarkEnd w:id="168"/>
    </w:p>
    <w:tbl>
      <w:tblPr>
        <w:tblStyle w:val="TableGrid"/>
        <w:tblW w:w="0" w:type="auto"/>
        <w:tblInd w:w="108"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2802"/>
        <w:gridCol w:w="3206"/>
        <w:gridCol w:w="2954"/>
      </w:tblGrid>
      <w:tr w:rsidR="00C513B7" w:rsidRPr="00A11546" w:rsidTr="00F24971">
        <w:tc>
          <w:tcPr>
            <w:tcW w:w="2835" w:type="dxa"/>
            <w:shd w:val="clear" w:color="auto" w:fill="548DD4" w:themeFill="text2" w:themeFillTint="99"/>
            <w:vAlign w:val="center"/>
          </w:tcPr>
          <w:p w:rsidR="00C513B7" w:rsidRPr="004F6C05" w:rsidRDefault="00A35E98" w:rsidP="00A11546">
            <w:pPr>
              <w:spacing w:before="60" w:after="60"/>
              <w:rPr>
                <w:rFonts w:ascii="Verdana" w:hAnsi="Verdana"/>
                <w:b/>
                <w:color w:val="FFFFFF" w:themeColor="background1"/>
                <w:sz w:val="18"/>
                <w:szCs w:val="18"/>
              </w:rPr>
            </w:pPr>
            <w:r w:rsidRPr="004F6C05">
              <w:rPr>
                <w:rFonts w:ascii="Verdana" w:hAnsi="Verdana"/>
                <w:b/>
                <w:color w:val="FFFFFF" w:themeColor="background1"/>
                <w:sz w:val="18"/>
                <w:szCs w:val="18"/>
              </w:rPr>
              <w:t>Principles laid down in the main regulations and in the PA</w:t>
            </w:r>
          </w:p>
        </w:tc>
        <w:tc>
          <w:tcPr>
            <w:tcW w:w="3256" w:type="dxa"/>
            <w:shd w:val="clear" w:color="auto" w:fill="548DD4" w:themeFill="text2" w:themeFillTint="99"/>
            <w:vAlign w:val="center"/>
          </w:tcPr>
          <w:p w:rsidR="00C513B7" w:rsidRPr="004F6C05" w:rsidRDefault="00A35E98" w:rsidP="00A11546">
            <w:pPr>
              <w:spacing w:before="60" w:after="60"/>
              <w:rPr>
                <w:rFonts w:ascii="Verdana" w:hAnsi="Verdana"/>
                <w:b/>
                <w:color w:val="FFFFFF" w:themeColor="background1"/>
                <w:sz w:val="18"/>
                <w:szCs w:val="18"/>
              </w:rPr>
            </w:pPr>
            <w:r w:rsidRPr="004F6C05">
              <w:rPr>
                <w:rFonts w:ascii="Verdana" w:hAnsi="Verdana"/>
                <w:b/>
                <w:color w:val="FFFFFF" w:themeColor="background1"/>
                <w:sz w:val="18"/>
                <w:szCs w:val="18"/>
              </w:rPr>
              <w:t>Document</w:t>
            </w:r>
          </w:p>
        </w:tc>
        <w:tc>
          <w:tcPr>
            <w:tcW w:w="2999" w:type="dxa"/>
            <w:shd w:val="clear" w:color="auto" w:fill="548DD4" w:themeFill="text2" w:themeFillTint="99"/>
            <w:vAlign w:val="center"/>
          </w:tcPr>
          <w:p w:rsidR="00C513B7" w:rsidRPr="004F6C05" w:rsidRDefault="00A35E98" w:rsidP="00A11546">
            <w:pPr>
              <w:spacing w:before="60" w:after="60"/>
              <w:rPr>
                <w:rFonts w:ascii="Verdana" w:hAnsi="Verdana"/>
                <w:b/>
                <w:color w:val="FFFFFF" w:themeColor="background1"/>
                <w:sz w:val="18"/>
                <w:szCs w:val="18"/>
              </w:rPr>
            </w:pPr>
            <w:r w:rsidRPr="004F6C05">
              <w:rPr>
                <w:rFonts w:ascii="Verdana" w:hAnsi="Verdana"/>
                <w:b/>
                <w:color w:val="FFFFFF" w:themeColor="background1"/>
                <w:sz w:val="18"/>
                <w:szCs w:val="18"/>
              </w:rPr>
              <w:t xml:space="preserve">The draft of </w:t>
            </w:r>
            <w:r w:rsidR="005B35A7" w:rsidRPr="004F6C05">
              <w:rPr>
                <w:rFonts w:ascii="Verdana" w:hAnsi="Verdana"/>
                <w:b/>
                <w:color w:val="FFFFFF" w:themeColor="background1"/>
                <w:sz w:val="18"/>
                <w:szCs w:val="18"/>
              </w:rPr>
              <w:t>OPSESG</w:t>
            </w:r>
          </w:p>
        </w:tc>
      </w:tr>
      <w:tr w:rsidR="00C513B7" w:rsidRPr="00A11546" w:rsidTr="00F24971">
        <w:trPr>
          <w:trHeight w:val="435"/>
        </w:trPr>
        <w:tc>
          <w:tcPr>
            <w:tcW w:w="2835" w:type="dxa"/>
          </w:tcPr>
          <w:p w:rsidR="00C513B7" w:rsidRPr="00A11546" w:rsidRDefault="00A35E98" w:rsidP="00A11546">
            <w:pPr>
              <w:spacing w:before="60" w:after="60"/>
              <w:rPr>
                <w:rFonts w:ascii="Verdana" w:hAnsi="Verdana"/>
                <w:sz w:val="18"/>
                <w:szCs w:val="18"/>
              </w:rPr>
            </w:pPr>
            <w:r w:rsidRPr="00A11546">
              <w:rPr>
                <w:rFonts w:ascii="Verdana" w:hAnsi="Verdana"/>
                <w:sz w:val="18"/>
                <w:szCs w:val="18"/>
              </w:rPr>
              <w:t>Partnership is multi-level governance</w:t>
            </w:r>
          </w:p>
        </w:tc>
        <w:tc>
          <w:tcPr>
            <w:tcW w:w="3256" w:type="dxa"/>
          </w:tcPr>
          <w:p w:rsidR="00C513B7" w:rsidRPr="00A11546" w:rsidRDefault="00A35E98" w:rsidP="00A11546">
            <w:pPr>
              <w:spacing w:before="60" w:after="60"/>
              <w:rPr>
                <w:rFonts w:ascii="Verdana" w:hAnsi="Verdana"/>
                <w:sz w:val="18"/>
                <w:szCs w:val="18"/>
              </w:rPr>
            </w:pPr>
            <w:r w:rsidRPr="00A11546">
              <w:rPr>
                <w:rFonts w:ascii="Verdana" w:hAnsi="Verdana"/>
                <w:sz w:val="18"/>
                <w:szCs w:val="18"/>
              </w:rPr>
              <w:t>Regulation on the common provisions</w:t>
            </w:r>
          </w:p>
          <w:p w:rsidR="00C513B7" w:rsidRPr="00A11546" w:rsidRDefault="00A35E98" w:rsidP="00A11546">
            <w:pPr>
              <w:spacing w:before="60" w:after="60"/>
              <w:rPr>
                <w:rFonts w:ascii="Verdana" w:hAnsi="Verdana"/>
                <w:sz w:val="18"/>
                <w:szCs w:val="18"/>
              </w:rPr>
            </w:pPr>
            <w:r w:rsidRPr="00A11546">
              <w:rPr>
                <w:rFonts w:ascii="Verdana" w:hAnsi="Verdana"/>
                <w:sz w:val="18"/>
                <w:szCs w:val="18"/>
              </w:rPr>
              <w:t>ESF Regulation</w:t>
            </w:r>
          </w:p>
          <w:p w:rsidR="00C513B7" w:rsidRPr="00A11546" w:rsidRDefault="00A35E98" w:rsidP="00A11546">
            <w:pPr>
              <w:spacing w:before="60" w:after="60"/>
              <w:rPr>
                <w:rFonts w:ascii="Verdana" w:hAnsi="Verdana"/>
                <w:sz w:val="18"/>
                <w:szCs w:val="18"/>
              </w:rPr>
            </w:pPr>
            <w:r w:rsidRPr="00A11546">
              <w:rPr>
                <w:rFonts w:ascii="Verdana" w:hAnsi="Verdana"/>
                <w:sz w:val="18"/>
                <w:szCs w:val="18"/>
              </w:rPr>
              <w:t>Partnership Agreement</w:t>
            </w:r>
          </w:p>
        </w:tc>
        <w:tc>
          <w:tcPr>
            <w:tcW w:w="2999" w:type="dxa"/>
          </w:tcPr>
          <w:p w:rsidR="00C513B7" w:rsidRPr="00A11546" w:rsidRDefault="00A35E98" w:rsidP="00A11546">
            <w:pPr>
              <w:spacing w:before="60" w:after="60"/>
              <w:rPr>
                <w:rFonts w:ascii="Verdana" w:hAnsi="Verdana"/>
                <w:sz w:val="18"/>
                <w:szCs w:val="18"/>
              </w:rPr>
            </w:pPr>
            <w:r w:rsidRPr="00A11546">
              <w:rPr>
                <w:rFonts w:ascii="Verdana" w:hAnsi="Verdana"/>
                <w:sz w:val="18"/>
                <w:szCs w:val="18"/>
              </w:rPr>
              <w:t>In p. 7.2. and under the leading principles in selecting operations</w:t>
            </w:r>
          </w:p>
        </w:tc>
      </w:tr>
      <w:tr w:rsidR="00C513B7" w:rsidRPr="00A11546" w:rsidTr="00F24971">
        <w:trPr>
          <w:trHeight w:val="452"/>
        </w:trPr>
        <w:tc>
          <w:tcPr>
            <w:tcW w:w="2835" w:type="dxa"/>
          </w:tcPr>
          <w:p w:rsidR="00C513B7" w:rsidRPr="00A11546" w:rsidRDefault="00A35E98" w:rsidP="00A11546">
            <w:pPr>
              <w:spacing w:before="60" w:after="60"/>
              <w:rPr>
                <w:rFonts w:ascii="Verdana" w:hAnsi="Verdana"/>
                <w:sz w:val="18"/>
                <w:szCs w:val="18"/>
              </w:rPr>
            </w:pPr>
            <w:r w:rsidRPr="00A11546">
              <w:rPr>
                <w:rFonts w:ascii="Verdana" w:hAnsi="Verdana"/>
                <w:sz w:val="18"/>
                <w:szCs w:val="18"/>
              </w:rPr>
              <w:t>Promotion of equality of men and women and non-discrimination</w:t>
            </w:r>
          </w:p>
        </w:tc>
        <w:tc>
          <w:tcPr>
            <w:tcW w:w="3256" w:type="dxa"/>
          </w:tcPr>
          <w:p w:rsidR="00C513B7" w:rsidRPr="00A11546" w:rsidRDefault="00A35E98" w:rsidP="00A11546">
            <w:pPr>
              <w:spacing w:before="60" w:after="60"/>
              <w:rPr>
                <w:rFonts w:ascii="Verdana" w:hAnsi="Verdana"/>
                <w:sz w:val="18"/>
                <w:szCs w:val="18"/>
              </w:rPr>
            </w:pPr>
            <w:r w:rsidRPr="00A11546">
              <w:rPr>
                <w:rFonts w:ascii="Verdana" w:hAnsi="Verdana"/>
                <w:sz w:val="18"/>
                <w:szCs w:val="18"/>
              </w:rPr>
              <w:t>Regulation on the common provisions</w:t>
            </w:r>
          </w:p>
          <w:p w:rsidR="00C513B7" w:rsidRPr="00A11546" w:rsidRDefault="00A35E98" w:rsidP="00A11546">
            <w:pPr>
              <w:spacing w:before="60" w:after="60"/>
              <w:rPr>
                <w:rFonts w:ascii="Verdana" w:hAnsi="Verdana"/>
                <w:sz w:val="18"/>
                <w:szCs w:val="18"/>
              </w:rPr>
            </w:pPr>
            <w:r w:rsidRPr="00A11546">
              <w:rPr>
                <w:rFonts w:ascii="Verdana" w:hAnsi="Verdana"/>
                <w:sz w:val="18"/>
                <w:szCs w:val="18"/>
              </w:rPr>
              <w:t>ESF Regulation</w:t>
            </w:r>
          </w:p>
          <w:p w:rsidR="00C513B7" w:rsidRPr="00A11546" w:rsidRDefault="00A35E98" w:rsidP="00A11546">
            <w:pPr>
              <w:spacing w:before="60" w:after="60"/>
              <w:rPr>
                <w:rFonts w:ascii="Verdana" w:hAnsi="Verdana"/>
                <w:sz w:val="18"/>
                <w:szCs w:val="18"/>
              </w:rPr>
            </w:pPr>
            <w:r w:rsidRPr="00A11546">
              <w:rPr>
                <w:rFonts w:ascii="Verdana" w:hAnsi="Verdana"/>
                <w:sz w:val="18"/>
                <w:szCs w:val="18"/>
              </w:rPr>
              <w:t>Partnership Agreement</w:t>
            </w:r>
          </w:p>
        </w:tc>
        <w:tc>
          <w:tcPr>
            <w:tcW w:w="2999" w:type="dxa"/>
          </w:tcPr>
          <w:p w:rsidR="00C513B7" w:rsidRPr="00A11546" w:rsidRDefault="00A35E98" w:rsidP="00A11546">
            <w:pPr>
              <w:spacing w:before="60" w:after="60"/>
              <w:rPr>
                <w:rFonts w:ascii="Verdana" w:hAnsi="Verdana"/>
                <w:sz w:val="18"/>
                <w:szCs w:val="18"/>
              </w:rPr>
            </w:pPr>
            <w:r w:rsidRPr="00A11546">
              <w:rPr>
                <w:rFonts w:ascii="Verdana" w:hAnsi="Verdana"/>
                <w:sz w:val="18"/>
                <w:szCs w:val="18"/>
              </w:rPr>
              <w:t>In Section 11.</w:t>
            </w:r>
          </w:p>
        </w:tc>
      </w:tr>
      <w:tr w:rsidR="00C513B7" w:rsidRPr="00A11546" w:rsidTr="00F24971">
        <w:trPr>
          <w:trHeight w:val="318"/>
        </w:trPr>
        <w:tc>
          <w:tcPr>
            <w:tcW w:w="2835" w:type="dxa"/>
          </w:tcPr>
          <w:p w:rsidR="00C513B7" w:rsidRPr="00A11546" w:rsidRDefault="00A35E98" w:rsidP="00A11546">
            <w:pPr>
              <w:spacing w:before="60" w:after="60"/>
              <w:rPr>
                <w:rFonts w:ascii="Verdana" w:hAnsi="Verdana"/>
                <w:sz w:val="18"/>
                <w:szCs w:val="18"/>
              </w:rPr>
            </w:pPr>
            <w:r w:rsidRPr="00A11546">
              <w:rPr>
                <w:rFonts w:ascii="Verdana" w:hAnsi="Verdana"/>
                <w:sz w:val="18"/>
                <w:szCs w:val="18"/>
              </w:rPr>
              <w:t>Sustainable development</w:t>
            </w:r>
          </w:p>
        </w:tc>
        <w:tc>
          <w:tcPr>
            <w:tcW w:w="3256" w:type="dxa"/>
          </w:tcPr>
          <w:p w:rsidR="00C513B7" w:rsidRPr="00A11546" w:rsidRDefault="00A35E98" w:rsidP="00A11546">
            <w:pPr>
              <w:spacing w:before="60" w:after="60"/>
              <w:rPr>
                <w:rFonts w:ascii="Verdana" w:hAnsi="Verdana"/>
                <w:sz w:val="18"/>
                <w:szCs w:val="18"/>
              </w:rPr>
            </w:pPr>
            <w:r w:rsidRPr="00A11546">
              <w:rPr>
                <w:rFonts w:ascii="Verdana" w:hAnsi="Verdana"/>
                <w:sz w:val="18"/>
                <w:szCs w:val="18"/>
              </w:rPr>
              <w:t>Regulation on the common provisions</w:t>
            </w:r>
          </w:p>
          <w:p w:rsidR="00C513B7" w:rsidRPr="00A11546" w:rsidRDefault="00A35E98" w:rsidP="00A11546">
            <w:pPr>
              <w:spacing w:before="60" w:after="60"/>
              <w:rPr>
                <w:rFonts w:ascii="Verdana" w:hAnsi="Verdana"/>
                <w:sz w:val="18"/>
                <w:szCs w:val="18"/>
              </w:rPr>
            </w:pPr>
            <w:r w:rsidRPr="00A11546">
              <w:rPr>
                <w:rFonts w:ascii="Verdana" w:hAnsi="Verdana"/>
                <w:sz w:val="18"/>
                <w:szCs w:val="18"/>
              </w:rPr>
              <w:t>Partnership Agreement</w:t>
            </w:r>
          </w:p>
        </w:tc>
        <w:tc>
          <w:tcPr>
            <w:tcW w:w="2999" w:type="dxa"/>
          </w:tcPr>
          <w:p w:rsidR="00C513B7" w:rsidRPr="00A11546" w:rsidRDefault="00A35E98" w:rsidP="00A11546">
            <w:pPr>
              <w:spacing w:before="60" w:after="60"/>
              <w:rPr>
                <w:rFonts w:ascii="Verdana" w:hAnsi="Verdana"/>
                <w:sz w:val="18"/>
                <w:szCs w:val="18"/>
              </w:rPr>
            </w:pPr>
            <w:r w:rsidRPr="00A11546">
              <w:rPr>
                <w:rFonts w:ascii="Verdana" w:hAnsi="Verdana"/>
                <w:sz w:val="18"/>
                <w:szCs w:val="18"/>
              </w:rPr>
              <w:t>In Section 11.</w:t>
            </w:r>
          </w:p>
        </w:tc>
      </w:tr>
      <w:tr w:rsidR="00C513B7" w:rsidRPr="00A11546" w:rsidTr="00F24971">
        <w:trPr>
          <w:trHeight w:val="318"/>
        </w:trPr>
        <w:tc>
          <w:tcPr>
            <w:tcW w:w="2835" w:type="dxa"/>
          </w:tcPr>
          <w:p w:rsidR="00C513B7" w:rsidRPr="00A11546" w:rsidRDefault="00A35E98" w:rsidP="00A11546">
            <w:pPr>
              <w:spacing w:before="60" w:after="60"/>
              <w:rPr>
                <w:rFonts w:ascii="Verdana" w:hAnsi="Verdana"/>
                <w:sz w:val="18"/>
                <w:szCs w:val="18"/>
              </w:rPr>
            </w:pPr>
            <w:r w:rsidRPr="00A11546">
              <w:rPr>
                <w:rFonts w:ascii="Verdana" w:hAnsi="Verdana"/>
                <w:sz w:val="18"/>
                <w:szCs w:val="18"/>
              </w:rPr>
              <w:t>Social innovations</w:t>
            </w:r>
          </w:p>
        </w:tc>
        <w:tc>
          <w:tcPr>
            <w:tcW w:w="3256" w:type="dxa"/>
          </w:tcPr>
          <w:p w:rsidR="00C513B7" w:rsidRPr="00A11546" w:rsidRDefault="00A35E98" w:rsidP="00A11546">
            <w:pPr>
              <w:spacing w:before="60" w:after="60"/>
              <w:rPr>
                <w:rFonts w:ascii="Verdana" w:hAnsi="Verdana"/>
                <w:sz w:val="18"/>
                <w:szCs w:val="18"/>
              </w:rPr>
            </w:pPr>
            <w:r w:rsidRPr="00A11546">
              <w:rPr>
                <w:rFonts w:ascii="Verdana" w:hAnsi="Verdana"/>
                <w:sz w:val="18"/>
                <w:szCs w:val="18"/>
              </w:rPr>
              <w:t>ESF Regulation</w:t>
            </w:r>
          </w:p>
        </w:tc>
        <w:tc>
          <w:tcPr>
            <w:tcW w:w="2999" w:type="dxa"/>
          </w:tcPr>
          <w:p w:rsidR="00C513B7" w:rsidRPr="00A11546" w:rsidRDefault="00A35E98" w:rsidP="00A11546">
            <w:pPr>
              <w:spacing w:before="60" w:after="60"/>
              <w:rPr>
                <w:rFonts w:ascii="Verdana" w:hAnsi="Verdana"/>
                <w:sz w:val="18"/>
                <w:szCs w:val="18"/>
              </w:rPr>
            </w:pPr>
            <w:r w:rsidRPr="00A11546">
              <w:rPr>
                <w:rFonts w:ascii="Verdana" w:hAnsi="Verdana"/>
                <w:sz w:val="18"/>
                <w:szCs w:val="18"/>
              </w:rPr>
              <w:t>In activities under IP1 of PA2 and PA3</w:t>
            </w:r>
          </w:p>
        </w:tc>
      </w:tr>
      <w:tr w:rsidR="00C513B7" w:rsidRPr="00A11546" w:rsidTr="00F24971">
        <w:trPr>
          <w:trHeight w:val="318"/>
        </w:trPr>
        <w:tc>
          <w:tcPr>
            <w:tcW w:w="2835" w:type="dxa"/>
          </w:tcPr>
          <w:p w:rsidR="00C513B7" w:rsidRPr="00A11546" w:rsidRDefault="00A35E98" w:rsidP="00A11546">
            <w:pPr>
              <w:spacing w:before="60" w:after="60"/>
              <w:rPr>
                <w:rFonts w:ascii="Verdana" w:hAnsi="Verdana"/>
                <w:sz w:val="18"/>
                <w:szCs w:val="18"/>
              </w:rPr>
            </w:pPr>
            <w:r w:rsidRPr="00A11546">
              <w:rPr>
                <w:rFonts w:ascii="Verdana" w:hAnsi="Verdana"/>
                <w:sz w:val="18"/>
                <w:szCs w:val="18"/>
              </w:rPr>
              <w:t>Transnational cooperation</w:t>
            </w:r>
          </w:p>
        </w:tc>
        <w:tc>
          <w:tcPr>
            <w:tcW w:w="3256" w:type="dxa"/>
          </w:tcPr>
          <w:p w:rsidR="00C513B7" w:rsidRPr="00A11546" w:rsidRDefault="00A35E98" w:rsidP="00A11546">
            <w:pPr>
              <w:spacing w:before="60" w:after="60"/>
              <w:rPr>
                <w:rFonts w:ascii="Verdana" w:hAnsi="Verdana"/>
                <w:sz w:val="18"/>
                <w:szCs w:val="18"/>
              </w:rPr>
            </w:pPr>
            <w:r w:rsidRPr="00A11546">
              <w:rPr>
                <w:rFonts w:ascii="Verdana" w:hAnsi="Verdana"/>
                <w:sz w:val="18"/>
                <w:szCs w:val="18"/>
              </w:rPr>
              <w:t>ESF Regulation</w:t>
            </w:r>
          </w:p>
        </w:tc>
        <w:tc>
          <w:tcPr>
            <w:tcW w:w="2999" w:type="dxa"/>
          </w:tcPr>
          <w:p w:rsidR="00C513B7" w:rsidRPr="00A11546" w:rsidRDefault="00A35E98" w:rsidP="00A11546">
            <w:pPr>
              <w:spacing w:before="60" w:after="60"/>
              <w:rPr>
                <w:rFonts w:ascii="Verdana" w:hAnsi="Verdana"/>
                <w:sz w:val="18"/>
                <w:szCs w:val="18"/>
              </w:rPr>
            </w:pPr>
            <w:r w:rsidRPr="00A11546">
              <w:rPr>
                <w:rFonts w:ascii="Verdana" w:hAnsi="Verdana"/>
                <w:sz w:val="18"/>
                <w:szCs w:val="18"/>
              </w:rPr>
              <w:t>In activities supporting mobility and joint research and projects.</w:t>
            </w:r>
          </w:p>
        </w:tc>
      </w:tr>
    </w:tbl>
    <w:p w:rsidR="003764DF" w:rsidRDefault="003764DF" w:rsidP="00C513B7">
      <w:pPr>
        <w:spacing w:before="120" w:after="120"/>
        <w:jc w:val="both"/>
        <w:rPr>
          <w:rFonts w:ascii="Verdana" w:hAnsi="Verdana"/>
          <w:sz w:val="20"/>
          <w:szCs w:val="20"/>
        </w:rPr>
      </w:pPr>
    </w:p>
    <w:p w:rsidR="00C513B7" w:rsidRPr="005B6074" w:rsidRDefault="00A35E98" w:rsidP="00C513B7">
      <w:pPr>
        <w:spacing w:before="120" w:after="120"/>
        <w:jc w:val="both"/>
        <w:rPr>
          <w:rFonts w:ascii="Verdana" w:hAnsi="Verdana"/>
          <w:sz w:val="20"/>
          <w:szCs w:val="20"/>
        </w:rPr>
      </w:pPr>
      <w:r w:rsidRPr="005B6074">
        <w:rPr>
          <w:rFonts w:ascii="Verdana" w:hAnsi="Verdana"/>
          <w:sz w:val="20"/>
          <w:szCs w:val="20"/>
        </w:rPr>
        <w:t>An analysis of how the horizontal principles of sustainable development, equal opportunities and prevention of discrimination and equality of men and women, contained in Section 11 of the programme, is presented in the Table below.</w:t>
      </w:r>
    </w:p>
    <w:p w:rsidR="00C513B7" w:rsidRPr="005B6074" w:rsidRDefault="00A35E98" w:rsidP="00C513B7">
      <w:pPr>
        <w:pStyle w:val="Caption"/>
        <w:keepNext/>
        <w:spacing w:after="120"/>
        <w:rPr>
          <w:rFonts w:ascii="Verdana" w:hAnsi="Verdana"/>
          <w:color w:val="548DD4" w:themeColor="text2" w:themeTint="99"/>
        </w:rPr>
      </w:pPr>
      <w:bookmarkStart w:id="169" w:name="_Toc390257090"/>
      <w:bookmarkStart w:id="170" w:name="_Toc396225629"/>
      <w:r w:rsidRPr="005B6074">
        <w:rPr>
          <w:rFonts w:ascii="Verdana" w:hAnsi="Verdana"/>
          <w:color w:val="548DD4" w:themeColor="text2" w:themeTint="99"/>
        </w:rPr>
        <w:lastRenderedPageBreak/>
        <w:t xml:space="preserve">Table </w:t>
      </w:r>
      <w:r w:rsidRPr="005B6074">
        <w:rPr>
          <w:rFonts w:ascii="Verdana" w:hAnsi="Verdana"/>
          <w:color w:val="548DD4" w:themeColor="text2" w:themeTint="99"/>
        </w:rPr>
        <w:fldChar w:fldCharType="begin"/>
      </w:r>
      <w:r w:rsidRPr="005B6074">
        <w:rPr>
          <w:rFonts w:ascii="Verdana" w:hAnsi="Verdana"/>
          <w:color w:val="548DD4" w:themeColor="text2" w:themeTint="99"/>
        </w:rPr>
        <w:instrText xml:space="preserve"> SEQ таблица \* ARABIC </w:instrText>
      </w:r>
      <w:r w:rsidRPr="005B6074">
        <w:rPr>
          <w:rFonts w:ascii="Verdana" w:hAnsi="Verdana"/>
          <w:color w:val="548DD4" w:themeColor="text2" w:themeTint="99"/>
        </w:rPr>
        <w:fldChar w:fldCharType="separate"/>
      </w:r>
      <w:r w:rsidR="009330F5">
        <w:rPr>
          <w:rFonts w:ascii="Verdana" w:hAnsi="Verdana"/>
          <w:noProof/>
          <w:color w:val="548DD4" w:themeColor="text2" w:themeTint="99"/>
        </w:rPr>
        <w:t>34</w:t>
      </w:r>
      <w:r w:rsidRPr="005B6074">
        <w:rPr>
          <w:rFonts w:ascii="Verdana" w:hAnsi="Verdana"/>
          <w:color w:val="548DD4" w:themeColor="text2" w:themeTint="99"/>
        </w:rPr>
        <w:fldChar w:fldCharType="end"/>
      </w:r>
      <w:r w:rsidRPr="005B6074">
        <w:rPr>
          <w:rFonts w:ascii="Verdana" w:hAnsi="Verdana"/>
          <w:color w:val="548DD4" w:themeColor="text2" w:themeTint="99"/>
        </w:rPr>
        <w:t xml:space="preserve">. Analysis of the way the horizontal principles are laid down in </w:t>
      </w:r>
      <w:r w:rsidR="005B35A7">
        <w:rPr>
          <w:rFonts w:ascii="Verdana" w:hAnsi="Verdana"/>
          <w:color w:val="548DD4" w:themeColor="text2" w:themeTint="99"/>
        </w:rPr>
        <w:t>OPSESG</w:t>
      </w:r>
      <w:bookmarkEnd w:id="169"/>
      <w:bookmarkEnd w:id="170"/>
    </w:p>
    <w:tbl>
      <w:tblPr>
        <w:tblStyle w:val="TableGrid"/>
        <w:tblW w:w="0" w:type="auto"/>
        <w:tblLayout w:type="fixed"/>
        <w:tblLook w:val="04A0" w:firstRow="1" w:lastRow="0" w:firstColumn="1" w:lastColumn="0" w:noHBand="0" w:noVBand="1"/>
      </w:tblPr>
      <w:tblGrid>
        <w:gridCol w:w="1696"/>
        <w:gridCol w:w="4357"/>
        <w:gridCol w:w="3027"/>
      </w:tblGrid>
      <w:tr w:rsidR="004F6C05" w:rsidRPr="003764DF" w:rsidTr="004F6C05">
        <w:tc>
          <w:tcPr>
            <w:tcW w:w="1696" w:type="dxa"/>
            <w:shd w:val="clear" w:color="auto" w:fill="548DD4" w:themeFill="text2" w:themeFillTint="99"/>
          </w:tcPr>
          <w:p w:rsidR="00C513B7" w:rsidRPr="003764DF" w:rsidRDefault="00A35E98" w:rsidP="00A11546">
            <w:pPr>
              <w:spacing w:before="60" w:after="60"/>
              <w:rPr>
                <w:rFonts w:ascii="Verdana" w:hAnsi="Verdana"/>
                <w:b/>
                <w:color w:val="FFFFFF" w:themeColor="background1"/>
                <w:sz w:val="18"/>
                <w:szCs w:val="18"/>
              </w:rPr>
            </w:pPr>
            <w:r w:rsidRPr="003764DF">
              <w:rPr>
                <w:rFonts w:ascii="Verdana" w:hAnsi="Verdana"/>
                <w:b/>
                <w:color w:val="FFFFFF" w:themeColor="background1"/>
                <w:sz w:val="18"/>
                <w:szCs w:val="18"/>
              </w:rPr>
              <w:t>Principle</w:t>
            </w:r>
          </w:p>
        </w:tc>
        <w:tc>
          <w:tcPr>
            <w:tcW w:w="4357" w:type="dxa"/>
            <w:shd w:val="clear" w:color="auto" w:fill="548DD4" w:themeFill="text2" w:themeFillTint="99"/>
          </w:tcPr>
          <w:p w:rsidR="00C513B7" w:rsidRPr="003764DF" w:rsidRDefault="00A35E98" w:rsidP="00A11546">
            <w:pPr>
              <w:spacing w:before="60" w:after="60"/>
              <w:rPr>
                <w:rFonts w:ascii="Verdana" w:hAnsi="Verdana"/>
                <w:b/>
                <w:color w:val="FFFFFF" w:themeColor="background1"/>
                <w:sz w:val="18"/>
                <w:szCs w:val="18"/>
              </w:rPr>
            </w:pPr>
            <w:r w:rsidRPr="003764DF">
              <w:rPr>
                <w:rFonts w:ascii="Verdana" w:hAnsi="Verdana"/>
                <w:b/>
                <w:color w:val="FFFFFF" w:themeColor="background1"/>
                <w:sz w:val="18"/>
                <w:szCs w:val="18"/>
              </w:rPr>
              <w:t xml:space="preserve">Reflection in the Programme </w:t>
            </w:r>
          </w:p>
        </w:tc>
        <w:tc>
          <w:tcPr>
            <w:tcW w:w="3027" w:type="dxa"/>
            <w:shd w:val="clear" w:color="auto" w:fill="548DD4" w:themeFill="text2" w:themeFillTint="99"/>
          </w:tcPr>
          <w:p w:rsidR="00C513B7" w:rsidRPr="003764DF" w:rsidRDefault="00A35E98" w:rsidP="00A11546">
            <w:pPr>
              <w:spacing w:before="60" w:after="60"/>
              <w:rPr>
                <w:rFonts w:ascii="Verdana" w:hAnsi="Verdana"/>
                <w:b/>
                <w:color w:val="FFFFFF" w:themeColor="background1"/>
                <w:sz w:val="18"/>
                <w:szCs w:val="18"/>
              </w:rPr>
            </w:pPr>
            <w:r w:rsidRPr="003764DF">
              <w:rPr>
                <w:rFonts w:ascii="Verdana" w:hAnsi="Verdana"/>
                <w:b/>
                <w:color w:val="FFFFFF" w:themeColor="background1"/>
                <w:sz w:val="18"/>
                <w:szCs w:val="18"/>
              </w:rPr>
              <w:t>Monitoring of the implementation of the principle</w:t>
            </w:r>
          </w:p>
        </w:tc>
      </w:tr>
      <w:tr w:rsidR="00C513B7" w:rsidRPr="003764DF" w:rsidTr="003753FE">
        <w:tc>
          <w:tcPr>
            <w:tcW w:w="1696" w:type="dxa"/>
          </w:tcPr>
          <w:p w:rsidR="00C513B7" w:rsidRPr="003764DF" w:rsidRDefault="00A35E98" w:rsidP="00A11546">
            <w:pPr>
              <w:spacing w:before="60" w:after="60"/>
              <w:rPr>
                <w:rFonts w:ascii="Verdana" w:hAnsi="Verdana"/>
                <w:sz w:val="18"/>
                <w:szCs w:val="18"/>
              </w:rPr>
            </w:pPr>
            <w:r w:rsidRPr="003764DF">
              <w:rPr>
                <w:rFonts w:ascii="Verdana" w:hAnsi="Verdana"/>
                <w:sz w:val="18"/>
                <w:szCs w:val="18"/>
              </w:rPr>
              <w:t>Sustainable development</w:t>
            </w:r>
          </w:p>
          <w:p w:rsidR="00C513B7" w:rsidRPr="003764DF" w:rsidRDefault="00C513B7" w:rsidP="00A11546">
            <w:pPr>
              <w:spacing w:before="60" w:after="60"/>
              <w:rPr>
                <w:rFonts w:ascii="Verdana" w:hAnsi="Verdana"/>
                <w:sz w:val="18"/>
                <w:szCs w:val="18"/>
              </w:rPr>
            </w:pPr>
          </w:p>
        </w:tc>
        <w:tc>
          <w:tcPr>
            <w:tcW w:w="4357" w:type="dxa"/>
          </w:tcPr>
          <w:p w:rsidR="00C513B7" w:rsidRPr="003764DF" w:rsidRDefault="00A35E98" w:rsidP="00A11546">
            <w:pPr>
              <w:spacing w:before="60" w:after="60"/>
              <w:rPr>
                <w:rFonts w:ascii="Verdana" w:hAnsi="Verdana"/>
                <w:sz w:val="18"/>
                <w:szCs w:val="18"/>
              </w:rPr>
            </w:pPr>
            <w:r w:rsidRPr="003764DF">
              <w:rPr>
                <w:rFonts w:ascii="Verdana" w:hAnsi="Verdana"/>
                <w:sz w:val="18"/>
                <w:szCs w:val="18"/>
              </w:rPr>
              <w:t>It is pointed out that the principle will be reflected through the following priority axes:</w:t>
            </w:r>
          </w:p>
          <w:p w:rsidR="00C513B7" w:rsidRPr="003764DF" w:rsidRDefault="00A35E98" w:rsidP="00A11546">
            <w:pPr>
              <w:spacing w:before="60" w:after="60"/>
              <w:rPr>
                <w:rFonts w:ascii="Verdana" w:hAnsi="Verdana"/>
                <w:sz w:val="18"/>
                <w:szCs w:val="18"/>
              </w:rPr>
            </w:pPr>
            <w:r w:rsidRPr="003764DF">
              <w:rPr>
                <w:rFonts w:ascii="Verdana" w:hAnsi="Verdana"/>
                <w:sz w:val="18"/>
                <w:szCs w:val="18"/>
              </w:rPr>
              <w:t>PA1 – by giving priority to projects targeting environment protection innovations, technologies of energy efficiency and utilization of renewable sources, organic agriculture  and organic food;</w:t>
            </w:r>
          </w:p>
          <w:p w:rsidR="00C513B7" w:rsidRPr="003764DF" w:rsidRDefault="00A35E98" w:rsidP="00A11546">
            <w:pPr>
              <w:spacing w:before="60" w:after="60"/>
              <w:rPr>
                <w:rFonts w:ascii="Verdana" w:hAnsi="Verdana"/>
                <w:sz w:val="18"/>
                <w:szCs w:val="18"/>
              </w:rPr>
            </w:pPr>
            <w:r w:rsidRPr="003764DF">
              <w:rPr>
                <w:rFonts w:ascii="Verdana" w:hAnsi="Verdana"/>
                <w:sz w:val="18"/>
                <w:szCs w:val="18"/>
              </w:rPr>
              <w:t>PA2 –</w:t>
            </w:r>
            <w:r w:rsidR="00746D6B" w:rsidRPr="003764DF">
              <w:rPr>
                <w:rFonts w:ascii="Verdana" w:hAnsi="Verdana"/>
                <w:sz w:val="18"/>
                <w:szCs w:val="18"/>
              </w:rPr>
              <w:t xml:space="preserve"> </w:t>
            </w:r>
            <w:r w:rsidRPr="003764DF">
              <w:rPr>
                <w:rFonts w:ascii="Verdana" w:hAnsi="Verdana"/>
                <w:sz w:val="18"/>
                <w:szCs w:val="18"/>
              </w:rPr>
              <w:t>by adapting the educational content and developing new curricula and syllabuses where ecological education will be included;</w:t>
            </w:r>
          </w:p>
        </w:tc>
        <w:tc>
          <w:tcPr>
            <w:tcW w:w="3027" w:type="dxa"/>
          </w:tcPr>
          <w:p w:rsidR="00C513B7" w:rsidRPr="003764DF" w:rsidRDefault="00A35E98" w:rsidP="00A11546">
            <w:pPr>
              <w:spacing w:before="60" w:after="60"/>
              <w:rPr>
                <w:rFonts w:ascii="Verdana" w:hAnsi="Verdana"/>
                <w:sz w:val="18"/>
                <w:szCs w:val="18"/>
              </w:rPr>
            </w:pPr>
            <w:r w:rsidRPr="003764DF">
              <w:rPr>
                <w:rFonts w:ascii="Verdana" w:hAnsi="Verdana"/>
                <w:sz w:val="18"/>
                <w:szCs w:val="18"/>
              </w:rPr>
              <w:t>No mechanisms for monitoring the application of the principle have been foreseen.</w:t>
            </w:r>
          </w:p>
        </w:tc>
      </w:tr>
      <w:tr w:rsidR="00C513B7" w:rsidRPr="003764DF" w:rsidTr="003753FE">
        <w:tc>
          <w:tcPr>
            <w:tcW w:w="1696" w:type="dxa"/>
          </w:tcPr>
          <w:p w:rsidR="00C513B7" w:rsidRPr="003764DF" w:rsidRDefault="00A35E98" w:rsidP="00A11546">
            <w:pPr>
              <w:spacing w:before="60" w:after="60"/>
              <w:rPr>
                <w:rFonts w:ascii="Verdana" w:hAnsi="Verdana"/>
                <w:sz w:val="18"/>
                <w:szCs w:val="18"/>
              </w:rPr>
            </w:pPr>
            <w:r w:rsidRPr="003764DF">
              <w:rPr>
                <w:rFonts w:ascii="Verdana" w:hAnsi="Verdana"/>
                <w:sz w:val="18"/>
                <w:szCs w:val="18"/>
              </w:rPr>
              <w:t>Equal opportunities and prevention of discrimination</w:t>
            </w:r>
          </w:p>
        </w:tc>
        <w:tc>
          <w:tcPr>
            <w:tcW w:w="4357" w:type="dxa"/>
          </w:tcPr>
          <w:p w:rsidR="00C513B7" w:rsidRPr="003764DF" w:rsidRDefault="00A35E98" w:rsidP="00A11546">
            <w:pPr>
              <w:spacing w:before="60" w:after="60"/>
              <w:rPr>
                <w:rFonts w:ascii="Verdana" w:hAnsi="Verdana"/>
                <w:sz w:val="18"/>
                <w:szCs w:val="18"/>
              </w:rPr>
            </w:pPr>
            <w:r w:rsidRPr="003764DF">
              <w:rPr>
                <w:rFonts w:ascii="Verdana" w:hAnsi="Verdana"/>
                <w:sz w:val="18"/>
                <w:szCs w:val="18"/>
              </w:rPr>
              <w:t>It is pointed out that the principle will be reflected through:</w:t>
            </w:r>
          </w:p>
          <w:p w:rsidR="00C513B7" w:rsidRPr="003764DF" w:rsidRDefault="00A35E98" w:rsidP="00A11546">
            <w:pPr>
              <w:spacing w:before="60" w:after="60"/>
              <w:rPr>
                <w:rFonts w:ascii="Verdana" w:hAnsi="Verdana"/>
                <w:sz w:val="18"/>
                <w:szCs w:val="18"/>
              </w:rPr>
            </w:pPr>
            <w:r w:rsidRPr="003764DF">
              <w:rPr>
                <w:rFonts w:ascii="Verdana" w:hAnsi="Verdana"/>
                <w:sz w:val="18"/>
                <w:szCs w:val="18"/>
              </w:rPr>
              <w:t>PA3 –</w:t>
            </w:r>
            <w:r w:rsidR="00746D6B" w:rsidRPr="003764DF">
              <w:rPr>
                <w:rFonts w:ascii="Verdana" w:hAnsi="Verdana"/>
                <w:sz w:val="18"/>
                <w:szCs w:val="18"/>
              </w:rPr>
              <w:t xml:space="preserve"> </w:t>
            </w:r>
            <w:r w:rsidRPr="003764DF">
              <w:rPr>
                <w:rFonts w:ascii="Verdana" w:hAnsi="Verdana"/>
                <w:sz w:val="18"/>
                <w:szCs w:val="18"/>
              </w:rPr>
              <w:t>by targeting disadvantaged groups for which special support is envisaged;</w:t>
            </w:r>
          </w:p>
          <w:p w:rsidR="00C513B7" w:rsidRPr="003764DF" w:rsidRDefault="00A35E98" w:rsidP="00A11546">
            <w:pPr>
              <w:spacing w:before="60" w:after="60"/>
              <w:rPr>
                <w:rFonts w:ascii="Verdana" w:hAnsi="Verdana"/>
                <w:sz w:val="18"/>
                <w:szCs w:val="18"/>
              </w:rPr>
            </w:pPr>
            <w:r w:rsidRPr="003764DF">
              <w:rPr>
                <w:rFonts w:ascii="Verdana" w:hAnsi="Verdana"/>
                <w:sz w:val="18"/>
                <w:szCs w:val="18"/>
              </w:rPr>
              <w:t>PA2 – it contains measures addressing the needs of vulnerable groups through measures for prevention of early school leaving, measures for student loans, for qualification of teachers to work with children at risk;</w:t>
            </w:r>
          </w:p>
          <w:p w:rsidR="00C513B7" w:rsidRPr="003764DF" w:rsidRDefault="00A35E98" w:rsidP="00A11546">
            <w:pPr>
              <w:spacing w:before="60" w:after="60"/>
              <w:rPr>
                <w:rFonts w:ascii="Verdana" w:hAnsi="Verdana"/>
                <w:sz w:val="18"/>
                <w:szCs w:val="18"/>
              </w:rPr>
            </w:pPr>
            <w:r w:rsidRPr="003764DF">
              <w:rPr>
                <w:rFonts w:ascii="Verdana" w:hAnsi="Verdana"/>
                <w:sz w:val="18"/>
                <w:szCs w:val="18"/>
              </w:rPr>
              <w:t>Introduction of ICT in education and of distance learning forms, thus facilitating the access to education;</w:t>
            </w:r>
          </w:p>
          <w:p w:rsidR="00C513B7" w:rsidRPr="003764DF" w:rsidRDefault="00A35E98" w:rsidP="00A11546">
            <w:pPr>
              <w:spacing w:before="60" w:after="60"/>
              <w:rPr>
                <w:rFonts w:ascii="Verdana" w:hAnsi="Verdana"/>
                <w:sz w:val="18"/>
                <w:szCs w:val="18"/>
              </w:rPr>
            </w:pPr>
            <w:r w:rsidRPr="003764DF">
              <w:rPr>
                <w:rFonts w:ascii="Verdana" w:hAnsi="Verdana"/>
                <w:sz w:val="18"/>
                <w:szCs w:val="18"/>
              </w:rPr>
              <w:t>Besides, rules will be applied in the selection of projects which will guarantee the availability of physical conditions for work of disadvantaged participants:</w:t>
            </w:r>
          </w:p>
        </w:tc>
        <w:tc>
          <w:tcPr>
            <w:tcW w:w="3027" w:type="dxa"/>
          </w:tcPr>
          <w:p w:rsidR="00C513B7" w:rsidRPr="003764DF" w:rsidRDefault="00A35E98" w:rsidP="00A11546">
            <w:pPr>
              <w:spacing w:before="60" w:after="60"/>
              <w:rPr>
                <w:rFonts w:ascii="Verdana" w:hAnsi="Verdana"/>
                <w:sz w:val="18"/>
                <w:szCs w:val="18"/>
              </w:rPr>
            </w:pPr>
            <w:r w:rsidRPr="003764DF">
              <w:rPr>
                <w:rFonts w:ascii="Verdana" w:hAnsi="Verdana"/>
                <w:sz w:val="18"/>
                <w:szCs w:val="18"/>
              </w:rPr>
              <w:t>Most generally, monitoring is foreseen to take place in the form of specialized checks and of monitoring specific indicators.</w:t>
            </w:r>
          </w:p>
          <w:p w:rsidR="00C513B7" w:rsidRPr="003764DF" w:rsidRDefault="00A35E98" w:rsidP="00A11546">
            <w:pPr>
              <w:spacing w:before="60" w:after="60"/>
              <w:rPr>
                <w:rFonts w:ascii="Verdana" w:hAnsi="Verdana"/>
                <w:sz w:val="18"/>
                <w:szCs w:val="18"/>
              </w:rPr>
            </w:pPr>
            <w:r w:rsidRPr="003764DF">
              <w:rPr>
                <w:rFonts w:ascii="Verdana" w:hAnsi="Verdana"/>
                <w:sz w:val="18"/>
                <w:szCs w:val="18"/>
              </w:rPr>
              <w:t>The introduction of specialized checks would result in increasing the administrative burden. It would therefore be more appropriate to collect information on the implementation of the principle through the monitoring system.</w:t>
            </w:r>
          </w:p>
        </w:tc>
      </w:tr>
      <w:tr w:rsidR="00C513B7" w:rsidRPr="003764DF" w:rsidTr="003753FE">
        <w:tc>
          <w:tcPr>
            <w:tcW w:w="1696" w:type="dxa"/>
          </w:tcPr>
          <w:p w:rsidR="00C513B7" w:rsidRPr="003764DF" w:rsidRDefault="00A35E98" w:rsidP="00A11546">
            <w:pPr>
              <w:spacing w:before="60" w:after="60"/>
              <w:rPr>
                <w:rFonts w:ascii="Verdana" w:hAnsi="Verdana"/>
                <w:sz w:val="18"/>
                <w:szCs w:val="18"/>
              </w:rPr>
            </w:pPr>
            <w:r w:rsidRPr="003764DF">
              <w:rPr>
                <w:rFonts w:ascii="Verdana" w:hAnsi="Verdana"/>
                <w:sz w:val="18"/>
                <w:szCs w:val="18"/>
              </w:rPr>
              <w:t>Equality of men and women</w:t>
            </w:r>
          </w:p>
        </w:tc>
        <w:tc>
          <w:tcPr>
            <w:tcW w:w="4357" w:type="dxa"/>
          </w:tcPr>
          <w:p w:rsidR="00C513B7" w:rsidRPr="003764DF" w:rsidRDefault="00A35E98" w:rsidP="00A11546">
            <w:pPr>
              <w:spacing w:before="60" w:after="60"/>
              <w:rPr>
                <w:rFonts w:ascii="Verdana" w:hAnsi="Verdana"/>
                <w:sz w:val="18"/>
                <w:szCs w:val="18"/>
              </w:rPr>
            </w:pPr>
            <w:r w:rsidRPr="003764DF">
              <w:rPr>
                <w:rFonts w:ascii="Verdana" w:hAnsi="Verdana"/>
                <w:sz w:val="18"/>
                <w:szCs w:val="18"/>
              </w:rPr>
              <w:t>It is pointed out that the principle will be reflected by:</w:t>
            </w:r>
          </w:p>
          <w:p w:rsidR="00C513B7" w:rsidRPr="003764DF" w:rsidRDefault="00A35E98" w:rsidP="00A11546">
            <w:pPr>
              <w:spacing w:before="60" w:after="60"/>
              <w:rPr>
                <w:rFonts w:ascii="Verdana" w:hAnsi="Verdana"/>
                <w:sz w:val="18"/>
                <w:szCs w:val="18"/>
              </w:rPr>
            </w:pPr>
            <w:r w:rsidRPr="003764DF">
              <w:rPr>
                <w:rFonts w:ascii="Verdana" w:hAnsi="Verdana"/>
                <w:sz w:val="18"/>
                <w:szCs w:val="18"/>
              </w:rPr>
              <w:t>Creating conditions for equal opportunities of men and women in the management of the projects;</w:t>
            </w:r>
          </w:p>
          <w:p w:rsidR="00C513B7" w:rsidRPr="003764DF" w:rsidRDefault="00A35E98" w:rsidP="00A11546">
            <w:pPr>
              <w:spacing w:before="60" w:after="60"/>
              <w:rPr>
                <w:rFonts w:ascii="Verdana" w:hAnsi="Verdana"/>
                <w:sz w:val="18"/>
                <w:szCs w:val="18"/>
              </w:rPr>
            </w:pPr>
            <w:r w:rsidRPr="003764DF">
              <w:rPr>
                <w:rFonts w:ascii="Verdana" w:hAnsi="Verdana"/>
                <w:sz w:val="18"/>
                <w:szCs w:val="18"/>
              </w:rPr>
              <w:t>Guaranteeing adequate representation in the target group;</w:t>
            </w:r>
          </w:p>
          <w:p w:rsidR="00C513B7" w:rsidRPr="003764DF" w:rsidRDefault="00A35E98" w:rsidP="00A11546">
            <w:pPr>
              <w:spacing w:before="60" w:after="60"/>
              <w:rPr>
                <w:rFonts w:ascii="Verdana" w:hAnsi="Verdana"/>
                <w:sz w:val="18"/>
                <w:szCs w:val="18"/>
              </w:rPr>
            </w:pPr>
            <w:r w:rsidRPr="003764DF">
              <w:rPr>
                <w:rFonts w:ascii="Verdana" w:hAnsi="Verdana"/>
                <w:sz w:val="18"/>
                <w:szCs w:val="18"/>
              </w:rPr>
              <w:t>Modelling the educational content in order to shift the focus in presenting the traditional roles of men and women and to encourage changes in the attitudes.</w:t>
            </w:r>
          </w:p>
        </w:tc>
        <w:tc>
          <w:tcPr>
            <w:tcW w:w="3027" w:type="dxa"/>
          </w:tcPr>
          <w:p w:rsidR="00C513B7" w:rsidRPr="003764DF" w:rsidRDefault="00A35E98" w:rsidP="00A11546">
            <w:pPr>
              <w:spacing w:before="60" w:after="60"/>
              <w:rPr>
                <w:rFonts w:ascii="Verdana" w:hAnsi="Verdana"/>
                <w:sz w:val="18"/>
                <w:szCs w:val="18"/>
              </w:rPr>
            </w:pPr>
            <w:r w:rsidRPr="003764DF">
              <w:rPr>
                <w:rFonts w:ascii="Verdana" w:hAnsi="Verdana"/>
                <w:sz w:val="18"/>
                <w:szCs w:val="18"/>
              </w:rPr>
              <w:t>It is not specified how the implementation of the principle will be monitored.</w:t>
            </w:r>
          </w:p>
          <w:p w:rsidR="00C513B7" w:rsidRPr="003764DF" w:rsidRDefault="00A35E98" w:rsidP="00A11546">
            <w:pPr>
              <w:spacing w:before="60" w:after="60"/>
              <w:rPr>
                <w:rFonts w:ascii="Verdana" w:hAnsi="Verdana"/>
                <w:sz w:val="18"/>
                <w:szCs w:val="18"/>
              </w:rPr>
            </w:pPr>
            <w:r w:rsidRPr="003764DF">
              <w:rPr>
                <w:rFonts w:ascii="Verdana" w:hAnsi="Verdana"/>
                <w:sz w:val="18"/>
                <w:szCs w:val="18"/>
              </w:rPr>
              <w:t>According to the requirements of the ESF Regulation, the data for the indicators must be collected by gender, which will allow to measure the support rendered to men and women.</w:t>
            </w:r>
          </w:p>
        </w:tc>
      </w:tr>
    </w:tbl>
    <w:p w:rsidR="00C513B7" w:rsidRPr="005B6074" w:rsidRDefault="00A35E98" w:rsidP="003764DF">
      <w:pPr>
        <w:pStyle w:val="Heading3"/>
        <w:keepNext/>
        <w:numPr>
          <w:ilvl w:val="0"/>
          <w:numId w:val="0"/>
        </w:numPr>
        <w:spacing w:before="360"/>
        <w:ind w:left="720" w:hanging="720"/>
      </w:pPr>
      <w:bookmarkStart w:id="171" w:name="_Toc387936180"/>
      <w:bookmarkStart w:id="172" w:name="_Toc387936233"/>
      <w:bookmarkStart w:id="173" w:name="_Toc396225559"/>
      <w:bookmarkEnd w:id="171"/>
      <w:bookmarkEnd w:id="172"/>
      <w:r w:rsidRPr="005B6074">
        <w:lastRenderedPageBreak/>
        <w:t>Conclusions and recommendations</w:t>
      </w:r>
      <w:bookmarkEnd w:id="173"/>
    </w:p>
    <w:p w:rsidR="00C513B7" w:rsidRPr="005B6074" w:rsidRDefault="00A35E98" w:rsidP="00C513B7">
      <w:pPr>
        <w:autoSpaceDE w:val="0"/>
        <w:autoSpaceDN w:val="0"/>
        <w:adjustRightInd w:val="0"/>
        <w:spacing w:after="120"/>
        <w:jc w:val="both"/>
        <w:rPr>
          <w:rFonts w:ascii="Verdana" w:hAnsi="Verdana"/>
          <w:sz w:val="20"/>
          <w:szCs w:val="20"/>
        </w:rPr>
      </w:pPr>
      <w:bookmarkStart w:id="174" w:name="_Toc319498688"/>
      <w:r w:rsidRPr="005B6074">
        <w:rPr>
          <w:rFonts w:ascii="Verdana" w:hAnsi="Verdana"/>
          <w:sz w:val="20"/>
          <w:szCs w:val="20"/>
        </w:rPr>
        <w:t>The justification of the selection of investment priorities (table 1) was improved in the course of work, and so were the strategic goals in the area of science. The added information illustrates the needs relating to some specific objectives under all priority axes. The structuring of the exemplary activities in the area of education was also improved.</w:t>
      </w:r>
    </w:p>
    <w:p w:rsidR="00C513B7" w:rsidRPr="005B6074" w:rsidRDefault="00A35E98" w:rsidP="00C513B7">
      <w:pPr>
        <w:autoSpaceDE w:val="0"/>
        <w:autoSpaceDN w:val="0"/>
        <w:adjustRightInd w:val="0"/>
        <w:spacing w:after="120"/>
        <w:jc w:val="both"/>
        <w:rPr>
          <w:rFonts w:ascii="Verdana" w:hAnsi="Verdana"/>
          <w:sz w:val="20"/>
          <w:szCs w:val="20"/>
        </w:rPr>
      </w:pPr>
      <w:r w:rsidRPr="005B6074">
        <w:rPr>
          <w:rFonts w:ascii="Verdana" w:hAnsi="Verdana"/>
          <w:sz w:val="20"/>
          <w:szCs w:val="20"/>
        </w:rPr>
        <w:t>What is still needed is a more comprehensive presentation of the problems relating to some specific objectives, a more precise and summarized presentation of the activities, an analysis of the possibilities to use financial instruments and a more precise defining of the methods of monitoring the implementation of the horizontal principles.</w:t>
      </w:r>
    </w:p>
    <w:p w:rsidR="00C513B7" w:rsidRPr="005B6074" w:rsidRDefault="003753FE" w:rsidP="00C513B7">
      <w:pPr>
        <w:pStyle w:val="Heading2"/>
        <w:shd w:val="clear" w:color="auto" w:fill="FFCC99"/>
        <w:spacing w:line="276" w:lineRule="auto"/>
        <w:rPr>
          <w:rFonts w:ascii="Verdana" w:hAnsi="Verdana"/>
          <w:i w:val="0"/>
          <w:iCs/>
          <w:color w:val="0063B8"/>
          <w:sz w:val="26"/>
          <w:szCs w:val="26"/>
        </w:rPr>
      </w:pPr>
      <w:bookmarkStart w:id="175" w:name="_Toc396225560"/>
      <w:r>
        <w:rPr>
          <w:rFonts w:ascii="Verdana" w:hAnsi="Verdana"/>
          <w:i w:val="0"/>
          <w:iCs/>
          <w:color w:val="0063B8"/>
          <w:sz w:val="26"/>
          <w:szCs w:val="26"/>
        </w:rPr>
        <w:t>Evaluation</w:t>
      </w:r>
      <w:r w:rsidR="00A35E98" w:rsidRPr="005B6074">
        <w:rPr>
          <w:rFonts w:ascii="Verdana" w:hAnsi="Verdana"/>
          <w:i w:val="0"/>
          <w:iCs/>
          <w:color w:val="0063B8"/>
          <w:sz w:val="26"/>
          <w:szCs w:val="26"/>
        </w:rPr>
        <w:t xml:space="preserve"> of the system of indicators</w:t>
      </w:r>
      <w:bookmarkEnd w:id="175"/>
    </w:p>
    <w:p w:rsidR="00C513B7" w:rsidRPr="005B6074" w:rsidRDefault="00A35E98" w:rsidP="00C513B7">
      <w:pPr>
        <w:keepNext/>
        <w:widowControl w:val="0"/>
        <w:tabs>
          <w:tab w:val="left" w:pos="1276"/>
        </w:tabs>
        <w:overflowPunct w:val="0"/>
        <w:autoSpaceDE w:val="0"/>
        <w:autoSpaceDN w:val="0"/>
        <w:adjustRightInd w:val="0"/>
        <w:spacing w:before="360" w:after="240"/>
        <w:jc w:val="both"/>
        <w:textAlignment w:val="baseline"/>
        <w:outlineLvl w:val="2"/>
        <w:rPr>
          <w:rFonts w:ascii="Verdana" w:eastAsia="Times New Roman" w:hAnsi="Verdana" w:cs="Calibri"/>
          <w:b/>
          <w:color w:val="365F91"/>
          <w:lang w:eastAsia="cs-CZ"/>
        </w:rPr>
      </w:pPr>
      <w:bookmarkStart w:id="176" w:name="_Toc396225561"/>
      <w:bookmarkEnd w:id="174"/>
      <w:r w:rsidRPr="005B6074">
        <w:rPr>
          <w:rFonts w:ascii="Verdana" w:eastAsia="Times New Roman" w:hAnsi="Verdana" w:cs="Calibri"/>
          <w:b/>
          <w:color w:val="365F91"/>
          <w:lang w:eastAsia="cs-CZ"/>
        </w:rPr>
        <w:t>Analysis</w:t>
      </w:r>
      <w:bookmarkEnd w:id="176"/>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67"/>
        <w:gridCol w:w="8366"/>
      </w:tblGrid>
      <w:tr w:rsidR="00C513B7" w:rsidRPr="005B6074" w:rsidTr="00F24971">
        <w:tc>
          <w:tcPr>
            <w:tcW w:w="567" w:type="dxa"/>
            <w:vAlign w:val="center"/>
          </w:tcPr>
          <w:p w:rsidR="00C513B7" w:rsidRPr="005B6074" w:rsidRDefault="00A35E98" w:rsidP="00F24971">
            <w:pPr>
              <w:spacing w:after="0"/>
              <w:jc w:val="center"/>
              <w:rPr>
                <w:rFonts w:ascii="Verdana" w:eastAsia="Times New Roman" w:hAnsi="Verdana"/>
                <w:color w:val="548DD4"/>
                <w:sz w:val="36"/>
                <w:szCs w:val="36"/>
                <w:lang w:eastAsia="bg-BG"/>
              </w:rPr>
            </w:pPr>
            <w:r w:rsidRPr="005B6074">
              <w:rPr>
                <w:rFonts w:ascii="Verdana" w:eastAsia="Times New Roman" w:hAnsi="Verdana"/>
                <w:color w:val="548DD4"/>
                <w:sz w:val="36"/>
                <w:szCs w:val="36"/>
                <w:lang w:eastAsia="bg-BG"/>
              </w:rPr>
              <w:t>?</w:t>
            </w:r>
          </w:p>
        </w:tc>
        <w:tc>
          <w:tcPr>
            <w:tcW w:w="8366" w:type="dxa"/>
            <w:shd w:val="clear" w:color="auto" w:fill="B8CCE4"/>
          </w:tcPr>
          <w:p w:rsidR="00C513B7" w:rsidRPr="005B6074" w:rsidRDefault="00A35E98" w:rsidP="00F24971">
            <w:pPr>
              <w:autoSpaceDE w:val="0"/>
              <w:autoSpaceDN w:val="0"/>
              <w:adjustRightInd w:val="0"/>
              <w:spacing w:before="120" w:after="120"/>
              <w:ind w:left="113"/>
              <w:rPr>
                <w:rFonts w:ascii="Verdana" w:eastAsia="Times New Roman" w:hAnsi="Verdana"/>
                <w:sz w:val="20"/>
                <w:szCs w:val="20"/>
              </w:rPr>
            </w:pPr>
            <w:r w:rsidRPr="005B6074">
              <w:rPr>
                <w:rFonts w:ascii="Verdana" w:hAnsi="Verdana"/>
                <w:sz w:val="20"/>
                <w:szCs w:val="20"/>
              </w:rPr>
              <w:t>Assessment of the relevance and clarity of the system of indicators</w:t>
            </w:r>
          </w:p>
        </w:tc>
      </w:tr>
    </w:tbl>
    <w:p w:rsidR="00C513B7" w:rsidRPr="005B6074" w:rsidRDefault="00C513B7" w:rsidP="00C513B7">
      <w:pPr>
        <w:widowControl w:val="0"/>
        <w:tabs>
          <w:tab w:val="left" w:pos="0"/>
          <w:tab w:val="right" w:pos="9214"/>
        </w:tabs>
        <w:spacing w:after="120"/>
        <w:rPr>
          <w:rFonts w:ascii="Verdana" w:eastAsia="Times New Roman" w:hAnsi="Verdana"/>
          <w:bCs/>
          <w:color w:val="000000"/>
          <w:sz w:val="20"/>
          <w:szCs w:val="20"/>
          <w:lang w:eastAsia="bg-BG"/>
        </w:rPr>
      </w:pPr>
    </w:p>
    <w:p w:rsidR="005336C5" w:rsidRPr="005B6074" w:rsidRDefault="00A35E98" w:rsidP="00C513B7">
      <w:pPr>
        <w:widowControl w:val="0"/>
        <w:tabs>
          <w:tab w:val="left" w:pos="0"/>
          <w:tab w:val="right" w:pos="9214"/>
        </w:tabs>
        <w:spacing w:after="120"/>
        <w:jc w:val="both"/>
        <w:rPr>
          <w:rFonts w:ascii="Verdana" w:hAnsi="Verdana"/>
          <w:bCs/>
          <w:color w:val="000000"/>
          <w:sz w:val="20"/>
          <w:szCs w:val="20"/>
          <w:lang w:eastAsia="bg-BG"/>
        </w:rPr>
      </w:pPr>
      <w:r w:rsidRPr="005B6074">
        <w:rPr>
          <w:rFonts w:ascii="Verdana" w:hAnsi="Verdana"/>
          <w:bCs/>
          <w:color w:val="000000"/>
          <w:sz w:val="20"/>
          <w:szCs w:val="20"/>
          <w:lang w:eastAsia="bg-BG"/>
        </w:rPr>
        <w:t>The assessment of the relevance and clarity of the system of indicators is explicitly referred to as a responsibility of the ex-ante evaluation in Article 55(3</w:t>
      </w:r>
      <w:proofErr w:type="gramStart"/>
      <w:r w:rsidRPr="005B6074">
        <w:rPr>
          <w:rFonts w:ascii="Verdana" w:hAnsi="Verdana"/>
          <w:bCs/>
          <w:color w:val="000000"/>
          <w:sz w:val="20"/>
          <w:szCs w:val="20"/>
          <w:lang w:eastAsia="bg-BG"/>
        </w:rPr>
        <w:t>)(</w:t>
      </w:r>
      <w:proofErr w:type="gramEnd"/>
      <w:r w:rsidRPr="005B6074">
        <w:rPr>
          <w:rFonts w:ascii="Verdana" w:hAnsi="Verdana"/>
          <w:bCs/>
          <w:color w:val="000000"/>
          <w:sz w:val="20"/>
          <w:szCs w:val="20"/>
          <w:lang w:eastAsia="bg-BG"/>
        </w:rPr>
        <w:t xml:space="preserve">e) of the Regulation on the common provisions (1303/2013). </w:t>
      </w:r>
    </w:p>
    <w:p w:rsidR="00C513B7" w:rsidRPr="005B6074" w:rsidRDefault="00A35E98" w:rsidP="00C513B7">
      <w:pPr>
        <w:widowControl w:val="0"/>
        <w:tabs>
          <w:tab w:val="left" w:pos="0"/>
          <w:tab w:val="right" w:pos="9214"/>
        </w:tabs>
        <w:spacing w:after="120"/>
        <w:jc w:val="both"/>
        <w:rPr>
          <w:rFonts w:ascii="Verdana" w:hAnsi="Verdana"/>
          <w:bCs/>
          <w:color w:val="000000"/>
          <w:sz w:val="20"/>
          <w:szCs w:val="20"/>
          <w:lang w:eastAsia="bg-BG"/>
        </w:rPr>
      </w:pPr>
      <w:r w:rsidRPr="005B6074">
        <w:rPr>
          <w:rFonts w:ascii="Verdana" w:hAnsi="Verdana"/>
          <w:bCs/>
          <w:color w:val="000000"/>
          <w:sz w:val="20"/>
          <w:szCs w:val="20"/>
          <w:lang w:eastAsia="bg-BG"/>
        </w:rPr>
        <w:t>In the draft „Technical paper on possible programme-specific indicators” of DG Employment, Social issues and inclusion it is pointed out that:</w:t>
      </w:r>
    </w:p>
    <w:p w:rsidR="00C513B7" w:rsidRPr="005B6074" w:rsidRDefault="00A44A72" w:rsidP="00C513B7">
      <w:pPr>
        <w:widowControl w:val="0"/>
        <w:tabs>
          <w:tab w:val="left" w:pos="0"/>
          <w:tab w:val="right" w:pos="9214"/>
        </w:tabs>
        <w:spacing w:after="120"/>
        <w:ind w:left="708"/>
        <w:jc w:val="both"/>
        <w:rPr>
          <w:rFonts w:ascii="Verdana" w:hAnsi="Verdana"/>
          <w:bCs/>
          <w:color w:val="000000"/>
          <w:sz w:val="20"/>
          <w:szCs w:val="20"/>
          <w:lang w:eastAsia="bg-BG"/>
        </w:rPr>
      </w:pPr>
      <w:r w:rsidRPr="005B6074">
        <w:rPr>
          <w:rFonts w:ascii="Verdana" w:hAnsi="Verdana"/>
          <w:bCs/>
          <w:i/>
          <w:color w:val="000000"/>
          <w:sz w:val="20"/>
          <w:szCs w:val="20"/>
          <w:lang w:eastAsia="bg-BG"/>
        </w:rPr>
        <w:t>”</w:t>
      </w:r>
      <w:r w:rsidR="00A35E98" w:rsidRPr="005B6074">
        <w:rPr>
          <w:rFonts w:ascii="Verdana" w:hAnsi="Verdana"/>
          <w:bCs/>
          <w:i/>
          <w:color w:val="000000"/>
          <w:sz w:val="20"/>
          <w:szCs w:val="20"/>
          <w:lang w:eastAsia="bg-BG"/>
        </w:rPr>
        <w:t xml:space="preserve">The justification used to define common indicators is that they will allow data from all member states to be collected and summarized for the purpose of reporting at the EU level. The number of the common indicators is limited to the minimum of most important information necessary to report the main scope of the support from ESF in the context of Europe 2020 Strategy. </w:t>
      </w:r>
      <w:r w:rsidR="00A35E98" w:rsidRPr="005B6074">
        <w:rPr>
          <w:rFonts w:ascii="Verdana" w:hAnsi="Verdana"/>
          <w:b/>
          <w:bCs/>
          <w:i/>
          <w:color w:val="000000"/>
          <w:sz w:val="20"/>
          <w:szCs w:val="20"/>
          <w:lang w:eastAsia="bg-BG"/>
        </w:rPr>
        <w:t>Thus, the common indicators are the minimum set of indicators for each OP. They may be complemented with programme-specific indicators</w:t>
      </w:r>
      <w:r w:rsidR="00A35E98" w:rsidRPr="005B6074">
        <w:rPr>
          <w:rFonts w:ascii="Verdana" w:hAnsi="Verdana"/>
          <w:bCs/>
          <w:i/>
          <w:color w:val="000000"/>
          <w:sz w:val="20"/>
          <w:szCs w:val="20"/>
          <w:lang w:eastAsia="bg-BG"/>
        </w:rPr>
        <w:t xml:space="preserve">, which may be financial indicators, product or </w:t>
      </w:r>
      <w:r w:rsidR="00C72578">
        <w:rPr>
          <w:rFonts w:ascii="Verdana" w:hAnsi="Verdana"/>
          <w:bCs/>
          <w:i/>
          <w:color w:val="000000"/>
          <w:sz w:val="20"/>
          <w:szCs w:val="20"/>
          <w:lang w:eastAsia="bg-BG"/>
        </w:rPr>
        <w:t>result</w:t>
      </w:r>
      <w:r w:rsidR="00A35E98" w:rsidRPr="005B6074">
        <w:rPr>
          <w:rFonts w:ascii="Verdana" w:hAnsi="Verdana"/>
          <w:bCs/>
          <w:i/>
          <w:color w:val="000000"/>
          <w:sz w:val="20"/>
          <w:szCs w:val="20"/>
          <w:lang w:eastAsia="bg-BG"/>
        </w:rPr>
        <w:t xml:space="preserve"> indicators</w:t>
      </w:r>
      <w:r w:rsidR="00A35E98" w:rsidRPr="005B6074">
        <w:rPr>
          <w:rFonts w:ascii="Verdana" w:hAnsi="Verdana"/>
          <w:bCs/>
          <w:color w:val="000000"/>
          <w:sz w:val="20"/>
          <w:szCs w:val="20"/>
          <w:lang w:eastAsia="bg-BG"/>
        </w:rPr>
        <w:t>.”</w:t>
      </w:r>
    </w:p>
    <w:p w:rsidR="00C513B7" w:rsidRPr="005B6074" w:rsidRDefault="00A35E98" w:rsidP="00C513B7">
      <w:pPr>
        <w:spacing w:before="120" w:after="120"/>
        <w:jc w:val="both"/>
        <w:rPr>
          <w:rFonts w:ascii="Verdana" w:eastAsia="Times New Roman" w:hAnsi="Verdana"/>
          <w:sz w:val="20"/>
          <w:szCs w:val="20"/>
          <w:highlight w:val="yellow"/>
        </w:rPr>
      </w:pPr>
      <w:r w:rsidRPr="005B6074">
        <w:rPr>
          <w:rFonts w:ascii="Verdana" w:eastAsia="Times New Roman" w:hAnsi="Verdana"/>
          <w:sz w:val="20"/>
          <w:szCs w:val="20"/>
        </w:rPr>
        <w:t xml:space="preserve">The draft of Guidelines of DG for Employment, Social Affairs and Inclusion on the monitoring and evaluation for the period 2014-2020 also highlights the important role of the ESF common indicators for all OPs supported by ESF (regardless of whether they are financed from one fund or more) which have to report on the common indicators. The review of the system of indicators of </w:t>
      </w:r>
      <w:r w:rsidR="005B35A7">
        <w:rPr>
          <w:rFonts w:ascii="Verdana" w:eastAsia="Times New Roman" w:hAnsi="Verdana"/>
          <w:sz w:val="20"/>
          <w:szCs w:val="20"/>
        </w:rPr>
        <w:t>OPSESG</w:t>
      </w:r>
      <w:r w:rsidRPr="005B6074">
        <w:rPr>
          <w:rFonts w:ascii="Verdana" w:eastAsia="Times New Roman" w:hAnsi="Verdana"/>
          <w:sz w:val="20"/>
          <w:szCs w:val="20"/>
        </w:rPr>
        <w:t xml:space="preserve"> shows that the ESF common indicators have not been included in the logical framework of the Programme to date.</w:t>
      </w:r>
    </w:p>
    <w:p w:rsidR="00454907" w:rsidRPr="005B6074" w:rsidRDefault="00A35E98" w:rsidP="005336C5">
      <w:pPr>
        <w:widowControl w:val="0"/>
        <w:tabs>
          <w:tab w:val="left" w:pos="0"/>
          <w:tab w:val="right" w:pos="9214"/>
        </w:tabs>
        <w:spacing w:after="120"/>
        <w:jc w:val="both"/>
        <w:rPr>
          <w:rFonts w:ascii="Verdana" w:hAnsi="Verdana"/>
          <w:bCs/>
          <w:color w:val="000000"/>
          <w:sz w:val="20"/>
          <w:szCs w:val="20"/>
          <w:lang w:eastAsia="bg-BG"/>
        </w:rPr>
      </w:pPr>
      <w:r w:rsidRPr="005B6074">
        <w:rPr>
          <w:rFonts w:ascii="Verdana" w:hAnsi="Verdana"/>
          <w:bCs/>
          <w:color w:val="000000"/>
          <w:sz w:val="20"/>
          <w:szCs w:val="20"/>
          <w:lang w:eastAsia="bg-BG"/>
        </w:rPr>
        <w:t xml:space="preserve">In August 2014 DG SFIEP has submitted a table with a new system of indicators, including </w:t>
      </w:r>
      <w:r w:rsidR="00DB6F26">
        <w:rPr>
          <w:rFonts w:ascii="Verdana" w:hAnsi="Verdana"/>
          <w:bCs/>
          <w:color w:val="000000"/>
          <w:sz w:val="20"/>
          <w:szCs w:val="20"/>
          <w:lang w:eastAsia="bg-BG"/>
        </w:rPr>
        <w:t>with proposed baseline</w:t>
      </w:r>
      <w:r w:rsidRPr="005B6074">
        <w:rPr>
          <w:rFonts w:ascii="Verdana" w:hAnsi="Verdana"/>
          <w:bCs/>
          <w:color w:val="000000"/>
          <w:sz w:val="20"/>
          <w:szCs w:val="20"/>
          <w:lang w:eastAsia="bg-BG"/>
        </w:rPr>
        <w:t xml:space="preserve"> </w:t>
      </w:r>
      <w:r w:rsidR="00E22D9C" w:rsidRPr="005B6074">
        <w:rPr>
          <w:rFonts w:ascii="Verdana" w:hAnsi="Verdana"/>
          <w:bCs/>
          <w:color w:val="000000"/>
          <w:sz w:val="20"/>
          <w:szCs w:val="20"/>
          <w:lang w:eastAsia="bg-BG"/>
        </w:rPr>
        <w:t xml:space="preserve">and target </w:t>
      </w:r>
      <w:r w:rsidR="00DB6F26">
        <w:rPr>
          <w:rFonts w:ascii="Verdana" w:hAnsi="Verdana"/>
          <w:bCs/>
          <w:color w:val="000000"/>
          <w:sz w:val="20"/>
          <w:szCs w:val="20"/>
          <w:lang w:eastAsia="bg-BG"/>
        </w:rPr>
        <w:t>values. These indicators have not been yet</w:t>
      </w:r>
      <w:r w:rsidRPr="005B6074">
        <w:rPr>
          <w:rFonts w:ascii="Verdana" w:hAnsi="Verdana"/>
          <w:bCs/>
          <w:color w:val="000000"/>
          <w:sz w:val="20"/>
          <w:szCs w:val="20"/>
          <w:lang w:eastAsia="bg-BG"/>
        </w:rPr>
        <w:t xml:space="preserve"> incorporated in the text of the operational programme. </w:t>
      </w:r>
    </w:p>
    <w:p w:rsidR="00454907" w:rsidRPr="005B6074" w:rsidRDefault="00DB6F26" w:rsidP="005336C5">
      <w:pPr>
        <w:widowControl w:val="0"/>
        <w:tabs>
          <w:tab w:val="left" w:pos="0"/>
          <w:tab w:val="right" w:pos="9214"/>
        </w:tabs>
        <w:spacing w:after="120"/>
        <w:jc w:val="both"/>
        <w:rPr>
          <w:rFonts w:ascii="Verdana" w:hAnsi="Verdana"/>
          <w:bCs/>
          <w:color w:val="000000"/>
          <w:sz w:val="20"/>
          <w:szCs w:val="20"/>
          <w:lang w:eastAsia="bg-BG"/>
        </w:rPr>
      </w:pPr>
      <w:r>
        <w:rPr>
          <w:rFonts w:ascii="Verdana" w:hAnsi="Verdana"/>
          <w:bCs/>
          <w:color w:val="000000"/>
          <w:sz w:val="20"/>
          <w:szCs w:val="20"/>
          <w:lang w:eastAsia="bg-BG"/>
        </w:rPr>
        <w:t>The new r</w:t>
      </w:r>
      <w:r w:rsidR="00A35E98" w:rsidRPr="005B6074">
        <w:rPr>
          <w:rFonts w:ascii="Verdana" w:hAnsi="Verdana"/>
          <w:bCs/>
          <w:color w:val="000000"/>
          <w:sz w:val="20"/>
          <w:szCs w:val="20"/>
          <w:lang w:eastAsia="bg-BG"/>
        </w:rPr>
        <w:t xml:space="preserve">esult and </w:t>
      </w:r>
      <w:r w:rsidR="001043B1" w:rsidRPr="005B6074">
        <w:rPr>
          <w:rFonts w:ascii="Verdana" w:hAnsi="Verdana"/>
          <w:bCs/>
          <w:color w:val="000000"/>
          <w:sz w:val="20"/>
          <w:szCs w:val="20"/>
          <w:lang w:eastAsia="bg-BG"/>
        </w:rPr>
        <w:t>output</w:t>
      </w:r>
      <w:r w:rsidR="00A35E98" w:rsidRPr="005B6074">
        <w:rPr>
          <w:rFonts w:ascii="Verdana" w:hAnsi="Verdana"/>
          <w:bCs/>
          <w:color w:val="000000"/>
          <w:sz w:val="20"/>
          <w:szCs w:val="20"/>
          <w:lang w:eastAsia="bg-BG"/>
        </w:rPr>
        <w:t xml:space="preserve"> </w:t>
      </w:r>
      <w:r>
        <w:rPr>
          <w:rFonts w:ascii="Verdana" w:hAnsi="Verdana"/>
          <w:bCs/>
          <w:color w:val="000000"/>
          <w:sz w:val="20"/>
          <w:szCs w:val="20"/>
          <w:lang w:eastAsia="bg-BG"/>
        </w:rPr>
        <w:t>i</w:t>
      </w:r>
      <w:r w:rsidRPr="005B6074">
        <w:rPr>
          <w:rFonts w:ascii="Verdana" w:hAnsi="Verdana"/>
          <w:bCs/>
          <w:color w:val="000000"/>
          <w:sz w:val="20"/>
          <w:szCs w:val="20"/>
          <w:lang w:eastAsia="bg-BG"/>
        </w:rPr>
        <w:t xml:space="preserve">ndicators </w:t>
      </w:r>
      <w:r w:rsidR="00A35E98" w:rsidRPr="005B6074">
        <w:rPr>
          <w:rFonts w:ascii="Verdana" w:hAnsi="Verdana"/>
          <w:bCs/>
          <w:color w:val="000000"/>
          <w:sz w:val="20"/>
          <w:szCs w:val="20"/>
          <w:lang w:eastAsia="bg-BG"/>
        </w:rPr>
        <w:t xml:space="preserve">are defined under investment priorities and </w:t>
      </w:r>
      <w:r>
        <w:rPr>
          <w:rFonts w:ascii="Verdana" w:hAnsi="Verdana"/>
          <w:bCs/>
          <w:color w:val="000000"/>
          <w:sz w:val="20"/>
          <w:szCs w:val="20"/>
          <w:lang w:eastAsia="bg-BG"/>
        </w:rPr>
        <w:t xml:space="preserve">are </w:t>
      </w:r>
      <w:r w:rsidR="00A35E98" w:rsidRPr="005B6074">
        <w:rPr>
          <w:rFonts w:ascii="Verdana" w:hAnsi="Verdana"/>
          <w:bCs/>
          <w:color w:val="000000"/>
          <w:sz w:val="20"/>
          <w:szCs w:val="20"/>
          <w:lang w:eastAsia="bg-BG"/>
        </w:rPr>
        <w:t xml:space="preserve">not </w:t>
      </w:r>
      <w:r>
        <w:rPr>
          <w:rFonts w:ascii="Verdana" w:hAnsi="Verdana"/>
          <w:bCs/>
          <w:color w:val="000000"/>
          <w:sz w:val="20"/>
          <w:szCs w:val="20"/>
          <w:lang w:eastAsia="bg-BG"/>
        </w:rPr>
        <w:t xml:space="preserve">divided by </w:t>
      </w:r>
      <w:r w:rsidR="00A35E98" w:rsidRPr="005B6074">
        <w:rPr>
          <w:rFonts w:ascii="Verdana" w:hAnsi="Verdana"/>
          <w:bCs/>
          <w:color w:val="000000"/>
          <w:sz w:val="20"/>
          <w:szCs w:val="20"/>
          <w:lang w:eastAsia="bg-BG"/>
        </w:rPr>
        <w:t>specific objectives. The comments provided below reflect the modifications m</w:t>
      </w:r>
      <w:r>
        <w:rPr>
          <w:rFonts w:ascii="Verdana" w:hAnsi="Verdana"/>
          <w:bCs/>
          <w:color w:val="000000"/>
          <w:sz w:val="20"/>
          <w:szCs w:val="20"/>
          <w:lang w:eastAsia="bg-BG"/>
        </w:rPr>
        <w:t>ade in the system of indicators. However</w:t>
      </w:r>
      <w:r>
        <w:rPr>
          <w:rFonts w:ascii="Verdana" w:hAnsi="Verdana"/>
          <w:bCs/>
          <w:color w:val="000000"/>
          <w:sz w:val="20"/>
          <w:szCs w:val="20"/>
          <w:lang w:eastAsia="bg-BG"/>
        </w:rPr>
        <w:tab/>
        <w:t>,</w:t>
      </w:r>
      <w:r w:rsidR="00A35E98" w:rsidRPr="005B6074">
        <w:rPr>
          <w:rFonts w:ascii="Verdana" w:hAnsi="Verdana"/>
          <w:bCs/>
          <w:color w:val="000000"/>
          <w:sz w:val="20"/>
          <w:szCs w:val="20"/>
          <w:lang w:eastAsia="bg-BG"/>
        </w:rPr>
        <w:t xml:space="preserve"> considering the fact that </w:t>
      </w:r>
      <w:r>
        <w:rPr>
          <w:rFonts w:ascii="Verdana" w:hAnsi="Verdana"/>
          <w:bCs/>
          <w:color w:val="000000"/>
          <w:sz w:val="20"/>
          <w:szCs w:val="20"/>
          <w:lang w:eastAsia="bg-BG"/>
        </w:rPr>
        <w:t>these</w:t>
      </w:r>
      <w:r w:rsidR="00A35E98" w:rsidRPr="005B6074">
        <w:rPr>
          <w:rFonts w:ascii="Verdana" w:hAnsi="Verdana"/>
          <w:bCs/>
          <w:color w:val="000000"/>
          <w:sz w:val="20"/>
          <w:szCs w:val="20"/>
          <w:lang w:eastAsia="bg-BG"/>
        </w:rPr>
        <w:t xml:space="preserve"> have not been </w:t>
      </w:r>
      <w:r w:rsidR="00A35E98" w:rsidRPr="005B6074">
        <w:rPr>
          <w:rFonts w:ascii="Verdana" w:hAnsi="Verdana"/>
          <w:bCs/>
          <w:color w:val="000000"/>
          <w:sz w:val="20"/>
          <w:szCs w:val="20"/>
          <w:lang w:eastAsia="bg-BG"/>
        </w:rPr>
        <w:lastRenderedPageBreak/>
        <w:t>incorporated in the text of the programme, the analys</w:t>
      </w:r>
      <w:r>
        <w:rPr>
          <w:rFonts w:ascii="Verdana" w:hAnsi="Verdana"/>
          <w:bCs/>
          <w:color w:val="000000"/>
          <w:sz w:val="20"/>
          <w:szCs w:val="20"/>
          <w:lang w:eastAsia="bg-BG"/>
        </w:rPr>
        <w:t>e</w:t>
      </w:r>
      <w:r w:rsidR="00A35E98" w:rsidRPr="005B6074">
        <w:rPr>
          <w:rFonts w:ascii="Verdana" w:hAnsi="Verdana"/>
          <w:bCs/>
          <w:color w:val="000000"/>
          <w:sz w:val="20"/>
          <w:szCs w:val="20"/>
          <w:lang w:eastAsia="bg-BG"/>
        </w:rPr>
        <w:t xml:space="preserve">s based on the prior version of the system of indicators has been preserved for consistency of </w:t>
      </w:r>
      <w:r>
        <w:rPr>
          <w:rFonts w:ascii="Verdana" w:hAnsi="Verdana"/>
          <w:bCs/>
          <w:color w:val="000000"/>
          <w:sz w:val="20"/>
          <w:szCs w:val="20"/>
          <w:lang w:eastAsia="bg-BG"/>
        </w:rPr>
        <w:t>the texts with the</w:t>
      </w:r>
      <w:r w:rsidR="00A35E98" w:rsidRPr="005B6074">
        <w:rPr>
          <w:rFonts w:ascii="Verdana" w:hAnsi="Verdana"/>
          <w:bCs/>
          <w:color w:val="000000"/>
          <w:sz w:val="20"/>
          <w:szCs w:val="20"/>
          <w:lang w:eastAsia="bg-BG"/>
        </w:rPr>
        <w:t xml:space="preserve"> internal coherence </w:t>
      </w:r>
      <w:r>
        <w:rPr>
          <w:rFonts w:ascii="Verdana" w:hAnsi="Verdana"/>
          <w:bCs/>
          <w:color w:val="000000"/>
          <w:sz w:val="20"/>
          <w:szCs w:val="20"/>
          <w:lang w:eastAsia="bg-BG"/>
        </w:rPr>
        <w:t xml:space="preserve">analysis </w:t>
      </w:r>
      <w:r w:rsidR="00A35E98" w:rsidRPr="005B6074">
        <w:rPr>
          <w:rFonts w:ascii="Verdana" w:hAnsi="Verdana"/>
          <w:bCs/>
          <w:color w:val="000000"/>
          <w:sz w:val="20"/>
          <w:szCs w:val="20"/>
          <w:lang w:eastAsia="bg-BG"/>
        </w:rPr>
        <w:t xml:space="preserve">and </w:t>
      </w:r>
      <w:r>
        <w:rPr>
          <w:rFonts w:ascii="Verdana" w:hAnsi="Verdana"/>
          <w:bCs/>
          <w:color w:val="000000"/>
          <w:sz w:val="20"/>
          <w:szCs w:val="20"/>
          <w:lang w:eastAsia="bg-BG"/>
        </w:rPr>
        <w:t xml:space="preserve">with the </w:t>
      </w:r>
      <w:r w:rsidR="00A35E98" w:rsidRPr="005B6074">
        <w:rPr>
          <w:rFonts w:ascii="Verdana" w:hAnsi="Verdana"/>
          <w:bCs/>
          <w:color w:val="000000"/>
          <w:sz w:val="20"/>
          <w:szCs w:val="20"/>
          <w:lang w:eastAsia="bg-BG"/>
        </w:rPr>
        <w:t>intervention</w:t>
      </w:r>
      <w:r w:rsidRPr="00DB6F26">
        <w:rPr>
          <w:rFonts w:ascii="Verdana" w:hAnsi="Verdana"/>
          <w:bCs/>
          <w:color w:val="000000"/>
          <w:sz w:val="20"/>
          <w:szCs w:val="20"/>
          <w:lang w:eastAsia="bg-BG"/>
        </w:rPr>
        <w:t xml:space="preserve"> </w:t>
      </w:r>
      <w:r w:rsidRPr="005B6074">
        <w:rPr>
          <w:rFonts w:ascii="Verdana" w:hAnsi="Verdana"/>
          <w:bCs/>
          <w:color w:val="000000"/>
          <w:sz w:val="20"/>
          <w:szCs w:val="20"/>
          <w:lang w:eastAsia="bg-BG"/>
        </w:rPr>
        <w:t>logic</w:t>
      </w:r>
      <w:r w:rsidR="00A35E98" w:rsidRPr="005B6074">
        <w:rPr>
          <w:rFonts w:ascii="Verdana" w:hAnsi="Verdana"/>
          <w:bCs/>
          <w:color w:val="000000"/>
          <w:sz w:val="20"/>
          <w:szCs w:val="20"/>
          <w:lang w:eastAsia="bg-BG"/>
        </w:rPr>
        <w:t>.</w:t>
      </w:r>
    </w:p>
    <w:p w:rsidR="00A75B50" w:rsidRPr="005B6074" w:rsidRDefault="00A35E98" w:rsidP="005336C5">
      <w:pPr>
        <w:spacing w:before="120" w:after="120"/>
        <w:jc w:val="both"/>
        <w:rPr>
          <w:rFonts w:ascii="Verdana" w:eastAsia="Times New Roman" w:hAnsi="Verdana"/>
          <w:sz w:val="20"/>
          <w:szCs w:val="20"/>
        </w:rPr>
      </w:pPr>
      <w:r w:rsidRPr="005B6074">
        <w:rPr>
          <w:rFonts w:ascii="Verdana" w:eastAsia="Times New Roman" w:hAnsi="Verdana"/>
          <w:sz w:val="20"/>
          <w:szCs w:val="20"/>
        </w:rPr>
        <w:t xml:space="preserve">The review of the system of indicators of </w:t>
      </w:r>
      <w:r w:rsidR="005B35A7">
        <w:rPr>
          <w:rFonts w:ascii="Verdana" w:eastAsia="Times New Roman" w:hAnsi="Verdana"/>
          <w:sz w:val="20"/>
          <w:szCs w:val="20"/>
        </w:rPr>
        <w:t>OPSESG</w:t>
      </w:r>
      <w:r w:rsidRPr="005B6074">
        <w:rPr>
          <w:rFonts w:ascii="Verdana" w:eastAsia="Times New Roman" w:hAnsi="Verdana"/>
          <w:sz w:val="20"/>
          <w:szCs w:val="20"/>
        </w:rPr>
        <w:t xml:space="preserve"> shows that as of this moment, as well as in the prior version, </w:t>
      </w:r>
      <w:r w:rsidR="00EB0006" w:rsidRPr="005B6074">
        <w:rPr>
          <w:rFonts w:ascii="Verdana" w:eastAsia="Times New Roman" w:hAnsi="Verdana"/>
          <w:sz w:val="20"/>
          <w:szCs w:val="20"/>
        </w:rPr>
        <w:t xml:space="preserve">in the logical framework of the programme common </w:t>
      </w:r>
      <w:r w:rsidR="004F6C05">
        <w:rPr>
          <w:rFonts w:ascii="Verdana" w:eastAsia="Times New Roman" w:hAnsi="Verdana"/>
          <w:sz w:val="20"/>
          <w:szCs w:val="20"/>
        </w:rPr>
        <w:t xml:space="preserve">ESF </w:t>
      </w:r>
      <w:r w:rsidR="00EB0006" w:rsidRPr="005B6074">
        <w:rPr>
          <w:rFonts w:ascii="Verdana" w:eastAsia="Times New Roman" w:hAnsi="Verdana"/>
          <w:sz w:val="20"/>
          <w:szCs w:val="20"/>
        </w:rPr>
        <w:t xml:space="preserve">indicators </w:t>
      </w:r>
      <w:r w:rsidR="004F6C05">
        <w:rPr>
          <w:rFonts w:ascii="Verdana" w:eastAsia="Times New Roman" w:hAnsi="Verdana"/>
          <w:sz w:val="20"/>
          <w:szCs w:val="20"/>
        </w:rPr>
        <w:t xml:space="preserve">have not been used due to </w:t>
      </w:r>
      <w:r w:rsidRPr="005B6074">
        <w:rPr>
          <w:rFonts w:ascii="Verdana" w:eastAsia="Times New Roman" w:hAnsi="Verdana"/>
          <w:sz w:val="20"/>
          <w:szCs w:val="20"/>
        </w:rPr>
        <w:t xml:space="preserve">the specifics of the programme, but the logic </w:t>
      </w:r>
      <w:r w:rsidR="004F6C05">
        <w:rPr>
          <w:rFonts w:ascii="Verdana" w:eastAsia="Times New Roman" w:hAnsi="Verdana"/>
          <w:sz w:val="20"/>
          <w:szCs w:val="20"/>
        </w:rPr>
        <w:t xml:space="preserve">of </w:t>
      </w:r>
      <w:r w:rsidRPr="005B6074">
        <w:rPr>
          <w:rFonts w:ascii="Verdana" w:eastAsia="Times New Roman" w:hAnsi="Verdana"/>
          <w:sz w:val="20"/>
          <w:szCs w:val="20"/>
        </w:rPr>
        <w:t xml:space="preserve">accounting </w:t>
      </w:r>
      <w:r w:rsidR="004F6C05">
        <w:rPr>
          <w:rFonts w:ascii="Verdana" w:eastAsia="Times New Roman" w:hAnsi="Verdana"/>
          <w:sz w:val="20"/>
          <w:szCs w:val="20"/>
        </w:rPr>
        <w:t xml:space="preserve">the </w:t>
      </w:r>
      <w:r w:rsidRPr="005B6074">
        <w:rPr>
          <w:rFonts w:ascii="Verdana" w:eastAsia="Times New Roman" w:hAnsi="Verdana"/>
          <w:sz w:val="20"/>
          <w:szCs w:val="20"/>
        </w:rPr>
        <w:t xml:space="preserve">support granted to </w:t>
      </w:r>
      <w:r w:rsidR="004F6C05">
        <w:rPr>
          <w:rFonts w:ascii="Verdana" w:eastAsia="Times New Roman" w:hAnsi="Verdana"/>
          <w:sz w:val="20"/>
          <w:szCs w:val="20"/>
        </w:rPr>
        <w:t>persons</w:t>
      </w:r>
      <w:r w:rsidRPr="005B6074">
        <w:rPr>
          <w:rFonts w:ascii="Verdana" w:eastAsia="Times New Roman" w:hAnsi="Verdana"/>
          <w:sz w:val="20"/>
          <w:szCs w:val="20"/>
        </w:rPr>
        <w:t xml:space="preserve"> has been followed.</w:t>
      </w:r>
    </w:p>
    <w:p w:rsidR="00C513B7" w:rsidRPr="005B6074" w:rsidRDefault="00A35E98" w:rsidP="00C513B7">
      <w:pPr>
        <w:widowControl w:val="0"/>
        <w:tabs>
          <w:tab w:val="left" w:pos="0"/>
          <w:tab w:val="right" w:pos="9214"/>
        </w:tabs>
        <w:spacing w:after="120"/>
        <w:jc w:val="both"/>
        <w:rPr>
          <w:rFonts w:ascii="Verdana" w:hAnsi="Verdana"/>
          <w:bCs/>
          <w:color w:val="000000"/>
          <w:sz w:val="20"/>
          <w:szCs w:val="20"/>
          <w:lang w:eastAsia="bg-BG"/>
        </w:rPr>
      </w:pPr>
      <w:r w:rsidRPr="005B6074">
        <w:rPr>
          <w:rFonts w:ascii="Verdana" w:hAnsi="Verdana"/>
          <w:bCs/>
          <w:color w:val="000000"/>
          <w:sz w:val="20"/>
          <w:szCs w:val="20"/>
          <w:lang w:eastAsia="bg-BG"/>
        </w:rPr>
        <w:t>According to the Guidelines for the ex-ante evaluation</w:t>
      </w:r>
      <w:r w:rsidRPr="005B6074">
        <w:rPr>
          <w:rStyle w:val="FootnoteReference"/>
          <w:rFonts w:ascii="Verdana" w:hAnsi="Verdana"/>
          <w:bCs/>
          <w:color w:val="000000"/>
          <w:sz w:val="20"/>
          <w:szCs w:val="20"/>
          <w:lang w:eastAsia="bg-BG"/>
        </w:rPr>
        <w:footnoteReference w:id="6"/>
      </w:r>
      <w:r w:rsidRPr="005B6074">
        <w:rPr>
          <w:rFonts w:ascii="Verdana" w:hAnsi="Verdana"/>
          <w:bCs/>
          <w:color w:val="000000"/>
          <w:sz w:val="20"/>
          <w:szCs w:val="20"/>
          <w:lang w:eastAsia="bg-BG"/>
        </w:rPr>
        <w:t>,</w:t>
      </w:r>
      <w:r w:rsidRPr="005B6074">
        <w:rPr>
          <w:rFonts w:ascii="Verdana" w:hAnsi="Verdana"/>
          <w:bCs/>
          <w:color w:val="548DD4" w:themeColor="text2" w:themeTint="99"/>
          <w:sz w:val="20"/>
          <w:szCs w:val="20"/>
          <w:lang w:eastAsia="bg-BG"/>
        </w:rPr>
        <w:t xml:space="preserve"> the </w:t>
      </w:r>
      <w:r w:rsidR="004F6C05">
        <w:rPr>
          <w:rFonts w:ascii="Verdana" w:hAnsi="Verdana"/>
          <w:bCs/>
          <w:color w:val="548DD4" w:themeColor="text2" w:themeTint="99"/>
          <w:sz w:val="20"/>
          <w:szCs w:val="20"/>
          <w:lang w:eastAsia="bg-BG"/>
        </w:rPr>
        <w:t>result</w:t>
      </w:r>
      <w:r w:rsidRPr="005B6074">
        <w:rPr>
          <w:rFonts w:ascii="Verdana" w:hAnsi="Verdana"/>
          <w:bCs/>
          <w:color w:val="548DD4" w:themeColor="text2" w:themeTint="99"/>
          <w:sz w:val="20"/>
          <w:szCs w:val="20"/>
          <w:lang w:eastAsia="bg-BG"/>
        </w:rPr>
        <w:t xml:space="preserve"> indicators </w:t>
      </w:r>
      <w:r w:rsidRPr="005B6074">
        <w:rPr>
          <w:rFonts w:ascii="Verdana" w:hAnsi="Verdana"/>
          <w:bCs/>
          <w:sz w:val="20"/>
          <w:szCs w:val="20"/>
          <w:lang w:eastAsia="bg-BG"/>
        </w:rPr>
        <w:t xml:space="preserve">relate to the changes </w:t>
      </w:r>
      <w:r w:rsidR="004F6C05" w:rsidRPr="005B6074">
        <w:rPr>
          <w:rFonts w:ascii="Verdana" w:hAnsi="Verdana"/>
          <w:bCs/>
          <w:sz w:val="20"/>
          <w:szCs w:val="20"/>
          <w:lang w:eastAsia="bg-BG"/>
        </w:rPr>
        <w:t xml:space="preserve">sought </w:t>
      </w:r>
      <w:r w:rsidRPr="005B6074">
        <w:rPr>
          <w:rFonts w:ascii="Verdana" w:hAnsi="Verdana"/>
          <w:bCs/>
          <w:sz w:val="20"/>
          <w:szCs w:val="20"/>
          <w:lang w:eastAsia="bg-BG"/>
        </w:rPr>
        <w:t>in the specific objective, which the member states strive to achieve with the assistance from the EU funds</w:t>
      </w:r>
      <w:r w:rsidR="004F6C05">
        <w:rPr>
          <w:rFonts w:ascii="Verdana" w:hAnsi="Verdana"/>
          <w:bCs/>
          <w:color w:val="000000"/>
          <w:sz w:val="20"/>
          <w:szCs w:val="20"/>
          <w:lang w:eastAsia="bg-BG"/>
        </w:rPr>
        <w:t>. Accordingly, the aim of the result</w:t>
      </w:r>
      <w:r w:rsidRPr="005B6074">
        <w:rPr>
          <w:rFonts w:ascii="Verdana" w:hAnsi="Verdana"/>
          <w:bCs/>
          <w:color w:val="000000"/>
          <w:sz w:val="20"/>
          <w:szCs w:val="20"/>
          <w:lang w:eastAsia="bg-BG"/>
        </w:rPr>
        <w:t xml:space="preserve"> indicators is to help in establishing whether any progress in achieving the specific objectives has been made. Depending on the indicator, factors which are external to EU assistance may influence the </w:t>
      </w:r>
      <w:r w:rsidR="00C72578">
        <w:rPr>
          <w:rFonts w:ascii="Verdana" w:hAnsi="Verdana"/>
          <w:bCs/>
          <w:color w:val="000000"/>
          <w:sz w:val="20"/>
          <w:szCs w:val="20"/>
          <w:lang w:eastAsia="bg-BG"/>
        </w:rPr>
        <w:t>results</w:t>
      </w:r>
      <w:r w:rsidRPr="005B6074">
        <w:rPr>
          <w:rFonts w:ascii="Verdana" w:hAnsi="Verdana"/>
          <w:bCs/>
          <w:color w:val="000000"/>
          <w:sz w:val="20"/>
          <w:szCs w:val="20"/>
          <w:lang w:eastAsia="bg-BG"/>
        </w:rPr>
        <w:t xml:space="preserve"> and the </w:t>
      </w:r>
      <w:r w:rsidR="00C72578">
        <w:rPr>
          <w:rFonts w:ascii="Verdana" w:hAnsi="Verdana"/>
          <w:bCs/>
          <w:color w:val="000000"/>
          <w:sz w:val="20"/>
          <w:szCs w:val="20"/>
          <w:lang w:eastAsia="bg-BG"/>
        </w:rPr>
        <w:t>assessment</w:t>
      </w:r>
      <w:r w:rsidRPr="005B6074">
        <w:rPr>
          <w:rFonts w:ascii="Verdana" w:hAnsi="Verdana"/>
          <w:bCs/>
          <w:color w:val="000000"/>
          <w:sz w:val="20"/>
          <w:szCs w:val="20"/>
          <w:lang w:eastAsia="bg-BG"/>
        </w:rPr>
        <w:t xml:space="preserve"> whether the specific objective has been achieved. Each priority axis must include at least one </w:t>
      </w:r>
      <w:r w:rsidR="00C72578">
        <w:rPr>
          <w:rFonts w:ascii="Verdana" w:hAnsi="Verdana"/>
          <w:bCs/>
          <w:color w:val="000000"/>
          <w:sz w:val="20"/>
          <w:szCs w:val="20"/>
          <w:lang w:eastAsia="bg-BG"/>
        </w:rPr>
        <w:t xml:space="preserve">result </w:t>
      </w:r>
      <w:r w:rsidR="003764DF">
        <w:rPr>
          <w:rFonts w:ascii="Verdana" w:hAnsi="Verdana"/>
          <w:bCs/>
          <w:color w:val="000000"/>
          <w:sz w:val="20"/>
          <w:szCs w:val="20"/>
          <w:lang w:eastAsia="bg-BG"/>
        </w:rPr>
        <w:t>i</w:t>
      </w:r>
      <w:r w:rsidRPr="005B6074">
        <w:rPr>
          <w:rFonts w:ascii="Verdana" w:hAnsi="Verdana"/>
          <w:bCs/>
          <w:color w:val="000000"/>
          <w:sz w:val="20"/>
          <w:szCs w:val="20"/>
          <w:lang w:eastAsia="bg-BG"/>
        </w:rPr>
        <w:t>ndicator.</w:t>
      </w:r>
    </w:p>
    <w:p w:rsidR="00C72578" w:rsidRDefault="00A35E98" w:rsidP="00C513B7">
      <w:pPr>
        <w:widowControl w:val="0"/>
        <w:tabs>
          <w:tab w:val="left" w:pos="0"/>
          <w:tab w:val="right" w:pos="9214"/>
        </w:tabs>
        <w:spacing w:after="120"/>
        <w:jc w:val="both"/>
        <w:rPr>
          <w:rFonts w:ascii="Verdana" w:hAnsi="Verdana"/>
          <w:bCs/>
          <w:color w:val="000000"/>
          <w:sz w:val="20"/>
          <w:szCs w:val="20"/>
          <w:lang w:eastAsia="bg-BG"/>
        </w:rPr>
      </w:pPr>
      <w:r w:rsidRPr="005B6074">
        <w:rPr>
          <w:rFonts w:ascii="Verdana" w:hAnsi="Verdana"/>
          <w:bCs/>
          <w:color w:val="000000"/>
          <w:sz w:val="20"/>
          <w:szCs w:val="20"/>
          <w:lang w:eastAsia="bg-BG"/>
        </w:rPr>
        <w:t xml:space="preserve">It should be borne in mind that the indicators of ERDF and ESF have different rationale. According to the Guidelines for the Ex-ante Evaluation, the indicators of ERDF and the Cohesion Fund must be aimed at measuring the change in the condition of the member-state, region, area, sector, population to which the programme is targeted. Therefore, the indicators must not be confined to the supported people only. As for the ESF indicators, they must be targeted at capturing the effects on the supported persons and institutions. Additional global effects on the situation in a country or region for example, must be assessed through </w:t>
      </w:r>
      <w:r w:rsidR="00C72578">
        <w:rPr>
          <w:rFonts w:ascii="Verdana" w:hAnsi="Verdana"/>
          <w:bCs/>
          <w:color w:val="000000"/>
          <w:sz w:val="20"/>
          <w:szCs w:val="20"/>
          <w:lang w:eastAsia="bg-BG"/>
        </w:rPr>
        <w:t>evaluations</w:t>
      </w:r>
      <w:r w:rsidRPr="005B6074">
        <w:rPr>
          <w:rFonts w:ascii="Verdana" w:hAnsi="Verdana"/>
          <w:bCs/>
          <w:color w:val="000000"/>
          <w:sz w:val="20"/>
          <w:szCs w:val="20"/>
          <w:lang w:eastAsia="bg-BG"/>
        </w:rPr>
        <w:t xml:space="preserve">. </w:t>
      </w:r>
      <w:r w:rsidR="00C72578">
        <w:rPr>
          <w:rFonts w:ascii="Verdana" w:hAnsi="Verdana"/>
          <w:bCs/>
          <w:color w:val="000000"/>
          <w:sz w:val="20"/>
          <w:szCs w:val="20"/>
          <w:lang w:eastAsia="bg-BG"/>
        </w:rPr>
        <w:t>T</w:t>
      </w:r>
      <w:r w:rsidRPr="005B6074">
        <w:rPr>
          <w:rFonts w:ascii="Verdana" w:hAnsi="Verdana"/>
          <w:bCs/>
          <w:color w:val="000000"/>
          <w:sz w:val="20"/>
          <w:szCs w:val="20"/>
          <w:lang w:eastAsia="bg-BG"/>
        </w:rPr>
        <w:t xml:space="preserve">he </w:t>
      </w:r>
      <w:r w:rsidR="00C72578">
        <w:rPr>
          <w:rFonts w:ascii="Verdana" w:hAnsi="Verdana"/>
          <w:bCs/>
          <w:color w:val="000000"/>
          <w:sz w:val="20"/>
          <w:szCs w:val="20"/>
          <w:lang w:eastAsia="bg-BG"/>
        </w:rPr>
        <w:t>result</w:t>
      </w:r>
      <w:r w:rsidRPr="005B6074">
        <w:rPr>
          <w:rFonts w:ascii="Verdana" w:hAnsi="Verdana"/>
          <w:bCs/>
          <w:color w:val="000000"/>
          <w:sz w:val="20"/>
          <w:szCs w:val="20"/>
          <w:lang w:eastAsia="bg-BG"/>
        </w:rPr>
        <w:t xml:space="preserve"> indicators in the Logical Framework of </w:t>
      </w:r>
      <w:r w:rsidR="005B35A7">
        <w:rPr>
          <w:rFonts w:ascii="Verdana" w:hAnsi="Verdana"/>
          <w:bCs/>
          <w:color w:val="000000"/>
          <w:sz w:val="20"/>
          <w:szCs w:val="20"/>
          <w:lang w:eastAsia="bg-BG"/>
        </w:rPr>
        <w:t>OPSESG</w:t>
      </w:r>
      <w:r w:rsidRPr="005B6074">
        <w:rPr>
          <w:rFonts w:ascii="Verdana" w:hAnsi="Verdana"/>
          <w:bCs/>
          <w:color w:val="000000"/>
          <w:sz w:val="20"/>
          <w:szCs w:val="20"/>
          <w:lang w:eastAsia="bg-BG"/>
        </w:rPr>
        <w:t xml:space="preserve"> do not follow these guidelines, i.e. the </w:t>
      </w:r>
      <w:r w:rsidR="00C72578">
        <w:rPr>
          <w:rFonts w:ascii="Verdana" w:hAnsi="Verdana"/>
          <w:bCs/>
          <w:color w:val="000000"/>
          <w:sz w:val="20"/>
          <w:szCs w:val="20"/>
          <w:lang w:eastAsia="bg-BG"/>
        </w:rPr>
        <w:t>result</w:t>
      </w:r>
      <w:r w:rsidRPr="005B6074">
        <w:rPr>
          <w:rFonts w:ascii="Verdana" w:hAnsi="Verdana"/>
          <w:bCs/>
          <w:color w:val="000000"/>
          <w:sz w:val="20"/>
          <w:szCs w:val="20"/>
          <w:lang w:eastAsia="bg-BG"/>
        </w:rPr>
        <w:t xml:space="preserve"> indicators under ERDF do not measure global effects, while the indicators of ESF are aimed at measuring effects on a country-wide scale</w:t>
      </w:r>
      <w:r w:rsidR="00C72578">
        <w:rPr>
          <w:rFonts w:ascii="Verdana" w:hAnsi="Verdana"/>
          <w:bCs/>
          <w:color w:val="000000"/>
          <w:sz w:val="20"/>
          <w:szCs w:val="20"/>
          <w:lang w:eastAsia="bg-BG"/>
        </w:rPr>
        <w:t xml:space="preserve"> – as for example share of early school leavers or share of university graduates. Having in mind the nature of the programme, however, the evaluator does not consider this as a significant problem. </w:t>
      </w:r>
    </w:p>
    <w:p w:rsidR="00C513B7" w:rsidRPr="005B6074" w:rsidRDefault="00A35E98" w:rsidP="00C513B7">
      <w:pPr>
        <w:widowControl w:val="0"/>
        <w:tabs>
          <w:tab w:val="left" w:pos="0"/>
          <w:tab w:val="right" w:pos="9214"/>
        </w:tabs>
        <w:spacing w:after="120"/>
        <w:jc w:val="both"/>
        <w:rPr>
          <w:rFonts w:ascii="Verdana" w:hAnsi="Verdana"/>
          <w:bCs/>
          <w:color w:val="000000"/>
          <w:sz w:val="20"/>
          <w:szCs w:val="20"/>
          <w:lang w:eastAsia="bg-BG"/>
        </w:rPr>
      </w:pPr>
      <w:r w:rsidRPr="005B6074">
        <w:rPr>
          <w:rFonts w:ascii="Verdana" w:hAnsi="Verdana"/>
          <w:bCs/>
          <w:color w:val="000000"/>
          <w:sz w:val="20"/>
          <w:szCs w:val="20"/>
          <w:lang w:eastAsia="bg-BG"/>
        </w:rPr>
        <w:t xml:space="preserve">One of the requirements of the European Commission, set out in the Guidelines for the Ex-ante Evaluation, is the number of the </w:t>
      </w:r>
      <w:r w:rsidR="00C72578">
        <w:rPr>
          <w:rFonts w:ascii="Verdana" w:hAnsi="Verdana"/>
          <w:bCs/>
          <w:color w:val="000000"/>
          <w:sz w:val="20"/>
          <w:szCs w:val="20"/>
          <w:lang w:eastAsia="bg-BG"/>
        </w:rPr>
        <w:t>result</w:t>
      </w:r>
      <w:r w:rsidRPr="005B6074">
        <w:rPr>
          <w:rFonts w:ascii="Verdana" w:hAnsi="Verdana"/>
          <w:bCs/>
          <w:color w:val="000000"/>
          <w:sz w:val="20"/>
          <w:szCs w:val="20"/>
          <w:lang w:eastAsia="bg-BG"/>
        </w:rPr>
        <w:t xml:space="preserve"> indicators to be limited, and the use of a single indicator is recommended for each investment priority and specific objective under ERDF. This requirement has been observed with respect to ERDF, but for some of the specific objectives under ESF, the number of foreseen </w:t>
      </w:r>
      <w:r w:rsidR="00C72578">
        <w:rPr>
          <w:rFonts w:ascii="Verdana" w:hAnsi="Verdana"/>
          <w:bCs/>
          <w:color w:val="000000"/>
          <w:sz w:val="20"/>
          <w:szCs w:val="20"/>
          <w:lang w:eastAsia="bg-BG"/>
        </w:rPr>
        <w:t>result</w:t>
      </w:r>
      <w:r w:rsidRPr="005B6074">
        <w:rPr>
          <w:rFonts w:ascii="Verdana" w:hAnsi="Verdana"/>
          <w:bCs/>
          <w:color w:val="000000"/>
          <w:sz w:val="20"/>
          <w:szCs w:val="20"/>
          <w:lang w:eastAsia="bg-BG"/>
        </w:rPr>
        <w:t xml:space="preserve"> indicators is too big.</w:t>
      </w:r>
    </w:p>
    <w:p w:rsidR="00C513B7" w:rsidRPr="005B6074" w:rsidRDefault="00C513B7" w:rsidP="00C513B7">
      <w:pPr>
        <w:widowControl w:val="0"/>
        <w:tabs>
          <w:tab w:val="left" w:pos="0"/>
          <w:tab w:val="right" w:pos="9214"/>
        </w:tabs>
        <w:spacing w:after="120"/>
        <w:jc w:val="both"/>
        <w:rPr>
          <w:rFonts w:ascii="Verdana" w:hAnsi="Verdana"/>
          <w:bCs/>
          <w:color w:val="000000"/>
          <w:sz w:val="20"/>
          <w:szCs w:val="20"/>
          <w:lang w:eastAsia="bg-BG"/>
        </w:rPr>
        <w:sectPr w:rsidR="00C513B7" w:rsidRPr="005B6074" w:rsidSect="00F24971">
          <w:headerReference w:type="default" r:id="rId45"/>
          <w:pgSz w:w="11907" w:h="16839" w:code="9"/>
          <w:pgMar w:top="2085" w:right="1377" w:bottom="1440" w:left="1440" w:header="720" w:footer="726" w:gutter="0"/>
          <w:cols w:space="720"/>
          <w:docGrid w:linePitch="360"/>
        </w:sectPr>
      </w:pPr>
    </w:p>
    <w:p w:rsidR="00C513B7" w:rsidRPr="005B6074" w:rsidRDefault="00C513B7" w:rsidP="00C513B7">
      <w:pPr>
        <w:widowControl w:val="0"/>
        <w:tabs>
          <w:tab w:val="left" w:pos="0"/>
          <w:tab w:val="right" w:pos="9214"/>
        </w:tabs>
        <w:spacing w:after="120"/>
        <w:jc w:val="both"/>
        <w:rPr>
          <w:rFonts w:ascii="Verdana" w:hAnsi="Verdana"/>
          <w:bCs/>
          <w:color w:val="000000"/>
          <w:sz w:val="20"/>
          <w:szCs w:val="20"/>
          <w:lang w:eastAsia="bg-BG"/>
        </w:rPr>
      </w:pPr>
    </w:p>
    <w:p w:rsidR="00C513B7" w:rsidRPr="005B6074" w:rsidRDefault="00A35E98" w:rsidP="00C513B7">
      <w:pPr>
        <w:pStyle w:val="Caption"/>
        <w:keepNext/>
        <w:spacing w:after="120"/>
        <w:rPr>
          <w:rFonts w:ascii="Verdana" w:hAnsi="Verdana"/>
          <w:color w:val="548DD4" w:themeColor="text2" w:themeTint="99"/>
        </w:rPr>
      </w:pPr>
      <w:bookmarkStart w:id="177" w:name="_Toc390257091"/>
      <w:bookmarkStart w:id="178" w:name="_Toc396225630"/>
      <w:r w:rsidRPr="005B6074">
        <w:rPr>
          <w:rFonts w:ascii="Verdana" w:hAnsi="Verdana"/>
          <w:color w:val="548DD4" w:themeColor="text2" w:themeTint="99"/>
        </w:rPr>
        <w:t xml:space="preserve">Table </w:t>
      </w:r>
      <w:r w:rsidRPr="005B6074">
        <w:rPr>
          <w:rFonts w:ascii="Verdana" w:hAnsi="Verdana"/>
          <w:color w:val="548DD4" w:themeColor="text2" w:themeTint="99"/>
        </w:rPr>
        <w:fldChar w:fldCharType="begin"/>
      </w:r>
      <w:r w:rsidRPr="005B6074">
        <w:rPr>
          <w:rFonts w:ascii="Verdana" w:hAnsi="Verdana"/>
          <w:color w:val="548DD4" w:themeColor="text2" w:themeTint="99"/>
        </w:rPr>
        <w:instrText xml:space="preserve"> SEQ таблица \* ARABIC </w:instrText>
      </w:r>
      <w:r w:rsidRPr="005B6074">
        <w:rPr>
          <w:rFonts w:ascii="Verdana" w:hAnsi="Verdana"/>
          <w:color w:val="548DD4" w:themeColor="text2" w:themeTint="99"/>
        </w:rPr>
        <w:fldChar w:fldCharType="separate"/>
      </w:r>
      <w:r w:rsidR="009330F5">
        <w:rPr>
          <w:rFonts w:ascii="Verdana" w:hAnsi="Verdana"/>
          <w:noProof/>
          <w:color w:val="548DD4" w:themeColor="text2" w:themeTint="99"/>
        </w:rPr>
        <w:t>35</w:t>
      </w:r>
      <w:r w:rsidRPr="005B6074">
        <w:rPr>
          <w:rFonts w:ascii="Verdana" w:hAnsi="Verdana"/>
          <w:color w:val="548DD4" w:themeColor="text2" w:themeTint="99"/>
        </w:rPr>
        <w:fldChar w:fldCharType="end"/>
      </w:r>
      <w:r w:rsidRPr="005B6074">
        <w:rPr>
          <w:rFonts w:ascii="Verdana" w:hAnsi="Verdana"/>
          <w:color w:val="548DD4" w:themeColor="text2" w:themeTint="99"/>
        </w:rPr>
        <w:t>.</w:t>
      </w:r>
      <w:r w:rsidR="00B332DF" w:rsidRPr="005B6074">
        <w:rPr>
          <w:rFonts w:ascii="Verdana" w:hAnsi="Verdana"/>
          <w:color w:val="548DD4" w:themeColor="text2" w:themeTint="99"/>
        </w:rPr>
        <w:t xml:space="preserve"> </w:t>
      </w:r>
      <w:r w:rsidRPr="005B6074">
        <w:rPr>
          <w:rFonts w:ascii="Verdana" w:hAnsi="Verdana"/>
          <w:color w:val="548DD4" w:themeColor="text2" w:themeTint="99"/>
        </w:rPr>
        <w:t>Evaluation of the relevance and clarity of the system of indicators</w:t>
      </w:r>
      <w:bookmarkEnd w:id="177"/>
      <w:bookmarkEnd w:id="178"/>
    </w:p>
    <w:tbl>
      <w:tblPr>
        <w:tblStyle w:val="TableGrid"/>
        <w:tblW w:w="14884" w:type="dxa"/>
        <w:tblInd w:w="-459" w:type="dxa"/>
        <w:tblLook w:val="04A0" w:firstRow="1" w:lastRow="0" w:firstColumn="1" w:lastColumn="0" w:noHBand="0" w:noVBand="1"/>
      </w:tblPr>
      <w:tblGrid>
        <w:gridCol w:w="1814"/>
        <w:gridCol w:w="2537"/>
        <w:gridCol w:w="2056"/>
        <w:gridCol w:w="2166"/>
        <w:gridCol w:w="2202"/>
        <w:gridCol w:w="2080"/>
        <w:gridCol w:w="2029"/>
      </w:tblGrid>
      <w:tr w:rsidR="00C27724" w:rsidRPr="005B6074" w:rsidTr="002F4E2B">
        <w:trPr>
          <w:trHeight w:val="495"/>
          <w:tblHeader/>
        </w:trPr>
        <w:tc>
          <w:tcPr>
            <w:tcW w:w="1843" w:type="dxa"/>
            <w:shd w:val="clear" w:color="auto" w:fill="1F497D" w:themeFill="text2"/>
            <w:vAlign w:val="center"/>
          </w:tcPr>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Specific objective</w:t>
            </w:r>
          </w:p>
        </w:tc>
        <w:tc>
          <w:tcPr>
            <w:tcW w:w="2299" w:type="dxa"/>
            <w:shd w:val="clear" w:color="auto" w:fill="1F497D" w:themeFill="text2"/>
            <w:vAlign w:val="center"/>
          </w:tcPr>
          <w:p w:rsidR="00C27724" w:rsidRPr="005B6074" w:rsidRDefault="008E7210"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Output</w:t>
            </w:r>
          </w:p>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indicator</w:t>
            </w:r>
          </w:p>
        </w:tc>
        <w:tc>
          <w:tcPr>
            <w:tcW w:w="2092" w:type="dxa"/>
            <w:shd w:val="clear" w:color="auto" w:fill="1F497D" w:themeFill="text2"/>
            <w:vAlign w:val="center"/>
          </w:tcPr>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Relevance</w:t>
            </w:r>
          </w:p>
        </w:tc>
        <w:tc>
          <w:tcPr>
            <w:tcW w:w="2216" w:type="dxa"/>
            <w:shd w:val="clear" w:color="auto" w:fill="1F497D" w:themeFill="text2"/>
            <w:vAlign w:val="center"/>
          </w:tcPr>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Clarity</w:t>
            </w:r>
          </w:p>
        </w:tc>
        <w:tc>
          <w:tcPr>
            <w:tcW w:w="2250" w:type="dxa"/>
            <w:shd w:val="clear" w:color="auto" w:fill="1F497D" w:themeFill="text2"/>
            <w:vAlign w:val="center"/>
          </w:tcPr>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Result</w:t>
            </w:r>
          </w:p>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indicator</w:t>
            </w:r>
          </w:p>
        </w:tc>
        <w:tc>
          <w:tcPr>
            <w:tcW w:w="2104" w:type="dxa"/>
            <w:shd w:val="clear" w:color="auto" w:fill="1F497D" w:themeFill="text2"/>
            <w:vAlign w:val="center"/>
          </w:tcPr>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Relevance</w:t>
            </w:r>
          </w:p>
        </w:tc>
        <w:tc>
          <w:tcPr>
            <w:tcW w:w="2080" w:type="dxa"/>
            <w:shd w:val="clear" w:color="auto" w:fill="1F497D" w:themeFill="text2"/>
            <w:vAlign w:val="center"/>
          </w:tcPr>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Clarity</w:t>
            </w:r>
          </w:p>
        </w:tc>
      </w:tr>
      <w:tr w:rsidR="00C27724" w:rsidRPr="005B6074" w:rsidTr="00A511E7">
        <w:tc>
          <w:tcPr>
            <w:tcW w:w="14884" w:type="dxa"/>
            <w:gridSpan w:val="7"/>
          </w:tcPr>
          <w:p w:rsidR="00C27724" w:rsidRPr="005B6074" w:rsidRDefault="00C27724" w:rsidP="00A511E7">
            <w:pPr>
              <w:widowControl w:val="0"/>
              <w:tabs>
                <w:tab w:val="left" w:pos="0"/>
                <w:tab w:val="right" w:pos="9214"/>
              </w:tabs>
              <w:spacing w:before="120" w:after="120" w:line="240" w:lineRule="auto"/>
              <w:jc w:val="both"/>
              <w:rPr>
                <w:rFonts w:ascii="Verdana" w:hAnsi="Verdana"/>
                <w:b/>
                <w:bCs/>
                <w:color w:val="000000"/>
                <w:sz w:val="16"/>
                <w:szCs w:val="16"/>
              </w:rPr>
            </w:pPr>
            <w:r w:rsidRPr="005B6074">
              <w:rPr>
                <w:rFonts w:ascii="Verdana" w:hAnsi="Verdana"/>
                <w:b/>
                <w:sz w:val="16"/>
                <w:szCs w:val="16"/>
              </w:rPr>
              <w:t>1. Scientific research and technology development</w:t>
            </w:r>
          </w:p>
        </w:tc>
      </w:tr>
      <w:tr w:rsidR="00C27724" w:rsidRPr="005B6074" w:rsidTr="00A511E7">
        <w:tc>
          <w:tcPr>
            <w:tcW w:w="1843"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sz w:val="16"/>
                <w:szCs w:val="16"/>
              </w:rPr>
              <w:t xml:space="preserve">Modernisation of existing excellence centres and competence centres in priority areas and targeted development of new such centres based on their potential to contribute to knowledge base and innovation capacity in priority areas. </w:t>
            </w:r>
          </w:p>
        </w:tc>
        <w:tc>
          <w:tcPr>
            <w:tcW w:w="2299" w:type="dxa"/>
          </w:tcPr>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r w:rsidRPr="005B6074">
              <w:rPr>
                <w:rFonts w:ascii="Verdana" w:hAnsi="Verdana"/>
                <w:sz w:val="16"/>
                <w:szCs w:val="16"/>
              </w:rPr>
              <w:t>1) Number of researcher employed at improved research infrastructures.</w:t>
            </w: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r w:rsidRPr="005B6074">
              <w:rPr>
                <w:rFonts w:ascii="Verdana" w:hAnsi="Verdana"/>
                <w:sz w:val="16"/>
                <w:szCs w:val="16"/>
              </w:rPr>
              <w:t>2) Number of new researchers at the assisted excellence centres and competence centres in priority areas</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tc>
        <w:tc>
          <w:tcPr>
            <w:tcW w:w="2092"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The indicator is relevant (common indicator from Regulation 1301/2013)</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The indicator is relevant (modified common indicator from Regulation 1301/2013)</w:t>
            </w:r>
          </w:p>
        </w:tc>
        <w:tc>
          <w:tcPr>
            <w:tcW w:w="2216"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The indicator is clear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The indicator is clear but it is not recommended to modify the wording of the common indicator</w:t>
            </w:r>
          </w:p>
        </w:tc>
        <w:tc>
          <w:tcPr>
            <w:tcW w:w="2250"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sz w:val="16"/>
                <w:szCs w:val="16"/>
              </w:rPr>
              <w:t>Number of supported excellence centres and competence centres</w:t>
            </w:r>
          </w:p>
        </w:tc>
        <w:tc>
          <w:tcPr>
            <w:tcW w:w="4184" w:type="dxa"/>
            <w:gridSpan w:val="2"/>
          </w:tcPr>
          <w:p w:rsidR="00C27724" w:rsidRPr="005B6074" w:rsidRDefault="00C27724" w:rsidP="00DB6F26">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This is a</w:t>
            </w:r>
            <w:r w:rsidR="00DB6F26">
              <w:rPr>
                <w:rFonts w:ascii="Verdana" w:hAnsi="Verdana"/>
                <w:bCs/>
                <w:color w:val="000000"/>
                <w:sz w:val="16"/>
                <w:szCs w:val="16"/>
              </w:rPr>
              <w:t>n</w:t>
            </w:r>
            <w:r w:rsidRPr="005B6074">
              <w:rPr>
                <w:rFonts w:ascii="Verdana" w:hAnsi="Verdana"/>
                <w:bCs/>
                <w:color w:val="000000"/>
                <w:sz w:val="16"/>
                <w:szCs w:val="16"/>
              </w:rPr>
              <w:t xml:space="preserve"> </w:t>
            </w:r>
            <w:r w:rsidR="00DB6F26">
              <w:rPr>
                <w:rFonts w:ascii="Verdana" w:hAnsi="Verdana"/>
                <w:bCs/>
                <w:color w:val="000000"/>
                <w:sz w:val="16"/>
                <w:szCs w:val="16"/>
              </w:rPr>
              <w:t>output</w:t>
            </w:r>
            <w:r w:rsidRPr="005B6074">
              <w:rPr>
                <w:rFonts w:ascii="Verdana" w:hAnsi="Verdana"/>
                <w:bCs/>
                <w:color w:val="000000"/>
                <w:sz w:val="16"/>
                <w:szCs w:val="16"/>
              </w:rPr>
              <w:t xml:space="preserve"> indicator. The indicator should measure the effect of the assistance for the excellence centres and competence centres.</w:t>
            </w:r>
          </w:p>
        </w:tc>
      </w:tr>
      <w:tr w:rsidR="00C27724" w:rsidRPr="005B6074" w:rsidTr="00A511E7">
        <w:tc>
          <w:tcPr>
            <w:tcW w:w="1843" w:type="dxa"/>
          </w:tcPr>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r w:rsidRPr="005B6074">
              <w:rPr>
                <w:rFonts w:ascii="Verdana" w:hAnsi="Verdana"/>
                <w:sz w:val="16"/>
                <w:szCs w:val="16"/>
              </w:rPr>
              <w:t>Maintenance and development of scientific infrastructure with the aim to maintain the universities and scientific organisations as regional knowledge and technology and/or distributary nodes in support to realisation and sustainability of pan European research facilities.</w:t>
            </w:r>
          </w:p>
        </w:tc>
        <w:tc>
          <w:tcPr>
            <w:tcW w:w="2299" w:type="dxa"/>
          </w:tcPr>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r w:rsidRPr="005B6074">
              <w:rPr>
                <w:rFonts w:ascii="Verdana" w:hAnsi="Verdana"/>
                <w:sz w:val="16"/>
                <w:szCs w:val="16"/>
              </w:rPr>
              <w:t>See above</w:t>
            </w:r>
          </w:p>
        </w:tc>
        <w:tc>
          <w:tcPr>
            <w:tcW w:w="2092" w:type="dxa"/>
          </w:tcPr>
          <w:p w:rsidR="00C27724" w:rsidRPr="005B6074" w:rsidRDefault="00C27724" w:rsidP="00A511E7">
            <w:pPr>
              <w:spacing w:line="240" w:lineRule="auto"/>
            </w:pPr>
            <w:r w:rsidRPr="005B6074">
              <w:rPr>
                <w:rFonts w:ascii="Verdana" w:hAnsi="Verdana"/>
                <w:sz w:val="16"/>
                <w:szCs w:val="16"/>
              </w:rPr>
              <w:t>See above</w:t>
            </w:r>
          </w:p>
        </w:tc>
        <w:tc>
          <w:tcPr>
            <w:tcW w:w="2216" w:type="dxa"/>
          </w:tcPr>
          <w:p w:rsidR="00C27724" w:rsidRPr="005B6074" w:rsidRDefault="00C27724" w:rsidP="00A511E7">
            <w:pPr>
              <w:spacing w:line="240" w:lineRule="auto"/>
            </w:pPr>
            <w:r w:rsidRPr="005B6074">
              <w:rPr>
                <w:rFonts w:ascii="Verdana" w:hAnsi="Verdana"/>
                <w:sz w:val="16"/>
                <w:szCs w:val="16"/>
              </w:rPr>
              <w:t>See above</w:t>
            </w:r>
          </w:p>
        </w:tc>
        <w:tc>
          <w:tcPr>
            <w:tcW w:w="2250" w:type="dxa"/>
          </w:tcPr>
          <w:p w:rsidR="00C27724" w:rsidRPr="005B6074" w:rsidRDefault="00C27724" w:rsidP="00C72578">
            <w:pPr>
              <w:widowControl w:val="0"/>
              <w:tabs>
                <w:tab w:val="left" w:pos="0"/>
                <w:tab w:val="right" w:pos="9214"/>
              </w:tabs>
              <w:spacing w:after="0" w:line="240" w:lineRule="auto"/>
              <w:jc w:val="both"/>
              <w:rPr>
                <w:rFonts w:ascii="Verdana" w:hAnsi="Verdana"/>
                <w:sz w:val="16"/>
                <w:szCs w:val="16"/>
              </w:rPr>
            </w:pPr>
            <w:r w:rsidRPr="005B6074">
              <w:rPr>
                <w:rFonts w:ascii="Verdana" w:hAnsi="Verdana"/>
                <w:sz w:val="16"/>
                <w:szCs w:val="16"/>
              </w:rPr>
              <w:t xml:space="preserve">No </w:t>
            </w:r>
            <w:r w:rsidR="00C72578">
              <w:rPr>
                <w:rFonts w:ascii="Verdana" w:hAnsi="Verdana"/>
                <w:sz w:val="16"/>
                <w:szCs w:val="16"/>
              </w:rPr>
              <w:t>result</w:t>
            </w:r>
            <w:r w:rsidRPr="005B6074">
              <w:rPr>
                <w:rFonts w:ascii="Verdana" w:hAnsi="Verdana"/>
                <w:sz w:val="16"/>
                <w:szCs w:val="16"/>
              </w:rPr>
              <w:t xml:space="preserve"> indicator was specified.</w:t>
            </w:r>
          </w:p>
        </w:tc>
        <w:tc>
          <w:tcPr>
            <w:tcW w:w="2104"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w:t>
            </w:r>
          </w:p>
        </w:tc>
        <w:tc>
          <w:tcPr>
            <w:tcW w:w="2080"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w:t>
            </w:r>
          </w:p>
        </w:tc>
      </w:tr>
      <w:tr w:rsidR="00C27724" w:rsidRPr="005B6074" w:rsidTr="00A511E7">
        <w:tc>
          <w:tcPr>
            <w:tcW w:w="1843" w:type="dxa"/>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lastRenderedPageBreak/>
              <w:t>Assistance for applied research and experimental development in priority areas, assisting the economic development.</w:t>
            </w:r>
          </w:p>
        </w:tc>
        <w:tc>
          <w:tcPr>
            <w:tcW w:w="2299" w:type="dxa"/>
          </w:tcPr>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r w:rsidRPr="005B6074">
              <w:rPr>
                <w:rFonts w:ascii="Verdana" w:hAnsi="Verdana"/>
                <w:sz w:val="16"/>
                <w:szCs w:val="16"/>
              </w:rPr>
              <w:t>1) Number of enterprises cooperating with the supported research institutions.</w:t>
            </w: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t>2) Number of enterprises which have introduced new or significantly improved products at the market, created as a result of the supported innovations or R &amp; D projects.</w:t>
            </w: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t>3) Number of higher schools, which have assisted or ensured access for Bulgarian research organizations to different European technological platforms, and have conducted joint technological initiatives.</w:t>
            </w: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b/>
                <w:bCs/>
                <w:color w:val="auto"/>
                <w:sz w:val="16"/>
                <w:szCs w:val="16"/>
              </w:rPr>
            </w:pPr>
            <w:r w:rsidRPr="005B6074">
              <w:rPr>
                <w:rFonts w:ascii="Verdana" w:hAnsi="Verdana"/>
                <w:color w:val="auto"/>
                <w:sz w:val="16"/>
                <w:szCs w:val="16"/>
              </w:rPr>
              <w:lastRenderedPageBreak/>
              <w:t>4) Number of students trained upon request of and with the financial participation of the business</w:t>
            </w:r>
          </w:p>
          <w:p w:rsidR="00C27724" w:rsidRPr="005B6074" w:rsidRDefault="00C27724" w:rsidP="00A511E7">
            <w:pPr>
              <w:pStyle w:val="Default"/>
              <w:jc w:val="both"/>
              <w:rPr>
                <w:rFonts w:ascii="Verdana" w:hAnsi="Verdana"/>
                <w:sz w:val="16"/>
                <w:szCs w:val="16"/>
              </w:rPr>
            </w:pPr>
          </w:p>
          <w:p w:rsidR="00C27724" w:rsidRPr="005B6074" w:rsidRDefault="00C27724" w:rsidP="00A511E7">
            <w:pPr>
              <w:pStyle w:val="Default"/>
              <w:jc w:val="both"/>
              <w:rPr>
                <w:rFonts w:ascii="Verdana" w:hAnsi="Verdana"/>
                <w:sz w:val="16"/>
                <w:szCs w:val="16"/>
              </w:rPr>
            </w:pPr>
          </w:p>
          <w:p w:rsidR="00C27724" w:rsidRPr="005B6074" w:rsidRDefault="00C27724" w:rsidP="00A511E7">
            <w:pPr>
              <w:pStyle w:val="Default"/>
              <w:jc w:val="both"/>
              <w:rPr>
                <w:rFonts w:ascii="Verdana" w:hAnsi="Verdana"/>
                <w:sz w:val="16"/>
                <w:szCs w:val="16"/>
              </w:rPr>
            </w:pPr>
          </w:p>
          <w:p w:rsidR="00C27724" w:rsidRPr="005B6074" w:rsidRDefault="00C27724" w:rsidP="00A511E7">
            <w:pPr>
              <w:pStyle w:val="Default"/>
              <w:jc w:val="both"/>
              <w:rPr>
                <w:rFonts w:ascii="Verdana" w:hAnsi="Verdana"/>
                <w:b/>
                <w:bCs/>
                <w:color w:val="auto"/>
                <w:sz w:val="16"/>
                <w:szCs w:val="16"/>
              </w:rPr>
            </w:pPr>
            <w:r w:rsidRPr="005B6074">
              <w:rPr>
                <w:rFonts w:ascii="Verdana" w:hAnsi="Verdana"/>
                <w:sz w:val="16"/>
                <w:szCs w:val="16"/>
              </w:rPr>
              <w:t>5) Number of created pilot production centres at higher schools and research organizations.</w:t>
            </w:r>
          </w:p>
        </w:tc>
        <w:tc>
          <w:tcPr>
            <w:tcW w:w="2092"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lastRenderedPageBreak/>
              <w:t>General comment: too big number of indicators has been defined for this specific objective, and that, given the fact that the funds foreseen for some of the activities are rather limited. It is recommended to reduce the number of indicators.</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The indicator is relevant (modified common indicator from Regulation 1301/2013)</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The indicator is a modified common indicator from Regulation 1301/2013, but it is not fully relevant, because the Programme does not exercise direct control on this indicator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3) The indicator is relevant</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4) The indicator is relevant</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5) The indicator is relevant</w:t>
            </w:r>
          </w:p>
        </w:tc>
        <w:tc>
          <w:tcPr>
            <w:tcW w:w="2216"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The indicator is clear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It is difficult to track the connection between the Programme activities and the achievement of this indicator.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3) It needs to be clarified what the phrase: “European technological platforms” stands for and the same applies for “joint technological initiatives”</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4) The indicator fiches should specify the training that should be reported in the framework of the indicator.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5) The indicator fiches should also specify what is meant by pilot production centres.</w:t>
            </w:r>
          </w:p>
        </w:tc>
        <w:tc>
          <w:tcPr>
            <w:tcW w:w="2250" w:type="dxa"/>
          </w:tcPr>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r w:rsidRPr="005B6074">
              <w:rPr>
                <w:rFonts w:ascii="Verdana" w:hAnsi="Verdana"/>
                <w:sz w:val="16"/>
                <w:szCs w:val="16"/>
              </w:rPr>
              <w:lastRenderedPageBreak/>
              <w:t>Private investment in R&amp;D complementing the public assistance in BGN/EUR</w:t>
            </w: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tc>
        <w:tc>
          <w:tcPr>
            <w:tcW w:w="4184" w:type="dxa"/>
            <w:gridSpan w:val="2"/>
          </w:tcPr>
          <w:p w:rsidR="00C27724" w:rsidRPr="005B6074" w:rsidRDefault="00C27724" w:rsidP="00C72578">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 xml:space="preserve">According to Regulation 1301/2013, this is a performance indicator. Other indicators should be developed to measure </w:t>
            </w:r>
            <w:r w:rsidR="00C72578">
              <w:rPr>
                <w:rFonts w:ascii="Verdana" w:hAnsi="Verdana"/>
                <w:bCs/>
                <w:color w:val="000000"/>
                <w:sz w:val="16"/>
                <w:szCs w:val="16"/>
              </w:rPr>
              <w:t>results</w:t>
            </w:r>
            <w:r w:rsidRPr="005B6074">
              <w:rPr>
                <w:rFonts w:ascii="Verdana" w:hAnsi="Verdana"/>
                <w:bCs/>
                <w:color w:val="000000"/>
                <w:sz w:val="16"/>
                <w:szCs w:val="16"/>
              </w:rPr>
              <w:t>.</w:t>
            </w:r>
          </w:p>
        </w:tc>
      </w:tr>
      <w:tr w:rsidR="00C27724" w:rsidRPr="005B6074" w:rsidTr="00A511E7">
        <w:tc>
          <w:tcPr>
            <w:tcW w:w="14884" w:type="dxa"/>
            <w:gridSpan w:val="7"/>
          </w:tcPr>
          <w:p w:rsidR="00C27724" w:rsidRPr="005B6074" w:rsidRDefault="00C27724" w:rsidP="00A511E7">
            <w:pPr>
              <w:pStyle w:val="Default"/>
              <w:spacing w:before="120" w:after="120"/>
              <w:jc w:val="both"/>
              <w:rPr>
                <w:rFonts w:ascii="Verdana" w:hAnsi="Verdana"/>
                <w:b/>
                <w:color w:val="auto"/>
                <w:sz w:val="16"/>
                <w:szCs w:val="16"/>
              </w:rPr>
            </w:pPr>
            <w:r w:rsidRPr="005B6074">
              <w:rPr>
                <w:rFonts w:ascii="Verdana" w:hAnsi="Verdana"/>
                <w:b/>
                <w:color w:val="auto"/>
                <w:sz w:val="16"/>
                <w:szCs w:val="16"/>
              </w:rPr>
              <w:lastRenderedPageBreak/>
              <w:t>2. Education and lifelong learning</w:t>
            </w:r>
          </w:p>
        </w:tc>
      </w:tr>
      <w:tr w:rsidR="00C27724" w:rsidRPr="005B6074" w:rsidTr="00A511E7">
        <w:tc>
          <w:tcPr>
            <w:tcW w:w="1843" w:type="dxa"/>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Improving the achievements of children and students in acquiring key competences at the pre-school and school educational level.</w:t>
            </w:r>
          </w:p>
        </w:tc>
        <w:tc>
          <w:tcPr>
            <w:tcW w:w="2299" w:type="dxa"/>
          </w:tcPr>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r w:rsidRPr="005B6074">
              <w:rPr>
                <w:rFonts w:ascii="Verdana" w:hAnsi="Verdana"/>
                <w:sz w:val="16"/>
                <w:szCs w:val="16"/>
              </w:rPr>
              <w:t>Number of children aged 4 -6 years enrolled in pre-school education.</w:t>
            </w:r>
          </w:p>
        </w:tc>
        <w:tc>
          <w:tcPr>
            <w:tcW w:w="2092"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is relevant, however it has a character of a result indicator. It is not fully in the scope and under control of the programme.</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tc>
        <w:tc>
          <w:tcPr>
            <w:tcW w:w="2216"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w:t>
            </w:r>
          </w:p>
        </w:tc>
        <w:tc>
          <w:tcPr>
            <w:tcW w:w="2250" w:type="dxa"/>
          </w:tcPr>
          <w:p w:rsidR="00C27724" w:rsidRPr="005B6074" w:rsidRDefault="00C27724" w:rsidP="00A511E7">
            <w:pPr>
              <w:pStyle w:val="Default"/>
              <w:jc w:val="both"/>
              <w:rPr>
                <w:rFonts w:ascii="Verdana" w:hAnsi="Verdana"/>
                <w:bCs/>
                <w:color w:val="auto"/>
                <w:sz w:val="16"/>
                <w:szCs w:val="16"/>
              </w:rPr>
            </w:pPr>
            <w:r w:rsidRPr="005B6074">
              <w:rPr>
                <w:rFonts w:ascii="Verdana" w:hAnsi="Verdana"/>
                <w:bCs/>
                <w:color w:val="auto"/>
                <w:sz w:val="16"/>
                <w:szCs w:val="16"/>
              </w:rPr>
              <w:t>1) At the most 11% early school leavers (ESL) of the persons aged 18-24г.</w:t>
            </w:r>
          </w:p>
          <w:p w:rsidR="00C27724" w:rsidRPr="005B6074" w:rsidRDefault="00C27724" w:rsidP="00A511E7">
            <w:pPr>
              <w:pStyle w:val="Default"/>
              <w:jc w:val="both"/>
              <w:rPr>
                <w:rFonts w:ascii="Verdana" w:hAnsi="Verdana"/>
                <w:bCs/>
                <w:color w:val="auto"/>
                <w:sz w:val="16"/>
                <w:szCs w:val="16"/>
              </w:rPr>
            </w:pPr>
          </w:p>
          <w:p w:rsidR="00C27724" w:rsidRPr="005B6074" w:rsidRDefault="00C27724" w:rsidP="00A511E7">
            <w:pPr>
              <w:pStyle w:val="Default"/>
              <w:jc w:val="both"/>
              <w:rPr>
                <w:rFonts w:ascii="Verdana" w:hAnsi="Verdana"/>
                <w:bCs/>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t xml:space="preserve">2) Increased PIRLS average score for the Bulgarian 4-grade pupils – up to 540 </w:t>
            </w:r>
          </w:p>
          <w:p w:rsidR="00C27724" w:rsidRPr="005B6074" w:rsidRDefault="00C27724" w:rsidP="00A511E7">
            <w:pPr>
              <w:pStyle w:val="Default"/>
              <w:jc w:val="both"/>
              <w:rPr>
                <w:rFonts w:ascii="Verdana" w:hAnsi="Verdana"/>
                <w:bCs/>
                <w:color w:val="auto"/>
                <w:sz w:val="16"/>
                <w:szCs w:val="16"/>
              </w:rPr>
            </w:pPr>
            <w:r w:rsidRPr="005B6074">
              <w:rPr>
                <w:rFonts w:ascii="Verdana" w:hAnsi="Verdana"/>
                <w:color w:val="auto"/>
                <w:sz w:val="16"/>
                <w:szCs w:val="16"/>
              </w:rPr>
              <w:t xml:space="preserve">2.1) Increased PIRLS average PIRLS score for </w:t>
            </w:r>
            <w:r w:rsidRPr="005B6074">
              <w:rPr>
                <w:rFonts w:ascii="Verdana" w:hAnsi="Verdana"/>
                <w:b/>
                <w:color w:val="auto"/>
                <w:sz w:val="16"/>
                <w:szCs w:val="16"/>
              </w:rPr>
              <w:t>girls</w:t>
            </w:r>
            <w:r w:rsidRPr="005B6074">
              <w:rPr>
                <w:rFonts w:ascii="Verdana" w:hAnsi="Verdana"/>
                <w:color w:val="auto"/>
                <w:sz w:val="16"/>
                <w:szCs w:val="16"/>
              </w:rPr>
              <w:t xml:space="preserve"> under PIRLS</w:t>
            </w:r>
            <w:r w:rsidRPr="005B6074">
              <w:rPr>
                <w:rFonts w:ascii="Verdana" w:hAnsi="Verdana"/>
                <w:b/>
                <w:bCs/>
                <w:color w:val="auto"/>
                <w:sz w:val="16"/>
                <w:szCs w:val="16"/>
              </w:rPr>
              <w:t xml:space="preserve"> – </w:t>
            </w:r>
            <w:r w:rsidRPr="005B6074">
              <w:rPr>
                <w:rFonts w:ascii="Verdana" w:hAnsi="Verdana"/>
                <w:bCs/>
                <w:color w:val="auto"/>
                <w:sz w:val="16"/>
                <w:szCs w:val="16"/>
              </w:rPr>
              <w:t xml:space="preserve">up to 549 </w:t>
            </w:r>
          </w:p>
          <w:p w:rsidR="00C27724" w:rsidRPr="005B6074" w:rsidRDefault="00C27724" w:rsidP="00A511E7">
            <w:pPr>
              <w:pStyle w:val="Default"/>
              <w:jc w:val="both"/>
              <w:rPr>
                <w:rFonts w:ascii="Verdana" w:hAnsi="Verdana"/>
                <w:bCs/>
                <w:color w:val="auto"/>
                <w:sz w:val="16"/>
                <w:szCs w:val="16"/>
              </w:rPr>
            </w:pPr>
            <w:r w:rsidRPr="005B6074">
              <w:rPr>
                <w:rFonts w:ascii="Verdana" w:hAnsi="Verdana"/>
                <w:bCs/>
                <w:color w:val="auto"/>
                <w:sz w:val="16"/>
                <w:szCs w:val="16"/>
              </w:rPr>
              <w:t>2.2)</w:t>
            </w:r>
            <w:r w:rsidRPr="005B6074">
              <w:rPr>
                <w:rFonts w:ascii="Verdana" w:hAnsi="Verdana"/>
                <w:color w:val="auto"/>
                <w:sz w:val="16"/>
                <w:szCs w:val="16"/>
              </w:rPr>
              <w:t xml:space="preserve"> Increased PIRLS average score for </w:t>
            </w:r>
            <w:r w:rsidRPr="005B6074">
              <w:rPr>
                <w:rFonts w:ascii="Verdana" w:hAnsi="Verdana"/>
                <w:b/>
                <w:color w:val="auto"/>
                <w:sz w:val="16"/>
                <w:szCs w:val="16"/>
              </w:rPr>
              <w:t>boys</w:t>
            </w:r>
            <w:r w:rsidRPr="005B6074">
              <w:rPr>
                <w:rFonts w:ascii="Verdana" w:hAnsi="Verdana"/>
                <w:b/>
                <w:bCs/>
                <w:color w:val="auto"/>
                <w:sz w:val="16"/>
                <w:szCs w:val="16"/>
              </w:rPr>
              <w:t xml:space="preserve"> – </w:t>
            </w:r>
            <w:r w:rsidRPr="005B6074">
              <w:rPr>
                <w:rFonts w:ascii="Verdana" w:hAnsi="Verdana"/>
                <w:bCs/>
                <w:color w:val="auto"/>
                <w:sz w:val="16"/>
                <w:szCs w:val="16"/>
              </w:rPr>
              <w:t xml:space="preserve">up to 531 </w:t>
            </w:r>
          </w:p>
        </w:tc>
        <w:tc>
          <w:tcPr>
            <w:tcW w:w="2104"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lastRenderedPageBreak/>
              <w:t>1) 1) The indicator is relevant to the activities, but it is not directly bound to the specific objective – it is more appropriate for the next specific objective. It is a national objective as per Europe 2020 Strategy. It should be borne in mind that other EU-funded programmes will contribute to its achievements, as well as the national budget. Therefore to establish the contribution of ORSESG additional evaluation will be needed.</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 xml:space="preserve">2) The indicator is relevant, but it must be clearly stated in the specific objective and the activities that they are targeted at pupils up to grade 4 inclusive. </w:t>
            </w:r>
          </w:p>
        </w:tc>
        <w:tc>
          <w:tcPr>
            <w:tcW w:w="2080"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lastRenderedPageBreak/>
              <w:t>1) The indicator is clear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The indicator is clear.</w:t>
            </w:r>
          </w:p>
        </w:tc>
      </w:tr>
      <w:tr w:rsidR="00C27724" w:rsidRPr="005B6074" w:rsidTr="00A511E7">
        <w:tc>
          <w:tcPr>
            <w:tcW w:w="1843" w:type="dxa"/>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lastRenderedPageBreak/>
              <w:t>Enrolling and retaining the children and students in the educational system by raising the motivation for learning and the attractiveness of the educational institutions.</w:t>
            </w:r>
          </w:p>
        </w:tc>
        <w:tc>
          <w:tcPr>
            <w:tcW w:w="2299" w:type="dxa"/>
          </w:tcPr>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t>1) Number of students who have been granted scholarships</w:t>
            </w: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r w:rsidRPr="005B6074">
              <w:rPr>
                <w:rFonts w:ascii="Verdana" w:hAnsi="Verdana"/>
                <w:sz w:val="16"/>
                <w:szCs w:val="16"/>
              </w:rPr>
              <w:t>2) Number of students included in extra-class and extracurricular activities.</w:t>
            </w:r>
          </w:p>
        </w:tc>
        <w:tc>
          <w:tcPr>
            <w:tcW w:w="2092"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The indicator is relevant</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The indicator is relevant.</w:t>
            </w:r>
          </w:p>
        </w:tc>
        <w:tc>
          <w:tcPr>
            <w:tcW w:w="2216"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 xml:space="preserve">1) The indicator is clear </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w:t>
            </w:r>
          </w:p>
        </w:tc>
        <w:tc>
          <w:tcPr>
            <w:tcW w:w="2250" w:type="dxa"/>
          </w:tcPr>
          <w:p w:rsidR="00C27724" w:rsidRPr="005B6074" w:rsidRDefault="00C27724" w:rsidP="00A511E7">
            <w:pPr>
              <w:pStyle w:val="Default"/>
              <w:jc w:val="both"/>
              <w:rPr>
                <w:rFonts w:ascii="Verdana" w:hAnsi="Verdana"/>
                <w:bCs/>
                <w:color w:val="auto"/>
                <w:sz w:val="16"/>
                <w:szCs w:val="16"/>
              </w:rPr>
            </w:pPr>
            <w:r w:rsidRPr="005B6074">
              <w:rPr>
                <w:rFonts w:ascii="Verdana" w:hAnsi="Verdana"/>
                <w:bCs/>
                <w:color w:val="auto"/>
                <w:sz w:val="16"/>
                <w:szCs w:val="16"/>
              </w:rPr>
              <w:t>1) At the most 11% ESL of persons aged 18-24.</w:t>
            </w: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t>2) Increased PIRLS average score for Bulgarian 4-grade pupils – up to 540.</w:t>
            </w:r>
          </w:p>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t>2.1) Increased PIRLS average score for girls – up to 549</w:t>
            </w:r>
          </w:p>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t>2.2) Increased PIRLS average score for boys – up to 531</w:t>
            </w:r>
          </w:p>
          <w:p w:rsidR="00C27724" w:rsidRPr="005B6074" w:rsidRDefault="00C27724" w:rsidP="00A511E7">
            <w:pPr>
              <w:pStyle w:val="Default"/>
              <w:jc w:val="both"/>
              <w:rPr>
                <w:rFonts w:ascii="Verdana" w:hAnsi="Verdana"/>
                <w:bCs/>
                <w:color w:val="auto"/>
                <w:sz w:val="16"/>
                <w:szCs w:val="16"/>
              </w:rPr>
            </w:pPr>
          </w:p>
        </w:tc>
        <w:tc>
          <w:tcPr>
            <w:tcW w:w="2104"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See above</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The indicator is more appropriate for the above specific objective</w:t>
            </w:r>
          </w:p>
        </w:tc>
        <w:tc>
          <w:tcPr>
            <w:tcW w:w="2080"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See above</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See above</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tc>
      </w:tr>
      <w:tr w:rsidR="00C27724" w:rsidRPr="005B6074" w:rsidTr="00A511E7">
        <w:tc>
          <w:tcPr>
            <w:tcW w:w="1843" w:type="dxa"/>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Managing of the quality of education by perfecting the system of appraisal of the results of education and developing and putting in place an efficient monitoring system.</w:t>
            </w:r>
          </w:p>
        </w:tc>
        <w:tc>
          <w:tcPr>
            <w:tcW w:w="2299" w:type="dxa"/>
          </w:tcPr>
          <w:p w:rsidR="00C27724" w:rsidRPr="005B6074" w:rsidRDefault="00C27724" w:rsidP="00A511E7">
            <w:pPr>
              <w:pStyle w:val="Default"/>
              <w:jc w:val="both"/>
              <w:rPr>
                <w:rFonts w:ascii="Verdana" w:hAnsi="Verdana"/>
                <w:bCs/>
                <w:color w:val="auto"/>
                <w:sz w:val="16"/>
                <w:szCs w:val="16"/>
              </w:rPr>
            </w:pPr>
            <w:r w:rsidRPr="005B6074">
              <w:rPr>
                <w:rFonts w:ascii="Verdana" w:hAnsi="Verdana"/>
                <w:bCs/>
                <w:color w:val="auto"/>
                <w:sz w:val="16"/>
                <w:szCs w:val="16"/>
              </w:rPr>
              <w:t>1) Number of student who appeared for national and regional external evaluation.</w:t>
            </w:r>
          </w:p>
          <w:p w:rsidR="00C27724" w:rsidRPr="005B6074" w:rsidRDefault="00C27724" w:rsidP="00A511E7">
            <w:pPr>
              <w:pStyle w:val="Default"/>
              <w:jc w:val="both"/>
              <w:rPr>
                <w:rFonts w:ascii="Verdana" w:hAnsi="Verdana"/>
                <w:bCs/>
                <w:color w:val="auto"/>
                <w:sz w:val="16"/>
                <w:szCs w:val="16"/>
              </w:rPr>
            </w:pPr>
          </w:p>
          <w:p w:rsidR="00C27724" w:rsidRPr="005B6074" w:rsidRDefault="00C27724" w:rsidP="00A511E7">
            <w:pPr>
              <w:pStyle w:val="Default"/>
              <w:jc w:val="both"/>
              <w:rPr>
                <w:rFonts w:ascii="Verdana" w:hAnsi="Verdana"/>
                <w:bCs/>
                <w:color w:val="auto"/>
                <w:sz w:val="16"/>
                <w:szCs w:val="16"/>
              </w:rPr>
            </w:pPr>
            <w:r w:rsidRPr="005B6074">
              <w:rPr>
                <w:rFonts w:ascii="Verdana" w:hAnsi="Verdana"/>
                <w:bCs/>
                <w:color w:val="auto"/>
                <w:sz w:val="16"/>
                <w:szCs w:val="16"/>
              </w:rPr>
              <w:t>2) Number of conducted national and regional external evaluations.</w:t>
            </w:r>
          </w:p>
          <w:p w:rsidR="00C27724" w:rsidRPr="005B6074" w:rsidRDefault="00C27724" w:rsidP="00A511E7">
            <w:pPr>
              <w:pStyle w:val="Default"/>
              <w:jc w:val="both"/>
              <w:rPr>
                <w:rFonts w:ascii="Verdana" w:hAnsi="Verdana"/>
                <w:bCs/>
                <w:color w:val="auto"/>
                <w:sz w:val="16"/>
                <w:szCs w:val="16"/>
              </w:rPr>
            </w:pPr>
          </w:p>
          <w:p w:rsidR="00C27724" w:rsidRPr="005B6074" w:rsidRDefault="00C27724" w:rsidP="00A511E7">
            <w:pPr>
              <w:pStyle w:val="Default"/>
              <w:jc w:val="both"/>
              <w:rPr>
                <w:rFonts w:ascii="Verdana" w:hAnsi="Verdana"/>
                <w:color w:val="auto"/>
                <w:sz w:val="16"/>
                <w:szCs w:val="16"/>
              </w:rPr>
            </w:pPr>
            <w:r w:rsidRPr="005B6074">
              <w:rPr>
                <w:rFonts w:ascii="Verdana" w:hAnsi="Verdana"/>
                <w:sz w:val="16"/>
                <w:szCs w:val="16"/>
              </w:rPr>
              <w:t xml:space="preserve">3) Number of pedagogical specialists trained in implementing the </w:t>
            </w:r>
            <w:r w:rsidRPr="005B6074">
              <w:rPr>
                <w:rFonts w:ascii="Verdana" w:hAnsi="Verdana"/>
                <w:sz w:val="16"/>
                <w:szCs w:val="16"/>
              </w:rPr>
              <w:lastRenderedPageBreak/>
              <w:t>international standards for student evaluation</w:t>
            </w:r>
          </w:p>
          <w:p w:rsidR="00C27724" w:rsidRPr="005B6074" w:rsidRDefault="00C27724" w:rsidP="00A511E7">
            <w:pPr>
              <w:pStyle w:val="Default"/>
              <w:jc w:val="both"/>
              <w:rPr>
                <w:rFonts w:ascii="Verdana" w:hAnsi="Verdana"/>
                <w:color w:val="auto"/>
                <w:sz w:val="16"/>
                <w:szCs w:val="16"/>
              </w:rPr>
            </w:pPr>
          </w:p>
        </w:tc>
        <w:tc>
          <w:tcPr>
            <w:tcW w:w="2092"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lastRenderedPageBreak/>
              <w:t>1-2) It should be clarified to what extent these indicators are products or outcomes from the implementation of the Programme.</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3) The indicator is relevant</w:t>
            </w:r>
          </w:p>
        </w:tc>
        <w:tc>
          <w:tcPr>
            <w:tcW w:w="2216"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 xml:space="preserve">1-2) The indicators are clear, but it is recommended to consider the possibility to use % instead of number. </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3) The indicator is clear</w:t>
            </w:r>
          </w:p>
        </w:tc>
        <w:tc>
          <w:tcPr>
            <w:tcW w:w="2250" w:type="dxa"/>
          </w:tcPr>
          <w:p w:rsidR="00C27724" w:rsidRPr="005B6074" w:rsidRDefault="00C27724" w:rsidP="00A511E7">
            <w:pPr>
              <w:pStyle w:val="CommentText"/>
              <w:spacing w:after="0" w:line="240" w:lineRule="auto"/>
              <w:rPr>
                <w:rFonts w:ascii="Verdana" w:hAnsi="Verdana"/>
                <w:sz w:val="16"/>
                <w:szCs w:val="16"/>
              </w:rPr>
            </w:pPr>
            <w:r w:rsidRPr="005B6074">
              <w:rPr>
                <w:rFonts w:ascii="Verdana" w:hAnsi="Verdana"/>
                <w:sz w:val="16"/>
                <w:szCs w:val="16"/>
              </w:rPr>
              <w:t xml:space="preserve">1) At the most 30% of 15-year-old students with skills assessed to be below the second critical threshold in the cognitive area – “reading „on PISA scale. </w:t>
            </w:r>
          </w:p>
          <w:p w:rsidR="00C27724" w:rsidRPr="005B6074" w:rsidRDefault="00C27724" w:rsidP="00A511E7">
            <w:pPr>
              <w:pStyle w:val="CommentText"/>
              <w:spacing w:after="0" w:line="240" w:lineRule="auto"/>
              <w:rPr>
                <w:rFonts w:ascii="Verdana" w:hAnsi="Verdana"/>
                <w:sz w:val="16"/>
                <w:szCs w:val="16"/>
              </w:rPr>
            </w:pPr>
          </w:p>
          <w:p w:rsidR="00C27724" w:rsidRPr="005B6074" w:rsidRDefault="00C27724" w:rsidP="00A511E7">
            <w:pPr>
              <w:pStyle w:val="CommentText"/>
              <w:spacing w:after="0" w:line="240" w:lineRule="auto"/>
              <w:rPr>
                <w:rFonts w:ascii="Verdana" w:hAnsi="Verdana"/>
                <w:sz w:val="16"/>
                <w:szCs w:val="16"/>
              </w:rPr>
            </w:pPr>
            <w:r w:rsidRPr="005B6074">
              <w:rPr>
                <w:rFonts w:ascii="Verdana" w:hAnsi="Verdana"/>
                <w:sz w:val="16"/>
                <w:szCs w:val="16"/>
              </w:rPr>
              <w:t xml:space="preserve">2) At the most 35% of 15-year-old students with skills assessed to </w:t>
            </w:r>
            <w:r w:rsidRPr="005B6074">
              <w:rPr>
                <w:rFonts w:ascii="Verdana" w:hAnsi="Verdana"/>
                <w:sz w:val="16"/>
                <w:szCs w:val="16"/>
              </w:rPr>
              <w:lastRenderedPageBreak/>
              <w:t xml:space="preserve">be below the second critical threshold in the cognitive area – „, mathematics „on PISA scale. </w:t>
            </w:r>
          </w:p>
          <w:p w:rsidR="00C27724" w:rsidRPr="005B6074" w:rsidRDefault="00C27724" w:rsidP="00A511E7">
            <w:pPr>
              <w:pStyle w:val="CommentText"/>
              <w:spacing w:after="0" w:line="240" w:lineRule="auto"/>
              <w:rPr>
                <w:rFonts w:ascii="Verdana" w:hAnsi="Verdana"/>
                <w:sz w:val="16"/>
                <w:szCs w:val="16"/>
              </w:rPr>
            </w:pPr>
          </w:p>
          <w:p w:rsidR="00C27724" w:rsidRPr="005B6074" w:rsidRDefault="00C27724" w:rsidP="00A511E7">
            <w:pPr>
              <w:pStyle w:val="CommentText"/>
              <w:spacing w:after="0" w:line="240" w:lineRule="auto"/>
              <w:rPr>
                <w:rFonts w:ascii="Verdana" w:hAnsi="Verdana"/>
                <w:sz w:val="16"/>
                <w:szCs w:val="16"/>
              </w:rPr>
            </w:pPr>
            <w:r w:rsidRPr="005B6074">
              <w:rPr>
                <w:rFonts w:ascii="Verdana" w:hAnsi="Verdana"/>
                <w:sz w:val="16"/>
                <w:szCs w:val="16"/>
              </w:rPr>
              <w:t>3) At the most 30% of 15-year-old students with skills assessed to be below the second critical threshold in the cognitive area – „natural science</w:t>
            </w:r>
            <w:proofErr w:type="gramStart"/>
            <w:r w:rsidRPr="005B6074">
              <w:rPr>
                <w:rFonts w:ascii="Verdana" w:hAnsi="Verdana"/>
                <w:sz w:val="16"/>
                <w:szCs w:val="16"/>
              </w:rPr>
              <w:t>“ on</w:t>
            </w:r>
            <w:proofErr w:type="gramEnd"/>
            <w:r w:rsidRPr="005B6074">
              <w:rPr>
                <w:rFonts w:ascii="Verdana" w:hAnsi="Verdana"/>
                <w:sz w:val="16"/>
                <w:szCs w:val="16"/>
              </w:rPr>
              <w:t xml:space="preserve"> PISA scale. </w:t>
            </w:r>
          </w:p>
          <w:p w:rsidR="00C27724" w:rsidRPr="005B6074" w:rsidRDefault="00C27724" w:rsidP="00A511E7">
            <w:pPr>
              <w:pStyle w:val="Default"/>
              <w:jc w:val="both"/>
              <w:rPr>
                <w:rFonts w:ascii="Verdana" w:hAnsi="Verdana"/>
                <w:bCs/>
                <w:color w:val="auto"/>
                <w:sz w:val="16"/>
                <w:szCs w:val="16"/>
              </w:rPr>
            </w:pPr>
          </w:p>
        </w:tc>
        <w:tc>
          <w:tcPr>
            <w:tcW w:w="2104"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lastRenderedPageBreak/>
              <w:t>1-3) The indicators are not bound to the specific objective and the activities which are rather confined to improving the assessment system than improving the quality of education.</w:t>
            </w:r>
          </w:p>
        </w:tc>
        <w:tc>
          <w:tcPr>
            <w:tcW w:w="2080"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w:t>
            </w:r>
          </w:p>
        </w:tc>
      </w:tr>
      <w:tr w:rsidR="00C27724" w:rsidRPr="005B6074" w:rsidTr="00A511E7">
        <w:tc>
          <w:tcPr>
            <w:tcW w:w="1843" w:type="dxa"/>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lastRenderedPageBreak/>
              <w:t>Improving the knowledge, skills and opportunities for realization of university graduates</w:t>
            </w:r>
          </w:p>
        </w:tc>
        <w:tc>
          <w:tcPr>
            <w:tcW w:w="2299" w:type="dxa"/>
          </w:tcPr>
          <w:p w:rsidR="00C27724" w:rsidRPr="005B6074" w:rsidRDefault="00C27724" w:rsidP="00A511E7">
            <w:pPr>
              <w:pStyle w:val="Default"/>
              <w:jc w:val="both"/>
              <w:rPr>
                <w:rFonts w:ascii="Verdana" w:hAnsi="Verdana"/>
                <w:sz w:val="16"/>
                <w:szCs w:val="16"/>
              </w:rPr>
            </w:pPr>
            <w:r w:rsidRPr="005B6074">
              <w:rPr>
                <w:rFonts w:ascii="Verdana" w:hAnsi="Verdana"/>
                <w:sz w:val="16"/>
                <w:szCs w:val="16"/>
              </w:rPr>
              <w:t>1) Number of students studying under the new curricula and syllabuses</w:t>
            </w:r>
          </w:p>
          <w:p w:rsidR="00C27724" w:rsidRPr="005B6074" w:rsidRDefault="00C27724" w:rsidP="00A511E7">
            <w:pPr>
              <w:pStyle w:val="Default"/>
              <w:jc w:val="both"/>
              <w:rPr>
                <w:rFonts w:ascii="Verdana" w:hAnsi="Verdana"/>
                <w:sz w:val="16"/>
                <w:szCs w:val="16"/>
              </w:rPr>
            </w:pPr>
          </w:p>
          <w:p w:rsidR="00C27724" w:rsidRPr="005B6074" w:rsidRDefault="00C27724" w:rsidP="00A511E7">
            <w:pPr>
              <w:pStyle w:val="Default"/>
              <w:jc w:val="both"/>
              <w:rPr>
                <w:rFonts w:ascii="Verdana" w:hAnsi="Verdana"/>
                <w:sz w:val="16"/>
                <w:szCs w:val="16"/>
              </w:rPr>
            </w:pPr>
          </w:p>
          <w:p w:rsidR="00C27724" w:rsidRPr="005B6074" w:rsidRDefault="00C27724" w:rsidP="00A511E7">
            <w:pPr>
              <w:pStyle w:val="Default"/>
              <w:jc w:val="both"/>
              <w:rPr>
                <w:rFonts w:ascii="Verdana" w:hAnsi="Verdana"/>
                <w:sz w:val="16"/>
                <w:szCs w:val="16"/>
              </w:rPr>
            </w:pPr>
          </w:p>
          <w:p w:rsidR="00C27724" w:rsidRPr="005B6074" w:rsidRDefault="00C27724" w:rsidP="00A511E7">
            <w:pPr>
              <w:pStyle w:val="Default"/>
              <w:jc w:val="both"/>
              <w:rPr>
                <w:rFonts w:ascii="Verdana" w:hAnsi="Verdana"/>
                <w:sz w:val="16"/>
                <w:szCs w:val="16"/>
              </w:rPr>
            </w:pPr>
          </w:p>
          <w:p w:rsidR="00C27724" w:rsidRPr="005B6074" w:rsidRDefault="00C27724" w:rsidP="00A511E7">
            <w:pPr>
              <w:pStyle w:val="Default"/>
              <w:jc w:val="both"/>
              <w:rPr>
                <w:rFonts w:ascii="Verdana" w:hAnsi="Verdana"/>
                <w:sz w:val="16"/>
                <w:szCs w:val="16"/>
              </w:rPr>
            </w:pPr>
            <w:r w:rsidRPr="005B6074">
              <w:rPr>
                <w:rFonts w:ascii="Verdana" w:hAnsi="Verdana"/>
                <w:sz w:val="16"/>
                <w:szCs w:val="16"/>
              </w:rPr>
              <w:t>2) Number of developed new curricula and syllabuses.</w:t>
            </w:r>
          </w:p>
          <w:p w:rsidR="00C27724" w:rsidRPr="005B6074" w:rsidRDefault="00C27724" w:rsidP="00A511E7">
            <w:pPr>
              <w:pStyle w:val="Default"/>
              <w:jc w:val="both"/>
              <w:rPr>
                <w:rFonts w:ascii="Verdana" w:hAnsi="Verdana"/>
                <w:sz w:val="16"/>
                <w:szCs w:val="16"/>
              </w:rPr>
            </w:pPr>
          </w:p>
          <w:p w:rsidR="00C27724" w:rsidRPr="005B6074" w:rsidRDefault="00C27724" w:rsidP="00A511E7">
            <w:pPr>
              <w:pStyle w:val="Default"/>
              <w:jc w:val="both"/>
              <w:rPr>
                <w:rFonts w:ascii="Verdana" w:hAnsi="Verdana"/>
                <w:bCs/>
                <w:color w:val="auto"/>
                <w:sz w:val="16"/>
                <w:szCs w:val="16"/>
              </w:rPr>
            </w:pPr>
            <w:r w:rsidRPr="005B6074">
              <w:rPr>
                <w:rFonts w:ascii="Verdana" w:hAnsi="Verdana"/>
                <w:sz w:val="16"/>
                <w:szCs w:val="16"/>
              </w:rPr>
              <w:t>3) Number of higher school professors trained.</w:t>
            </w:r>
          </w:p>
        </w:tc>
        <w:tc>
          <w:tcPr>
            <w:tcW w:w="2092"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The indicator is relevant</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 xml:space="preserve">2) The indicator is relevant </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3) The indicator is not directly bound to the activities.</w:t>
            </w:r>
          </w:p>
        </w:tc>
        <w:tc>
          <w:tcPr>
            <w:tcW w:w="2216"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 xml:space="preserve">1) </w:t>
            </w:r>
            <w:r w:rsidRPr="005B6074">
              <w:rPr>
                <w:rFonts w:ascii="Verdana" w:hAnsi="Verdana"/>
                <w:bCs/>
                <w:sz w:val="16"/>
                <w:szCs w:val="16"/>
              </w:rPr>
              <w:t>The indicator is clear but it is recommended</w:t>
            </w:r>
            <w:r w:rsidRPr="005B6074">
              <w:rPr>
                <w:rFonts w:ascii="Verdana" w:hAnsi="Verdana"/>
                <w:bCs/>
                <w:color w:val="000000"/>
                <w:sz w:val="16"/>
                <w:szCs w:val="16"/>
              </w:rPr>
              <w:t xml:space="preserve"> to consider the possible use of % instead of “number”.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The indicator is clear.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3) -</w:t>
            </w:r>
          </w:p>
        </w:tc>
        <w:tc>
          <w:tcPr>
            <w:tcW w:w="2250" w:type="dxa"/>
          </w:tcPr>
          <w:p w:rsidR="00C27724" w:rsidRPr="005B6074" w:rsidRDefault="00C27724" w:rsidP="00A511E7">
            <w:pPr>
              <w:pStyle w:val="CommentText"/>
              <w:spacing w:after="0" w:line="240" w:lineRule="auto"/>
              <w:rPr>
                <w:rFonts w:ascii="Verdana" w:hAnsi="Verdana"/>
                <w:sz w:val="16"/>
                <w:szCs w:val="16"/>
              </w:rPr>
            </w:pPr>
            <w:r w:rsidRPr="005B6074">
              <w:rPr>
                <w:rFonts w:ascii="Verdana" w:hAnsi="Verdana"/>
                <w:sz w:val="16"/>
                <w:szCs w:val="16"/>
              </w:rPr>
              <w:t>Share of the university graduates who started work during the first year after graduating.</w:t>
            </w:r>
          </w:p>
        </w:tc>
        <w:tc>
          <w:tcPr>
            <w:tcW w:w="2104"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is relevant.</w:t>
            </w:r>
          </w:p>
        </w:tc>
        <w:tc>
          <w:tcPr>
            <w:tcW w:w="2080"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is clear.</w:t>
            </w:r>
          </w:p>
        </w:tc>
      </w:tr>
      <w:tr w:rsidR="00C27724" w:rsidRPr="005B6074" w:rsidTr="00A511E7">
        <w:tc>
          <w:tcPr>
            <w:tcW w:w="1843" w:type="dxa"/>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Optimizing the activities of the higher schools.</w:t>
            </w:r>
          </w:p>
        </w:tc>
        <w:tc>
          <w:tcPr>
            <w:tcW w:w="2299" w:type="dxa"/>
          </w:tcPr>
          <w:p w:rsidR="00C27724" w:rsidRPr="005B6074" w:rsidRDefault="00C27724" w:rsidP="00A511E7">
            <w:pPr>
              <w:pStyle w:val="Default"/>
              <w:jc w:val="both"/>
              <w:rPr>
                <w:rFonts w:ascii="Verdana" w:hAnsi="Verdana"/>
                <w:sz w:val="16"/>
                <w:szCs w:val="16"/>
              </w:rPr>
            </w:pPr>
            <w:r w:rsidRPr="005B6074">
              <w:rPr>
                <w:rFonts w:ascii="Verdana" w:hAnsi="Verdana"/>
                <w:color w:val="auto"/>
                <w:sz w:val="16"/>
                <w:szCs w:val="16"/>
              </w:rPr>
              <w:t>Number of higher schools involved in consolidation initiatives.</w:t>
            </w:r>
          </w:p>
        </w:tc>
        <w:tc>
          <w:tcPr>
            <w:tcW w:w="2092"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is not directly bound to the foreseen activities.</w:t>
            </w:r>
          </w:p>
        </w:tc>
        <w:tc>
          <w:tcPr>
            <w:tcW w:w="2216"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is not clear.</w:t>
            </w:r>
          </w:p>
        </w:tc>
        <w:tc>
          <w:tcPr>
            <w:tcW w:w="2250" w:type="dxa"/>
          </w:tcPr>
          <w:p w:rsidR="00C27724" w:rsidRPr="005B6074" w:rsidRDefault="00C27724" w:rsidP="00A511E7">
            <w:pPr>
              <w:pStyle w:val="Default"/>
              <w:jc w:val="both"/>
              <w:rPr>
                <w:rFonts w:ascii="Verdana" w:hAnsi="Verdana"/>
                <w:bCs/>
                <w:color w:val="auto"/>
                <w:sz w:val="16"/>
                <w:szCs w:val="16"/>
              </w:rPr>
            </w:pPr>
            <w:r w:rsidRPr="005B6074">
              <w:rPr>
                <w:rFonts w:ascii="Verdana" w:hAnsi="Verdana"/>
                <w:bCs/>
                <w:color w:val="auto"/>
                <w:sz w:val="16"/>
                <w:szCs w:val="16"/>
              </w:rPr>
              <w:t>1) Number of HS with improved internal and external assessment systems.</w:t>
            </w:r>
          </w:p>
          <w:p w:rsidR="00C27724" w:rsidRPr="005B6074" w:rsidRDefault="00C27724" w:rsidP="00A511E7">
            <w:pPr>
              <w:pStyle w:val="Default"/>
              <w:jc w:val="both"/>
              <w:rPr>
                <w:rFonts w:ascii="Verdana" w:hAnsi="Verdana"/>
                <w:bCs/>
                <w:color w:val="auto"/>
                <w:sz w:val="16"/>
                <w:szCs w:val="16"/>
              </w:rPr>
            </w:pPr>
          </w:p>
          <w:p w:rsidR="00C27724" w:rsidRPr="005B6074" w:rsidRDefault="00C27724" w:rsidP="00A511E7">
            <w:pPr>
              <w:pStyle w:val="CommentText"/>
              <w:spacing w:after="0" w:line="240" w:lineRule="auto"/>
              <w:rPr>
                <w:rFonts w:ascii="Verdana" w:hAnsi="Verdana"/>
                <w:sz w:val="16"/>
                <w:szCs w:val="16"/>
              </w:rPr>
            </w:pPr>
            <w:r w:rsidRPr="005B6074">
              <w:rPr>
                <w:rFonts w:ascii="Verdana" w:hAnsi="Verdana"/>
                <w:bCs/>
                <w:sz w:val="16"/>
                <w:szCs w:val="16"/>
              </w:rPr>
              <w:t xml:space="preserve">2) The share of financing of higher schools, which is formed </w:t>
            </w:r>
            <w:r w:rsidRPr="005B6074">
              <w:rPr>
                <w:rFonts w:ascii="Verdana" w:hAnsi="Verdana"/>
                <w:bCs/>
                <w:sz w:val="16"/>
                <w:szCs w:val="16"/>
              </w:rPr>
              <w:lastRenderedPageBreak/>
              <w:t>on the basis of the rating system is increased by at least ……. per cent.</w:t>
            </w:r>
          </w:p>
        </w:tc>
        <w:tc>
          <w:tcPr>
            <w:tcW w:w="2104"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lastRenderedPageBreak/>
              <w:t>1) The indicator has the nature of a product indicator rather.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The indicator is relevant.</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tc>
        <w:tc>
          <w:tcPr>
            <w:tcW w:w="2080"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The indicator is clear.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The indicator is clear.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tc>
      </w:tr>
      <w:tr w:rsidR="00C27724" w:rsidRPr="005B6074" w:rsidTr="00A511E7">
        <w:tc>
          <w:tcPr>
            <w:tcW w:w="1843" w:type="dxa"/>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lastRenderedPageBreak/>
              <w:t>Improving the access to higher education and increasing the number of persons with higher education in the age between 30-34 years up to 36% by 2020.</w:t>
            </w:r>
          </w:p>
        </w:tc>
        <w:tc>
          <w:tcPr>
            <w:tcW w:w="2299" w:type="dxa"/>
          </w:tcPr>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t>1) Number of students recipients of scholarships and special scholarships.</w:t>
            </w: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r w:rsidRPr="005B6074">
              <w:rPr>
                <w:rFonts w:ascii="Verdana" w:hAnsi="Verdana"/>
                <w:bCs/>
                <w:color w:val="auto"/>
                <w:sz w:val="16"/>
                <w:szCs w:val="16"/>
              </w:rPr>
              <w:t>2) Number of students recipients of student loans.</w:t>
            </w:r>
          </w:p>
        </w:tc>
        <w:tc>
          <w:tcPr>
            <w:tcW w:w="2092"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The indicator is relevant</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The indicator may be relevant if student loans are to be extended under the Programme. If loans are not to be extended, then it could be used as a</w:t>
            </w:r>
            <w:r w:rsidR="00DB6F26">
              <w:rPr>
                <w:rFonts w:ascii="Verdana" w:hAnsi="Verdana"/>
                <w:bCs/>
                <w:color w:val="000000"/>
                <w:sz w:val="16"/>
                <w:szCs w:val="16"/>
              </w:rPr>
              <w:t xml:space="preserve"> result </w:t>
            </w:r>
            <w:r w:rsidRPr="005B6074">
              <w:rPr>
                <w:rFonts w:ascii="Verdana" w:hAnsi="Verdana"/>
                <w:bCs/>
                <w:color w:val="000000"/>
                <w:sz w:val="16"/>
                <w:szCs w:val="16"/>
              </w:rPr>
              <w:t>indicator.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tc>
        <w:tc>
          <w:tcPr>
            <w:tcW w:w="2216"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The indicator is clear, but the meaning of “special scholarships” should be explained.</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The indicator is clear.</w:t>
            </w:r>
          </w:p>
        </w:tc>
        <w:tc>
          <w:tcPr>
            <w:tcW w:w="2250" w:type="dxa"/>
          </w:tcPr>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t>At least 36 % of 30-34-year-old people with higher education</w:t>
            </w:r>
          </w:p>
          <w:p w:rsidR="00C27724" w:rsidRPr="005B6074" w:rsidRDefault="00C27724" w:rsidP="00A511E7">
            <w:pPr>
              <w:pStyle w:val="Default"/>
              <w:jc w:val="both"/>
              <w:rPr>
                <w:rFonts w:ascii="Verdana" w:hAnsi="Verdana"/>
                <w:bCs/>
                <w:color w:val="auto"/>
                <w:sz w:val="16"/>
                <w:szCs w:val="16"/>
              </w:rPr>
            </w:pPr>
          </w:p>
        </w:tc>
        <w:tc>
          <w:tcPr>
            <w:tcW w:w="2104"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is relevant and it corresponds to the national objective of the Strategy Europe 2020.</w:t>
            </w:r>
          </w:p>
        </w:tc>
        <w:tc>
          <w:tcPr>
            <w:tcW w:w="2080"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is clear.</w:t>
            </w:r>
          </w:p>
        </w:tc>
      </w:tr>
      <w:tr w:rsidR="00C27724" w:rsidRPr="005B6074" w:rsidTr="00A511E7">
        <w:tc>
          <w:tcPr>
            <w:tcW w:w="1843" w:type="dxa"/>
            <w:shd w:val="clear" w:color="auto" w:fill="auto"/>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Developing the capacity and raising the qualification of the people employed in the areas of education, training and science.</w:t>
            </w:r>
          </w:p>
        </w:tc>
        <w:tc>
          <w:tcPr>
            <w:tcW w:w="2299" w:type="dxa"/>
            <w:shd w:val="clear" w:color="auto" w:fill="auto"/>
          </w:tcPr>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t xml:space="preserve">1) Number of undergraduate/postgraduate students who acquire </w:t>
            </w:r>
            <w:r w:rsidRPr="005B6074">
              <w:rPr>
                <w:rFonts w:ascii="Verdana" w:hAnsi="Verdana"/>
                <w:color w:val="auto"/>
                <w:sz w:val="16"/>
                <w:szCs w:val="16"/>
              </w:rPr>
              <w:lastRenderedPageBreak/>
              <w:t>professional qualification teacher and start working during the first year after graduating.</w:t>
            </w: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t xml:space="preserve">2) Number of young specialists participating in partner networks for scientific research. Including in joint projects with the business. </w:t>
            </w: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t xml:space="preserve">3) Number of scientific research results implemented in the businesses. </w:t>
            </w: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t>4) Number of young researchers attracted from abroad to work with the excellence centres and competence centres.</w:t>
            </w: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r w:rsidRPr="005B6074">
              <w:rPr>
                <w:rFonts w:ascii="Verdana" w:hAnsi="Verdana"/>
                <w:sz w:val="16"/>
                <w:szCs w:val="16"/>
              </w:rPr>
              <w:t>5) Number of PhD students, post-graduate students, professors at higher schools and researchers from foreign European universities and research centres in Bulgaria included in mobility programmes.</w:t>
            </w:r>
          </w:p>
        </w:tc>
        <w:tc>
          <w:tcPr>
            <w:tcW w:w="2092" w:type="dxa"/>
            <w:shd w:val="clear" w:color="auto" w:fill="auto"/>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lastRenderedPageBreak/>
              <w:t>General comment: too many indicators have been foreseen for this specific objective and in case that the funds foreseen for some of the activities are not enough; it is recommendable to reduce the number of indicators.</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 xml:space="preserve">1) The indicator has the nature of </w:t>
            </w:r>
            <w:proofErr w:type="gramStart"/>
            <w:r w:rsidRPr="005B6074">
              <w:rPr>
                <w:rFonts w:ascii="Verdana" w:hAnsi="Verdana"/>
                <w:bCs/>
                <w:color w:val="000000"/>
                <w:sz w:val="16"/>
                <w:szCs w:val="16"/>
              </w:rPr>
              <w:t>an</w:t>
            </w:r>
            <w:proofErr w:type="gramEnd"/>
            <w:r w:rsidRPr="005B6074">
              <w:rPr>
                <w:rFonts w:ascii="Verdana" w:hAnsi="Verdana"/>
                <w:bCs/>
                <w:color w:val="000000"/>
                <w:sz w:val="16"/>
                <w:szCs w:val="16"/>
              </w:rPr>
              <w:t xml:space="preserve"> </w:t>
            </w:r>
            <w:r w:rsidR="00DB6F26">
              <w:rPr>
                <w:rFonts w:ascii="Verdana" w:hAnsi="Verdana"/>
                <w:bCs/>
                <w:color w:val="000000"/>
                <w:sz w:val="16"/>
                <w:szCs w:val="16"/>
              </w:rPr>
              <w:t>result</w:t>
            </w:r>
            <w:r w:rsidRPr="005B6074">
              <w:rPr>
                <w:rFonts w:ascii="Verdana" w:hAnsi="Verdana"/>
                <w:bCs/>
                <w:color w:val="000000"/>
                <w:sz w:val="16"/>
                <w:szCs w:val="16"/>
              </w:rPr>
              <w:t xml:space="preserve"> indicator.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The indicator is relevant.</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3) It is recommended to drop out this indicator because it has the nature of a</w:t>
            </w:r>
            <w:r w:rsidR="00DB6F26">
              <w:rPr>
                <w:rFonts w:ascii="Verdana" w:hAnsi="Verdana"/>
                <w:bCs/>
                <w:color w:val="000000"/>
                <w:sz w:val="16"/>
                <w:szCs w:val="16"/>
              </w:rPr>
              <w:t xml:space="preserve"> result</w:t>
            </w:r>
            <w:r w:rsidRPr="005B6074">
              <w:rPr>
                <w:rFonts w:ascii="Verdana" w:hAnsi="Verdana"/>
                <w:bCs/>
                <w:color w:val="000000"/>
                <w:sz w:val="16"/>
                <w:szCs w:val="16"/>
              </w:rPr>
              <w:t xml:space="preserve"> indicator.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4) It is recommended to drop out this indicator, since it is not a direct product of the activities.</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5) The indicator is relevant</w:t>
            </w:r>
          </w:p>
        </w:tc>
        <w:tc>
          <w:tcPr>
            <w:tcW w:w="2216" w:type="dxa"/>
            <w:shd w:val="clear" w:color="auto" w:fill="auto"/>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The indicator is clear.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 xml:space="preserve">2) It should be clarified what “young specialists” and “partner networks” mean. </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3) –</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4) –</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5) It should be clearly specified which researchers from foreign European universities will be taken account of.</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tc>
        <w:tc>
          <w:tcPr>
            <w:tcW w:w="2250" w:type="dxa"/>
            <w:shd w:val="clear" w:color="auto" w:fill="auto"/>
          </w:tcPr>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t>1) At least 12 % of the teachers should be 34 years of age.</w:t>
            </w:r>
          </w:p>
          <w:p w:rsidR="00C27724" w:rsidRPr="005B6074" w:rsidRDefault="00C27724" w:rsidP="00A511E7">
            <w:pPr>
              <w:spacing w:after="0" w:line="240" w:lineRule="auto"/>
              <w:ind w:hanging="8"/>
              <w:contextualSpacing/>
              <w:jc w:val="both"/>
              <w:rPr>
                <w:rFonts w:ascii="Verdana" w:hAnsi="Verdana"/>
                <w:b/>
                <w:bCs/>
                <w:sz w:val="16"/>
                <w:szCs w:val="16"/>
              </w:rPr>
            </w:pPr>
          </w:p>
          <w:p w:rsidR="00C27724" w:rsidRPr="005B6074" w:rsidRDefault="00C27724" w:rsidP="00A511E7">
            <w:pPr>
              <w:spacing w:after="0" w:line="240" w:lineRule="auto"/>
              <w:ind w:hanging="8"/>
              <w:contextualSpacing/>
              <w:jc w:val="both"/>
              <w:rPr>
                <w:rFonts w:ascii="Verdana" w:hAnsi="Verdana"/>
                <w:b/>
                <w:bCs/>
                <w:sz w:val="16"/>
                <w:szCs w:val="16"/>
              </w:rPr>
            </w:pPr>
          </w:p>
          <w:p w:rsidR="00C27724" w:rsidRPr="005B6074" w:rsidRDefault="00C27724" w:rsidP="00A511E7">
            <w:pPr>
              <w:spacing w:after="0" w:line="240" w:lineRule="auto"/>
              <w:ind w:hanging="8"/>
              <w:contextualSpacing/>
              <w:jc w:val="both"/>
              <w:rPr>
                <w:rFonts w:ascii="Verdana" w:hAnsi="Verdana"/>
                <w:b/>
                <w:bCs/>
                <w:sz w:val="16"/>
                <w:szCs w:val="16"/>
              </w:rPr>
            </w:pPr>
          </w:p>
          <w:p w:rsidR="00C27724" w:rsidRPr="005B6074" w:rsidRDefault="00C27724" w:rsidP="00A511E7">
            <w:pPr>
              <w:spacing w:after="0" w:line="240" w:lineRule="auto"/>
              <w:ind w:hanging="8"/>
              <w:contextualSpacing/>
              <w:jc w:val="both"/>
              <w:rPr>
                <w:rFonts w:ascii="Verdana" w:hAnsi="Verdana"/>
                <w:b/>
                <w:bCs/>
                <w:sz w:val="16"/>
                <w:szCs w:val="16"/>
              </w:rPr>
            </w:pPr>
          </w:p>
          <w:p w:rsidR="00C27724" w:rsidRPr="005B6074" w:rsidRDefault="00C27724" w:rsidP="00A511E7">
            <w:pPr>
              <w:spacing w:after="0" w:line="240" w:lineRule="auto"/>
              <w:ind w:hanging="8"/>
              <w:contextualSpacing/>
              <w:jc w:val="both"/>
              <w:rPr>
                <w:rFonts w:ascii="Verdana" w:hAnsi="Verdana"/>
                <w:b/>
                <w:bCs/>
                <w:sz w:val="16"/>
                <w:szCs w:val="16"/>
              </w:rPr>
            </w:pPr>
          </w:p>
          <w:p w:rsidR="00C27724" w:rsidRPr="005B6074" w:rsidRDefault="00C27724" w:rsidP="00A511E7">
            <w:pPr>
              <w:spacing w:after="0" w:line="240" w:lineRule="auto"/>
              <w:ind w:hanging="8"/>
              <w:contextualSpacing/>
              <w:jc w:val="both"/>
              <w:rPr>
                <w:rFonts w:ascii="Verdana" w:hAnsi="Verdana"/>
                <w:b/>
                <w:bCs/>
                <w:sz w:val="16"/>
                <w:szCs w:val="16"/>
              </w:rPr>
            </w:pPr>
          </w:p>
          <w:p w:rsidR="00C27724" w:rsidRPr="005B6074" w:rsidRDefault="00C27724" w:rsidP="00A511E7">
            <w:pPr>
              <w:tabs>
                <w:tab w:val="left" w:pos="318"/>
              </w:tabs>
              <w:spacing w:after="0" w:line="240" w:lineRule="auto"/>
              <w:contextualSpacing/>
              <w:rPr>
                <w:rFonts w:ascii="Verdana" w:hAnsi="Verdana"/>
                <w:bCs/>
                <w:sz w:val="16"/>
                <w:szCs w:val="16"/>
              </w:rPr>
            </w:pPr>
            <w:r w:rsidRPr="005B6074">
              <w:rPr>
                <w:rFonts w:ascii="Verdana" w:hAnsi="Verdana"/>
                <w:bCs/>
                <w:sz w:val="16"/>
                <w:szCs w:val="16"/>
              </w:rPr>
              <w:t>2) At least ….per cent of the students studying in pedagogical specialties</w:t>
            </w:r>
          </w:p>
          <w:p w:rsidR="00C27724" w:rsidRPr="005B6074" w:rsidRDefault="00C27724" w:rsidP="00A511E7">
            <w:pPr>
              <w:tabs>
                <w:tab w:val="left" w:pos="318"/>
              </w:tabs>
              <w:spacing w:after="0" w:line="240" w:lineRule="auto"/>
              <w:contextualSpacing/>
              <w:rPr>
                <w:rFonts w:ascii="Verdana" w:hAnsi="Verdana"/>
                <w:bCs/>
                <w:sz w:val="16"/>
                <w:szCs w:val="16"/>
              </w:rPr>
            </w:pPr>
          </w:p>
          <w:p w:rsidR="00C27724" w:rsidRPr="005B6074" w:rsidRDefault="00C27724" w:rsidP="00A511E7">
            <w:pPr>
              <w:tabs>
                <w:tab w:val="left" w:pos="318"/>
              </w:tabs>
              <w:spacing w:after="0" w:line="240" w:lineRule="auto"/>
              <w:contextualSpacing/>
              <w:rPr>
                <w:rFonts w:ascii="Verdana" w:hAnsi="Verdana"/>
                <w:bCs/>
                <w:sz w:val="16"/>
                <w:szCs w:val="16"/>
              </w:rPr>
            </w:pPr>
          </w:p>
          <w:p w:rsidR="00C27724" w:rsidRPr="005B6074" w:rsidRDefault="00C27724" w:rsidP="00A511E7">
            <w:pPr>
              <w:spacing w:after="0" w:line="240" w:lineRule="auto"/>
              <w:ind w:hanging="8"/>
              <w:contextualSpacing/>
              <w:jc w:val="both"/>
              <w:rPr>
                <w:rFonts w:ascii="Verdana" w:hAnsi="Verdana"/>
                <w:bCs/>
                <w:sz w:val="16"/>
                <w:szCs w:val="16"/>
              </w:rPr>
            </w:pPr>
            <w:r w:rsidRPr="005B6074">
              <w:rPr>
                <w:rFonts w:ascii="Verdana" w:hAnsi="Verdana"/>
                <w:bCs/>
                <w:sz w:val="16"/>
                <w:szCs w:val="16"/>
              </w:rPr>
              <w:t xml:space="preserve">3) At least …. % of persons awarded MA degree who continue in PhD programmes. </w:t>
            </w:r>
          </w:p>
          <w:p w:rsidR="00C27724" w:rsidRPr="005B6074" w:rsidRDefault="00C27724" w:rsidP="00A511E7">
            <w:pPr>
              <w:spacing w:after="0" w:line="240" w:lineRule="auto"/>
              <w:ind w:hanging="8"/>
              <w:contextualSpacing/>
              <w:jc w:val="both"/>
              <w:rPr>
                <w:rFonts w:ascii="Verdana" w:hAnsi="Verdana"/>
                <w:bCs/>
                <w:sz w:val="16"/>
                <w:szCs w:val="16"/>
              </w:rPr>
            </w:pPr>
          </w:p>
          <w:p w:rsidR="00C27724" w:rsidRPr="005B6074" w:rsidRDefault="00C27724" w:rsidP="00A511E7">
            <w:pPr>
              <w:spacing w:after="0" w:line="240" w:lineRule="auto"/>
              <w:ind w:hanging="8"/>
              <w:contextualSpacing/>
              <w:jc w:val="both"/>
              <w:rPr>
                <w:rFonts w:ascii="Verdana" w:hAnsi="Verdana"/>
                <w:bCs/>
                <w:sz w:val="16"/>
                <w:szCs w:val="16"/>
              </w:rPr>
            </w:pPr>
            <w:r w:rsidRPr="005B6074">
              <w:rPr>
                <w:rFonts w:ascii="Verdana" w:hAnsi="Verdana"/>
                <w:bCs/>
                <w:sz w:val="16"/>
                <w:szCs w:val="16"/>
              </w:rPr>
              <w:t xml:space="preserve">4) </w:t>
            </w:r>
            <w:r w:rsidRPr="005B6074">
              <w:rPr>
                <w:rFonts w:ascii="Verdana" w:hAnsi="Verdana"/>
                <w:sz w:val="16"/>
                <w:szCs w:val="16"/>
              </w:rPr>
              <w:t>The participants in mobility programmes who have improved qualification and have better realisation</w:t>
            </w:r>
          </w:p>
          <w:p w:rsidR="00C27724" w:rsidRPr="005B6074" w:rsidRDefault="00C27724" w:rsidP="00A511E7">
            <w:pPr>
              <w:spacing w:after="0" w:line="240" w:lineRule="auto"/>
              <w:ind w:hanging="8"/>
              <w:contextualSpacing/>
              <w:jc w:val="both"/>
              <w:rPr>
                <w:rFonts w:ascii="Verdana" w:hAnsi="Verdana"/>
                <w:bCs/>
                <w:sz w:val="16"/>
                <w:szCs w:val="16"/>
              </w:rPr>
            </w:pPr>
          </w:p>
          <w:p w:rsidR="00C27724" w:rsidRPr="005B6074" w:rsidRDefault="00C27724" w:rsidP="00A511E7">
            <w:pPr>
              <w:tabs>
                <w:tab w:val="left" w:pos="318"/>
              </w:tabs>
              <w:spacing w:after="0" w:line="240" w:lineRule="auto"/>
              <w:contextualSpacing/>
              <w:rPr>
                <w:rFonts w:ascii="Verdana" w:hAnsi="Verdana"/>
                <w:bCs/>
                <w:sz w:val="16"/>
                <w:szCs w:val="16"/>
              </w:rPr>
            </w:pPr>
          </w:p>
          <w:p w:rsidR="00C27724" w:rsidRPr="005B6074" w:rsidRDefault="00C27724" w:rsidP="00A511E7">
            <w:pPr>
              <w:pStyle w:val="Default"/>
              <w:jc w:val="both"/>
              <w:rPr>
                <w:rFonts w:ascii="Verdana" w:hAnsi="Verdana"/>
                <w:color w:val="auto"/>
                <w:sz w:val="16"/>
                <w:szCs w:val="16"/>
              </w:rPr>
            </w:pPr>
          </w:p>
        </w:tc>
        <w:tc>
          <w:tcPr>
            <w:tcW w:w="2104" w:type="dxa"/>
            <w:shd w:val="clear" w:color="auto" w:fill="auto"/>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The indicator is relevant, but it is not directly associated with the specific objective.</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The relation between activities/specific objective/indicator is hard to track. The indicator may be substituted with another indicator recording the PhD students in pedagogical sciences.</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3) The indicator is relevant.</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(4) The indicator is relevant.</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tc>
        <w:tc>
          <w:tcPr>
            <w:tcW w:w="2080" w:type="dxa"/>
            <w:shd w:val="clear" w:color="auto" w:fill="auto"/>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The indicator is clear. (</w:t>
            </w:r>
            <w:proofErr w:type="gramStart"/>
            <w:r w:rsidRPr="005B6074">
              <w:rPr>
                <w:rFonts w:ascii="Verdana" w:hAnsi="Verdana"/>
                <w:bCs/>
                <w:color w:val="000000"/>
                <w:sz w:val="16"/>
                <w:szCs w:val="16"/>
              </w:rPr>
              <w:t>it</w:t>
            </w:r>
            <w:proofErr w:type="gramEnd"/>
            <w:r w:rsidRPr="005B6074">
              <w:rPr>
                <w:rFonts w:ascii="Verdana" w:hAnsi="Verdana"/>
                <w:bCs/>
                <w:color w:val="000000"/>
                <w:sz w:val="16"/>
                <w:szCs w:val="16"/>
              </w:rPr>
              <w:t xml:space="preserve"> should be specified whether by pointing 34-year olds, </w:t>
            </w:r>
            <w:r w:rsidRPr="005B6074">
              <w:rPr>
                <w:rFonts w:ascii="Verdana" w:hAnsi="Verdana"/>
                <w:bCs/>
                <w:color w:val="000000"/>
                <w:sz w:val="16"/>
                <w:szCs w:val="16"/>
              </w:rPr>
              <w:lastRenderedPageBreak/>
              <w:t>this means inclusively).</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3) The indicator is clear.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4) It should be clarified what “increased qualification, skills and better realization” mean.</w:t>
            </w:r>
          </w:p>
        </w:tc>
      </w:tr>
      <w:tr w:rsidR="00C27724" w:rsidRPr="005B6074" w:rsidTr="00A511E7">
        <w:tc>
          <w:tcPr>
            <w:tcW w:w="1843" w:type="dxa"/>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lastRenderedPageBreak/>
              <w:t xml:space="preserve">Rendering support for the continuing education and creating conditions </w:t>
            </w:r>
            <w:r w:rsidRPr="005B6074">
              <w:rPr>
                <w:rFonts w:ascii="Verdana" w:hAnsi="Verdana"/>
                <w:sz w:val="16"/>
                <w:szCs w:val="16"/>
              </w:rPr>
              <w:lastRenderedPageBreak/>
              <w:t>for acquiring and building on knowledge, skills and competences.</w:t>
            </w:r>
          </w:p>
        </w:tc>
        <w:tc>
          <w:tcPr>
            <w:tcW w:w="2299" w:type="dxa"/>
          </w:tcPr>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lastRenderedPageBreak/>
              <w:t>1) Number of persons in the age bracket 25-64 years, who participate in lifelong learning.</w:t>
            </w:r>
          </w:p>
          <w:p w:rsidR="00C27724" w:rsidRPr="005B6074" w:rsidRDefault="00C27724" w:rsidP="00A511E7">
            <w:pPr>
              <w:pStyle w:val="Default"/>
              <w:jc w:val="both"/>
              <w:rPr>
                <w:rFonts w:ascii="Verdana" w:hAnsi="Verdana"/>
                <w:b/>
                <w:bCs/>
                <w:color w:val="auto"/>
                <w:sz w:val="16"/>
                <w:szCs w:val="16"/>
              </w:rPr>
            </w:pPr>
          </w:p>
          <w:p w:rsidR="00C27724" w:rsidRPr="005B6074" w:rsidRDefault="00C27724" w:rsidP="00A511E7">
            <w:pPr>
              <w:pStyle w:val="Default"/>
              <w:jc w:val="both"/>
              <w:rPr>
                <w:rFonts w:ascii="Verdana" w:hAnsi="Verdana"/>
                <w:b/>
                <w:bCs/>
                <w:color w:val="auto"/>
                <w:sz w:val="16"/>
                <w:szCs w:val="16"/>
              </w:rPr>
            </w:pPr>
          </w:p>
          <w:p w:rsidR="00C27724" w:rsidRPr="005B6074" w:rsidRDefault="00C27724" w:rsidP="00A511E7">
            <w:pPr>
              <w:pStyle w:val="Default"/>
              <w:jc w:val="both"/>
              <w:rPr>
                <w:rFonts w:ascii="Verdana" w:hAnsi="Verdana"/>
                <w:b/>
                <w:bCs/>
                <w:color w:val="auto"/>
                <w:sz w:val="16"/>
                <w:szCs w:val="16"/>
              </w:rPr>
            </w:pPr>
          </w:p>
          <w:p w:rsidR="00C27724" w:rsidRPr="005B6074" w:rsidRDefault="00C27724" w:rsidP="00A511E7">
            <w:pPr>
              <w:pStyle w:val="Default"/>
              <w:jc w:val="both"/>
              <w:rPr>
                <w:rFonts w:ascii="Verdana" w:hAnsi="Verdana"/>
                <w:b/>
                <w:bCs/>
                <w:color w:val="auto"/>
                <w:sz w:val="16"/>
                <w:szCs w:val="16"/>
              </w:rPr>
            </w:pPr>
          </w:p>
          <w:p w:rsidR="00C27724" w:rsidRPr="005B6074" w:rsidRDefault="00C27724" w:rsidP="00A511E7">
            <w:pPr>
              <w:pStyle w:val="Default"/>
              <w:jc w:val="both"/>
              <w:rPr>
                <w:rFonts w:ascii="Verdana" w:hAnsi="Verdana"/>
                <w:b/>
                <w:bCs/>
                <w:color w:val="auto"/>
                <w:sz w:val="16"/>
                <w:szCs w:val="16"/>
              </w:rPr>
            </w:pPr>
          </w:p>
          <w:p w:rsidR="00C27724" w:rsidRPr="005B6074" w:rsidRDefault="00C27724" w:rsidP="00A511E7">
            <w:pPr>
              <w:pStyle w:val="Default"/>
              <w:jc w:val="both"/>
              <w:rPr>
                <w:rFonts w:ascii="Verdana" w:hAnsi="Verdana"/>
                <w:b/>
                <w:bCs/>
                <w:color w:val="auto"/>
                <w:sz w:val="16"/>
                <w:szCs w:val="16"/>
              </w:rPr>
            </w:pPr>
          </w:p>
          <w:p w:rsidR="00C27724" w:rsidRPr="005B6074" w:rsidRDefault="00C27724" w:rsidP="00A511E7">
            <w:pPr>
              <w:pStyle w:val="Default"/>
              <w:jc w:val="both"/>
              <w:rPr>
                <w:rFonts w:ascii="Verdana" w:hAnsi="Verdana"/>
                <w:bCs/>
                <w:color w:val="auto"/>
                <w:sz w:val="16"/>
                <w:szCs w:val="16"/>
              </w:rPr>
            </w:pPr>
          </w:p>
          <w:p w:rsidR="00C27724" w:rsidRPr="005B6074" w:rsidRDefault="00C27724" w:rsidP="00A511E7">
            <w:pPr>
              <w:pStyle w:val="Default"/>
              <w:jc w:val="both"/>
              <w:rPr>
                <w:rFonts w:ascii="Verdana" w:hAnsi="Verdana"/>
                <w:bCs/>
                <w:color w:val="auto"/>
                <w:sz w:val="16"/>
                <w:szCs w:val="16"/>
              </w:rPr>
            </w:pPr>
          </w:p>
          <w:p w:rsidR="00C27724" w:rsidRPr="005B6074" w:rsidRDefault="00C27724" w:rsidP="00A511E7">
            <w:pPr>
              <w:pStyle w:val="Default"/>
              <w:jc w:val="both"/>
              <w:rPr>
                <w:rFonts w:ascii="Verdana" w:hAnsi="Verdana"/>
                <w:bCs/>
                <w:color w:val="auto"/>
                <w:sz w:val="16"/>
                <w:szCs w:val="16"/>
              </w:rPr>
            </w:pPr>
            <w:r w:rsidRPr="005B6074">
              <w:rPr>
                <w:rFonts w:ascii="Verdana" w:hAnsi="Verdana"/>
                <w:bCs/>
                <w:color w:val="auto"/>
                <w:sz w:val="16"/>
                <w:szCs w:val="16"/>
              </w:rPr>
              <w:t>2) Vouchers for validation of knowledge and skills acquired through informal and non-formal education awarded to at least 20 000 persons.</w:t>
            </w:r>
            <w:r w:rsidRPr="005B6074">
              <w:rPr>
                <w:rFonts w:ascii="Verdana" w:hAnsi="Verdana"/>
                <w:bCs/>
                <w:sz w:val="16"/>
                <w:szCs w:val="16"/>
              </w:rPr>
              <w:t xml:space="preserve">  </w:t>
            </w:r>
          </w:p>
          <w:p w:rsidR="00C27724" w:rsidRPr="005B6074" w:rsidRDefault="00C27724" w:rsidP="00A511E7">
            <w:pPr>
              <w:pStyle w:val="Default"/>
              <w:jc w:val="both"/>
              <w:rPr>
                <w:rFonts w:ascii="Verdana" w:hAnsi="Verdana"/>
                <w:color w:val="auto"/>
                <w:sz w:val="16"/>
                <w:szCs w:val="16"/>
              </w:rPr>
            </w:pPr>
          </w:p>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t>3) Number of high school and university students covered by the system of carrier orientation.</w:t>
            </w:r>
          </w:p>
        </w:tc>
        <w:tc>
          <w:tcPr>
            <w:tcW w:w="2092"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lastRenderedPageBreak/>
              <w:t xml:space="preserve">1) The indicator is too broad and is not the product only of the activities under </w:t>
            </w:r>
            <w:r w:rsidR="005B35A7">
              <w:rPr>
                <w:rFonts w:ascii="Verdana" w:hAnsi="Verdana"/>
                <w:bCs/>
                <w:color w:val="000000"/>
                <w:sz w:val="16"/>
                <w:szCs w:val="16"/>
              </w:rPr>
              <w:lastRenderedPageBreak/>
              <w:t>OPSESG</w:t>
            </w:r>
            <w:r w:rsidRPr="005B6074">
              <w:rPr>
                <w:rFonts w:ascii="Verdana" w:hAnsi="Verdana"/>
                <w:bCs/>
                <w:color w:val="000000"/>
                <w:sz w:val="16"/>
                <w:szCs w:val="16"/>
              </w:rPr>
              <w:t>. If data is av</w:t>
            </w:r>
            <w:r w:rsidR="00C72578">
              <w:rPr>
                <w:rFonts w:ascii="Verdana" w:hAnsi="Verdana"/>
                <w:bCs/>
                <w:color w:val="000000"/>
                <w:sz w:val="16"/>
                <w:szCs w:val="16"/>
              </w:rPr>
              <w:t xml:space="preserve">ailable, it could be used as a result </w:t>
            </w:r>
            <w:r w:rsidRPr="005B6074">
              <w:rPr>
                <w:rFonts w:ascii="Verdana" w:hAnsi="Verdana"/>
                <w:bCs/>
                <w:color w:val="000000"/>
                <w:sz w:val="16"/>
                <w:szCs w:val="16"/>
              </w:rPr>
              <w:t>indicator.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The indicator is too specific and is not directly connected with the foreseen activities.</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C72578">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3) Depending on the scope of activities, this indicator could be a</w:t>
            </w:r>
            <w:r w:rsidR="00C72578">
              <w:rPr>
                <w:rFonts w:ascii="Verdana" w:hAnsi="Verdana"/>
                <w:bCs/>
                <w:color w:val="000000"/>
                <w:sz w:val="16"/>
                <w:szCs w:val="16"/>
              </w:rPr>
              <w:t xml:space="preserve"> result</w:t>
            </w:r>
            <w:r w:rsidRPr="005B6074">
              <w:rPr>
                <w:rFonts w:ascii="Verdana" w:hAnsi="Verdana"/>
                <w:bCs/>
                <w:color w:val="000000"/>
                <w:sz w:val="16"/>
                <w:szCs w:val="16"/>
              </w:rPr>
              <w:t xml:space="preserve"> indicator.</w:t>
            </w:r>
          </w:p>
        </w:tc>
        <w:tc>
          <w:tcPr>
            <w:tcW w:w="2216"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lastRenderedPageBreak/>
              <w:t>1) The scope of the indicator is too broad.</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It should be specified whether there will be any age limits for the voucher schemes.</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3) It should be explained what “covered” means</w:t>
            </w:r>
            <w:proofErr w:type="gramStart"/>
            <w:r w:rsidRPr="005B6074">
              <w:rPr>
                <w:rFonts w:ascii="Verdana" w:hAnsi="Verdana"/>
                <w:bCs/>
                <w:color w:val="000000"/>
                <w:sz w:val="16"/>
                <w:szCs w:val="16"/>
              </w:rPr>
              <w:t>.“</w:t>
            </w:r>
            <w:proofErr w:type="gramEnd"/>
          </w:p>
        </w:tc>
        <w:tc>
          <w:tcPr>
            <w:tcW w:w="2250" w:type="dxa"/>
          </w:tcPr>
          <w:p w:rsidR="00C27724" w:rsidRPr="005B6074" w:rsidRDefault="00C27724" w:rsidP="00A511E7">
            <w:pPr>
              <w:pStyle w:val="CommentText"/>
              <w:spacing w:after="0" w:line="240" w:lineRule="auto"/>
              <w:rPr>
                <w:rFonts w:ascii="Verdana" w:hAnsi="Verdana"/>
                <w:sz w:val="16"/>
                <w:szCs w:val="16"/>
              </w:rPr>
            </w:pPr>
            <w:r w:rsidRPr="005B6074">
              <w:rPr>
                <w:rFonts w:ascii="Verdana" w:hAnsi="Verdana"/>
                <w:sz w:val="16"/>
                <w:szCs w:val="16"/>
              </w:rPr>
              <w:lastRenderedPageBreak/>
              <w:t xml:space="preserve">1) The share of illiterate persons reduced to 1.5% in the age group 15-29 years. </w:t>
            </w:r>
          </w:p>
          <w:p w:rsidR="00C27724" w:rsidRPr="005B6074" w:rsidRDefault="00C27724" w:rsidP="00A511E7">
            <w:pPr>
              <w:pStyle w:val="CommentText"/>
              <w:spacing w:after="0" w:line="240" w:lineRule="auto"/>
              <w:rPr>
                <w:rFonts w:ascii="Verdana" w:hAnsi="Verdana"/>
                <w:sz w:val="16"/>
                <w:szCs w:val="16"/>
              </w:rPr>
            </w:pPr>
          </w:p>
          <w:p w:rsidR="00C27724" w:rsidRPr="005B6074" w:rsidRDefault="00C27724" w:rsidP="00A511E7">
            <w:pPr>
              <w:pStyle w:val="CommentText"/>
              <w:spacing w:after="0" w:line="240" w:lineRule="auto"/>
              <w:rPr>
                <w:rFonts w:ascii="Verdana" w:hAnsi="Verdana"/>
                <w:sz w:val="16"/>
                <w:szCs w:val="16"/>
              </w:rPr>
            </w:pPr>
          </w:p>
          <w:p w:rsidR="00C27724" w:rsidRPr="005B6074" w:rsidRDefault="00C27724" w:rsidP="00A511E7">
            <w:pPr>
              <w:pStyle w:val="CommentText"/>
              <w:spacing w:after="0" w:line="240" w:lineRule="auto"/>
              <w:rPr>
                <w:rFonts w:ascii="Verdana" w:hAnsi="Verdana"/>
                <w:sz w:val="16"/>
                <w:szCs w:val="16"/>
              </w:rPr>
            </w:pPr>
          </w:p>
          <w:p w:rsidR="00C27724" w:rsidRPr="005B6074" w:rsidRDefault="00C27724" w:rsidP="00A511E7">
            <w:pPr>
              <w:pStyle w:val="CommentText"/>
              <w:spacing w:after="0" w:line="240" w:lineRule="auto"/>
              <w:rPr>
                <w:rFonts w:ascii="Verdana" w:hAnsi="Verdana"/>
                <w:sz w:val="16"/>
                <w:szCs w:val="16"/>
              </w:rPr>
            </w:pPr>
          </w:p>
          <w:p w:rsidR="00C27724" w:rsidRPr="005B6074" w:rsidRDefault="00C27724" w:rsidP="00A511E7">
            <w:pPr>
              <w:pStyle w:val="CommentText"/>
              <w:spacing w:after="0" w:line="240" w:lineRule="auto"/>
              <w:rPr>
                <w:rFonts w:ascii="Verdana" w:hAnsi="Verdana"/>
                <w:sz w:val="16"/>
                <w:szCs w:val="16"/>
              </w:rPr>
            </w:pPr>
          </w:p>
          <w:p w:rsidR="00C27724" w:rsidRPr="005B6074" w:rsidRDefault="00C27724" w:rsidP="00A511E7">
            <w:pPr>
              <w:pStyle w:val="CommentText"/>
              <w:spacing w:after="0" w:line="240" w:lineRule="auto"/>
              <w:rPr>
                <w:rFonts w:ascii="Verdana" w:hAnsi="Verdana"/>
                <w:sz w:val="16"/>
                <w:szCs w:val="16"/>
              </w:rPr>
            </w:pPr>
          </w:p>
          <w:p w:rsidR="00C27724" w:rsidRPr="005B6074" w:rsidRDefault="00C27724" w:rsidP="00A511E7">
            <w:pPr>
              <w:pStyle w:val="CommentText"/>
              <w:spacing w:after="0" w:line="240" w:lineRule="auto"/>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r w:rsidRPr="005B6074">
              <w:rPr>
                <w:rFonts w:ascii="Verdana" w:hAnsi="Verdana"/>
                <w:bCs/>
                <w:color w:val="000000"/>
                <w:sz w:val="16"/>
                <w:szCs w:val="16"/>
              </w:rPr>
              <w:t>2) At least 2500 persons with validated knowledge and skills from non-formal and informal education.</w:t>
            </w:r>
          </w:p>
        </w:tc>
        <w:tc>
          <w:tcPr>
            <w:tcW w:w="2104"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lastRenderedPageBreak/>
              <w:t xml:space="preserve">1) It is recommended to drop out this indicator because it is not bound with the </w:t>
            </w:r>
            <w:r w:rsidRPr="005B6074">
              <w:rPr>
                <w:rFonts w:ascii="Verdana" w:hAnsi="Verdana"/>
                <w:bCs/>
                <w:color w:val="000000"/>
                <w:sz w:val="16"/>
                <w:szCs w:val="16"/>
              </w:rPr>
              <w:lastRenderedPageBreak/>
              <w:t>specific objective and the activities.</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The indicator is relevant.</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tc>
        <w:tc>
          <w:tcPr>
            <w:tcW w:w="2080"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lastRenderedPageBreak/>
              <w:t>1) –</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It should be specified whether there will be any age limits for the voucher schemes.</w:t>
            </w:r>
          </w:p>
        </w:tc>
      </w:tr>
      <w:tr w:rsidR="00C27724" w:rsidRPr="005B6074" w:rsidTr="00A511E7">
        <w:tc>
          <w:tcPr>
            <w:tcW w:w="1843" w:type="dxa"/>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lastRenderedPageBreak/>
              <w:t>Raising the attractiveness and improving the quality of vocational education and training.</w:t>
            </w:r>
          </w:p>
        </w:tc>
        <w:tc>
          <w:tcPr>
            <w:tcW w:w="2299" w:type="dxa"/>
          </w:tcPr>
          <w:p w:rsidR="00C27724" w:rsidRPr="005B6074" w:rsidRDefault="00C27724" w:rsidP="00A511E7">
            <w:pPr>
              <w:pStyle w:val="Default"/>
              <w:jc w:val="both"/>
              <w:rPr>
                <w:rFonts w:ascii="Verdana" w:hAnsi="Verdana"/>
                <w:color w:val="auto"/>
                <w:sz w:val="16"/>
                <w:szCs w:val="16"/>
              </w:rPr>
            </w:pPr>
            <w:r w:rsidRPr="005B6074">
              <w:rPr>
                <w:rFonts w:ascii="Verdana" w:hAnsi="Verdana"/>
                <w:color w:val="auto"/>
                <w:sz w:val="16"/>
                <w:szCs w:val="16"/>
              </w:rPr>
              <w:t>Number of students participating in flexible forms of vocational education.</w:t>
            </w:r>
          </w:p>
        </w:tc>
        <w:tc>
          <w:tcPr>
            <w:tcW w:w="2092"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is relevant</w:t>
            </w:r>
          </w:p>
        </w:tc>
        <w:tc>
          <w:tcPr>
            <w:tcW w:w="2216"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It is should be clarified hat “flexible forms of education” mean.</w:t>
            </w:r>
          </w:p>
        </w:tc>
        <w:tc>
          <w:tcPr>
            <w:tcW w:w="2250" w:type="dxa"/>
          </w:tcPr>
          <w:p w:rsidR="00C27724" w:rsidRPr="005B6074" w:rsidRDefault="00C27724" w:rsidP="00A511E7">
            <w:pPr>
              <w:pStyle w:val="CommentText"/>
              <w:spacing w:after="0" w:line="240" w:lineRule="auto"/>
              <w:rPr>
                <w:rFonts w:ascii="Verdana" w:hAnsi="Verdana"/>
                <w:sz w:val="16"/>
                <w:szCs w:val="16"/>
              </w:rPr>
            </w:pPr>
            <w:r w:rsidRPr="005B6074">
              <w:rPr>
                <w:rFonts w:ascii="Verdana" w:hAnsi="Verdana"/>
                <w:sz w:val="16"/>
                <w:szCs w:val="16"/>
              </w:rPr>
              <w:t>Share of persons graduating from vocational high schools who have started exercising the respective profession during the first year after graduating.</w:t>
            </w:r>
          </w:p>
        </w:tc>
        <w:tc>
          <w:tcPr>
            <w:tcW w:w="2104"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relevant</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 xml:space="preserve">. </w:t>
            </w:r>
          </w:p>
        </w:tc>
        <w:tc>
          <w:tcPr>
            <w:tcW w:w="2080"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is clear</w:t>
            </w:r>
          </w:p>
        </w:tc>
      </w:tr>
      <w:tr w:rsidR="00C27724" w:rsidRPr="005B6074" w:rsidTr="00A511E7">
        <w:tc>
          <w:tcPr>
            <w:tcW w:w="1843" w:type="dxa"/>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Promoting cooperation between professional education and training and higher education, science and business.</w:t>
            </w:r>
          </w:p>
          <w:p w:rsidR="002F4E2B" w:rsidRPr="005B6074" w:rsidRDefault="002F4E2B" w:rsidP="00A511E7">
            <w:pPr>
              <w:autoSpaceDE w:val="0"/>
              <w:autoSpaceDN w:val="0"/>
              <w:adjustRightInd w:val="0"/>
              <w:spacing w:after="0" w:line="240" w:lineRule="auto"/>
              <w:jc w:val="both"/>
              <w:rPr>
                <w:rFonts w:ascii="Verdana" w:hAnsi="Verdana"/>
                <w:sz w:val="16"/>
                <w:szCs w:val="16"/>
              </w:rPr>
            </w:pPr>
          </w:p>
        </w:tc>
        <w:tc>
          <w:tcPr>
            <w:tcW w:w="2299" w:type="dxa"/>
          </w:tcPr>
          <w:p w:rsidR="00C27724" w:rsidRPr="005B6074" w:rsidRDefault="00C27724" w:rsidP="00A511E7">
            <w:pPr>
              <w:pStyle w:val="Default"/>
              <w:jc w:val="both"/>
              <w:rPr>
                <w:rFonts w:ascii="Verdana" w:hAnsi="Verdana"/>
                <w:color w:val="auto"/>
                <w:sz w:val="16"/>
                <w:szCs w:val="16"/>
              </w:rPr>
            </w:pPr>
            <w:r w:rsidRPr="005B6074">
              <w:rPr>
                <w:rFonts w:ascii="Verdana" w:hAnsi="Verdana"/>
                <w:bCs/>
                <w:color w:val="auto"/>
                <w:sz w:val="16"/>
                <w:szCs w:val="16"/>
              </w:rPr>
              <w:t>Number of students studying technical specialties.</w:t>
            </w:r>
          </w:p>
        </w:tc>
        <w:tc>
          <w:tcPr>
            <w:tcW w:w="2092"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is relevant</w:t>
            </w:r>
          </w:p>
        </w:tc>
        <w:tc>
          <w:tcPr>
            <w:tcW w:w="2216"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is clear</w:t>
            </w:r>
          </w:p>
        </w:tc>
        <w:tc>
          <w:tcPr>
            <w:tcW w:w="2250" w:type="dxa"/>
          </w:tcPr>
          <w:p w:rsidR="00C27724" w:rsidRPr="005B6074" w:rsidRDefault="00C27724" w:rsidP="00845752">
            <w:pPr>
              <w:pStyle w:val="CommentText"/>
              <w:spacing w:after="0" w:line="240" w:lineRule="auto"/>
              <w:rPr>
                <w:rFonts w:ascii="Verdana" w:hAnsi="Verdana"/>
                <w:sz w:val="16"/>
                <w:szCs w:val="16"/>
              </w:rPr>
            </w:pPr>
            <w:r w:rsidRPr="005B6074">
              <w:rPr>
                <w:rFonts w:ascii="Verdana" w:hAnsi="Verdana"/>
                <w:sz w:val="16"/>
                <w:szCs w:val="16"/>
              </w:rPr>
              <w:t>A</w:t>
            </w:r>
            <w:r w:rsidR="00845752">
              <w:rPr>
                <w:rFonts w:ascii="Verdana" w:hAnsi="Verdana"/>
                <w:sz w:val="16"/>
                <w:szCs w:val="16"/>
              </w:rPr>
              <w:t xml:space="preserve"> result</w:t>
            </w:r>
            <w:r w:rsidRPr="005B6074">
              <w:rPr>
                <w:rFonts w:ascii="Verdana" w:hAnsi="Verdana"/>
                <w:sz w:val="16"/>
                <w:szCs w:val="16"/>
              </w:rPr>
              <w:t xml:space="preserve"> indicator is not specified.</w:t>
            </w:r>
          </w:p>
        </w:tc>
        <w:tc>
          <w:tcPr>
            <w:tcW w:w="2104"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tc>
        <w:tc>
          <w:tcPr>
            <w:tcW w:w="2080"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tc>
      </w:tr>
      <w:tr w:rsidR="00C27724" w:rsidRPr="005B6074" w:rsidTr="00A511E7">
        <w:tc>
          <w:tcPr>
            <w:tcW w:w="14884" w:type="dxa"/>
            <w:gridSpan w:val="7"/>
          </w:tcPr>
          <w:p w:rsidR="00C27724" w:rsidRPr="005B6074" w:rsidRDefault="00C27724" w:rsidP="003753FE">
            <w:pPr>
              <w:keepNext/>
              <w:widowControl w:val="0"/>
              <w:tabs>
                <w:tab w:val="left" w:pos="0"/>
                <w:tab w:val="right" w:pos="9214"/>
              </w:tabs>
              <w:spacing w:after="0" w:line="240" w:lineRule="auto"/>
              <w:jc w:val="both"/>
              <w:rPr>
                <w:rFonts w:ascii="Verdana" w:hAnsi="Verdana"/>
                <w:b/>
                <w:bCs/>
                <w:color w:val="000000"/>
                <w:sz w:val="16"/>
                <w:szCs w:val="16"/>
              </w:rPr>
            </w:pPr>
            <w:r w:rsidRPr="005B6074">
              <w:rPr>
                <w:rFonts w:ascii="Verdana" w:hAnsi="Verdana"/>
                <w:b/>
                <w:sz w:val="16"/>
                <w:szCs w:val="16"/>
              </w:rPr>
              <w:lastRenderedPageBreak/>
              <w:t xml:space="preserve">3. Educational environment for active social inclusion </w:t>
            </w:r>
          </w:p>
        </w:tc>
      </w:tr>
      <w:tr w:rsidR="00C27724" w:rsidRPr="005B6074" w:rsidTr="00A511E7">
        <w:tc>
          <w:tcPr>
            <w:tcW w:w="1843" w:type="dxa"/>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Raising the quality and improving the access to education by creating supportive environment for inclusive education.</w:t>
            </w:r>
          </w:p>
        </w:tc>
        <w:tc>
          <w:tcPr>
            <w:tcW w:w="2299" w:type="dxa"/>
          </w:tcPr>
          <w:p w:rsidR="00C27724" w:rsidRPr="005B6074" w:rsidRDefault="00C27724" w:rsidP="00A511E7">
            <w:pPr>
              <w:pStyle w:val="Default"/>
              <w:jc w:val="both"/>
              <w:rPr>
                <w:rFonts w:ascii="Verdana" w:hAnsi="Verdana"/>
                <w:iCs/>
                <w:color w:val="auto"/>
                <w:sz w:val="16"/>
                <w:szCs w:val="16"/>
              </w:rPr>
            </w:pPr>
            <w:r w:rsidRPr="005B6074">
              <w:rPr>
                <w:rFonts w:ascii="Verdana" w:hAnsi="Verdana"/>
                <w:iCs/>
                <w:color w:val="auto"/>
                <w:sz w:val="16"/>
                <w:szCs w:val="16"/>
              </w:rPr>
              <w:t>1) Children and students with special educational needs covered by the system of inclusive education.</w:t>
            </w:r>
          </w:p>
          <w:p w:rsidR="00C27724" w:rsidRPr="005B6074" w:rsidRDefault="00C27724" w:rsidP="00A511E7">
            <w:pPr>
              <w:pStyle w:val="Default"/>
              <w:jc w:val="both"/>
              <w:rPr>
                <w:rFonts w:ascii="Verdana" w:hAnsi="Verdana"/>
                <w:iCs/>
                <w:color w:val="auto"/>
                <w:sz w:val="16"/>
                <w:szCs w:val="16"/>
              </w:rPr>
            </w:pPr>
          </w:p>
          <w:p w:rsidR="00C27724" w:rsidRPr="005B6074" w:rsidRDefault="00C27724" w:rsidP="00A511E7">
            <w:pPr>
              <w:pStyle w:val="Default"/>
              <w:jc w:val="both"/>
              <w:rPr>
                <w:rFonts w:ascii="Verdana" w:hAnsi="Verdana"/>
                <w:iCs/>
                <w:color w:val="auto"/>
                <w:sz w:val="16"/>
                <w:szCs w:val="16"/>
              </w:rPr>
            </w:pPr>
            <w:r w:rsidRPr="005B6074">
              <w:rPr>
                <w:rFonts w:ascii="Verdana" w:hAnsi="Verdana"/>
                <w:iCs/>
                <w:color w:val="auto"/>
                <w:sz w:val="16"/>
                <w:szCs w:val="16"/>
              </w:rPr>
              <w:t>2) Number of educational institutions which have ensured supportive environment for inclusive education.</w:t>
            </w:r>
          </w:p>
          <w:p w:rsidR="00C27724" w:rsidRPr="005B6074" w:rsidRDefault="00C27724" w:rsidP="00A511E7">
            <w:pPr>
              <w:pStyle w:val="Default"/>
              <w:jc w:val="both"/>
              <w:rPr>
                <w:rFonts w:ascii="Verdana" w:hAnsi="Verdana"/>
                <w:bCs/>
                <w:color w:val="auto"/>
                <w:sz w:val="16"/>
                <w:szCs w:val="16"/>
              </w:rPr>
            </w:pPr>
          </w:p>
        </w:tc>
        <w:tc>
          <w:tcPr>
            <w:tcW w:w="2092"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 xml:space="preserve">1) The indicator is relevant, but it has the character of a </w:t>
            </w:r>
            <w:r w:rsidR="00C72578">
              <w:rPr>
                <w:rFonts w:ascii="Verdana" w:hAnsi="Verdana"/>
                <w:bCs/>
                <w:color w:val="000000"/>
                <w:sz w:val="16"/>
                <w:szCs w:val="16"/>
              </w:rPr>
              <w:t>result</w:t>
            </w:r>
            <w:r w:rsidRPr="005B6074">
              <w:rPr>
                <w:rFonts w:ascii="Verdana" w:hAnsi="Verdana"/>
                <w:bCs/>
                <w:color w:val="000000"/>
                <w:sz w:val="16"/>
                <w:szCs w:val="16"/>
              </w:rPr>
              <w:t xml:space="preserve"> indicator rather.</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The indicator is relevant</w:t>
            </w:r>
          </w:p>
        </w:tc>
        <w:tc>
          <w:tcPr>
            <w:tcW w:w="2216"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It should be clarified what “inclusive education” means.</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2) It should be specified what “inclusive education” means</w:t>
            </w:r>
          </w:p>
        </w:tc>
        <w:tc>
          <w:tcPr>
            <w:tcW w:w="2250" w:type="dxa"/>
          </w:tcPr>
          <w:p w:rsidR="00C27724" w:rsidRPr="005B6074" w:rsidRDefault="00C27724" w:rsidP="00A511E7">
            <w:pPr>
              <w:pStyle w:val="CommentText"/>
              <w:spacing w:after="0" w:line="240" w:lineRule="auto"/>
              <w:rPr>
                <w:rFonts w:ascii="Verdana" w:hAnsi="Verdana"/>
                <w:sz w:val="16"/>
                <w:szCs w:val="16"/>
              </w:rPr>
            </w:pPr>
            <w:r w:rsidRPr="005B6074">
              <w:rPr>
                <w:rFonts w:ascii="Verdana" w:hAnsi="Verdana"/>
                <w:sz w:val="16"/>
                <w:szCs w:val="16"/>
              </w:rPr>
              <w:t>At least 25% of all children with special educational needs in the system of public education are involved in the process of inclusive education.</w:t>
            </w:r>
          </w:p>
        </w:tc>
        <w:tc>
          <w:tcPr>
            <w:tcW w:w="2104"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is relevant.</w:t>
            </w:r>
          </w:p>
        </w:tc>
        <w:tc>
          <w:tcPr>
            <w:tcW w:w="2080" w:type="dxa"/>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It should be clarified what “covered by the process of inclusive education” means.</w:t>
            </w:r>
          </w:p>
        </w:tc>
      </w:tr>
      <w:tr w:rsidR="00C27724" w:rsidRPr="005B6074" w:rsidTr="00A511E7">
        <w:tc>
          <w:tcPr>
            <w:tcW w:w="1843" w:type="dxa"/>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Building an educational system, which encourages the realization of the potential of every child and student for personal development, successful realization and socialization.</w:t>
            </w:r>
          </w:p>
        </w:tc>
        <w:tc>
          <w:tcPr>
            <w:tcW w:w="2299" w:type="dxa"/>
          </w:tcPr>
          <w:p w:rsidR="00C27724" w:rsidRPr="005B6074" w:rsidRDefault="00C27724" w:rsidP="00A511E7">
            <w:pPr>
              <w:pStyle w:val="Default"/>
              <w:jc w:val="both"/>
              <w:rPr>
                <w:rFonts w:ascii="Verdana" w:hAnsi="Verdana"/>
                <w:iCs/>
                <w:color w:val="auto"/>
                <w:sz w:val="16"/>
                <w:szCs w:val="16"/>
              </w:rPr>
            </w:pPr>
            <w:r w:rsidRPr="005B6074">
              <w:rPr>
                <w:rFonts w:ascii="Verdana" w:hAnsi="Verdana"/>
                <w:bCs/>
                <w:color w:val="auto"/>
                <w:sz w:val="16"/>
                <w:szCs w:val="16"/>
              </w:rPr>
              <w:t>Number of children and students included in extracurricular and out-of-school activities.</w:t>
            </w:r>
          </w:p>
        </w:tc>
        <w:tc>
          <w:tcPr>
            <w:tcW w:w="2092" w:type="dxa"/>
          </w:tcPr>
          <w:p w:rsidR="00C27724" w:rsidRPr="005B6074" w:rsidRDefault="00C27724" w:rsidP="00C72578">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is relevant, but depending on the assistance, it has the character of a</w:t>
            </w:r>
            <w:r w:rsidR="00C72578">
              <w:rPr>
                <w:rFonts w:ascii="Verdana" w:hAnsi="Verdana"/>
                <w:bCs/>
                <w:color w:val="000000"/>
                <w:sz w:val="16"/>
                <w:szCs w:val="16"/>
              </w:rPr>
              <w:t xml:space="preserve"> result</w:t>
            </w:r>
            <w:r w:rsidRPr="005B6074">
              <w:rPr>
                <w:rFonts w:ascii="Verdana" w:hAnsi="Verdana"/>
                <w:bCs/>
                <w:color w:val="000000"/>
                <w:sz w:val="16"/>
                <w:szCs w:val="16"/>
              </w:rPr>
              <w:t xml:space="preserve"> rather.</w:t>
            </w:r>
          </w:p>
        </w:tc>
        <w:tc>
          <w:tcPr>
            <w:tcW w:w="2216"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It should be clarified what “</w:t>
            </w:r>
            <w:r w:rsidRPr="005B6074">
              <w:rPr>
                <w:rFonts w:ascii="Verdana" w:hAnsi="Verdana"/>
                <w:bCs/>
                <w:sz w:val="16"/>
                <w:szCs w:val="16"/>
              </w:rPr>
              <w:t>included in extracurricular and out-of-school activities” means</w:t>
            </w:r>
          </w:p>
        </w:tc>
        <w:tc>
          <w:tcPr>
            <w:tcW w:w="2250" w:type="dxa"/>
          </w:tcPr>
          <w:p w:rsidR="00C27724" w:rsidRPr="005B6074" w:rsidRDefault="00C27724" w:rsidP="00A511E7">
            <w:pPr>
              <w:pStyle w:val="Default"/>
              <w:jc w:val="both"/>
              <w:rPr>
                <w:rFonts w:ascii="Verdana" w:hAnsi="Verdana"/>
                <w:bCs/>
                <w:color w:val="auto"/>
                <w:sz w:val="16"/>
                <w:szCs w:val="16"/>
              </w:rPr>
            </w:pPr>
            <w:r w:rsidRPr="005B6074">
              <w:rPr>
                <w:rFonts w:ascii="Verdana" w:hAnsi="Verdana"/>
                <w:bCs/>
                <w:color w:val="auto"/>
                <w:sz w:val="16"/>
                <w:szCs w:val="16"/>
              </w:rPr>
              <w:t>1) At the most 11% ESL in the age break of 18-24 years.</w:t>
            </w:r>
          </w:p>
          <w:p w:rsidR="00C27724" w:rsidRPr="005B6074" w:rsidRDefault="00C27724" w:rsidP="00A511E7">
            <w:pPr>
              <w:pStyle w:val="Default"/>
              <w:jc w:val="both"/>
              <w:rPr>
                <w:rFonts w:ascii="Verdana" w:hAnsi="Verdana"/>
                <w:bCs/>
                <w:color w:val="auto"/>
                <w:sz w:val="16"/>
                <w:szCs w:val="16"/>
              </w:rPr>
            </w:pPr>
          </w:p>
          <w:p w:rsidR="00C27724" w:rsidRPr="005B6074" w:rsidRDefault="00C27724" w:rsidP="00A511E7">
            <w:pPr>
              <w:pStyle w:val="CommentText"/>
              <w:spacing w:after="0" w:line="240" w:lineRule="auto"/>
              <w:rPr>
                <w:rFonts w:ascii="Verdana" w:hAnsi="Verdana"/>
                <w:sz w:val="16"/>
                <w:szCs w:val="16"/>
              </w:rPr>
            </w:pPr>
            <w:r w:rsidRPr="005B6074">
              <w:rPr>
                <w:rFonts w:ascii="Verdana" w:hAnsi="Verdana"/>
                <w:bCs/>
                <w:sz w:val="16"/>
                <w:szCs w:val="16"/>
              </w:rPr>
              <w:t>2) Share of children with high achievements in different areas of science, culture, arts and sports.</w:t>
            </w:r>
          </w:p>
        </w:tc>
        <w:tc>
          <w:tcPr>
            <w:tcW w:w="2104"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The indicator is not bound with the specific objective.</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 xml:space="preserve">2) The indicator should be used only if there is sufficient data to measure it. </w:t>
            </w:r>
          </w:p>
        </w:tc>
        <w:tc>
          <w:tcPr>
            <w:tcW w:w="2080"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1) –</w:t>
            </w: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 xml:space="preserve">2) - </w:t>
            </w:r>
          </w:p>
        </w:tc>
      </w:tr>
      <w:tr w:rsidR="00C27724" w:rsidRPr="005B6074" w:rsidTr="00A511E7">
        <w:tc>
          <w:tcPr>
            <w:tcW w:w="1843" w:type="dxa"/>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Efficient integration in the educational system of children, students and young people from the ethnic minorities and other vulnerable groups.</w:t>
            </w:r>
          </w:p>
        </w:tc>
        <w:tc>
          <w:tcPr>
            <w:tcW w:w="2299" w:type="dxa"/>
          </w:tcPr>
          <w:p w:rsidR="00C27724" w:rsidRPr="005B6074" w:rsidRDefault="00C27724" w:rsidP="00A511E7">
            <w:pPr>
              <w:pStyle w:val="Default"/>
              <w:jc w:val="both"/>
              <w:rPr>
                <w:rFonts w:ascii="Verdana" w:hAnsi="Verdana"/>
                <w:bCs/>
                <w:color w:val="auto"/>
                <w:sz w:val="16"/>
                <w:szCs w:val="16"/>
              </w:rPr>
            </w:pPr>
            <w:r w:rsidRPr="005B6074">
              <w:rPr>
                <w:rFonts w:ascii="Verdana" w:hAnsi="Verdana"/>
                <w:bCs/>
                <w:color w:val="auto"/>
                <w:sz w:val="16"/>
                <w:szCs w:val="16"/>
              </w:rPr>
              <w:t>Number of children and students and young people of Roma background included in the measures of educational integration and reintegration.</w:t>
            </w:r>
          </w:p>
        </w:tc>
        <w:tc>
          <w:tcPr>
            <w:tcW w:w="2092"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is relevant</w:t>
            </w:r>
          </w:p>
        </w:tc>
        <w:tc>
          <w:tcPr>
            <w:tcW w:w="2216"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is clear</w:t>
            </w:r>
          </w:p>
        </w:tc>
        <w:tc>
          <w:tcPr>
            <w:tcW w:w="2250" w:type="dxa"/>
          </w:tcPr>
          <w:p w:rsidR="00C27724" w:rsidRPr="005B6074" w:rsidRDefault="00C27724" w:rsidP="00A511E7">
            <w:pPr>
              <w:pStyle w:val="Default"/>
              <w:jc w:val="both"/>
              <w:rPr>
                <w:rFonts w:ascii="Verdana" w:hAnsi="Verdana"/>
                <w:bCs/>
                <w:color w:val="auto"/>
                <w:sz w:val="16"/>
                <w:szCs w:val="16"/>
              </w:rPr>
            </w:pPr>
            <w:r w:rsidRPr="005B6074">
              <w:rPr>
                <w:rFonts w:ascii="Verdana" w:hAnsi="Verdana"/>
                <w:sz w:val="16"/>
                <w:szCs w:val="16"/>
              </w:rPr>
              <w:t>Number of persons participating in measures of prevention of early school leaving.</w:t>
            </w:r>
          </w:p>
        </w:tc>
        <w:tc>
          <w:tcPr>
            <w:tcW w:w="2104" w:type="dxa"/>
          </w:tcPr>
          <w:p w:rsidR="00C27724" w:rsidRPr="005B6074" w:rsidRDefault="00C27724" w:rsidP="00845752">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 xml:space="preserve">The indicator is similar with the proposed </w:t>
            </w:r>
            <w:r w:rsidR="00845752">
              <w:rPr>
                <w:rFonts w:ascii="Verdana" w:hAnsi="Verdana"/>
                <w:bCs/>
                <w:color w:val="000000"/>
                <w:sz w:val="16"/>
                <w:szCs w:val="16"/>
              </w:rPr>
              <w:t>output</w:t>
            </w:r>
            <w:r w:rsidRPr="005B6074">
              <w:rPr>
                <w:rFonts w:ascii="Verdana" w:hAnsi="Verdana"/>
                <w:bCs/>
                <w:color w:val="000000"/>
                <w:sz w:val="16"/>
                <w:szCs w:val="16"/>
              </w:rPr>
              <w:t xml:space="preserve"> indicator.</w:t>
            </w:r>
          </w:p>
        </w:tc>
        <w:tc>
          <w:tcPr>
            <w:tcW w:w="2080"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scope of the indicator should be specified.</w:t>
            </w:r>
          </w:p>
        </w:tc>
      </w:tr>
    </w:tbl>
    <w:p w:rsidR="00C27724" w:rsidRPr="005B6074" w:rsidRDefault="00C27724" w:rsidP="00C27724"/>
    <w:p w:rsidR="00C27724" w:rsidRPr="005B6074" w:rsidRDefault="00C27724" w:rsidP="00C27724">
      <w:pPr>
        <w:pStyle w:val="Caption"/>
        <w:keepNext/>
        <w:spacing w:after="120"/>
        <w:rPr>
          <w:rFonts w:ascii="Verdana" w:hAnsi="Verdana"/>
          <w:color w:val="548DD4" w:themeColor="text2" w:themeTint="99"/>
        </w:rPr>
      </w:pPr>
      <w:bookmarkStart w:id="179" w:name="_Toc395612592"/>
      <w:bookmarkStart w:id="180" w:name="_Toc396225631"/>
      <w:r w:rsidRPr="005B6074">
        <w:rPr>
          <w:rFonts w:ascii="Verdana" w:hAnsi="Verdana"/>
          <w:color w:val="548DD4" w:themeColor="text2" w:themeTint="99"/>
        </w:rPr>
        <w:lastRenderedPageBreak/>
        <w:t xml:space="preserve">Table </w:t>
      </w:r>
      <w:r w:rsidR="00A35E98" w:rsidRPr="005B6074">
        <w:rPr>
          <w:rFonts w:ascii="Verdana" w:hAnsi="Verdana"/>
          <w:color w:val="548DD4" w:themeColor="text2" w:themeTint="99"/>
        </w:rPr>
        <w:fldChar w:fldCharType="begin"/>
      </w:r>
      <w:r w:rsidRPr="005B6074">
        <w:rPr>
          <w:rFonts w:ascii="Verdana" w:hAnsi="Verdana"/>
          <w:color w:val="548DD4" w:themeColor="text2" w:themeTint="99"/>
        </w:rPr>
        <w:instrText xml:space="preserve"> SEQ таблица \* ARABIC </w:instrText>
      </w:r>
      <w:r w:rsidR="00A35E98" w:rsidRPr="005B6074">
        <w:rPr>
          <w:rFonts w:ascii="Verdana" w:hAnsi="Verdana"/>
          <w:color w:val="548DD4" w:themeColor="text2" w:themeTint="99"/>
        </w:rPr>
        <w:fldChar w:fldCharType="separate"/>
      </w:r>
      <w:r w:rsidR="009330F5">
        <w:rPr>
          <w:rFonts w:ascii="Verdana" w:hAnsi="Verdana"/>
          <w:noProof/>
          <w:color w:val="548DD4" w:themeColor="text2" w:themeTint="99"/>
        </w:rPr>
        <w:t>36</w:t>
      </w:r>
      <w:r w:rsidR="00A35E98" w:rsidRPr="005B6074">
        <w:rPr>
          <w:rFonts w:ascii="Verdana" w:hAnsi="Verdana"/>
          <w:color w:val="548DD4" w:themeColor="text2" w:themeTint="99"/>
        </w:rPr>
        <w:fldChar w:fldCharType="end"/>
      </w:r>
      <w:r w:rsidRPr="005B6074">
        <w:rPr>
          <w:rFonts w:ascii="Verdana" w:hAnsi="Verdana"/>
          <w:color w:val="548DD4" w:themeColor="text2" w:themeTint="99"/>
        </w:rPr>
        <w:t xml:space="preserve">. Comments on the new system of </w:t>
      </w:r>
      <w:r w:rsidR="00DB6F26">
        <w:rPr>
          <w:rFonts w:ascii="Verdana" w:hAnsi="Verdana"/>
          <w:color w:val="548DD4" w:themeColor="text2" w:themeTint="99"/>
        </w:rPr>
        <w:t>output</w:t>
      </w:r>
      <w:r w:rsidRPr="005B6074">
        <w:rPr>
          <w:rFonts w:ascii="Verdana" w:hAnsi="Verdana"/>
          <w:color w:val="548DD4" w:themeColor="text2" w:themeTint="99"/>
        </w:rPr>
        <w:t xml:space="preserve"> indicators</w:t>
      </w:r>
      <w:bookmarkEnd w:id="180"/>
      <w:r w:rsidRPr="005B6074">
        <w:rPr>
          <w:rFonts w:ascii="Verdana" w:hAnsi="Verdana"/>
          <w:color w:val="548DD4" w:themeColor="text2" w:themeTint="99"/>
        </w:rPr>
        <w:t xml:space="preserve"> </w:t>
      </w:r>
      <w:bookmarkEnd w:id="179"/>
    </w:p>
    <w:tbl>
      <w:tblPr>
        <w:tblStyle w:val="TableGrid"/>
        <w:tblW w:w="15168" w:type="dxa"/>
        <w:tblInd w:w="-459" w:type="dxa"/>
        <w:tblLayout w:type="fixed"/>
        <w:tblLook w:val="04A0" w:firstRow="1" w:lastRow="0" w:firstColumn="1" w:lastColumn="0" w:noHBand="0" w:noVBand="1"/>
      </w:tblPr>
      <w:tblGrid>
        <w:gridCol w:w="2380"/>
        <w:gridCol w:w="2039"/>
        <w:gridCol w:w="1414"/>
        <w:gridCol w:w="1822"/>
        <w:gridCol w:w="8"/>
        <w:gridCol w:w="19"/>
        <w:gridCol w:w="965"/>
        <w:gridCol w:w="27"/>
        <w:gridCol w:w="1107"/>
        <w:gridCol w:w="1020"/>
        <w:gridCol w:w="991"/>
        <w:gridCol w:w="3376"/>
      </w:tblGrid>
      <w:tr w:rsidR="00C27724" w:rsidRPr="005B6074" w:rsidTr="002F4E2B">
        <w:trPr>
          <w:tblHeader/>
        </w:trPr>
        <w:tc>
          <w:tcPr>
            <w:tcW w:w="2380" w:type="dxa"/>
            <w:vMerge w:val="restart"/>
            <w:shd w:val="clear" w:color="auto" w:fill="1F497D" w:themeFill="text2"/>
            <w:vAlign w:val="center"/>
          </w:tcPr>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Specific objective</w:t>
            </w:r>
          </w:p>
        </w:tc>
        <w:tc>
          <w:tcPr>
            <w:tcW w:w="2039" w:type="dxa"/>
            <w:vMerge w:val="restart"/>
            <w:shd w:val="clear" w:color="auto" w:fill="1F497D" w:themeFill="text2"/>
            <w:vAlign w:val="center"/>
          </w:tcPr>
          <w:p w:rsidR="00C27724" w:rsidRPr="005B6074" w:rsidRDefault="008E7210"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Output</w:t>
            </w:r>
            <w:r w:rsidR="00C27724" w:rsidRPr="005B6074">
              <w:rPr>
                <w:rFonts w:ascii="Verdana" w:hAnsi="Verdana"/>
                <w:b/>
                <w:bCs/>
                <w:color w:val="FFFFFF" w:themeColor="background1"/>
                <w:sz w:val="16"/>
                <w:szCs w:val="16"/>
              </w:rPr>
              <w:t xml:space="preserve"> indicator</w:t>
            </w:r>
          </w:p>
        </w:tc>
        <w:tc>
          <w:tcPr>
            <w:tcW w:w="1414" w:type="dxa"/>
            <w:vMerge w:val="restart"/>
            <w:shd w:val="clear" w:color="auto" w:fill="1F497D" w:themeFill="text2"/>
            <w:vAlign w:val="center"/>
          </w:tcPr>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Relevance</w:t>
            </w:r>
          </w:p>
        </w:tc>
        <w:tc>
          <w:tcPr>
            <w:tcW w:w="1830" w:type="dxa"/>
            <w:gridSpan w:val="2"/>
            <w:vMerge w:val="restart"/>
            <w:shd w:val="clear" w:color="auto" w:fill="1F497D" w:themeFill="text2"/>
            <w:vAlign w:val="center"/>
          </w:tcPr>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Clarity</w:t>
            </w:r>
          </w:p>
        </w:tc>
        <w:tc>
          <w:tcPr>
            <w:tcW w:w="1011" w:type="dxa"/>
            <w:gridSpan w:val="3"/>
            <w:vMerge w:val="restart"/>
            <w:shd w:val="clear" w:color="auto" w:fill="1F497D" w:themeFill="text2"/>
            <w:vAlign w:val="center"/>
          </w:tcPr>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Measurement unit</w:t>
            </w:r>
          </w:p>
        </w:tc>
        <w:tc>
          <w:tcPr>
            <w:tcW w:w="3118" w:type="dxa"/>
            <w:gridSpan w:val="3"/>
            <w:shd w:val="clear" w:color="auto" w:fill="1F497D" w:themeFill="text2"/>
            <w:vAlign w:val="center"/>
          </w:tcPr>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Value</w:t>
            </w:r>
          </w:p>
        </w:tc>
        <w:tc>
          <w:tcPr>
            <w:tcW w:w="3376" w:type="dxa"/>
            <w:vMerge w:val="restart"/>
            <w:shd w:val="clear" w:color="auto" w:fill="1F497D" w:themeFill="text2"/>
            <w:vAlign w:val="center"/>
          </w:tcPr>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Comment</w:t>
            </w:r>
          </w:p>
        </w:tc>
      </w:tr>
      <w:tr w:rsidR="00C27724" w:rsidRPr="005B6074" w:rsidTr="002F4E2B">
        <w:trPr>
          <w:tblHeader/>
        </w:trPr>
        <w:tc>
          <w:tcPr>
            <w:tcW w:w="2380" w:type="dxa"/>
            <w:vMerge/>
            <w:shd w:val="clear" w:color="auto" w:fill="1F497D" w:themeFill="text2"/>
          </w:tcPr>
          <w:p w:rsidR="00C27724" w:rsidRPr="005B6074" w:rsidRDefault="00C27724" w:rsidP="00A511E7">
            <w:pPr>
              <w:widowControl w:val="0"/>
              <w:tabs>
                <w:tab w:val="left" w:pos="0"/>
                <w:tab w:val="right" w:pos="9214"/>
              </w:tabs>
              <w:spacing w:after="0" w:line="240" w:lineRule="auto"/>
              <w:jc w:val="center"/>
              <w:rPr>
                <w:rFonts w:ascii="Verdana" w:hAnsi="Verdana"/>
                <w:b/>
                <w:bCs/>
                <w:color w:val="FFFFFF" w:themeColor="background1"/>
                <w:sz w:val="16"/>
                <w:szCs w:val="16"/>
              </w:rPr>
            </w:pPr>
          </w:p>
        </w:tc>
        <w:tc>
          <w:tcPr>
            <w:tcW w:w="2039" w:type="dxa"/>
            <w:vMerge/>
            <w:shd w:val="clear" w:color="auto" w:fill="1F497D" w:themeFill="text2"/>
          </w:tcPr>
          <w:p w:rsidR="00C27724" w:rsidRPr="005B6074" w:rsidRDefault="00C27724" w:rsidP="00A511E7">
            <w:pPr>
              <w:widowControl w:val="0"/>
              <w:tabs>
                <w:tab w:val="left" w:pos="0"/>
                <w:tab w:val="right" w:pos="9214"/>
              </w:tabs>
              <w:spacing w:after="0" w:line="240" w:lineRule="auto"/>
              <w:jc w:val="center"/>
              <w:rPr>
                <w:rFonts w:ascii="Verdana" w:hAnsi="Verdana"/>
                <w:b/>
                <w:bCs/>
                <w:color w:val="FFFFFF" w:themeColor="background1"/>
                <w:sz w:val="16"/>
                <w:szCs w:val="16"/>
              </w:rPr>
            </w:pPr>
          </w:p>
        </w:tc>
        <w:tc>
          <w:tcPr>
            <w:tcW w:w="1414" w:type="dxa"/>
            <w:vMerge/>
            <w:shd w:val="clear" w:color="auto" w:fill="1F497D" w:themeFill="text2"/>
          </w:tcPr>
          <w:p w:rsidR="00C27724" w:rsidRPr="005B6074" w:rsidRDefault="00C27724" w:rsidP="00A511E7">
            <w:pPr>
              <w:widowControl w:val="0"/>
              <w:tabs>
                <w:tab w:val="left" w:pos="0"/>
                <w:tab w:val="right" w:pos="9214"/>
              </w:tabs>
              <w:spacing w:after="0" w:line="240" w:lineRule="auto"/>
              <w:jc w:val="center"/>
              <w:rPr>
                <w:rFonts w:ascii="Verdana" w:hAnsi="Verdana"/>
                <w:b/>
                <w:bCs/>
                <w:color w:val="FFFFFF" w:themeColor="background1"/>
                <w:sz w:val="16"/>
                <w:szCs w:val="16"/>
              </w:rPr>
            </w:pPr>
          </w:p>
        </w:tc>
        <w:tc>
          <w:tcPr>
            <w:tcW w:w="1830" w:type="dxa"/>
            <w:gridSpan w:val="2"/>
            <w:vMerge/>
            <w:shd w:val="clear" w:color="auto" w:fill="1F497D" w:themeFill="text2"/>
          </w:tcPr>
          <w:p w:rsidR="00C27724" w:rsidRPr="005B6074" w:rsidRDefault="00C27724" w:rsidP="00A511E7">
            <w:pPr>
              <w:widowControl w:val="0"/>
              <w:tabs>
                <w:tab w:val="left" w:pos="0"/>
                <w:tab w:val="right" w:pos="9214"/>
              </w:tabs>
              <w:spacing w:after="0" w:line="240" w:lineRule="auto"/>
              <w:jc w:val="center"/>
              <w:rPr>
                <w:rFonts w:ascii="Verdana" w:hAnsi="Verdana"/>
                <w:b/>
                <w:bCs/>
                <w:color w:val="FFFFFF" w:themeColor="background1"/>
                <w:sz w:val="16"/>
                <w:szCs w:val="16"/>
              </w:rPr>
            </w:pPr>
          </w:p>
        </w:tc>
        <w:tc>
          <w:tcPr>
            <w:tcW w:w="1011" w:type="dxa"/>
            <w:gridSpan w:val="3"/>
            <w:vMerge/>
            <w:shd w:val="clear" w:color="auto" w:fill="1F497D" w:themeFill="text2"/>
          </w:tcPr>
          <w:p w:rsidR="00C27724" w:rsidRPr="005B6074" w:rsidRDefault="00C27724" w:rsidP="00A511E7">
            <w:pPr>
              <w:widowControl w:val="0"/>
              <w:tabs>
                <w:tab w:val="left" w:pos="0"/>
                <w:tab w:val="right" w:pos="9214"/>
              </w:tabs>
              <w:spacing w:after="0" w:line="240" w:lineRule="auto"/>
              <w:jc w:val="center"/>
              <w:rPr>
                <w:rFonts w:ascii="Verdana" w:hAnsi="Verdana"/>
                <w:b/>
                <w:bCs/>
                <w:color w:val="FFFFFF" w:themeColor="background1"/>
                <w:sz w:val="16"/>
                <w:szCs w:val="16"/>
              </w:rPr>
            </w:pPr>
          </w:p>
        </w:tc>
        <w:tc>
          <w:tcPr>
            <w:tcW w:w="1107" w:type="dxa"/>
            <w:shd w:val="clear" w:color="auto" w:fill="1F497D" w:themeFill="text2"/>
            <w:vAlign w:val="center"/>
          </w:tcPr>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Baseline</w:t>
            </w:r>
          </w:p>
        </w:tc>
        <w:tc>
          <w:tcPr>
            <w:tcW w:w="1020" w:type="dxa"/>
            <w:shd w:val="clear" w:color="auto" w:fill="1F497D" w:themeFill="text2"/>
            <w:vAlign w:val="center"/>
          </w:tcPr>
          <w:p w:rsidR="00C27724" w:rsidRPr="005B6074" w:rsidRDefault="008E7210" w:rsidP="008E7210">
            <w:pPr>
              <w:widowControl w:val="0"/>
              <w:tabs>
                <w:tab w:val="left" w:pos="-108"/>
                <w:tab w:val="right" w:pos="9214"/>
              </w:tabs>
              <w:spacing w:after="0" w:line="240" w:lineRule="auto"/>
              <w:ind w:left="-108" w:right="-80"/>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Milestone</w:t>
            </w:r>
            <w:r w:rsidR="00C27724" w:rsidRPr="005B6074">
              <w:rPr>
                <w:rFonts w:ascii="Verdana" w:hAnsi="Verdana"/>
                <w:b/>
                <w:bCs/>
                <w:color w:val="FFFFFF" w:themeColor="background1"/>
                <w:sz w:val="16"/>
                <w:szCs w:val="16"/>
              </w:rPr>
              <w:t xml:space="preserve"> 2018</w:t>
            </w:r>
          </w:p>
        </w:tc>
        <w:tc>
          <w:tcPr>
            <w:tcW w:w="991" w:type="dxa"/>
            <w:shd w:val="clear" w:color="auto" w:fill="1F497D" w:themeFill="text2"/>
            <w:vAlign w:val="center"/>
          </w:tcPr>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Target</w:t>
            </w:r>
          </w:p>
          <w:p w:rsidR="00C27724" w:rsidRPr="005B6074" w:rsidRDefault="00C27724" w:rsidP="002F4E2B">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2023</w:t>
            </w:r>
          </w:p>
        </w:tc>
        <w:tc>
          <w:tcPr>
            <w:tcW w:w="3376" w:type="dxa"/>
            <w:vMerge/>
            <w:shd w:val="clear" w:color="auto" w:fill="1F497D" w:themeFill="text2"/>
          </w:tcPr>
          <w:p w:rsidR="00C27724" w:rsidRPr="005B6074" w:rsidRDefault="00C27724" w:rsidP="00A511E7">
            <w:pPr>
              <w:widowControl w:val="0"/>
              <w:tabs>
                <w:tab w:val="left" w:pos="0"/>
                <w:tab w:val="right" w:pos="9214"/>
              </w:tabs>
              <w:spacing w:after="0" w:line="240" w:lineRule="auto"/>
              <w:jc w:val="center"/>
              <w:rPr>
                <w:rFonts w:ascii="Verdana" w:hAnsi="Verdana"/>
                <w:b/>
                <w:bCs/>
                <w:color w:val="FFFFFF" w:themeColor="background1"/>
                <w:sz w:val="16"/>
                <w:szCs w:val="16"/>
              </w:rPr>
            </w:pPr>
          </w:p>
        </w:tc>
      </w:tr>
      <w:tr w:rsidR="00C27724" w:rsidRPr="005B6074" w:rsidTr="002F4E2B">
        <w:tc>
          <w:tcPr>
            <w:tcW w:w="15168" w:type="dxa"/>
            <w:gridSpan w:val="12"/>
            <w:shd w:val="clear" w:color="auto" w:fill="95B3D7" w:themeFill="accent1" w:themeFillTint="99"/>
          </w:tcPr>
          <w:p w:rsidR="00C27724" w:rsidRPr="005B6074" w:rsidRDefault="00C27724" w:rsidP="00A511E7">
            <w:pPr>
              <w:widowControl w:val="0"/>
              <w:tabs>
                <w:tab w:val="left" w:pos="0"/>
                <w:tab w:val="right" w:pos="9214"/>
              </w:tabs>
              <w:spacing w:before="120" w:after="120" w:line="240" w:lineRule="auto"/>
              <w:jc w:val="both"/>
              <w:rPr>
                <w:rFonts w:ascii="Verdana" w:hAnsi="Verdana"/>
                <w:b/>
                <w:bCs/>
                <w:color w:val="000000"/>
                <w:sz w:val="16"/>
                <w:szCs w:val="16"/>
              </w:rPr>
            </w:pPr>
            <w:r w:rsidRPr="005B6074">
              <w:rPr>
                <w:rFonts w:ascii="Verdana" w:hAnsi="Verdana"/>
                <w:b/>
                <w:sz w:val="16"/>
                <w:szCs w:val="16"/>
              </w:rPr>
              <w:t>PA 1 - Scientific Research and Technological Development</w:t>
            </w:r>
          </w:p>
        </w:tc>
      </w:tr>
      <w:tr w:rsidR="00C27724" w:rsidRPr="005B6074" w:rsidTr="002F4E2B">
        <w:tc>
          <w:tcPr>
            <w:tcW w:w="15168" w:type="dxa"/>
            <w:gridSpan w:val="12"/>
            <w:shd w:val="clear" w:color="auto" w:fill="F2DBDB" w:themeFill="accent2" w:themeFillTint="33"/>
          </w:tcPr>
          <w:p w:rsidR="00C27724" w:rsidRPr="005B6074" w:rsidRDefault="00C27724" w:rsidP="00A511E7">
            <w:pPr>
              <w:widowControl w:val="0"/>
              <w:tabs>
                <w:tab w:val="left" w:pos="0"/>
                <w:tab w:val="right" w:pos="9214"/>
              </w:tabs>
              <w:spacing w:before="120" w:after="120" w:line="240" w:lineRule="auto"/>
              <w:jc w:val="both"/>
              <w:rPr>
                <w:rFonts w:ascii="Verdana" w:hAnsi="Verdana"/>
                <w:b/>
                <w:sz w:val="16"/>
                <w:szCs w:val="16"/>
              </w:rPr>
            </w:pPr>
            <w:r w:rsidRPr="005B6074">
              <w:rPr>
                <w:rFonts w:ascii="Verdana" w:hAnsi="Verdana"/>
                <w:b/>
                <w:sz w:val="16"/>
                <w:szCs w:val="16"/>
              </w:rPr>
              <w:t xml:space="preserve">IP1. </w:t>
            </w:r>
            <w:r w:rsidRPr="005B6074">
              <w:rPr>
                <w:rFonts w:ascii="Verdana" w:hAnsi="Verdana" w:cs="Arial Narrow"/>
                <w:i/>
                <w:color w:val="000000"/>
                <w:sz w:val="16"/>
                <w:szCs w:val="16"/>
              </w:rPr>
              <w:t>Enhancing research and innovation (R&amp;I) infrastructure and capacities to develop R&amp;I excellence, and promoting centres of competence, in particular those of European interest</w:t>
            </w:r>
            <w:r w:rsidRPr="005B6074">
              <w:rPr>
                <w:rFonts w:ascii="Verdana" w:hAnsi="Verdana"/>
                <w:i/>
                <w:color w:val="000000"/>
                <w:sz w:val="20"/>
              </w:rPr>
              <w:t xml:space="preserve"> </w:t>
            </w:r>
          </w:p>
        </w:tc>
      </w:tr>
      <w:tr w:rsidR="00C27724" w:rsidRPr="005B6074" w:rsidTr="002F4E2B">
        <w:tc>
          <w:tcPr>
            <w:tcW w:w="2380" w:type="dxa"/>
          </w:tcPr>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r w:rsidRPr="005B6074">
              <w:rPr>
                <w:rFonts w:ascii="Verdana" w:hAnsi="Verdana"/>
                <w:sz w:val="16"/>
                <w:szCs w:val="16"/>
              </w:rPr>
              <w:t>SO1. Modernisation of existing excellence centres and competence centres in priority areas and targeted development of new such centres based on their potential to contribute to knowledge base and innovation capacity in priority areas.</w:t>
            </w: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r w:rsidRPr="005B6074">
              <w:rPr>
                <w:rFonts w:ascii="Verdana" w:hAnsi="Verdana"/>
                <w:sz w:val="16"/>
                <w:szCs w:val="16"/>
              </w:rPr>
              <w:t>SO2. Maintenance and development of scientific infrastructure with the aim to maintain the universities and scientific organisations as regional knowledge and technology and/or distributary nodes in support to realisation and sustainability of pan European research facilities.</w:t>
            </w:r>
          </w:p>
        </w:tc>
        <w:tc>
          <w:tcPr>
            <w:tcW w:w="2039"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sz w:val="16"/>
                <w:szCs w:val="16"/>
              </w:rPr>
              <w:t>New researchers employed at improved infrastructures for scientific research</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relevant (common indicator from Regulation 1301/2013)</w:t>
            </w:r>
          </w:p>
        </w:tc>
        <w:tc>
          <w:tcPr>
            <w:tcW w:w="1830"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clear</w:t>
            </w:r>
          </w:p>
        </w:tc>
        <w:tc>
          <w:tcPr>
            <w:tcW w:w="1011" w:type="dxa"/>
            <w:gridSpan w:val="3"/>
            <w:vAlign w:val="center"/>
          </w:tcPr>
          <w:p w:rsidR="00C27724" w:rsidRPr="005B6074" w:rsidRDefault="00C27724" w:rsidP="00A511E7">
            <w:pPr>
              <w:rPr>
                <w:rFonts w:ascii="Verdana" w:hAnsi="Verdana"/>
                <w:bCs/>
                <w:color w:val="000000"/>
                <w:sz w:val="16"/>
                <w:szCs w:val="16"/>
              </w:rPr>
            </w:pPr>
            <w:r w:rsidRPr="005B6074">
              <w:rPr>
                <w:rFonts w:ascii="Verdana" w:hAnsi="Verdana"/>
                <w:bCs/>
                <w:color w:val="000000"/>
                <w:sz w:val="16"/>
                <w:szCs w:val="16"/>
              </w:rPr>
              <w:t>Number</w:t>
            </w:r>
          </w:p>
        </w:tc>
        <w:tc>
          <w:tcPr>
            <w:tcW w:w="1107" w:type="dxa"/>
            <w:vAlign w:val="center"/>
          </w:tcPr>
          <w:p w:rsidR="00C27724" w:rsidRPr="005B6074" w:rsidRDefault="00C27724" w:rsidP="00A511E7">
            <w:pPr>
              <w:rPr>
                <w:rFonts w:ascii="Verdana" w:hAnsi="Verdana"/>
                <w:bCs/>
                <w:color w:val="000000"/>
                <w:sz w:val="16"/>
                <w:szCs w:val="16"/>
              </w:rPr>
            </w:pPr>
            <w:r w:rsidRPr="005B6074">
              <w:rPr>
                <w:rFonts w:ascii="Verdana" w:hAnsi="Verdana"/>
                <w:bCs/>
                <w:color w:val="000000"/>
                <w:sz w:val="16"/>
                <w:szCs w:val="16"/>
              </w:rPr>
              <w:t>0</w:t>
            </w:r>
          </w:p>
        </w:tc>
        <w:tc>
          <w:tcPr>
            <w:tcW w:w="1020" w:type="dxa"/>
            <w:vAlign w:val="center"/>
          </w:tcPr>
          <w:p w:rsidR="00C27724" w:rsidRPr="005B6074" w:rsidRDefault="00C27724" w:rsidP="00A511E7">
            <w:pPr>
              <w:rPr>
                <w:rFonts w:ascii="Verdana" w:hAnsi="Verdana"/>
                <w:bCs/>
                <w:color w:val="000000"/>
                <w:sz w:val="16"/>
                <w:szCs w:val="16"/>
              </w:rPr>
            </w:pPr>
            <w:r w:rsidRPr="005B6074">
              <w:rPr>
                <w:rFonts w:ascii="Verdana" w:hAnsi="Verdana"/>
                <w:bCs/>
                <w:color w:val="000000"/>
                <w:sz w:val="16"/>
                <w:szCs w:val="16"/>
              </w:rPr>
              <w:t>0</w:t>
            </w:r>
          </w:p>
        </w:tc>
        <w:tc>
          <w:tcPr>
            <w:tcW w:w="991" w:type="dxa"/>
            <w:vAlign w:val="center"/>
          </w:tcPr>
          <w:p w:rsidR="00C27724" w:rsidRPr="005B6074" w:rsidRDefault="00C27724" w:rsidP="00A511E7">
            <w:pPr>
              <w:rPr>
                <w:rFonts w:ascii="Verdana" w:hAnsi="Verdana"/>
                <w:bCs/>
                <w:color w:val="000000"/>
                <w:sz w:val="16"/>
                <w:szCs w:val="16"/>
              </w:rPr>
            </w:pPr>
            <w:r w:rsidRPr="005B6074">
              <w:rPr>
                <w:rFonts w:ascii="Verdana" w:hAnsi="Verdana"/>
                <w:bCs/>
                <w:color w:val="000000"/>
                <w:sz w:val="16"/>
                <w:szCs w:val="16"/>
              </w:rPr>
              <w:t>80</w:t>
            </w:r>
          </w:p>
        </w:tc>
        <w:tc>
          <w:tcPr>
            <w:tcW w:w="3376" w:type="dxa"/>
            <w:vAlign w:val="center"/>
          </w:tcPr>
          <w:p w:rsidR="00C27724" w:rsidRPr="005B6074" w:rsidRDefault="00C27724" w:rsidP="00793793">
            <w:pPr>
              <w:rPr>
                <w:rFonts w:ascii="Verdana" w:hAnsi="Verdana"/>
                <w:bCs/>
                <w:color w:val="000000"/>
                <w:sz w:val="16"/>
                <w:szCs w:val="16"/>
              </w:rPr>
            </w:pPr>
            <w:r w:rsidRPr="005B6074">
              <w:rPr>
                <w:rFonts w:ascii="Verdana" w:hAnsi="Verdana"/>
                <w:bCs/>
                <w:color w:val="000000"/>
                <w:sz w:val="16"/>
                <w:szCs w:val="16"/>
              </w:rPr>
              <w:t xml:space="preserve">There is no information on the methodology how the indicator values have been calculated. Having in mind that it I expected that the researchers will be employed after the support to the infrastructures it is relevant not to specify </w:t>
            </w:r>
            <w:r w:rsidR="00793793" w:rsidRPr="005B6074">
              <w:rPr>
                <w:rFonts w:ascii="Verdana" w:hAnsi="Verdana"/>
                <w:bCs/>
                <w:color w:val="000000"/>
                <w:sz w:val="16"/>
                <w:szCs w:val="16"/>
              </w:rPr>
              <w:t>a milestone</w:t>
            </w:r>
            <w:r w:rsidRPr="005B6074">
              <w:rPr>
                <w:rFonts w:ascii="Verdana" w:hAnsi="Verdana"/>
                <w:bCs/>
                <w:color w:val="000000"/>
                <w:sz w:val="16"/>
                <w:szCs w:val="16"/>
              </w:rPr>
              <w:t xml:space="preserve"> for 2018. The target value seems achievable having in mind the expected number of the </w:t>
            </w:r>
            <w:proofErr w:type="spellStart"/>
            <w:r w:rsidRPr="005B6074">
              <w:rPr>
                <w:rFonts w:ascii="Verdana" w:hAnsi="Verdana"/>
                <w:bCs/>
                <w:color w:val="000000"/>
                <w:sz w:val="16"/>
                <w:szCs w:val="16"/>
              </w:rPr>
              <w:t>centers</w:t>
            </w:r>
            <w:proofErr w:type="spellEnd"/>
            <w:r w:rsidRPr="005B6074">
              <w:rPr>
                <w:rFonts w:ascii="Verdana" w:hAnsi="Verdana"/>
                <w:bCs/>
                <w:color w:val="000000"/>
                <w:sz w:val="16"/>
                <w:szCs w:val="16"/>
              </w:rPr>
              <w:t xml:space="preserve"> to be supported – 17 in total.</w:t>
            </w:r>
          </w:p>
        </w:tc>
      </w:tr>
      <w:tr w:rsidR="00C27724" w:rsidRPr="005B6074" w:rsidTr="002F4E2B">
        <w:tc>
          <w:tcPr>
            <w:tcW w:w="15168" w:type="dxa"/>
            <w:gridSpan w:val="12"/>
            <w:shd w:val="clear" w:color="auto" w:fill="F2DBDB" w:themeFill="accent2" w:themeFillTint="33"/>
          </w:tcPr>
          <w:p w:rsidR="00C27724" w:rsidRPr="005B6074" w:rsidRDefault="00C27724" w:rsidP="00A511E7">
            <w:pPr>
              <w:keepNext/>
              <w:tabs>
                <w:tab w:val="left" w:pos="0"/>
                <w:tab w:val="right" w:pos="9214"/>
              </w:tabs>
              <w:spacing w:after="0" w:line="240" w:lineRule="auto"/>
              <w:jc w:val="both"/>
              <w:rPr>
                <w:rFonts w:ascii="Verdana" w:hAnsi="Verdana"/>
                <w:sz w:val="16"/>
                <w:szCs w:val="16"/>
              </w:rPr>
            </w:pPr>
            <w:r w:rsidRPr="005B6074">
              <w:rPr>
                <w:rFonts w:ascii="Verdana" w:hAnsi="Verdana"/>
                <w:b/>
                <w:bCs/>
                <w:color w:val="000000"/>
                <w:sz w:val="16"/>
                <w:szCs w:val="16"/>
              </w:rPr>
              <w:t>IP2.</w:t>
            </w:r>
            <w:r w:rsidRPr="005B6074">
              <w:rPr>
                <w:rFonts w:ascii="Verdana" w:hAnsi="Verdana"/>
                <w:bCs/>
                <w:color w:val="000000"/>
                <w:sz w:val="16"/>
                <w:szCs w:val="16"/>
              </w:rPr>
              <w:t xml:space="preserve"> </w:t>
            </w:r>
            <w:r w:rsidRPr="005B6074">
              <w:rPr>
                <w:rFonts w:ascii="Verdana" w:hAnsi="Verdana" w:cs="Arial Narrow"/>
                <w:i/>
                <w:color w:val="000000"/>
                <w:sz w:val="16"/>
                <w:szCs w:val="16"/>
              </w:rPr>
              <w:t>Promoting business investment in R&amp;I, developing links and synergies between enterprises, research and development centres and the higher education sector, in particular promoting investment in product and service development, technology transfer, social innovation, eco-innovation, public service applications, demand stimulation, networking, clusters and open innovation through smart specialisation, and supporting technological and applied research, pilot lines, early product validation actions, advanced manufacturing capabilities and first production, in particular in key enabling technologies and diffusion of general purpose technologies.</w:t>
            </w:r>
          </w:p>
        </w:tc>
      </w:tr>
      <w:tr w:rsidR="00C27724" w:rsidRPr="005B6074" w:rsidTr="002F4E2B">
        <w:tc>
          <w:tcPr>
            <w:tcW w:w="2380" w:type="dxa"/>
            <w:vMerge w:val="restart"/>
            <w:vAlign w:val="center"/>
          </w:tcPr>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 xml:space="preserve">SO1. Assistance for applied research and experimental development </w:t>
            </w:r>
            <w:r w:rsidRPr="005B6074">
              <w:rPr>
                <w:rFonts w:ascii="Verdana" w:hAnsi="Verdana"/>
                <w:sz w:val="16"/>
                <w:szCs w:val="16"/>
              </w:rPr>
              <w:lastRenderedPageBreak/>
              <w:t>in priority areas, assisting the economic development.</w:t>
            </w:r>
          </w:p>
        </w:tc>
        <w:tc>
          <w:tcPr>
            <w:tcW w:w="2039" w:type="dxa"/>
            <w:vAlign w:val="center"/>
          </w:tcPr>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r w:rsidRPr="005B6074">
              <w:rPr>
                <w:rFonts w:ascii="Verdana" w:hAnsi="Verdana"/>
                <w:sz w:val="16"/>
                <w:szCs w:val="16"/>
              </w:rPr>
              <w:lastRenderedPageBreak/>
              <w:t xml:space="preserve">Number of enterprises cooperating with the supported research </w:t>
            </w:r>
            <w:r w:rsidRPr="005B6074">
              <w:rPr>
                <w:rFonts w:ascii="Verdana" w:hAnsi="Verdana"/>
                <w:sz w:val="16"/>
                <w:szCs w:val="16"/>
              </w:rPr>
              <w:lastRenderedPageBreak/>
              <w:t>institutions.</w:t>
            </w:r>
          </w:p>
          <w:p w:rsidR="00C27724" w:rsidRPr="005B6074" w:rsidRDefault="00C27724" w:rsidP="00A511E7">
            <w:pPr>
              <w:widowControl w:val="0"/>
              <w:tabs>
                <w:tab w:val="left" w:pos="0"/>
                <w:tab w:val="right" w:pos="9214"/>
              </w:tabs>
              <w:spacing w:after="0" w:line="240" w:lineRule="auto"/>
              <w:rPr>
                <w:rFonts w:ascii="Verdana" w:hAnsi="Verdana"/>
                <w:b/>
                <w:bCs/>
                <w:sz w:val="16"/>
                <w:szCs w:val="16"/>
              </w:rPr>
            </w:pP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lastRenderedPageBreak/>
              <w:t xml:space="preserve">The indicator is relevant (common </w:t>
            </w:r>
            <w:r w:rsidRPr="005B6074">
              <w:rPr>
                <w:rFonts w:ascii="Verdana" w:hAnsi="Verdana"/>
                <w:bCs/>
                <w:color w:val="000000"/>
                <w:sz w:val="16"/>
                <w:szCs w:val="16"/>
              </w:rPr>
              <w:lastRenderedPageBreak/>
              <w:t>indicator from Regulation 1301/2013)</w:t>
            </w:r>
          </w:p>
        </w:tc>
        <w:tc>
          <w:tcPr>
            <w:tcW w:w="1830"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lastRenderedPageBreak/>
              <w:t>The indicator is clear</w:t>
            </w:r>
          </w:p>
        </w:tc>
        <w:tc>
          <w:tcPr>
            <w:tcW w:w="1011" w:type="dxa"/>
            <w:gridSpan w:val="3"/>
            <w:vAlign w:val="center"/>
          </w:tcPr>
          <w:p w:rsidR="00C27724" w:rsidRPr="005B6074" w:rsidRDefault="00C27724" w:rsidP="00A511E7">
            <w:pPr>
              <w:rPr>
                <w:rFonts w:ascii="Verdana" w:hAnsi="Verdana"/>
                <w:bCs/>
                <w:color w:val="000000"/>
                <w:sz w:val="16"/>
                <w:szCs w:val="16"/>
              </w:rPr>
            </w:pPr>
            <w:r w:rsidRPr="005B6074">
              <w:rPr>
                <w:rFonts w:ascii="Verdana" w:hAnsi="Verdana"/>
                <w:bCs/>
                <w:color w:val="000000"/>
                <w:sz w:val="16"/>
                <w:szCs w:val="16"/>
              </w:rPr>
              <w:t>Number</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0</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15</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30</w:t>
            </w:r>
          </w:p>
        </w:tc>
        <w:tc>
          <w:tcPr>
            <w:tcW w:w="3376" w:type="dxa"/>
            <w:vAlign w:val="center"/>
          </w:tcPr>
          <w:p w:rsidR="00C27724" w:rsidRPr="005B6074" w:rsidRDefault="00C27724" w:rsidP="00793793">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The text of the programme does not provide information what is the number of the companies that use </w:t>
            </w:r>
            <w:r w:rsidRPr="005B6074">
              <w:rPr>
                <w:rFonts w:ascii="Verdana" w:hAnsi="Verdana"/>
                <w:bCs/>
                <w:color w:val="000000"/>
                <w:sz w:val="16"/>
                <w:szCs w:val="16"/>
              </w:rPr>
              <w:lastRenderedPageBreak/>
              <w:t xml:space="preserve">services and collaborate with research institutions. Specification of </w:t>
            </w:r>
            <w:r w:rsidR="00793793" w:rsidRPr="005B6074">
              <w:rPr>
                <w:rFonts w:ascii="Verdana" w:hAnsi="Verdana"/>
                <w:bCs/>
                <w:color w:val="000000"/>
                <w:sz w:val="16"/>
                <w:szCs w:val="16"/>
              </w:rPr>
              <w:t xml:space="preserve">milestone </w:t>
            </w:r>
            <w:r w:rsidRPr="005B6074">
              <w:rPr>
                <w:rFonts w:ascii="Verdana" w:hAnsi="Verdana"/>
                <w:bCs/>
                <w:color w:val="000000"/>
                <w:sz w:val="16"/>
                <w:szCs w:val="16"/>
              </w:rPr>
              <w:t xml:space="preserve">is risky as the collaboration is expected to happen as a result of the support to the research institutions - probably to the end of the programme. </w:t>
            </w:r>
          </w:p>
        </w:tc>
      </w:tr>
      <w:tr w:rsidR="00C27724" w:rsidRPr="005B6074" w:rsidTr="002F4E2B">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pStyle w:val="Default"/>
              <w:rPr>
                <w:rFonts w:ascii="Verdana" w:hAnsi="Verdana"/>
                <w:sz w:val="16"/>
                <w:szCs w:val="16"/>
              </w:rPr>
            </w:pPr>
            <w:r w:rsidRPr="005B6074">
              <w:rPr>
                <w:rFonts w:ascii="Verdana" w:hAnsi="Verdana"/>
                <w:color w:val="auto"/>
                <w:sz w:val="16"/>
                <w:szCs w:val="16"/>
              </w:rPr>
              <w:t xml:space="preserve">Research competences in the priority areas listed in the Strategy for Smart Specialisation </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The indicator is unclear and therefore its relevance cannot be commented </w:t>
            </w:r>
          </w:p>
        </w:tc>
        <w:tc>
          <w:tcPr>
            <w:tcW w:w="1830"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clear</w:t>
            </w:r>
          </w:p>
        </w:tc>
        <w:tc>
          <w:tcPr>
            <w:tcW w:w="1011" w:type="dxa"/>
            <w:gridSpan w:val="3"/>
            <w:vAlign w:val="center"/>
          </w:tcPr>
          <w:p w:rsidR="00C27724" w:rsidRPr="005B6074" w:rsidRDefault="00C27724" w:rsidP="00A511E7">
            <w:pPr>
              <w:rPr>
                <w:rFonts w:ascii="Verdana" w:hAnsi="Verdana"/>
                <w:bCs/>
                <w:color w:val="000000"/>
                <w:sz w:val="16"/>
                <w:szCs w:val="16"/>
              </w:rPr>
            </w:pPr>
            <w:r w:rsidRPr="005B6074">
              <w:rPr>
                <w:rFonts w:ascii="Verdana" w:hAnsi="Verdana"/>
                <w:bCs/>
                <w:color w:val="000000"/>
                <w:sz w:val="16"/>
                <w:szCs w:val="16"/>
              </w:rPr>
              <w:t>Number</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0</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150</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200</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The indicator is unclear </w:t>
            </w:r>
          </w:p>
        </w:tc>
      </w:tr>
      <w:tr w:rsidR="00C27724" w:rsidRPr="005B6074" w:rsidTr="002F4E2B">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pStyle w:val="Default"/>
              <w:rPr>
                <w:rFonts w:ascii="Verdana" w:hAnsi="Verdana"/>
                <w:color w:val="auto"/>
                <w:sz w:val="16"/>
                <w:szCs w:val="16"/>
              </w:rPr>
            </w:pPr>
            <w:r w:rsidRPr="005B6074">
              <w:rPr>
                <w:rFonts w:ascii="Verdana" w:hAnsi="Verdana"/>
                <w:color w:val="auto"/>
                <w:sz w:val="16"/>
                <w:szCs w:val="16"/>
              </w:rPr>
              <w:t>Higher schools, which have assisted or ensured access for Bulgarian research organizations to different European technological platforms, and have conducted joint technological initiatives</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relevant</w:t>
            </w:r>
          </w:p>
        </w:tc>
        <w:tc>
          <w:tcPr>
            <w:tcW w:w="1830"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meaning of “European technological platforms” and “joint technological initiatives” has to be clarified</w:t>
            </w:r>
          </w:p>
        </w:tc>
        <w:tc>
          <w:tcPr>
            <w:tcW w:w="1011" w:type="dxa"/>
            <w:gridSpan w:val="3"/>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Number</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Not specified</w:t>
            </w:r>
          </w:p>
        </w:tc>
        <w:tc>
          <w:tcPr>
            <w:tcW w:w="1020" w:type="dxa"/>
            <w:vAlign w:val="center"/>
          </w:tcPr>
          <w:p w:rsidR="00C27724" w:rsidRPr="005B6074" w:rsidRDefault="00C27724" w:rsidP="00A511E7">
            <w:r w:rsidRPr="005B6074">
              <w:rPr>
                <w:rFonts w:ascii="Verdana" w:hAnsi="Verdana"/>
                <w:sz w:val="16"/>
                <w:szCs w:val="16"/>
              </w:rPr>
              <w:t>Not specified</w:t>
            </w:r>
          </w:p>
        </w:tc>
        <w:tc>
          <w:tcPr>
            <w:tcW w:w="991" w:type="dxa"/>
            <w:vAlign w:val="center"/>
          </w:tcPr>
          <w:p w:rsidR="00C27724" w:rsidRPr="005B6074" w:rsidRDefault="00C27724" w:rsidP="00A511E7">
            <w:r w:rsidRPr="005B6074">
              <w:rPr>
                <w:rFonts w:ascii="Verdana" w:hAnsi="Verdana"/>
                <w:sz w:val="16"/>
                <w:szCs w:val="16"/>
              </w:rPr>
              <w:t>Not specified</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are no values</w:t>
            </w:r>
          </w:p>
        </w:tc>
      </w:tr>
      <w:tr w:rsidR="00C27724" w:rsidRPr="005B6074" w:rsidTr="002F4E2B">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pStyle w:val="Default"/>
              <w:rPr>
                <w:rFonts w:ascii="Verdana" w:hAnsi="Verdana"/>
                <w:color w:val="auto"/>
                <w:sz w:val="16"/>
                <w:szCs w:val="16"/>
              </w:rPr>
            </w:pPr>
            <w:r w:rsidRPr="005B6074">
              <w:rPr>
                <w:rFonts w:ascii="Verdana" w:hAnsi="Verdana"/>
                <w:sz w:val="16"/>
                <w:szCs w:val="16"/>
              </w:rPr>
              <w:t>Researchers employed at improved infrastructures for scientific research</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more relevant to the IP1. (it is a common indicator listed in Regulation 1301/2013)</w:t>
            </w:r>
          </w:p>
        </w:tc>
        <w:tc>
          <w:tcPr>
            <w:tcW w:w="1830"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The indicator is clear </w:t>
            </w:r>
          </w:p>
        </w:tc>
        <w:tc>
          <w:tcPr>
            <w:tcW w:w="1011" w:type="dxa"/>
            <w:gridSpan w:val="3"/>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Number</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0</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150</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300</w:t>
            </w:r>
          </w:p>
        </w:tc>
        <w:tc>
          <w:tcPr>
            <w:tcW w:w="3376" w:type="dxa"/>
            <w:vAlign w:val="center"/>
          </w:tcPr>
          <w:p w:rsidR="00C27724" w:rsidRPr="005B6074" w:rsidRDefault="00C27724" w:rsidP="00DB6F26">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The operational programme envisages support to 9 research infrastructures. This provides for average employment of 33 researches pre infrastructure which seems realistic.  It is recommended as for the result indicator – research infrastructures built – to revise the </w:t>
            </w:r>
            <w:r w:rsidR="00DB6F26">
              <w:rPr>
                <w:rFonts w:ascii="Verdana" w:hAnsi="Verdana"/>
                <w:bCs/>
                <w:color w:val="000000"/>
                <w:sz w:val="16"/>
                <w:szCs w:val="16"/>
              </w:rPr>
              <w:t>milestone</w:t>
            </w:r>
            <w:r w:rsidRPr="005B6074">
              <w:rPr>
                <w:rFonts w:ascii="Verdana" w:hAnsi="Verdana"/>
                <w:bCs/>
                <w:color w:val="000000"/>
                <w:sz w:val="16"/>
                <w:szCs w:val="16"/>
              </w:rPr>
              <w:t xml:space="preserve"> value because building of infrastructures requires time for preparation and for establishment and is seems unrealistic up to 2018 to have 5 research infrastructures built. </w:t>
            </w:r>
          </w:p>
        </w:tc>
      </w:tr>
      <w:tr w:rsidR="00C27724" w:rsidRPr="005B6074" w:rsidTr="002F4E2B">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shd w:val="clear" w:color="auto" w:fill="auto"/>
            <w:vAlign w:val="center"/>
          </w:tcPr>
          <w:p w:rsidR="00C27724" w:rsidRPr="005B6074" w:rsidRDefault="00C27724" w:rsidP="00A511E7">
            <w:pPr>
              <w:pStyle w:val="Default"/>
              <w:rPr>
                <w:rFonts w:ascii="Verdana" w:hAnsi="Verdana"/>
                <w:color w:val="auto"/>
                <w:sz w:val="16"/>
                <w:szCs w:val="16"/>
              </w:rPr>
            </w:pPr>
            <w:r w:rsidRPr="005B6074">
              <w:rPr>
                <w:rFonts w:ascii="Verdana" w:hAnsi="Verdana"/>
                <w:sz w:val="16"/>
                <w:szCs w:val="16"/>
              </w:rPr>
              <w:t xml:space="preserve">Request for access to research infrastructures </w:t>
            </w:r>
            <w:proofErr w:type="spellStart"/>
            <w:r w:rsidRPr="005B6074">
              <w:rPr>
                <w:rFonts w:ascii="Verdana" w:hAnsi="Verdana"/>
                <w:sz w:val="16"/>
                <w:szCs w:val="16"/>
              </w:rPr>
              <w:t>Заявки</w:t>
            </w:r>
            <w:proofErr w:type="spellEnd"/>
            <w:r w:rsidRPr="005B6074">
              <w:rPr>
                <w:rFonts w:ascii="Verdana" w:hAnsi="Verdana"/>
                <w:sz w:val="16"/>
                <w:szCs w:val="16"/>
              </w:rPr>
              <w:t xml:space="preserve"> (including electronic)</w:t>
            </w:r>
          </w:p>
        </w:tc>
        <w:tc>
          <w:tcPr>
            <w:tcW w:w="1414" w:type="dxa"/>
            <w:shd w:val="clear" w:color="auto" w:fill="auto"/>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unclear and therefore its relevance cannot be commented</w:t>
            </w:r>
          </w:p>
        </w:tc>
        <w:tc>
          <w:tcPr>
            <w:tcW w:w="1849" w:type="dxa"/>
            <w:gridSpan w:val="3"/>
            <w:shd w:val="clear" w:color="auto" w:fill="auto"/>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It is necessary to clarify what are these requests</w:t>
            </w:r>
          </w:p>
        </w:tc>
        <w:tc>
          <w:tcPr>
            <w:tcW w:w="992" w:type="dxa"/>
            <w:gridSpan w:val="2"/>
            <w:shd w:val="clear" w:color="auto" w:fill="auto"/>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Number</w:t>
            </w:r>
          </w:p>
        </w:tc>
        <w:tc>
          <w:tcPr>
            <w:tcW w:w="1107" w:type="dxa"/>
            <w:shd w:val="clear" w:color="auto" w:fill="auto"/>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700000</w:t>
            </w:r>
          </w:p>
        </w:tc>
        <w:tc>
          <w:tcPr>
            <w:tcW w:w="1020" w:type="dxa"/>
            <w:shd w:val="clear" w:color="auto" w:fill="auto"/>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1000000</w:t>
            </w:r>
          </w:p>
        </w:tc>
        <w:tc>
          <w:tcPr>
            <w:tcW w:w="991" w:type="dxa"/>
            <w:shd w:val="clear" w:color="auto" w:fill="auto"/>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1700000</w:t>
            </w:r>
          </w:p>
        </w:tc>
        <w:tc>
          <w:tcPr>
            <w:tcW w:w="3376" w:type="dxa"/>
            <w:shd w:val="clear" w:color="auto" w:fill="auto"/>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The indicator is unclear </w:t>
            </w:r>
          </w:p>
        </w:tc>
      </w:tr>
      <w:tr w:rsidR="00C27724" w:rsidRPr="005B6074" w:rsidTr="002F4E2B">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pStyle w:val="Default"/>
              <w:rPr>
                <w:rFonts w:ascii="Verdana" w:hAnsi="Verdana"/>
                <w:color w:val="auto"/>
                <w:sz w:val="16"/>
                <w:szCs w:val="16"/>
              </w:rPr>
            </w:pPr>
            <w:r w:rsidRPr="005B6074">
              <w:rPr>
                <w:rFonts w:ascii="Verdana" w:hAnsi="Verdana"/>
                <w:sz w:val="16"/>
                <w:szCs w:val="16"/>
              </w:rPr>
              <w:t xml:space="preserve">Young researchers involved in partnership networks for research  including joint projects with the business </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relevant</w:t>
            </w:r>
          </w:p>
        </w:tc>
        <w:tc>
          <w:tcPr>
            <w:tcW w:w="1849" w:type="dxa"/>
            <w:gridSpan w:val="3"/>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In the indicator fiches the meaning of “young researchers” “partnership networks” should be clarified</w:t>
            </w:r>
          </w:p>
        </w:tc>
        <w:tc>
          <w:tcPr>
            <w:tcW w:w="992"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Number</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0</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Not specified</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Not specified</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are no values</w:t>
            </w:r>
          </w:p>
        </w:tc>
      </w:tr>
      <w:tr w:rsidR="00C27724" w:rsidRPr="005B6074" w:rsidTr="002F4E2B">
        <w:trPr>
          <w:trHeight w:val="15"/>
        </w:trPr>
        <w:tc>
          <w:tcPr>
            <w:tcW w:w="15168" w:type="dxa"/>
            <w:gridSpan w:val="12"/>
            <w:tcBorders>
              <w:bottom w:val="nil"/>
            </w:tcBorders>
            <w:shd w:val="clear" w:color="auto" w:fill="B8CCE4" w:themeFill="accent1" w:themeFillTint="66"/>
          </w:tcPr>
          <w:p w:rsidR="00C27724" w:rsidRPr="005B6074" w:rsidRDefault="00C27724" w:rsidP="00A511E7">
            <w:pPr>
              <w:pStyle w:val="Default"/>
              <w:keepNext/>
              <w:spacing w:before="120" w:after="120"/>
              <w:jc w:val="both"/>
              <w:rPr>
                <w:rFonts w:ascii="Verdana" w:hAnsi="Verdana"/>
                <w:b/>
                <w:color w:val="auto"/>
                <w:sz w:val="16"/>
                <w:szCs w:val="16"/>
              </w:rPr>
            </w:pPr>
            <w:r w:rsidRPr="005B6074">
              <w:rPr>
                <w:rFonts w:ascii="Verdana" w:hAnsi="Verdana"/>
                <w:b/>
                <w:color w:val="auto"/>
                <w:sz w:val="16"/>
                <w:szCs w:val="16"/>
              </w:rPr>
              <w:t>PA 2. Education and Lifelong Learning</w:t>
            </w:r>
          </w:p>
        </w:tc>
      </w:tr>
      <w:tr w:rsidR="00C27724" w:rsidRPr="005B6074" w:rsidTr="002F4E2B">
        <w:trPr>
          <w:trHeight w:val="15"/>
        </w:trPr>
        <w:tc>
          <w:tcPr>
            <w:tcW w:w="15168" w:type="dxa"/>
            <w:gridSpan w:val="12"/>
            <w:tcBorders>
              <w:bottom w:val="nil"/>
            </w:tcBorders>
            <w:shd w:val="clear" w:color="auto" w:fill="F2DBDB" w:themeFill="accent2" w:themeFillTint="33"/>
          </w:tcPr>
          <w:p w:rsidR="00C27724" w:rsidRPr="005B6074" w:rsidRDefault="00C27724" w:rsidP="00A511E7">
            <w:pPr>
              <w:pStyle w:val="Default"/>
              <w:spacing w:before="120" w:after="120"/>
              <w:jc w:val="both"/>
              <w:rPr>
                <w:rFonts w:ascii="Verdana" w:hAnsi="Verdana"/>
                <w:b/>
                <w:color w:val="auto"/>
                <w:sz w:val="16"/>
                <w:szCs w:val="16"/>
              </w:rPr>
            </w:pPr>
            <w:r w:rsidRPr="005B6074">
              <w:rPr>
                <w:rFonts w:ascii="Verdana" w:hAnsi="Verdana"/>
                <w:b/>
                <w:color w:val="auto"/>
                <w:sz w:val="16"/>
                <w:szCs w:val="16"/>
              </w:rPr>
              <w:t xml:space="preserve">IP1. </w:t>
            </w:r>
            <w:r w:rsidRPr="005B6074">
              <w:rPr>
                <w:rFonts w:ascii="Verdana" w:hAnsi="Verdana" w:cs="Arial Narrow"/>
                <w:i/>
                <w:sz w:val="16"/>
                <w:szCs w:val="16"/>
              </w:rPr>
              <w:t>Reducing and preventing early school-leaving and promoting equal access to good quality early-childhood, primary and secondary education including formal, non-formal and informal learning pathways for reintegrating into education and training</w:t>
            </w:r>
            <w:r w:rsidRPr="005B6074">
              <w:rPr>
                <w:rFonts w:cs="EUAlbertina"/>
                <w:color w:val="19161B"/>
                <w:sz w:val="19"/>
                <w:szCs w:val="19"/>
                <w:lang w:eastAsia="bg-BG"/>
              </w:rPr>
              <w:t xml:space="preserve"> </w:t>
            </w:r>
          </w:p>
        </w:tc>
      </w:tr>
      <w:tr w:rsidR="00C27724" w:rsidRPr="005B6074" w:rsidTr="002F4E2B">
        <w:trPr>
          <w:trHeight w:val="1650"/>
        </w:trPr>
        <w:tc>
          <w:tcPr>
            <w:tcW w:w="2380" w:type="dxa"/>
            <w:vMerge w:val="restart"/>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SO1 Improving the achievements of children and students in acquiring key competences at the pre-school and school educational level.</w:t>
            </w:r>
          </w:p>
          <w:p w:rsidR="00C27724" w:rsidRPr="005B6074" w:rsidRDefault="00C27724" w:rsidP="00A511E7">
            <w:pPr>
              <w:autoSpaceDE w:val="0"/>
              <w:autoSpaceDN w:val="0"/>
              <w:adjustRightInd w:val="0"/>
              <w:spacing w:after="0" w:line="240" w:lineRule="auto"/>
              <w:jc w:val="both"/>
              <w:rPr>
                <w:rFonts w:ascii="Verdana" w:hAnsi="Verdana"/>
                <w:sz w:val="16"/>
                <w:szCs w:val="16"/>
              </w:rPr>
            </w:pPr>
          </w:p>
          <w:p w:rsidR="00C27724" w:rsidRPr="005B6074" w:rsidRDefault="00C27724" w:rsidP="00A511E7">
            <w:pPr>
              <w:autoSpaceDE w:val="0"/>
              <w:autoSpaceDN w:val="0"/>
              <w:adjustRightInd w:val="0"/>
              <w:spacing w:after="0" w:line="240" w:lineRule="auto"/>
              <w:jc w:val="both"/>
              <w:rPr>
                <w:rFonts w:ascii="Verdana" w:hAnsi="Verdana"/>
                <w:sz w:val="16"/>
                <w:szCs w:val="16"/>
              </w:rPr>
            </w:pPr>
          </w:p>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 xml:space="preserve">SO2 Enrolling and retaining the children and students in the educational system by raising the motivation for learning and </w:t>
            </w:r>
            <w:r w:rsidRPr="005B6074">
              <w:rPr>
                <w:rFonts w:ascii="Verdana" w:hAnsi="Verdana"/>
                <w:sz w:val="16"/>
                <w:szCs w:val="16"/>
              </w:rPr>
              <w:lastRenderedPageBreak/>
              <w:t>the attractiveness of the educational institutions.</w:t>
            </w:r>
          </w:p>
          <w:p w:rsidR="00C27724" w:rsidRPr="005B6074" w:rsidRDefault="00C27724" w:rsidP="00A511E7">
            <w:pPr>
              <w:autoSpaceDE w:val="0"/>
              <w:autoSpaceDN w:val="0"/>
              <w:adjustRightInd w:val="0"/>
              <w:spacing w:after="0" w:line="240" w:lineRule="auto"/>
              <w:jc w:val="both"/>
              <w:rPr>
                <w:rFonts w:ascii="Verdana" w:hAnsi="Verdana"/>
                <w:sz w:val="16"/>
                <w:szCs w:val="16"/>
              </w:rPr>
            </w:pPr>
          </w:p>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SO3. Managing of the quality of education by perfecting the system of appraisal of the results of education and developing and putting in place an efficient monitoring system</w:t>
            </w:r>
          </w:p>
        </w:tc>
        <w:tc>
          <w:tcPr>
            <w:tcW w:w="2039"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lastRenderedPageBreak/>
              <w:t>Children aged 4 -6 years enrolled in pre-school education.</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The indicator is relevant, however has a character of a result indicator. It is not fully under control of the programme </w:t>
            </w:r>
          </w:p>
        </w:tc>
        <w:tc>
          <w:tcPr>
            <w:tcW w:w="1849" w:type="dxa"/>
            <w:gridSpan w:val="3"/>
            <w:vAlign w:val="center"/>
          </w:tcPr>
          <w:p w:rsidR="00C27724" w:rsidRPr="005B6074" w:rsidRDefault="00C27724" w:rsidP="00A511E7">
            <w:r w:rsidRPr="005B6074">
              <w:rPr>
                <w:rFonts w:ascii="Verdana" w:hAnsi="Verdana"/>
                <w:bCs/>
                <w:color w:val="000000"/>
                <w:sz w:val="16"/>
                <w:szCs w:val="16"/>
              </w:rPr>
              <w:t>The indicator is clear</w:t>
            </w:r>
          </w:p>
        </w:tc>
        <w:tc>
          <w:tcPr>
            <w:tcW w:w="965"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w:t>
            </w:r>
          </w:p>
        </w:tc>
        <w:tc>
          <w:tcPr>
            <w:tcW w:w="1134"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87,8</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88,5</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90</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The values set are clear. The target value seem realistic having in mind the envisaged support under the programme as scope of activities. The funds allocated however might be insufficient for carrying out the planned reform if the rain no support from the state budget. </w:t>
            </w:r>
          </w:p>
        </w:tc>
      </w:tr>
      <w:tr w:rsidR="00C27724" w:rsidRPr="005B6074" w:rsidTr="002F4E2B">
        <w:trPr>
          <w:trHeight w:val="375"/>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Students included in extra-class and extracurricular activities.</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relevant</w:t>
            </w:r>
          </w:p>
        </w:tc>
        <w:tc>
          <w:tcPr>
            <w:tcW w:w="1849" w:type="dxa"/>
            <w:gridSpan w:val="3"/>
            <w:vAlign w:val="center"/>
          </w:tcPr>
          <w:p w:rsidR="00C27724" w:rsidRPr="005B6074" w:rsidRDefault="00C27724" w:rsidP="00A511E7">
            <w:r w:rsidRPr="005B6074">
              <w:rPr>
                <w:rFonts w:ascii="Verdana" w:hAnsi="Verdana"/>
                <w:bCs/>
                <w:color w:val="000000"/>
                <w:sz w:val="16"/>
                <w:szCs w:val="16"/>
              </w:rPr>
              <w:t>The indicator is clear</w:t>
            </w:r>
          </w:p>
        </w:tc>
        <w:tc>
          <w:tcPr>
            <w:tcW w:w="965"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w:t>
            </w:r>
          </w:p>
        </w:tc>
        <w:tc>
          <w:tcPr>
            <w:tcW w:w="1134"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20</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20</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20</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It is unclear why an increase of the share of students included in extra-class activities is not planned having in mind the support from the programme.</w:t>
            </w:r>
          </w:p>
        </w:tc>
      </w:tr>
      <w:tr w:rsidR="00C27724" w:rsidRPr="005B6074" w:rsidTr="002F4E2B">
        <w:trPr>
          <w:trHeight w:val="1120"/>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 xml:space="preserve">Group net coefficient for enrolment in kindergartens </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relevant, however has a character of a result indicator. It is not fully under control of the programme</w:t>
            </w:r>
          </w:p>
        </w:tc>
        <w:tc>
          <w:tcPr>
            <w:tcW w:w="1849" w:type="dxa"/>
            <w:gridSpan w:val="3"/>
            <w:vAlign w:val="center"/>
          </w:tcPr>
          <w:p w:rsidR="00C27724" w:rsidRPr="005B6074" w:rsidRDefault="00C27724" w:rsidP="00A511E7">
            <w:r w:rsidRPr="005B6074">
              <w:rPr>
                <w:rFonts w:ascii="Verdana" w:hAnsi="Verdana"/>
                <w:bCs/>
                <w:color w:val="000000"/>
                <w:sz w:val="16"/>
                <w:szCs w:val="16"/>
              </w:rPr>
              <w:t>The indicator is clear</w:t>
            </w:r>
          </w:p>
        </w:tc>
        <w:tc>
          <w:tcPr>
            <w:tcW w:w="965"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w:t>
            </w:r>
          </w:p>
        </w:tc>
        <w:tc>
          <w:tcPr>
            <w:tcW w:w="1134"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83,6</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85</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87</w:t>
            </w:r>
          </w:p>
        </w:tc>
        <w:tc>
          <w:tcPr>
            <w:tcW w:w="3376" w:type="dxa"/>
            <w:vMerge w:val="restart"/>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It is recommended to revise the indicators as they are not fully under control of the programme and are rather result indicators. </w:t>
            </w:r>
          </w:p>
        </w:tc>
      </w:tr>
      <w:tr w:rsidR="00C27724" w:rsidRPr="005B6074" w:rsidTr="002F4E2B">
        <w:trPr>
          <w:trHeight w:val="1551"/>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Net coefficient of enrolment of the population aged 3 to 23 in the educational system</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rather a result indicator. It is not fully under control of the programme</w:t>
            </w:r>
          </w:p>
        </w:tc>
        <w:tc>
          <w:tcPr>
            <w:tcW w:w="1849" w:type="dxa"/>
            <w:gridSpan w:val="3"/>
            <w:vAlign w:val="center"/>
          </w:tcPr>
          <w:p w:rsidR="00C27724" w:rsidRPr="005B6074" w:rsidRDefault="00C27724" w:rsidP="00A511E7">
            <w:r w:rsidRPr="005B6074">
              <w:rPr>
                <w:rFonts w:ascii="Verdana" w:hAnsi="Verdana"/>
                <w:bCs/>
                <w:color w:val="000000"/>
                <w:sz w:val="16"/>
                <w:szCs w:val="16"/>
              </w:rPr>
              <w:t>The indicator is clear</w:t>
            </w:r>
          </w:p>
        </w:tc>
        <w:tc>
          <w:tcPr>
            <w:tcW w:w="965"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w:t>
            </w:r>
          </w:p>
        </w:tc>
        <w:tc>
          <w:tcPr>
            <w:tcW w:w="1134"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81,7</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82,5</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84</w:t>
            </w:r>
          </w:p>
        </w:tc>
        <w:tc>
          <w:tcPr>
            <w:tcW w:w="3376" w:type="dxa"/>
            <w:vMerge/>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highlight w:val="green"/>
              </w:rPr>
            </w:pPr>
          </w:p>
        </w:tc>
      </w:tr>
      <w:tr w:rsidR="00C27724" w:rsidRPr="005B6074" w:rsidTr="002F4E2B">
        <w:tc>
          <w:tcPr>
            <w:tcW w:w="15168" w:type="dxa"/>
            <w:gridSpan w:val="12"/>
            <w:shd w:val="clear" w:color="auto" w:fill="F2DBDB" w:themeFill="accent2" w:themeFillTint="33"/>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
                <w:bCs/>
                <w:color w:val="000000"/>
                <w:sz w:val="16"/>
                <w:szCs w:val="16"/>
              </w:rPr>
              <w:t>IP2.</w:t>
            </w:r>
            <w:r w:rsidRPr="005B6074">
              <w:rPr>
                <w:rFonts w:ascii="Verdana" w:hAnsi="Verdana"/>
                <w:bCs/>
                <w:color w:val="000000"/>
                <w:sz w:val="16"/>
                <w:szCs w:val="16"/>
              </w:rPr>
              <w:t xml:space="preserve"> </w:t>
            </w:r>
            <w:r w:rsidRPr="005B6074">
              <w:rPr>
                <w:rFonts w:ascii="Verdana" w:hAnsi="Verdana" w:cs="Arial Narrow"/>
                <w:i/>
                <w:color w:val="000000"/>
                <w:sz w:val="16"/>
                <w:szCs w:val="16"/>
              </w:rPr>
              <w:t>Improving the quality and efficiency of, and access to, tertiary and equivalent education with a view to increasing participation and attainment levels, especially for disadvantaged groups</w:t>
            </w:r>
            <w:r w:rsidRPr="005B6074">
              <w:rPr>
                <w:rFonts w:ascii="Verdana" w:hAnsi="Verdana"/>
                <w:i/>
                <w:color w:val="000000"/>
                <w:sz w:val="20"/>
              </w:rPr>
              <w:t xml:space="preserve"> </w:t>
            </w:r>
          </w:p>
        </w:tc>
      </w:tr>
      <w:tr w:rsidR="00C27724" w:rsidRPr="005B6074" w:rsidTr="002F4E2B">
        <w:trPr>
          <w:trHeight w:val="1515"/>
        </w:trPr>
        <w:tc>
          <w:tcPr>
            <w:tcW w:w="2380" w:type="dxa"/>
            <w:vMerge w:val="restart"/>
            <w:vAlign w:val="center"/>
          </w:tcPr>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SO1 Improving the knowledge, skills and opportunities for realization of university graduates</w:t>
            </w: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SO 2. Optimizing the activities of the higher schools.</w:t>
            </w: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SO 3 Improving the access to higher education and increasing the number of persons with higher education in the age between 30-34 years up to 36% by 2020.</w:t>
            </w:r>
          </w:p>
        </w:tc>
        <w:tc>
          <w:tcPr>
            <w:tcW w:w="2039" w:type="dxa"/>
            <w:vAlign w:val="center"/>
          </w:tcPr>
          <w:p w:rsidR="00C27724" w:rsidRPr="005B6074" w:rsidRDefault="00C27724" w:rsidP="00A511E7">
            <w:pPr>
              <w:pStyle w:val="Default"/>
              <w:rPr>
                <w:rFonts w:ascii="Verdana" w:hAnsi="Verdana"/>
                <w:bCs/>
                <w:color w:val="auto"/>
                <w:sz w:val="16"/>
                <w:szCs w:val="16"/>
              </w:rPr>
            </w:pPr>
            <w:r w:rsidRPr="005B6074">
              <w:rPr>
                <w:rFonts w:ascii="Verdana" w:hAnsi="Verdana"/>
                <w:bCs/>
                <w:color w:val="auto"/>
                <w:sz w:val="16"/>
                <w:szCs w:val="16"/>
              </w:rPr>
              <w:lastRenderedPageBreak/>
              <w:t>Higher schools with improved management system including internal evaluation.</w:t>
            </w:r>
          </w:p>
        </w:tc>
        <w:tc>
          <w:tcPr>
            <w:tcW w:w="1414" w:type="dxa"/>
            <w:vAlign w:val="center"/>
          </w:tcPr>
          <w:p w:rsidR="00C27724" w:rsidRPr="005B6074" w:rsidRDefault="00C27724" w:rsidP="00A511E7">
            <w:r w:rsidRPr="005B6074">
              <w:rPr>
                <w:rFonts w:ascii="Verdana" w:hAnsi="Verdana"/>
                <w:bCs/>
                <w:color w:val="000000"/>
                <w:sz w:val="16"/>
                <w:szCs w:val="16"/>
              </w:rPr>
              <w:t xml:space="preserve">The indicator is relevant </w:t>
            </w:r>
          </w:p>
        </w:tc>
        <w:tc>
          <w:tcPr>
            <w:tcW w:w="1849" w:type="dxa"/>
            <w:gridSpan w:val="3"/>
            <w:vAlign w:val="center"/>
          </w:tcPr>
          <w:p w:rsidR="00C27724" w:rsidRPr="005B6074" w:rsidRDefault="00C27724" w:rsidP="00A511E7">
            <w:r w:rsidRPr="005B6074">
              <w:rPr>
                <w:rFonts w:ascii="Verdana" w:hAnsi="Verdana"/>
                <w:bCs/>
                <w:color w:val="000000"/>
                <w:sz w:val="16"/>
                <w:szCs w:val="16"/>
              </w:rPr>
              <w:t>The indicator is clear</w:t>
            </w:r>
          </w:p>
        </w:tc>
        <w:tc>
          <w:tcPr>
            <w:tcW w:w="992"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w:t>
            </w:r>
          </w:p>
        </w:tc>
        <w:tc>
          <w:tcPr>
            <w:tcW w:w="1107" w:type="dxa"/>
            <w:vAlign w:val="center"/>
          </w:tcPr>
          <w:p w:rsidR="00C27724" w:rsidRPr="005B6074" w:rsidRDefault="00C27724" w:rsidP="00A511E7">
            <w:pPr>
              <w:rPr>
                <w:rFonts w:ascii="Verdana" w:hAnsi="Verdana"/>
                <w:sz w:val="16"/>
                <w:szCs w:val="16"/>
              </w:rPr>
            </w:pPr>
            <w:r w:rsidRPr="005B6074">
              <w:rPr>
                <w:rFonts w:ascii="Verdana" w:hAnsi="Verdana"/>
                <w:sz w:val="16"/>
                <w:szCs w:val="16"/>
              </w:rPr>
              <w:t>65</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75</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85</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There is no information on the methodology how the indicator values have been calculated. Having in mind the envisaged support the values seem realistic. </w:t>
            </w:r>
          </w:p>
        </w:tc>
      </w:tr>
      <w:tr w:rsidR="00C27724" w:rsidRPr="005B6074" w:rsidTr="002F4E2B">
        <w:trPr>
          <w:trHeight w:val="885"/>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pStyle w:val="CommentText"/>
              <w:spacing w:after="0" w:line="240" w:lineRule="auto"/>
              <w:rPr>
                <w:rFonts w:ascii="Verdana" w:hAnsi="Verdana"/>
                <w:bCs/>
                <w:sz w:val="16"/>
                <w:szCs w:val="16"/>
              </w:rPr>
            </w:pPr>
            <w:r w:rsidRPr="005B6074">
              <w:rPr>
                <w:rFonts w:ascii="Verdana" w:hAnsi="Verdana"/>
                <w:bCs/>
                <w:sz w:val="16"/>
                <w:szCs w:val="16"/>
              </w:rPr>
              <w:t xml:space="preserve">The share of the funding for higher schools that depends on the results of the rating system. </w:t>
            </w:r>
          </w:p>
        </w:tc>
        <w:tc>
          <w:tcPr>
            <w:tcW w:w="1414" w:type="dxa"/>
            <w:vAlign w:val="center"/>
          </w:tcPr>
          <w:p w:rsidR="00C27724" w:rsidRPr="005B6074" w:rsidRDefault="00C27724" w:rsidP="00A511E7">
            <w:r w:rsidRPr="005B6074">
              <w:rPr>
                <w:rFonts w:ascii="Verdana" w:hAnsi="Verdana"/>
                <w:bCs/>
                <w:color w:val="000000"/>
                <w:sz w:val="16"/>
                <w:szCs w:val="16"/>
              </w:rPr>
              <w:t xml:space="preserve">The indicator is relevant </w:t>
            </w:r>
          </w:p>
        </w:tc>
        <w:tc>
          <w:tcPr>
            <w:tcW w:w="1849" w:type="dxa"/>
            <w:gridSpan w:val="3"/>
            <w:vAlign w:val="center"/>
          </w:tcPr>
          <w:p w:rsidR="00C27724" w:rsidRPr="005B6074" w:rsidRDefault="00C27724" w:rsidP="00A511E7">
            <w:r w:rsidRPr="005B6074">
              <w:rPr>
                <w:rFonts w:ascii="Verdana" w:hAnsi="Verdana"/>
                <w:bCs/>
                <w:color w:val="000000"/>
                <w:sz w:val="16"/>
                <w:szCs w:val="16"/>
              </w:rPr>
              <w:t>The indicator is clear</w:t>
            </w:r>
          </w:p>
        </w:tc>
        <w:tc>
          <w:tcPr>
            <w:tcW w:w="992" w:type="dxa"/>
            <w:gridSpan w:val="2"/>
            <w:vAlign w:val="center"/>
          </w:tcPr>
          <w:p w:rsidR="00C27724" w:rsidRPr="005B6074" w:rsidRDefault="00C27724" w:rsidP="00A511E7">
            <w:pPr>
              <w:spacing w:after="160" w:line="259" w:lineRule="auto"/>
              <w:rPr>
                <w:rFonts w:ascii="Verdana" w:hAnsi="Verdana"/>
                <w:bCs/>
                <w:color w:val="000000"/>
                <w:sz w:val="16"/>
                <w:szCs w:val="16"/>
              </w:rPr>
            </w:pPr>
            <w:r w:rsidRPr="005B6074">
              <w:rPr>
                <w:rFonts w:ascii="Verdana" w:hAnsi="Verdana"/>
                <w:bCs/>
                <w:color w:val="000000"/>
                <w:sz w:val="16"/>
                <w:szCs w:val="16"/>
              </w:rPr>
              <w:t>%</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4</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5</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20</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depends on political decisions and requires regulative changes.</w:t>
            </w:r>
          </w:p>
        </w:tc>
      </w:tr>
      <w:tr w:rsidR="00C27724" w:rsidRPr="005B6074" w:rsidTr="002F4E2B">
        <w:trPr>
          <w:trHeight w:val="1169"/>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pStyle w:val="Default"/>
              <w:rPr>
                <w:rFonts w:ascii="Verdana" w:hAnsi="Verdana"/>
                <w:sz w:val="16"/>
                <w:szCs w:val="16"/>
              </w:rPr>
            </w:pPr>
            <w:r w:rsidRPr="005B6074">
              <w:rPr>
                <w:rFonts w:ascii="Verdana" w:hAnsi="Verdana"/>
                <w:sz w:val="16"/>
                <w:szCs w:val="16"/>
              </w:rPr>
              <w:t>Number of higher school professors trained.</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The indicator is not relevant to the specific objectives of IP2 </w:t>
            </w:r>
          </w:p>
        </w:tc>
        <w:tc>
          <w:tcPr>
            <w:tcW w:w="1849" w:type="dxa"/>
            <w:gridSpan w:val="3"/>
            <w:vAlign w:val="center"/>
          </w:tcPr>
          <w:p w:rsidR="00C27724" w:rsidRPr="005B6074" w:rsidRDefault="00C27724" w:rsidP="00A511E7">
            <w:r w:rsidRPr="005B6074">
              <w:rPr>
                <w:rFonts w:ascii="Verdana" w:hAnsi="Verdana"/>
                <w:bCs/>
                <w:color w:val="000000"/>
                <w:sz w:val="16"/>
                <w:szCs w:val="16"/>
              </w:rPr>
              <w:t>The indicator is clear</w:t>
            </w:r>
          </w:p>
        </w:tc>
        <w:tc>
          <w:tcPr>
            <w:tcW w:w="992"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10</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25</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50</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is no information on the methodology how the indicator values have been calculated. Having in mind the envisaged support the values seem too optimistic.</w:t>
            </w:r>
          </w:p>
        </w:tc>
      </w:tr>
      <w:tr w:rsidR="00C27724" w:rsidRPr="005B6074" w:rsidTr="002F4E2B">
        <w:trPr>
          <w:trHeight w:val="1132"/>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pStyle w:val="Default"/>
              <w:rPr>
                <w:rFonts w:ascii="Verdana" w:hAnsi="Verdana"/>
                <w:sz w:val="16"/>
                <w:szCs w:val="16"/>
              </w:rPr>
            </w:pPr>
            <w:r w:rsidRPr="005B6074">
              <w:rPr>
                <w:rFonts w:ascii="Verdana" w:hAnsi="Verdana"/>
                <w:color w:val="auto"/>
                <w:sz w:val="16"/>
                <w:szCs w:val="16"/>
              </w:rPr>
              <w:t>Number of higher schools involved in consolidation initiatives.</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not bound to the activities</w:t>
            </w:r>
          </w:p>
        </w:tc>
        <w:tc>
          <w:tcPr>
            <w:tcW w:w="1849" w:type="dxa"/>
            <w:gridSpan w:val="3"/>
            <w:vAlign w:val="center"/>
          </w:tcPr>
          <w:p w:rsidR="00C27724" w:rsidRPr="005B6074" w:rsidRDefault="00C27724" w:rsidP="00A511E7">
            <w:r w:rsidRPr="005B6074">
              <w:rPr>
                <w:rFonts w:ascii="Verdana" w:hAnsi="Verdana"/>
                <w:bCs/>
                <w:color w:val="000000"/>
                <w:sz w:val="16"/>
                <w:szCs w:val="16"/>
              </w:rPr>
              <w:t>The indicator is not clear</w:t>
            </w:r>
          </w:p>
        </w:tc>
        <w:tc>
          <w:tcPr>
            <w:tcW w:w="992"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Number/%</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Not specified</w:t>
            </w:r>
          </w:p>
        </w:tc>
        <w:tc>
          <w:tcPr>
            <w:tcW w:w="1020" w:type="dxa"/>
            <w:vAlign w:val="center"/>
          </w:tcPr>
          <w:p w:rsidR="00C27724" w:rsidRPr="005B6074" w:rsidRDefault="00C27724" w:rsidP="00A511E7">
            <w:r w:rsidRPr="005B6074">
              <w:rPr>
                <w:rFonts w:ascii="Verdana" w:hAnsi="Verdana"/>
                <w:sz w:val="16"/>
                <w:szCs w:val="16"/>
              </w:rPr>
              <w:t>Not specified</w:t>
            </w:r>
          </w:p>
        </w:tc>
        <w:tc>
          <w:tcPr>
            <w:tcW w:w="991" w:type="dxa"/>
            <w:vAlign w:val="center"/>
          </w:tcPr>
          <w:p w:rsidR="00C27724" w:rsidRPr="005B6074" w:rsidRDefault="00C27724" w:rsidP="00A511E7">
            <w:r w:rsidRPr="005B6074">
              <w:rPr>
                <w:rFonts w:ascii="Verdana" w:hAnsi="Verdana"/>
                <w:sz w:val="16"/>
                <w:szCs w:val="16"/>
              </w:rPr>
              <w:t>Not specified</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are no values</w:t>
            </w:r>
          </w:p>
        </w:tc>
      </w:tr>
      <w:tr w:rsidR="00C27724" w:rsidRPr="005B6074" w:rsidTr="002F4E2B">
        <w:trPr>
          <w:trHeight w:val="979"/>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pStyle w:val="Default"/>
              <w:rPr>
                <w:rFonts w:ascii="Verdana" w:hAnsi="Verdana"/>
                <w:bCs/>
                <w:color w:val="auto"/>
                <w:sz w:val="16"/>
                <w:szCs w:val="16"/>
              </w:rPr>
            </w:pPr>
            <w:r w:rsidRPr="005B6074">
              <w:rPr>
                <w:rFonts w:ascii="Verdana" w:hAnsi="Verdana"/>
                <w:color w:val="auto"/>
                <w:sz w:val="16"/>
                <w:szCs w:val="16"/>
              </w:rPr>
              <w:t>Students -recipients of scholarships and special scholarships.</w:t>
            </w:r>
          </w:p>
        </w:tc>
        <w:tc>
          <w:tcPr>
            <w:tcW w:w="1414" w:type="dxa"/>
            <w:vAlign w:val="center"/>
          </w:tcPr>
          <w:p w:rsidR="00C27724" w:rsidRPr="005B6074" w:rsidRDefault="00C27724" w:rsidP="00A511E7">
            <w:r w:rsidRPr="005B6074">
              <w:rPr>
                <w:rFonts w:ascii="Verdana" w:hAnsi="Verdana"/>
                <w:bCs/>
                <w:color w:val="000000"/>
                <w:sz w:val="16"/>
                <w:szCs w:val="16"/>
              </w:rPr>
              <w:t xml:space="preserve">The indicator is relevant </w:t>
            </w:r>
          </w:p>
        </w:tc>
        <w:tc>
          <w:tcPr>
            <w:tcW w:w="1849" w:type="dxa"/>
            <w:gridSpan w:val="3"/>
            <w:vAlign w:val="center"/>
          </w:tcPr>
          <w:p w:rsidR="00C27724" w:rsidRPr="005B6074" w:rsidRDefault="00C27724" w:rsidP="00A511E7">
            <w:r w:rsidRPr="005B6074">
              <w:rPr>
                <w:rFonts w:ascii="Verdana" w:hAnsi="Verdana"/>
                <w:bCs/>
                <w:color w:val="000000"/>
                <w:sz w:val="16"/>
                <w:szCs w:val="16"/>
              </w:rPr>
              <w:t>The indicator is clear</w:t>
            </w:r>
          </w:p>
        </w:tc>
        <w:tc>
          <w:tcPr>
            <w:tcW w:w="992"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20</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20</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20</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It is unclear why an increase of the share of scholarships is not planned having in mind the support from the programme.</w:t>
            </w:r>
          </w:p>
        </w:tc>
      </w:tr>
      <w:tr w:rsidR="00C27724" w:rsidRPr="005B6074" w:rsidTr="002F4E2B">
        <w:trPr>
          <w:trHeight w:val="1365"/>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pStyle w:val="Default"/>
              <w:rPr>
                <w:rFonts w:ascii="Verdana" w:hAnsi="Verdana"/>
                <w:sz w:val="16"/>
                <w:szCs w:val="16"/>
              </w:rPr>
            </w:pPr>
            <w:r w:rsidRPr="005B6074">
              <w:rPr>
                <w:rFonts w:ascii="Verdana" w:hAnsi="Verdana"/>
                <w:bCs/>
                <w:color w:val="auto"/>
                <w:sz w:val="16"/>
                <w:szCs w:val="16"/>
              </w:rPr>
              <w:t>Number of students and PhD students recipients of student loans</w:t>
            </w:r>
          </w:p>
        </w:tc>
        <w:tc>
          <w:tcPr>
            <w:tcW w:w="1414" w:type="dxa"/>
            <w:vAlign w:val="center"/>
          </w:tcPr>
          <w:p w:rsidR="00C27724" w:rsidRPr="005B6074" w:rsidRDefault="00C27724" w:rsidP="00A511E7">
            <w:r w:rsidRPr="005B6074">
              <w:rPr>
                <w:rFonts w:ascii="Verdana" w:hAnsi="Verdana"/>
                <w:bCs/>
                <w:color w:val="000000"/>
                <w:sz w:val="16"/>
                <w:szCs w:val="16"/>
              </w:rPr>
              <w:t xml:space="preserve">The indicator is relevant </w:t>
            </w:r>
          </w:p>
        </w:tc>
        <w:tc>
          <w:tcPr>
            <w:tcW w:w="1849" w:type="dxa"/>
            <w:gridSpan w:val="3"/>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clear</w:t>
            </w:r>
          </w:p>
        </w:tc>
        <w:tc>
          <w:tcPr>
            <w:tcW w:w="992"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Number</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14 681</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26 000</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34 000</w:t>
            </w:r>
          </w:p>
        </w:tc>
        <w:tc>
          <w:tcPr>
            <w:tcW w:w="3376" w:type="dxa"/>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 xml:space="preserve">In the OPESSG it is stated that the programme will support the increase of the guarantee for provision of loan. It is also noted that the interest to the loans increased between 10 and 20% in the period 20011-2013. Having in mind this information the indicator values seem realistic. </w:t>
            </w:r>
          </w:p>
        </w:tc>
      </w:tr>
      <w:tr w:rsidR="00C27724" w:rsidRPr="005B6074" w:rsidTr="002F4E2B">
        <w:tc>
          <w:tcPr>
            <w:tcW w:w="15168" w:type="dxa"/>
            <w:gridSpan w:val="12"/>
            <w:shd w:val="clear" w:color="auto" w:fill="F2DBDB" w:themeFill="accent2" w:themeFillTint="33"/>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
                <w:bCs/>
                <w:color w:val="000000"/>
                <w:sz w:val="16"/>
                <w:szCs w:val="16"/>
              </w:rPr>
              <w:t>IP3.</w:t>
            </w:r>
            <w:r w:rsidRPr="005B6074">
              <w:rPr>
                <w:rFonts w:ascii="Verdana" w:hAnsi="Verdana"/>
                <w:bCs/>
                <w:color w:val="000000"/>
                <w:sz w:val="16"/>
                <w:szCs w:val="16"/>
              </w:rPr>
              <w:t xml:space="preserve"> </w:t>
            </w:r>
            <w:r w:rsidRPr="005B6074">
              <w:rPr>
                <w:rFonts w:ascii="Verdana" w:hAnsi="Verdana" w:cs="Arial Narrow"/>
                <w:i/>
                <w:color w:val="000000"/>
                <w:sz w:val="16"/>
                <w:szCs w:val="16"/>
              </w:rPr>
              <w:t>Enhancing equal access to lifelong learning for all age groups in formal, non-formal and informal settings, upgrading the knowledge, skills and competences of the workforce, and promoting flexible learning pathways including through career guidance and validation of acquired competences</w:t>
            </w:r>
          </w:p>
        </w:tc>
      </w:tr>
      <w:tr w:rsidR="00C27724" w:rsidRPr="005B6074" w:rsidTr="002F4E2B">
        <w:tc>
          <w:tcPr>
            <w:tcW w:w="2380" w:type="dxa"/>
            <w:vMerge w:val="restart"/>
            <w:vAlign w:val="center"/>
          </w:tcPr>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SO1. Developing the capacity and raising the qualification of the people employed in the areas of education, training and science.</w:t>
            </w: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SO2. Rendering support for the continuing education and creating conditions for acquiring and building on knowledge, skills and competences</w:t>
            </w:r>
          </w:p>
        </w:tc>
        <w:tc>
          <w:tcPr>
            <w:tcW w:w="2039" w:type="dxa"/>
            <w:vAlign w:val="center"/>
          </w:tcPr>
          <w:p w:rsidR="00C27724" w:rsidRPr="005B6074" w:rsidRDefault="00C27724" w:rsidP="00A511E7">
            <w:pPr>
              <w:spacing w:after="0" w:line="240" w:lineRule="auto"/>
              <w:rPr>
                <w:rFonts w:ascii="Verdana" w:hAnsi="Verdana"/>
                <w:sz w:val="16"/>
                <w:szCs w:val="16"/>
              </w:rPr>
            </w:pPr>
            <w:r w:rsidRPr="005B6074">
              <w:rPr>
                <w:rFonts w:ascii="Verdana" w:hAnsi="Verdana"/>
                <w:sz w:val="16"/>
                <w:szCs w:val="16"/>
              </w:rPr>
              <w:lastRenderedPageBreak/>
              <w:t xml:space="preserve">Students that study in the area of pedagogical science </w:t>
            </w:r>
          </w:p>
        </w:tc>
        <w:tc>
          <w:tcPr>
            <w:tcW w:w="1414" w:type="dxa"/>
            <w:vAlign w:val="center"/>
          </w:tcPr>
          <w:p w:rsidR="00C27724" w:rsidRPr="005B6074" w:rsidRDefault="00C27724" w:rsidP="00A511E7">
            <w:r w:rsidRPr="005B6074">
              <w:rPr>
                <w:rFonts w:ascii="Verdana" w:hAnsi="Verdana"/>
                <w:bCs/>
                <w:color w:val="000000"/>
                <w:sz w:val="16"/>
                <w:szCs w:val="16"/>
              </w:rPr>
              <w:t xml:space="preserve">The indicator is relevant </w:t>
            </w:r>
          </w:p>
        </w:tc>
        <w:tc>
          <w:tcPr>
            <w:tcW w:w="1849" w:type="dxa"/>
            <w:gridSpan w:val="3"/>
            <w:vAlign w:val="center"/>
          </w:tcPr>
          <w:p w:rsidR="00C27724" w:rsidRPr="005B6074" w:rsidRDefault="00C27724" w:rsidP="00A511E7">
            <w:r w:rsidRPr="005B6074">
              <w:rPr>
                <w:rFonts w:ascii="Verdana" w:hAnsi="Verdana"/>
                <w:bCs/>
                <w:color w:val="000000"/>
                <w:sz w:val="16"/>
                <w:szCs w:val="16"/>
              </w:rPr>
              <w:t>The indicator is clear</w:t>
            </w:r>
          </w:p>
        </w:tc>
        <w:tc>
          <w:tcPr>
            <w:tcW w:w="992"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7,7</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10</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15</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is no information on the methodology how the indicator values have been calculated. Having in mind the envisaged support the values seem realistic.</w:t>
            </w:r>
          </w:p>
        </w:tc>
      </w:tr>
      <w:tr w:rsidR="00C27724" w:rsidRPr="005B6074" w:rsidTr="002F4E2B">
        <w:trPr>
          <w:trHeight w:val="960"/>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spacing w:after="0" w:line="240" w:lineRule="auto"/>
              <w:rPr>
                <w:rFonts w:ascii="Verdana" w:hAnsi="Verdana"/>
                <w:sz w:val="16"/>
                <w:szCs w:val="16"/>
              </w:rPr>
            </w:pPr>
            <w:r w:rsidRPr="005B6074">
              <w:rPr>
                <w:rFonts w:ascii="Verdana" w:hAnsi="Verdana"/>
                <w:sz w:val="16"/>
                <w:szCs w:val="16"/>
              </w:rPr>
              <w:t xml:space="preserve">MSc graduates that continue their studies as PhD students </w:t>
            </w:r>
          </w:p>
        </w:tc>
        <w:tc>
          <w:tcPr>
            <w:tcW w:w="1414" w:type="dxa"/>
            <w:vAlign w:val="center"/>
          </w:tcPr>
          <w:p w:rsidR="00C27724" w:rsidRPr="005B6074" w:rsidRDefault="00C27724" w:rsidP="00A511E7">
            <w:r w:rsidRPr="005B6074">
              <w:rPr>
                <w:rFonts w:ascii="Verdana" w:hAnsi="Verdana"/>
                <w:bCs/>
                <w:color w:val="000000"/>
                <w:sz w:val="16"/>
                <w:szCs w:val="16"/>
              </w:rPr>
              <w:t xml:space="preserve">The indicator is relevant </w:t>
            </w:r>
          </w:p>
        </w:tc>
        <w:tc>
          <w:tcPr>
            <w:tcW w:w="1849" w:type="dxa"/>
            <w:gridSpan w:val="3"/>
            <w:vAlign w:val="center"/>
          </w:tcPr>
          <w:p w:rsidR="00C27724" w:rsidRPr="005B6074" w:rsidRDefault="00C27724" w:rsidP="00A511E7">
            <w:r w:rsidRPr="005B6074">
              <w:rPr>
                <w:rFonts w:ascii="Verdana" w:hAnsi="Verdana"/>
                <w:bCs/>
                <w:color w:val="000000"/>
                <w:sz w:val="16"/>
                <w:szCs w:val="16"/>
              </w:rPr>
              <w:t>The indicator is clear</w:t>
            </w:r>
          </w:p>
        </w:tc>
        <w:tc>
          <w:tcPr>
            <w:tcW w:w="992"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Number/%</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Not specified</w:t>
            </w:r>
          </w:p>
        </w:tc>
        <w:tc>
          <w:tcPr>
            <w:tcW w:w="1020" w:type="dxa"/>
            <w:vAlign w:val="center"/>
          </w:tcPr>
          <w:p w:rsidR="00C27724" w:rsidRPr="005B6074" w:rsidRDefault="00C27724" w:rsidP="00A511E7">
            <w:r w:rsidRPr="005B6074">
              <w:rPr>
                <w:rFonts w:ascii="Verdana" w:hAnsi="Verdana"/>
                <w:sz w:val="16"/>
                <w:szCs w:val="16"/>
              </w:rPr>
              <w:t>Not specified</w:t>
            </w:r>
          </w:p>
        </w:tc>
        <w:tc>
          <w:tcPr>
            <w:tcW w:w="991" w:type="dxa"/>
            <w:vAlign w:val="center"/>
          </w:tcPr>
          <w:p w:rsidR="00C27724" w:rsidRPr="005B6074" w:rsidRDefault="00C27724" w:rsidP="00A511E7">
            <w:r w:rsidRPr="005B6074">
              <w:rPr>
                <w:rFonts w:ascii="Verdana" w:hAnsi="Verdana"/>
                <w:sz w:val="16"/>
                <w:szCs w:val="16"/>
              </w:rPr>
              <w:t>Not specified</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are no values</w:t>
            </w:r>
          </w:p>
        </w:tc>
      </w:tr>
      <w:tr w:rsidR="00C27724" w:rsidRPr="005B6074" w:rsidTr="002F4E2B">
        <w:trPr>
          <w:trHeight w:val="750"/>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spacing w:after="0" w:line="240" w:lineRule="auto"/>
              <w:rPr>
                <w:rFonts w:ascii="Verdana" w:hAnsi="Verdana"/>
                <w:sz w:val="16"/>
                <w:szCs w:val="16"/>
              </w:rPr>
            </w:pPr>
            <w:r w:rsidRPr="005B6074">
              <w:rPr>
                <w:rFonts w:ascii="Verdana" w:hAnsi="Verdana"/>
                <w:sz w:val="16"/>
                <w:szCs w:val="16"/>
              </w:rPr>
              <w:t xml:space="preserve">The participants in mobility programmes who have improved qualification and have better realisation </w:t>
            </w:r>
          </w:p>
        </w:tc>
        <w:tc>
          <w:tcPr>
            <w:tcW w:w="1414" w:type="dxa"/>
            <w:vAlign w:val="center"/>
          </w:tcPr>
          <w:p w:rsidR="00C27724" w:rsidRPr="005B6074" w:rsidRDefault="00C27724" w:rsidP="00A511E7">
            <w:r w:rsidRPr="005B6074">
              <w:rPr>
                <w:rFonts w:ascii="Verdana" w:hAnsi="Verdana"/>
                <w:bCs/>
                <w:color w:val="000000"/>
                <w:sz w:val="16"/>
                <w:szCs w:val="16"/>
              </w:rPr>
              <w:t xml:space="preserve">The indicator is relevant </w:t>
            </w:r>
          </w:p>
        </w:tc>
        <w:tc>
          <w:tcPr>
            <w:tcW w:w="1849" w:type="dxa"/>
            <w:gridSpan w:val="3"/>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not sufficiently clear. It is unclear how the improved qualification will be measured. It is more appropriate to measure only the persons included in mobility programmes.</w:t>
            </w:r>
          </w:p>
        </w:tc>
        <w:tc>
          <w:tcPr>
            <w:tcW w:w="992"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Not specified</w:t>
            </w:r>
          </w:p>
        </w:tc>
        <w:tc>
          <w:tcPr>
            <w:tcW w:w="1020" w:type="dxa"/>
            <w:vAlign w:val="center"/>
          </w:tcPr>
          <w:p w:rsidR="00C27724" w:rsidRPr="005B6074" w:rsidRDefault="00C27724" w:rsidP="00A511E7">
            <w:r w:rsidRPr="005B6074">
              <w:rPr>
                <w:rFonts w:ascii="Verdana" w:hAnsi="Verdana"/>
                <w:sz w:val="16"/>
                <w:szCs w:val="16"/>
              </w:rPr>
              <w:t>Not specified</w:t>
            </w:r>
          </w:p>
        </w:tc>
        <w:tc>
          <w:tcPr>
            <w:tcW w:w="991" w:type="dxa"/>
            <w:vAlign w:val="center"/>
          </w:tcPr>
          <w:p w:rsidR="00C27724" w:rsidRPr="005B6074" w:rsidRDefault="00C27724" w:rsidP="00A511E7">
            <w:r w:rsidRPr="005B6074">
              <w:rPr>
                <w:rFonts w:ascii="Verdana" w:hAnsi="Verdana"/>
                <w:sz w:val="16"/>
                <w:szCs w:val="16"/>
              </w:rPr>
              <w:t>Not specified</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are no values</w:t>
            </w:r>
          </w:p>
        </w:tc>
      </w:tr>
      <w:tr w:rsidR="00C27724" w:rsidRPr="005B6074" w:rsidTr="002F4E2B">
        <w:trPr>
          <w:trHeight w:val="1125"/>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spacing w:after="0" w:line="240" w:lineRule="auto"/>
              <w:rPr>
                <w:rFonts w:ascii="Verdana" w:hAnsi="Verdana"/>
                <w:sz w:val="16"/>
                <w:szCs w:val="16"/>
              </w:rPr>
            </w:pPr>
            <w:r w:rsidRPr="005B6074">
              <w:rPr>
                <w:rFonts w:ascii="Verdana" w:hAnsi="Verdana"/>
                <w:sz w:val="16"/>
                <w:szCs w:val="16"/>
              </w:rPr>
              <w:t xml:space="preserve">Persons who attended literacy courses and courses for studying the educational material of the pre-high school level.  </w:t>
            </w:r>
          </w:p>
        </w:tc>
        <w:tc>
          <w:tcPr>
            <w:tcW w:w="1414" w:type="dxa"/>
            <w:vAlign w:val="center"/>
          </w:tcPr>
          <w:p w:rsidR="00C27724" w:rsidRPr="005B6074" w:rsidRDefault="00C27724" w:rsidP="00A511E7">
            <w:r w:rsidRPr="005B6074">
              <w:rPr>
                <w:rFonts w:ascii="Verdana" w:hAnsi="Verdana"/>
                <w:bCs/>
                <w:color w:val="000000"/>
                <w:sz w:val="16"/>
                <w:szCs w:val="16"/>
              </w:rPr>
              <w:t xml:space="preserve">The indicator is relevant </w:t>
            </w:r>
          </w:p>
        </w:tc>
        <w:tc>
          <w:tcPr>
            <w:tcW w:w="1849" w:type="dxa"/>
            <w:gridSpan w:val="3"/>
            <w:vAlign w:val="center"/>
          </w:tcPr>
          <w:p w:rsidR="00C27724" w:rsidRPr="005B6074" w:rsidRDefault="00C27724" w:rsidP="00A511E7">
            <w:r w:rsidRPr="005B6074">
              <w:rPr>
                <w:rFonts w:ascii="Verdana" w:hAnsi="Verdana"/>
                <w:bCs/>
                <w:color w:val="000000"/>
                <w:sz w:val="16"/>
                <w:szCs w:val="16"/>
              </w:rPr>
              <w:t>The indicator is clear</w:t>
            </w:r>
          </w:p>
        </w:tc>
        <w:tc>
          <w:tcPr>
            <w:tcW w:w="992"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Number</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bCs/>
                <w:color w:val="000000"/>
                <w:sz w:val="16"/>
                <w:szCs w:val="16"/>
              </w:rPr>
              <w:t>15000</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25000</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40000</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is no information on the methodology how the indicator values have been calculated. Having in mind the envisaged support the values seem realistic</w:t>
            </w:r>
          </w:p>
        </w:tc>
      </w:tr>
      <w:tr w:rsidR="00C27724" w:rsidRPr="005B6074" w:rsidTr="002F4E2B">
        <w:trPr>
          <w:trHeight w:val="900"/>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spacing w:after="0" w:line="240" w:lineRule="auto"/>
              <w:rPr>
                <w:rFonts w:ascii="Verdana" w:hAnsi="Verdana"/>
                <w:sz w:val="16"/>
                <w:szCs w:val="16"/>
              </w:rPr>
            </w:pPr>
            <w:r w:rsidRPr="005B6074">
              <w:rPr>
                <w:rFonts w:ascii="Verdana" w:hAnsi="Verdana"/>
                <w:sz w:val="16"/>
                <w:szCs w:val="16"/>
              </w:rPr>
              <w:t xml:space="preserve">Persons that validated their knowledge, skills and competences. </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relevant</w:t>
            </w:r>
          </w:p>
        </w:tc>
        <w:tc>
          <w:tcPr>
            <w:tcW w:w="1849" w:type="dxa"/>
            <w:gridSpan w:val="3"/>
            <w:vAlign w:val="center"/>
          </w:tcPr>
          <w:p w:rsidR="00C27724" w:rsidRPr="005B6074" w:rsidRDefault="00C27724" w:rsidP="00A511E7">
            <w:r w:rsidRPr="005B6074">
              <w:rPr>
                <w:rFonts w:ascii="Verdana" w:hAnsi="Verdana"/>
                <w:bCs/>
                <w:color w:val="000000"/>
                <w:sz w:val="16"/>
                <w:szCs w:val="16"/>
              </w:rPr>
              <w:t>The indicator is clear</w:t>
            </w:r>
          </w:p>
        </w:tc>
        <w:tc>
          <w:tcPr>
            <w:tcW w:w="992"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Number</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0</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1500</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2500</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is no information on the methodology how the indicator values have been calculated. Having in mind the envisaged support the values seem realistic.</w:t>
            </w:r>
          </w:p>
        </w:tc>
      </w:tr>
      <w:tr w:rsidR="00C27724" w:rsidRPr="005B6074" w:rsidTr="002F4E2B">
        <w:trPr>
          <w:trHeight w:val="930"/>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spacing w:after="0" w:line="240" w:lineRule="auto"/>
              <w:rPr>
                <w:rFonts w:ascii="Verdana" w:hAnsi="Verdana"/>
                <w:sz w:val="16"/>
                <w:szCs w:val="16"/>
              </w:rPr>
            </w:pPr>
            <w:r w:rsidRPr="005B6074">
              <w:rPr>
                <w:rFonts w:ascii="Verdana" w:hAnsi="Verdana"/>
                <w:sz w:val="16"/>
                <w:szCs w:val="16"/>
              </w:rPr>
              <w:t>Persons in the age bracket 25-64 years, who participate in lifelong learning (in the last four weeks prior to the survey)</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The indicator is too broad and is not the product only of the activities under </w:t>
            </w:r>
            <w:r w:rsidR="005B35A7">
              <w:rPr>
                <w:rFonts w:ascii="Verdana" w:hAnsi="Verdana"/>
                <w:bCs/>
                <w:color w:val="000000"/>
                <w:sz w:val="16"/>
                <w:szCs w:val="16"/>
              </w:rPr>
              <w:t>OPSESG</w:t>
            </w:r>
            <w:r w:rsidRPr="005B6074">
              <w:rPr>
                <w:rFonts w:ascii="Verdana" w:hAnsi="Verdana"/>
                <w:bCs/>
                <w:color w:val="000000"/>
                <w:sz w:val="16"/>
                <w:szCs w:val="16"/>
              </w:rPr>
              <w:t>.</w:t>
            </w:r>
          </w:p>
        </w:tc>
        <w:tc>
          <w:tcPr>
            <w:tcW w:w="1849" w:type="dxa"/>
            <w:gridSpan w:val="3"/>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In the indicator fiche it should be clarified what is the meaning of </w:t>
            </w:r>
            <w:r w:rsidRPr="005B6074">
              <w:rPr>
                <w:rFonts w:ascii="Verdana" w:hAnsi="Verdana"/>
                <w:sz w:val="16"/>
                <w:szCs w:val="16"/>
              </w:rPr>
              <w:t>lifelong learning. It is unclear the percentage of what is measured.</w:t>
            </w:r>
          </w:p>
        </w:tc>
        <w:tc>
          <w:tcPr>
            <w:tcW w:w="992"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1,7</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2,5</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3,5</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It is recommended the indicator to be excluded from the system of indicators as the text indicator covers it meaning. </w:t>
            </w:r>
          </w:p>
        </w:tc>
      </w:tr>
      <w:tr w:rsidR="00C27724" w:rsidRPr="005B6074" w:rsidTr="002F4E2B">
        <w:trPr>
          <w:trHeight w:val="995"/>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spacing w:after="0" w:line="240" w:lineRule="auto"/>
              <w:rPr>
                <w:rFonts w:ascii="Verdana" w:hAnsi="Verdana"/>
                <w:sz w:val="16"/>
                <w:szCs w:val="16"/>
              </w:rPr>
            </w:pPr>
            <w:r w:rsidRPr="005B6074">
              <w:rPr>
                <w:rFonts w:ascii="Verdana" w:hAnsi="Verdana"/>
                <w:sz w:val="16"/>
                <w:szCs w:val="16"/>
              </w:rPr>
              <w:t>Persons in the age bracket 25-64 years, who participate in informal education</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relevant</w:t>
            </w:r>
          </w:p>
        </w:tc>
        <w:tc>
          <w:tcPr>
            <w:tcW w:w="1849" w:type="dxa"/>
            <w:gridSpan w:val="3"/>
            <w:vAlign w:val="center"/>
          </w:tcPr>
          <w:p w:rsidR="00C27724" w:rsidRPr="005B6074" w:rsidRDefault="00C27724" w:rsidP="00A511E7">
            <w:r w:rsidRPr="005B6074">
              <w:rPr>
                <w:rFonts w:ascii="Verdana" w:hAnsi="Verdana"/>
                <w:bCs/>
                <w:color w:val="000000"/>
                <w:sz w:val="16"/>
                <w:szCs w:val="16"/>
              </w:rPr>
              <w:t>The indicator is clear</w:t>
            </w:r>
          </w:p>
        </w:tc>
        <w:tc>
          <w:tcPr>
            <w:tcW w:w="992"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24,4</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26</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28</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is no information on the methodology how the indicator values have been calculated. Having in mind the envisaged support the values seem realistic.</w:t>
            </w:r>
          </w:p>
        </w:tc>
      </w:tr>
      <w:tr w:rsidR="00C27724" w:rsidRPr="005B6074" w:rsidTr="002F4E2B">
        <w:trPr>
          <w:trHeight w:val="405"/>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spacing w:after="0" w:line="240" w:lineRule="auto"/>
              <w:rPr>
                <w:rFonts w:ascii="Verdana" w:hAnsi="Verdana"/>
                <w:sz w:val="16"/>
                <w:szCs w:val="16"/>
              </w:rPr>
            </w:pPr>
            <w:r w:rsidRPr="005B6074">
              <w:rPr>
                <w:rFonts w:ascii="Verdana" w:hAnsi="Verdana"/>
                <w:sz w:val="16"/>
                <w:szCs w:val="16"/>
              </w:rPr>
              <w:t>Number of undergraduate/postgraduate students who acquire professional qualification teacher and start working during the first year after graduating</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relevant. However it has a character of result indicator.</w:t>
            </w:r>
          </w:p>
        </w:tc>
        <w:tc>
          <w:tcPr>
            <w:tcW w:w="1849" w:type="dxa"/>
            <w:gridSpan w:val="3"/>
            <w:vAlign w:val="center"/>
          </w:tcPr>
          <w:p w:rsidR="00C27724" w:rsidRPr="005B6074" w:rsidRDefault="00C27724" w:rsidP="00A511E7">
            <w:r w:rsidRPr="005B6074">
              <w:rPr>
                <w:rFonts w:ascii="Verdana" w:hAnsi="Verdana"/>
                <w:bCs/>
                <w:color w:val="000000"/>
                <w:sz w:val="16"/>
                <w:szCs w:val="16"/>
              </w:rPr>
              <w:t>The indicator is clear</w:t>
            </w:r>
          </w:p>
        </w:tc>
        <w:tc>
          <w:tcPr>
            <w:tcW w:w="992"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Number</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Not specified</w:t>
            </w:r>
          </w:p>
        </w:tc>
        <w:tc>
          <w:tcPr>
            <w:tcW w:w="1020" w:type="dxa"/>
            <w:vAlign w:val="center"/>
          </w:tcPr>
          <w:p w:rsidR="00C27724" w:rsidRPr="005B6074" w:rsidRDefault="00C27724" w:rsidP="00A511E7">
            <w:r w:rsidRPr="005B6074">
              <w:rPr>
                <w:rFonts w:ascii="Verdana" w:hAnsi="Verdana"/>
                <w:sz w:val="16"/>
                <w:szCs w:val="16"/>
              </w:rPr>
              <w:t>Not specified</w:t>
            </w:r>
          </w:p>
        </w:tc>
        <w:tc>
          <w:tcPr>
            <w:tcW w:w="991" w:type="dxa"/>
            <w:vAlign w:val="center"/>
          </w:tcPr>
          <w:p w:rsidR="00C27724" w:rsidRPr="005B6074" w:rsidRDefault="00C27724" w:rsidP="00A511E7">
            <w:r w:rsidRPr="005B6074">
              <w:rPr>
                <w:rFonts w:ascii="Verdana" w:hAnsi="Verdana"/>
                <w:sz w:val="16"/>
                <w:szCs w:val="16"/>
              </w:rPr>
              <w:t>Not specified</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are no values</w:t>
            </w:r>
          </w:p>
        </w:tc>
      </w:tr>
      <w:tr w:rsidR="00C27724" w:rsidRPr="005B6074" w:rsidTr="002F4E2B">
        <w:trPr>
          <w:trHeight w:val="255"/>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spacing w:after="0" w:line="240" w:lineRule="auto"/>
              <w:rPr>
                <w:rFonts w:ascii="Verdana" w:hAnsi="Verdana"/>
                <w:sz w:val="16"/>
                <w:szCs w:val="16"/>
              </w:rPr>
            </w:pPr>
            <w:r w:rsidRPr="005B6074">
              <w:rPr>
                <w:rFonts w:ascii="Verdana" w:hAnsi="Verdana"/>
                <w:sz w:val="16"/>
                <w:szCs w:val="16"/>
              </w:rPr>
              <w:t>Number of PhD students, post-graduate students, professors at higher schools and researchers from foreign European universities and research centres in Bulgaria included in mobility programmes.</w:t>
            </w:r>
          </w:p>
        </w:tc>
        <w:tc>
          <w:tcPr>
            <w:tcW w:w="1414" w:type="dxa"/>
            <w:vAlign w:val="center"/>
          </w:tcPr>
          <w:p w:rsidR="00C27724" w:rsidRPr="005B6074" w:rsidRDefault="00C27724" w:rsidP="00A511E7">
            <w:r w:rsidRPr="005B6074">
              <w:rPr>
                <w:rFonts w:ascii="Verdana" w:hAnsi="Verdana"/>
                <w:bCs/>
                <w:color w:val="000000"/>
                <w:sz w:val="16"/>
                <w:szCs w:val="16"/>
              </w:rPr>
              <w:t xml:space="preserve">The indicator is relevant </w:t>
            </w:r>
          </w:p>
        </w:tc>
        <w:tc>
          <w:tcPr>
            <w:tcW w:w="1849" w:type="dxa"/>
            <w:gridSpan w:val="3"/>
            <w:vAlign w:val="center"/>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It should be clearly specified which researchers from foreign European universities will be taken account of.</w:t>
            </w:r>
          </w:p>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p>
        </w:tc>
        <w:tc>
          <w:tcPr>
            <w:tcW w:w="992"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Number</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bCs/>
                <w:color w:val="000000"/>
                <w:sz w:val="16"/>
                <w:szCs w:val="16"/>
              </w:rPr>
              <w:t>4 643</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7 000</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13 000</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is no information on the methodology how the indicator values have been calculated. Having in mind the envisaged support the values seem realistic.</w:t>
            </w:r>
          </w:p>
        </w:tc>
      </w:tr>
      <w:tr w:rsidR="00C27724" w:rsidRPr="005B6074" w:rsidTr="002F4E2B">
        <w:trPr>
          <w:trHeight w:val="405"/>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spacing w:after="0" w:line="240" w:lineRule="auto"/>
              <w:rPr>
                <w:rFonts w:ascii="Verdana" w:hAnsi="Verdana"/>
                <w:sz w:val="16"/>
                <w:szCs w:val="16"/>
              </w:rPr>
            </w:pPr>
            <w:r w:rsidRPr="005B6074">
              <w:rPr>
                <w:rFonts w:ascii="Verdana" w:hAnsi="Verdana"/>
                <w:sz w:val="16"/>
                <w:szCs w:val="16"/>
              </w:rPr>
              <w:t>Pupils covered by the system of carrier orientation.</w:t>
            </w:r>
          </w:p>
        </w:tc>
        <w:tc>
          <w:tcPr>
            <w:tcW w:w="1414" w:type="dxa"/>
            <w:vAlign w:val="center"/>
          </w:tcPr>
          <w:p w:rsidR="00C27724" w:rsidRPr="005B6074" w:rsidRDefault="00C27724" w:rsidP="00A511E7">
            <w:r w:rsidRPr="005B6074">
              <w:rPr>
                <w:rFonts w:ascii="Verdana" w:hAnsi="Verdana"/>
                <w:bCs/>
                <w:color w:val="000000"/>
                <w:sz w:val="16"/>
                <w:szCs w:val="16"/>
              </w:rPr>
              <w:t xml:space="preserve">The indicator is relevant </w:t>
            </w:r>
          </w:p>
        </w:tc>
        <w:tc>
          <w:tcPr>
            <w:tcW w:w="1849" w:type="dxa"/>
            <w:gridSpan w:val="3"/>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clear</w:t>
            </w:r>
          </w:p>
        </w:tc>
        <w:tc>
          <w:tcPr>
            <w:tcW w:w="992" w:type="dxa"/>
            <w:gridSpan w:val="2"/>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25</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40</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50</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is no information on the methodology how the indicator values have been calculated. Having in mind the envisaged support the values seem realistic.</w:t>
            </w:r>
          </w:p>
        </w:tc>
      </w:tr>
      <w:tr w:rsidR="00C27724" w:rsidRPr="005B6074" w:rsidTr="002F4E2B">
        <w:tc>
          <w:tcPr>
            <w:tcW w:w="15168" w:type="dxa"/>
            <w:gridSpan w:val="12"/>
            <w:shd w:val="clear" w:color="auto" w:fill="F2DBDB" w:themeFill="accent2" w:themeFillTint="33"/>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
                <w:sz w:val="16"/>
                <w:szCs w:val="16"/>
              </w:rPr>
              <w:t>IP4.</w:t>
            </w:r>
            <w:r w:rsidRPr="005B6074">
              <w:rPr>
                <w:rFonts w:ascii="Verdana" w:hAnsi="Verdana"/>
                <w:sz w:val="16"/>
                <w:szCs w:val="16"/>
              </w:rPr>
              <w:t xml:space="preserve"> </w:t>
            </w:r>
            <w:r w:rsidRPr="005B6074">
              <w:rPr>
                <w:rFonts w:ascii="Verdana" w:hAnsi="Verdana" w:cs="Arial Narrow"/>
                <w:i/>
                <w:color w:val="000000"/>
                <w:sz w:val="16"/>
                <w:szCs w:val="16"/>
              </w:rPr>
              <w:t>Improving the labour market relevance of education and training systems, facilitating the transition from education to work, and strengthening vocational education and training systems and their quality, including through mechanisms for skills anticipation, adaptation of curricula and the establishment and development of work-based learning systems, including dual learning systems and apprenticeship schemes.</w:t>
            </w:r>
          </w:p>
        </w:tc>
      </w:tr>
      <w:tr w:rsidR="00C27724" w:rsidRPr="005B6074" w:rsidTr="002F4E2B">
        <w:tc>
          <w:tcPr>
            <w:tcW w:w="2380" w:type="dxa"/>
            <w:vMerge w:val="restart"/>
            <w:shd w:val="clear" w:color="auto" w:fill="auto"/>
            <w:vAlign w:val="center"/>
          </w:tcPr>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SO1. Raising the attractiveness and improving the quality of vocational education and training</w:t>
            </w: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SO2. Promoting cooperation between professional education and training and higher education, science and business.</w:t>
            </w:r>
          </w:p>
          <w:p w:rsidR="00C27724" w:rsidRPr="005B6074" w:rsidRDefault="00C27724" w:rsidP="00A511E7">
            <w:pPr>
              <w:autoSpaceDE w:val="0"/>
              <w:autoSpaceDN w:val="0"/>
              <w:adjustRightInd w:val="0"/>
              <w:spacing w:after="0" w:line="240" w:lineRule="auto"/>
              <w:rPr>
                <w:rFonts w:ascii="Verdana" w:hAnsi="Verdana"/>
                <w:sz w:val="16"/>
                <w:szCs w:val="16"/>
              </w:rPr>
            </w:pPr>
          </w:p>
        </w:tc>
        <w:tc>
          <w:tcPr>
            <w:tcW w:w="2039" w:type="dxa"/>
            <w:shd w:val="clear" w:color="auto" w:fill="auto"/>
            <w:vAlign w:val="center"/>
          </w:tcPr>
          <w:p w:rsidR="00C27724" w:rsidRPr="005B6074" w:rsidRDefault="00C27724" w:rsidP="00A511E7">
            <w:pPr>
              <w:pStyle w:val="Default"/>
              <w:rPr>
                <w:rFonts w:ascii="Verdana" w:hAnsi="Verdana"/>
                <w:color w:val="auto"/>
                <w:sz w:val="16"/>
                <w:szCs w:val="16"/>
              </w:rPr>
            </w:pPr>
            <w:r w:rsidRPr="005B6074">
              <w:rPr>
                <w:rFonts w:ascii="Verdana" w:hAnsi="Verdana"/>
                <w:color w:val="auto"/>
                <w:sz w:val="16"/>
                <w:szCs w:val="16"/>
              </w:rPr>
              <w:lastRenderedPageBreak/>
              <w:t>Pupils participating in various forms of vocational education (modular or on the job training)</w:t>
            </w:r>
          </w:p>
        </w:tc>
        <w:tc>
          <w:tcPr>
            <w:tcW w:w="1414" w:type="dxa"/>
            <w:shd w:val="clear" w:color="auto" w:fill="auto"/>
            <w:vAlign w:val="center"/>
          </w:tcPr>
          <w:p w:rsidR="00C27724" w:rsidRPr="005B6074" w:rsidRDefault="00C27724" w:rsidP="00A511E7">
            <w:r w:rsidRPr="005B6074">
              <w:rPr>
                <w:rFonts w:ascii="Verdana" w:hAnsi="Verdana"/>
                <w:bCs/>
                <w:color w:val="000000"/>
                <w:sz w:val="16"/>
                <w:szCs w:val="16"/>
              </w:rPr>
              <w:t xml:space="preserve">The indicator is relevant </w:t>
            </w:r>
          </w:p>
        </w:tc>
        <w:tc>
          <w:tcPr>
            <w:tcW w:w="1822" w:type="dxa"/>
            <w:shd w:val="clear" w:color="auto" w:fill="auto"/>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clear</w:t>
            </w:r>
          </w:p>
        </w:tc>
        <w:tc>
          <w:tcPr>
            <w:tcW w:w="1019" w:type="dxa"/>
            <w:gridSpan w:val="4"/>
            <w:shd w:val="clear" w:color="auto" w:fill="auto"/>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Number</w:t>
            </w:r>
          </w:p>
        </w:tc>
        <w:tc>
          <w:tcPr>
            <w:tcW w:w="1107" w:type="dxa"/>
            <w:shd w:val="clear" w:color="auto" w:fill="auto"/>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Not specified</w:t>
            </w:r>
          </w:p>
        </w:tc>
        <w:tc>
          <w:tcPr>
            <w:tcW w:w="1020" w:type="dxa"/>
            <w:shd w:val="clear" w:color="auto" w:fill="auto"/>
            <w:vAlign w:val="center"/>
          </w:tcPr>
          <w:p w:rsidR="00C27724" w:rsidRPr="005B6074" w:rsidRDefault="00C27724" w:rsidP="00A511E7">
            <w:r w:rsidRPr="005B6074">
              <w:rPr>
                <w:rFonts w:ascii="Verdana" w:hAnsi="Verdana"/>
                <w:sz w:val="16"/>
                <w:szCs w:val="16"/>
              </w:rPr>
              <w:t>Not specified</w:t>
            </w:r>
          </w:p>
        </w:tc>
        <w:tc>
          <w:tcPr>
            <w:tcW w:w="991" w:type="dxa"/>
            <w:shd w:val="clear" w:color="auto" w:fill="auto"/>
            <w:vAlign w:val="center"/>
          </w:tcPr>
          <w:p w:rsidR="00C27724" w:rsidRPr="005B6074" w:rsidRDefault="00C27724" w:rsidP="00A511E7">
            <w:r w:rsidRPr="005B6074">
              <w:rPr>
                <w:rFonts w:ascii="Verdana" w:hAnsi="Verdana"/>
                <w:sz w:val="16"/>
                <w:szCs w:val="16"/>
              </w:rPr>
              <w:t>Not specified</w:t>
            </w:r>
          </w:p>
        </w:tc>
        <w:tc>
          <w:tcPr>
            <w:tcW w:w="3376" w:type="dxa"/>
            <w:shd w:val="clear" w:color="auto" w:fill="auto"/>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are no values</w:t>
            </w:r>
          </w:p>
        </w:tc>
      </w:tr>
      <w:tr w:rsidR="00C27724" w:rsidRPr="005B6074" w:rsidTr="002F4E2B">
        <w:trPr>
          <w:trHeight w:val="519"/>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pStyle w:val="Default"/>
              <w:rPr>
                <w:rFonts w:ascii="Verdana" w:hAnsi="Verdana"/>
                <w:color w:val="auto"/>
                <w:sz w:val="16"/>
                <w:szCs w:val="16"/>
              </w:rPr>
            </w:pPr>
            <w:r w:rsidRPr="005B6074">
              <w:rPr>
                <w:rFonts w:ascii="Verdana" w:hAnsi="Verdana"/>
                <w:color w:val="auto"/>
                <w:sz w:val="16"/>
                <w:szCs w:val="16"/>
              </w:rPr>
              <w:t xml:space="preserve">Pupils trained in the vocational education in the areas of the economy specified in </w:t>
            </w:r>
            <w:r w:rsidRPr="005B6074">
              <w:rPr>
                <w:rFonts w:ascii="Verdana" w:hAnsi="Verdana"/>
                <w:color w:val="auto"/>
                <w:sz w:val="16"/>
                <w:szCs w:val="16"/>
              </w:rPr>
              <w:lastRenderedPageBreak/>
              <w:t xml:space="preserve">the Strategy for smart specialization. </w:t>
            </w:r>
          </w:p>
        </w:tc>
        <w:tc>
          <w:tcPr>
            <w:tcW w:w="1414" w:type="dxa"/>
            <w:vAlign w:val="center"/>
          </w:tcPr>
          <w:p w:rsidR="00C27724" w:rsidRPr="005B6074" w:rsidRDefault="00C27724" w:rsidP="00A511E7">
            <w:r w:rsidRPr="005B6074">
              <w:rPr>
                <w:rFonts w:ascii="Verdana" w:hAnsi="Verdana"/>
                <w:bCs/>
                <w:color w:val="000000"/>
                <w:sz w:val="16"/>
                <w:szCs w:val="16"/>
              </w:rPr>
              <w:lastRenderedPageBreak/>
              <w:t xml:space="preserve">The indicator is relevant </w:t>
            </w:r>
          </w:p>
        </w:tc>
        <w:tc>
          <w:tcPr>
            <w:tcW w:w="1822"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It is necessary to specify the areas.</w:t>
            </w:r>
          </w:p>
        </w:tc>
        <w:tc>
          <w:tcPr>
            <w:tcW w:w="1019" w:type="dxa"/>
            <w:gridSpan w:val="4"/>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63</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65</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68</w:t>
            </w:r>
          </w:p>
        </w:tc>
        <w:tc>
          <w:tcPr>
            <w:tcW w:w="3376" w:type="dxa"/>
          </w:tcPr>
          <w:p w:rsidR="00C27724" w:rsidRPr="005B6074" w:rsidRDefault="00C27724" w:rsidP="00A511E7">
            <w:r w:rsidRPr="005B6074">
              <w:rPr>
                <w:rFonts w:ascii="Verdana" w:hAnsi="Verdana"/>
                <w:bCs/>
                <w:color w:val="000000"/>
                <w:sz w:val="16"/>
                <w:szCs w:val="16"/>
              </w:rPr>
              <w:t xml:space="preserve">There is no information on the methodology how the indicator values have been calculated. Having in mind </w:t>
            </w:r>
            <w:r w:rsidRPr="005B6074">
              <w:rPr>
                <w:rFonts w:ascii="Verdana" w:hAnsi="Verdana"/>
                <w:bCs/>
                <w:color w:val="000000"/>
                <w:sz w:val="16"/>
                <w:szCs w:val="16"/>
              </w:rPr>
              <w:lastRenderedPageBreak/>
              <w:t>the envisaged support the values seem realistic.</w:t>
            </w:r>
          </w:p>
        </w:tc>
      </w:tr>
      <w:tr w:rsidR="00C27724" w:rsidRPr="005B6074" w:rsidTr="002F4E2B">
        <w:trPr>
          <w:trHeight w:val="930"/>
        </w:trPr>
        <w:tc>
          <w:tcPr>
            <w:tcW w:w="2380"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2039" w:type="dxa"/>
            <w:vAlign w:val="center"/>
          </w:tcPr>
          <w:p w:rsidR="00C27724" w:rsidRPr="005B6074" w:rsidRDefault="00C27724" w:rsidP="00A511E7">
            <w:pPr>
              <w:pStyle w:val="Default"/>
              <w:rPr>
                <w:rFonts w:ascii="Verdana" w:hAnsi="Verdana"/>
                <w:color w:val="auto"/>
                <w:sz w:val="16"/>
                <w:szCs w:val="16"/>
              </w:rPr>
            </w:pPr>
            <w:r w:rsidRPr="005B6074">
              <w:rPr>
                <w:rFonts w:ascii="Verdana" w:hAnsi="Verdana"/>
                <w:bCs/>
                <w:color w:val="auto"/>
                <w:sz w:val="16"/>
                <w:szCs w:val="16"/>
              </w:rPr>
              <w:t>Number of students studying in technical bachelor or master programmes.</w:t>
            </w:r>
          </w:p>
        </w:tc>
        <w:tc>
          <w:tcPr>
            <w:tcW w:w="1414" w:type="dxa"/>
            <w:vAlign w:val="center"/>
          </w:tcPr>
          <w:p w:rsidR="00C27724" w:rsidRPr="005B6074" w:rsidRDefault="00C27724" w:rsidP="00A511E7">
            <w:r w:rsidRPr="005B6074">
              <w:rPr>
                <w:rFonts w:ascii="Verdana" w:hAnsi="Verdana"/>
                <w:bCs/>
                <w:color w:val="000000"/>
                <w:sz w:val="16"/>
                <w:szCs w:val="16"/>
              </w:rPr>
              <w:t xml:space="preserve">The indicator is relevant </w:t>
            </w:r>
          </w:p>
        </w:tc>
        <w:tc>
          <w:tcPr>
            <w:tcW w:w="1822"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clear</w:t>
            </w:r>
          </w:p>
        </w:tc>
        <w:tc>
          <w:tcPr>
            <w:tcW w:w="1019" w:type="dxa"/>
            <w:gridSpan w:val="4"/>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19,2</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sz w:val="16"/>
                <w:szCs w:val="16"/>
              </w:rPr>
              <w:t>22</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25</w:t>
            </w:r>
          </w:p>
        </w:tc>
        <w:tc>
          <w:tcPr>
            <w:tcW w:w="3376" w:type="dxa"/>
          </w:tcPr>
          <w:p w:rsidR="00C27724" w:rsidRPr="005B6074" w:rsidRDefault="00C27724" w:rsidP="00A511E7">
            <w:r w:rsidRPr="005B6074">
              <w:rPr>
                <w:rFonts w:ascii="Verdana" w:hAnsi="Verdana"/>
                <w:bCs/>
                <w:color w:val="000000"/>
                <w:sz w:val="16"/>
                <w:szCs w:val="16"/>
              </w:rPr>
              <w:t>There is no information on the methodology how the indicator values have been calculated. Having in mind the envisaged support the values seem realistic.</w:t>
            </w:r>
          </w:p>
        </w:tc>
      </w:tr>
      <w:tr w:rsidR="00C27724" w:rsidRPr="005B6074" w:rsidTr="002F4E2B">
        <w:tc>
          <w:tcPr>
            <w:tcW w:w="15168" w:type="dxa"/>
            <w:gridSpan w:val="12"/>
            <w:shd w:val="clear" w:color="auto" w:fill="B8CCE4" w:themeFill="accent1" w:themeFillTint="66"/>
          </w:tcPr>
          <w:p w:rsidR="00C27724" w:rsidRPr="005B6074" w:rsidRDefault="00C27724" w:rsidP="00A511E7">
            <w:pPr>
              <w:keepNext/>
              <w:tabs>
                <w:tab w:val="left" w:pos="0"/>
                <w:tab w:val="right" w:pos="9214"/>
              </w:tabs>
              <w:spacing w:after="0" w:line="240" w:lineRule="auto"/>
              <w:jc w:val="both"/>
              <w:rPr>
                <w:rFonts w:ascii="Verdana" w:hAnsi="Verdana"/>
                <w:b/>
                <w:bCs/>
                <w:color w:val="000000"/>
                <w:sz w:val="16"/>
                <w:szCs w:val="16"/>
              </w:rPr>
            </w:pPr>
            <w:r w:rsidRPr="005B6074">
              <w:rPr>
                <w:rFonts w:ascii="Verdana" w:hAnsi="Verdana"/>
                <w:b/>
                <w:sz w:val="16"/>
                <w:szCs w:val="16"/>
              </w:rPr>
              <w:t>PA 3. Educational Environment for Active Social Inclusion</w:t>
            </w:r>
          </w:p>
        </w:tc>
      </w:tr>
      <w:tr w:rsidR="00C27724" w:rsidRPr="005B6074" w:rsidTr="002F4E2B">
        <w:tc>
          <w:tcPr>
            <w:tcW w:w="15168" w:type="dxa"/>
            <w:gridSpan w:val="12"/>
            <w:shd w:val="clear" w:color="auto" w:fill="F2DBDB" w:themeFill="accent2" w:themeFillTint="33"/>
          </w:tcPr>
          <w:p w:rsidR="00C27724" w:rsidRPr="005B6074" w:rsidRDefault="00C27724" w:rsidP="00A511E7">
            <w:pPr>
              <w:keepNext/>
              <w:tabs>
                <w:tab w:val="left" w:pos="0"/>
                <w:tab w:val="right" w:pos="9214"/>
              </w:tabs>
              <w:spacing w:after="0" w:line="240" w:lineRule="auto"/>
              <w:jc w:val="both"/>
              <w:rPr>
                <w:rFonts w:ascii="Verdana" w:hAnsi="Verdana"/>
                <w:b/>
                <w:sz w:val="16"/>
                <w:szCs w:val="16"/>
              </w:rPr>
            </w:pPr>
            <w:r w:rsidRPr="005B6074">
              <w:rPr>
                <w:rFonts w:ascii="Verdana" w:hAnsi="Verdana"/>
                <w:b/>
                <w:sz w:val="16"/>
                <w:szCs w:val="16"/>
              </w:rPr>
              <w:t xml:space="preserve">IP1. </w:t>
            </w:r>
            <w:r w:rsidRPr="005B6074">
              <w:rPr>
                <w:rFonts w:ascii="Verdana" w:hAnsi="Verdana" w:cs="Arial Narrow"/>
                <w:i/>
                <w:color w:val="000000"/>
                <w:sz w:val="16"/>
                <w:szCs w:val="16"/>
              </w:rPr>
              <w:t>Active inclusion, including with a view to promoting equal opportunities and active participation, and improving employability</w:t>
            </w:r>
          </w:p>
        </w:tc>
      </w:tr>
      <w:tr w:rsidR="00C27724" w:rsidRPr="005B6074" w:rsidTr="002F4E2B">
        <w:trPr>
          <w:trHeight w:val="3306"/>
        </w:trPr>
        <w:tc>
          <w:tcPr>
            <w:tcW w:w="2380" w:type="dxa"/>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SO1. Raising the quality and improving the access to education by creating supportive environment for inclusive education</w:t>
            </w:r>
          </w:p>
          <w:p w:rsidR="00C27724" w:rsidRPr="005B6074" w:rsidRDefault="00C27724" w:rsidP="00A511E7">
            <w:pPr>
              <w:autoSpaceDE w:val="0"/>
              <w:autoSpaceDN w:val="0"/>
              <w:adjustRightInd w:val="0"/>
              <w:spacing w:after="0" w:line="240" w:lineRule="auto"/>
              <w:jc w:val="both"/>
              <w:rPr>
                <w:rFonts w:ascii="Verdana" w:hAnsi="Verdana"/>
                <w:sz w:val="16"/>
                <w:szCs w:val="16"/>
              </w:rPr>
            </w:pPr>
          </w:p>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SO2. Building an educational system, which encourages the realization of the potential of every child and student for personal development, successful realization and socialization.</w:t>
            </w:r>
          </w:p>
        </w:tc>
        <w:tc>
          <w:tcPr>
            <w:tcW w:w="2039" w:type="dxa"/>
            <w:vAlign w:val="center"/>
          </w:tcPr>
          <w:p w:rsidR="00C27724" w:rsidRPr="005B6074" w:rsidRDefault="00C27724" w:rsidP="00A511E7">
            <w:pPr>
              <w:pStyle w:val="Default"/>
              <w:rPr>
                <w:rFonts w:ascii="Verdana" w:hAnsi="Verdana"/>
                <w:bCs/>
                <w:color w:val="auto"/>
                <w:sz w:val="16"/>
                <w:szCs w:val="16"/>
              </w:rPr>
            </w:pPr>
            <w:r w:rsidRPr="005B6074">
              <w:rPr>
                <w:rFonts w:ascii="Verdana" w:hAnsi="Verdana"/>
                <w:iCs/>
                <w:color w:val="auto"/>
                <w:sz w:val="16"/>
                <w:szCs w:val="16"/>
              </w:rPr>
              <w:t>Children and students with special educational needs covered by the system of inclusive education.</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relevant</w:t>
            </w:r>
          </w:p>
        </w:tc>
        <w:tc>
          <w:tcPr>
            <w:tcW w:w="1822" w:type="dxa"/>
            <w:vAlign w:val="center"/>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In the indicator fiches it should be clarified what “inclusive education” means.</w:t>
            </w:r>
          </w:p>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p>
        </w:tc>
        <w:tc>
          <w:tcPr>
            <w:tcW w:w="1019" w:type="dxa"/>
            <w:gridSpan w:val="4"/>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Number</w:t>
            </w:r>
          </w:p>
        </w:tc>
        <w:tc>
          <w:tcPr>
            <w:tcW w:w="1107"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bCs/>
                <w:color w:val="000000"/>
                <w:sz w:val="16"/>
                <w:szCs w:val="16"/>
              </w:rPr>
              <w:t>1600</w:t>
            </w:r>
          </w:p>
        </w:tc>
        <w:tc>
          <w:tcPr>
            <w:tcW w:w="102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1800</w:t>
            </w:r>
          </w:p>
        </w:tc>
        <w:tc>
          <w:tcPr>
            <w:tcW w:w="991"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2000</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is no information on the methodology how the indicator values have been calculated. Having in mind the envisaged support the values seem realistic.</w:t>
            </w:r>
          </w:p>
        </w:tc>
      </w:tr>
      <w:tr w:rsidR="00C27724" w:rsidRPr="005B6074" w:rsidTr="002F4E2B">
        <w:tc>
          <w:tcPr>
            <w:tcW w:w="15168" w:type="dxa"/>
            <w:gridSpan w:val="12"/>
            <w:shd w:val="clear" w:color="auto" w:fill="F2DBDB" w:themeFill="accent2" w:themeFillTint="33"/>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
                <w:bCs/>
                <w:color w:val="000000"/>
                <w:sz w:val="16"/>
                <w:szCs w:val="16"/>
              </w:rPr>
              <w:t>IP2.</w:t>
            </w:r>
            <w:r w:rsidRPr="005B6074">
              <w:rPr>
                <w:rFonts w:ascii="Verdana" w:hAnsi="Verdana"/>
                <w:bCs/>
                <w:color w:val="000000"/>
                <w:sz w:val="16"/>
                <w:szCs w:val="16"/>
              </w:rPr>
              <w:t xml:space="preserve"> </w:t>
            </w:r>
            <w:r w:rsidRPr="005B6074">
              <w:rPr>
                <w:rFonts w:ascii="Verdana" w:hAnsi="Verdana" w:cs="Arial Narrow"/>
                <w:i/>
                <w:color w:val="000000"/>
                <w:sz w:val="16"/>
                <w:szCs w:val="16"/>
              </w:rPr>
              <w:t>Socio-economic integration of marginalised communities such as the Roma</w:t>
            </w:r>
          </w:p>
        </w:tc>
      </w:tr>
      <w:tr w:rsidR="00C27724" w:rsidRPr="005B6074" w:rsidTr="002F4E2B">
        <w:tc>
          <w:tcPr>
            <w:tcW w:w="2380" w:type="dxa"/>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SO1. Efficient integration in the educational system of children, students and young people from the ethnic minorities and other vulnerable groups</w:t>
            </w:r>
          </w:p>
        </w:tc>
        <w:tc>
          <w:tcPr>
            <w:tcW w:w="2039" w:type="dxa"/>
          </w:tcPr>
          <w:p w:rsidR="00C27724" w:rsidRPr="005B6074" w:rsidRDefault="00C27724" w:rsidP="00A511E7">
            <w:pPr>
              <w:pStyle w:val="Default"/>
              <w:jc w:val="both"/>
              <w:rPr>
                <w:rFonts w:ascii="Verdana" w:hAnsi="Verdana"/>
                <w:iCs/>
                <w:color w:val="auto"/>
                <w:sz w:val="16"/>
                <w:szCs w:val="16"/>
              </w:rPr>
            </w:pPr>
            <w:r w:rsidRPr="005B6074">
              <w:rPr>
                <w:rFonts w:ascii="Verdana" w:hAnsi="Verdana"/>
                <w:bCs/>
                <w:color w:val="auto"/>
                <w:sz w:val="16"/>
                <w:szCs w:val="16"/>
              </w:rPr>
              <w:t>Children and students and young people of Roma background included in measures of educational integration and reintegration.</w:t>
            </w:r>
          </w:p>
        </w:tc>
        <w:tc>
          <w:tcPr>
            <w:tcW w:w="1414"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relevant</w:t>
            </w:r>
          </w:p>
        </w:tc>
        <w:tc>
          <w:tcPr>
            <w:tcW w:w="1822"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indicator is clear</w:t>
            </w:r>
          </w:p>
        </w:tc>
        <w:tc>
          <w:tcPr>
            <w:tcW w:w="1019" w:type="dxa"/>
            <w:gridSpan w:val="4"/>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Number</w:t>
            </w:r>
          </w:p>
        </w:tc>
        <w:tc>
          <w:tcPr>
            <w:tcW w:w="1107" w:type="dxa"/>
            <w:vAlign w:val="center"/>
          </w:tcPr>
          <w:p w:rsidR="00C27724" w:rsidRPr="005B6074" w:rsidRDefault="00C27724" w:rsidP="00A511E7">
            <w:pPr>
              <w:rPr>
                <w:rFonts w:ascii="Verdana" w:hAnsi="Verdana"/>
                <w:sz w:val="16"/>
                <w:szCs w:val="16"/>
              </w:rPr>
            </w:pPr>
            <w:r w:rsidRPr="005B6074">
              <w:rPr>
                <w:rFonts w:ascii="Verdana" w:hAnsi="Verdana"/>
                <w:sz w:val="16"/>
                <w:szCs w:val="16"/>
              </w:rPr>
              <w:t>166 456</w:t>
            </w:r>
          </w:p>
        </w:tc>
        <w:tc>
          <w:tcPr>
            <w:tcW w:w="1020" w:type="dxa"/>
            <w:vAlign w:val="center"/>
          </w:tcPr>
          <w:p w:rsidR="00C27724" w:rsidRPr="005B6074" w:rsidRDefault="00C27724" w:rsidP="00A511E7">
            <w:pPr>
              <w:rPr>
                <w:rFonts w:ascii="Verdana" w:hAnsi="Verdana"/>
                <w:sz w:val="16"/>
                <w:szCs w:val="16"/>
              </w:rPr>
            </w:pPr>
            <w:r w:rsidRPr="005B6074">
              <w:rPr>
                <w:rFonts w:ascii="Verdana" w:hAnsi="Verdana"/>
                <w:sz w:val="16"/>
                <w:szCs w:val="16"/>
              </w:rPr>
              <w:t>200 000</w:t>
            </w:r>
          </w:p>
        </w:tc>
        <w:tc>
          <w:tcPr>
            <w:tcW w:w="991" w:type="dxa"/>
            <w:vAlign w:val="center"/>
          </w:tcPr>
          <w:p w:rsidR="00C27724" w:rsidRPr="005B6074" w:rsidRDefault="00C27724" w:rsidP="00A511E7">
            <w:pPr>
              <w:rPr>
                <w:rFonts w:ascii="Verdana" w:hAnsi="Verdana"/>
                <w:sz w:val="16"/>
                <w:szCs w:val="16"/>
              </w:rPr>
            </w:pPr>
            <w:r w:rsidRPr="005B6074">
              <w:rPr>
                <w:rFonts w:ascii="Verdana" w:hAnsi="Verdana"/>
                <w:sz w:val="16"/>
                <w:szCs w:val="16"/>
              </w:rPr>
              <w:t>320 000</w:t>
            </w:r>
          </w:p>
        </w:tc>
        <w:tc>
          <w:tcPr>
            <w:tcW w:w="3376"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is no information on the methodology how the indicator values have been calculated. Having in mind the envisaged support the values seem realistic.</w:t>
            </w:r>
          </w:p>
        </w:tc>
      </w:tr>
    </w:tbl>
    <w:p w:rsidR="00C27724" w:rsidRPr="005B6074" w:rsidRDefault="00C27724" w:rsidP="00C27724"/>
    <w:p w:rsidR="00C27724" w:rsidRPr="005B6074" w:rsidRDefault="00C27724" w:rsidP="00C27724">
      <w:pPr>
        <w:pStyle w:val="Caption"/>
        <w:keepNext/>
        <w:spacing w:after="120"/>
        <w:rPr>
          <w:rFonts w:ascii="Verdana" w:hAnsi="Verdana"/>
          <w:color w:val="548DD4" w:themeColor="text2" w:themeTint="99"/>
        </w:rPr>
      </w:pPr>
      <w:bookmarkStart w:id="181" w:name="_Toc395612593"/>
      <w:bookmarkStart w:id="182" w:name="_Toc396225632"/>
      <w:r w:rsidRPr="005B6074">
        <w:rPr>
          <w:rFonts w:ascii="Verdana" w:hAnsi="Verdana"/>
          <w:color w:val="548DD4" w:themeColor="text2" w:themeTint="99"/>
        </w:rPr>
        <w:t xml:space="preserve">Table </w:t>
      </w:r>
      <w:r w:rsidR="00A35E98" w:rsidRPr="005B6074">
        <w:rPr>
          <w:rFonts w:ascii="Verdana" w:hAnsi="Verdana"/>
          <w:color w:val="548DD4" w:themeColor="text2" w:themeTint="99"/>
        </w:rPr>
        <w:fldChar w:fldCharType="begin"/>
      </w:r>
      <w:r w:rsidRPr="005B6074">
        <w:rPr>
          <w:rFonts w:ascii="Verdana" w:hAnsi="Verdana"/>
          <w:color w:val="548DD4" w:themeColor="text2" w:themeTint="99"/>
        </w:rPr>
        <w:instrText xml:space="preserve"> SEQ таблица \* ARABIC </w:instrText>
      </w:r>
      <w:r w:rsidR="00A35E98" w:rsidRPr="005B6074">
        <w:rPr>
          <w:rFonts w:ascii="Verdana" w:hAnsi="Verdana"/>
          <w:color w:val="548DD4" w:themeColor="text2" w:themeTint="99"/>
        </w:rPr>
        <w:fldChar w:fldCharType="separate"/>
      </w:r>
      <w:r w:rsidR="009330F5">
        <w:rPr>
          <w:rFonts w:ascii="Verdana" w:hAnsi="Verdana"/>
          <w:noProof/>
          <w:color w:val="548DD4" w:themeColor="text2" w:themeTint="99"/>
        </w:rPr>
        <w:t>37</w:t>
      </w:r>
      <w:r w:rsidR="00A35E98" w:rsidRPr="005B6074">
        <w:rPr>
          <w:rFonts w:ascii="Verdana" w:hAnsi="Verdana"/>
          <w:color w:val="548DD4" w:themeColor="text2" w:themeTint="99"/>
        </w:rPr>
        <w:fldChar w:fldCharType="end"/>
      </w:r>
      <w:r w:rsidRPr="005B6074">
        <w:rPr>
          <w:rFonts w:ascii="Verdana" w:hAnsi="Verdana"/>
          <w:color w:val="548DD4" w:themeColor="text2" w:themeTint="99"/>
        </w:rPr>
        <w:t>.</w:t>
      </w:r>
      <w:bookmarkEnd w:id="181"/>
      <w:r w:rsidR="00B332DF" w:rsidRPr="005B6074">
        <w:rPr>
          <w:rFonts w:ascii="Verdana" w:hAnsi="Verdana"/>
          <w:color w:val="548DD4" w:themeColor="text2" w:themeTint="99"/>
        </w:rPr>
        <w:t xml:space="preserve"> </w:t>
      </w:r>
      <w:r w:rsidRPr="005B6074">
        <w:rPr>
          <w:rFonts w:ascii="Verdana" w:hAnsi="Verdana"/>
          <w:color w:val="548DD4" w:themeColor="text2" w:themeTint="99"/>
        </w:rPr>
        <w:t>Comments on the new system of result indicators</w:t>
      </w:r>
      <w:bookmarkEnd w:id="182"/>
    </w:p>
    <w:tbl>
      <w:tblPr>
        <w:tblStyle w:val="TableGrid"/>
        <w:tblW w:w="15139" w:type="dxa"/>
        <w:tblInd w:w="-459" w:type="dxa"/>
        <w:tblLayout w:type="fixed"/>
        <w:tblLook w:val="04A0" w:firstRow="1" w:lastRow="0" w:firstColumn="1" w:lastColumn="0" w:noHBand="0" w:noVBand="1"/>
      </w:tblPr>
      <w:tblGrid>
        <w:gridCol w:w="2581"/>
        <w:gridCol w:w="1842"/>
        <w:gridCol w:w="1418"/>
        <w:gridCol w:w="1530"/>
        <w:gridCol w:w="29"/>
        <w:gridCol w:w="851"/>
        <w:gridCol w:w="113"/>
        <w:gridCol w:w="992"/>
        <w:gridCol w:w="992"/>
        <w:gridCol w:w="993"/>
        <w:gridCol w:w="3798"/>
      </w:tblGrid>
      <w:tr w:rsidR="00C27724" w:rsidRPr="005B6074" w:rsidTr="00B42F83">
        <w:trPr>
          <w:tblHeader/>
        </w:trPr>
        <w:tc>
          <w:tcPr>
            <w:tcW w:w="2581" w:type="dxa"/>
            <w:vMerge w:val="restart"/>
            <w:shd w:val="clear" w:color="auto" w:fill="1F497D" w:themeFill="text2"/>
            <w:vAlign w:val="center"/>
          </w:tcPr>
          <w:p w:rsidR="00C27724" w:rsidRPr="005B6074" w:rsidRDefault="00C27724" w:rsidP="00B42F83">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Specific objective</w:t>
            </w:r>
          </w:p>
        </w:tc>
        <w:tc>
          <w:tcPr>
            <w:tcW w:w="1842" w:type="dxa"/>
            <w:vMerge w:val="restart"/>
            <w:shd w:val="clear" w:color="auto" w:fill="1F497D" w:themeFill="text2"/>
            <w:vAlign w:val="center"/>
          </w:tcPr>
          <w:p w:rsidR="00C27724" w:rsidRPr="005B6074" w:rsidRDefault="00C27724" w:rsidP="00B42F83">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Result indicator</w:t>
            </w:r>
          </w:p>
        </w:tc>
        <w:tc>
          <w:tcPr>
            <w:tcW w:w="1418" w:type="dxa"/>
            <w:vMerge w:val="restart"/>
            <w:shd w:val="clear" w:color="auto" w:fill="1F497D" w:themeFill="text2"/>
            <w:vAlign w:val="center"/>
          </w:tcPr>
          <w:p w:rsidR="00C27724" w:rsidRPr="005B6074" w:rsidRDefault="00C27724" w:rsidP="00B42F83">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Relevance</w:t>
            </w:r>
          </w:p>
        </w:tc>
        <w:tc>
          <w:tcPr>
            <w:tcW w:w="1530" w:type="dxa"/>
            <w:vMerge w:val="restart"/>
            <w:shd w:val="clear" w:color="auto" w:fill="1F497D" w:themeFill="text2"/>
            <w:vAlign w:val="center"/>
          </w:tcPr>
          <w:p w:rsidR="00C27724" w:rsidRPr="005B6074" w:rsidRDefault="00C27724" w:rsidP="00B42F83">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Clarity</w:t>
            </w:r>
          </w:p>
        </w:tc>
        <w:tc>
          <w:tcPr>
            <w:tcW w:w="993" w:type="dxa"/>
            <w:gridSpan w:val="3"/>
            <w:vMerge w:val="restart"/>
            <w:shd w:val="clear" w:color="auto" w:fill="1F497D" w:themeFill="text2"/>
            <w:vAlign w:val="center"/>
          </w:tcPr>
          <w:p w:rsidR="00C27724" w:rsidRPr="005B6074" w:rsidRDefault="00C27724" w:rsidP="00B42F83">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Measurement unit</w:t>
            </w:r>
          </w:p>
        </w:tc>
        <w:tc>
          <w:tcPr>
            <w:tcW w:w="2977" w:type="dxa"/>
            <w:gridSpan w:val="3"/>
            <w:shd w:val="clear" w:color="auto" w:fill="1F497D" w:themeFill="text2"/>
            <w:vAlign w:val="center"/>
          </w:tcPr>
          <w:p w:rsidR="00C27724" w:rsidRPr="005B6074" w:rsidRDefault="00C27724" w:rsidP="00B42F83">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Value</w:t>
            </w:r>
          </w:p>
        </w:tc>
        <w:tc>
          <w:tcPr>
            <w:tcW w:w="3798" w:type="dxa"/>
            <w:vMerge w:val="restart"/>
            <w:shd w:val="clear" w:color="auto" w:fill="1F497D" w:themeFill="text2"/>
            <w:vAlign w:val="center"/>
          </w:tcPr>
          <w:p w:rsidR="00C27724" w:rsidRPr="005B6074" w:rsidRDefault="00C27724" w:rsidP="00B42F83">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Comment</w:t>
            </w:r>
          </w:p>
        </w:tc>
      </w:tr>
      <w:tr w:rsidR="00C27724" w:rsidRPr="005B6074" w:rsidTr="00B42F83">
        <w:trPr>
          <w:tblHeader/>
        </w:trPr>
        <w:tc>
          <w:tcPr>
            <w:tcW w:w="2581" w:type="dxa"/>
            <w:vMerge/>
            <w:shd w:val="clear" w:color="auto" w:fill="1F497D" w:themeFill="text2"/>
            <w:vAlign w:val="center"/>
          </w:tcPr>
          <w:p w:rsidR="00C27724" w:rsidRPr="005B6074" w:rsidRDefault="00C27724" w:rsidP="00B42F83">
            <w:pPr>
              <w:widowControl w:val="0"/>
              <w:tabs>
                <w:tab w:val="left" w:pos="0"/>
                <w:tab w:val="right" w:pos="9214"/>
              </w:tabs>
              <w:spacing w:after="0" w:line="240" w:lineRule="auto"/>
              <w:jc w:val="center"/>
              <w:rPr>
                <w:rFonts w:ascii="Verdana" w:hAnsi="Verdana"/>
                <w:b/>
                <w:bCs/>
                <w:color w:val="FFFFFF" w:themeColor="background1"/>
                <w:sz w:val="16"/>
                <w:szCs w:val="16"/>
              </w:rPr>
            </w:pPr>
          </w:p>
        </w:tc>
        <w:tc>
          <w:tcPr>
            <w:tcW w:w="1842" w:type="dxa"/>
            <w:vMerge/>
            <w:shd w:val="clear" w:color="auto" w:fill="1F497D" w:themeFill="text2"/>
            <w:vAlign w:val="center"/>
          </w:tcPr>
          <w:p w:rsidR="00C27724" w:rsidRPr="005B6074" w:rsidRDefault="00C27724" w:rsidP="00B42F83">
            <w:pPr>
              <w:widowControl w:val="0"/>
              <w:tabs>
                <w:tab w:val="left" w:pos="0"/>
                <w:tab w:val="right" w:pos="9214"/>
              </w:tabs>
              <w:spacing w:after="0" w:line="240" w:lineRule="auto"/>
              <w:jc w:val="center"/>
              <w:rPr>
                <w:rFonts w:ascii="Verdana" w:hAnsi="Verdana"/>
                <w:b/>
                <w:bCs/>
                <w:color w:val="FFFFFF" w:themeColor="background1"/>
                <w:sz w:val="16"/>
                <w:szCs w:val="16"/>
              </w:rPr>
            </w:pPr>
          </w:p>
        </w:tc>
        <w:tc>
          <w:tcPr>
            <w:tcW w:w="1418" w:type="dxa"/>
            <w:vMerge/>
            <w:shd w:val="clear" w:color="auto" w:fill="1F497D" w:themeFill="text2"/>
            <w:vAlign w:val="center"/>
          </w:tcPr>
          <w:p w:rsidR="00C27724" w:rsidRPr="005B6074" w:rsidRDefault="00C27724" w:rsidP="00B42F83">
            <w:pPr>
              <w:widowControl w:val="0"/>
              <w:tabs>
                <w:tab w:val="left" w:pos="0"/>
                <w:tab w:val="right" w:pos="9214"/>
              </w:tabs>
              <w:spacing w:after="0" w:line="240" w:lineRule="auto"/>
              <w:jc w:val="center"/>
              <w:rPr>
                <w:rFonts w:ascii="Verdana" w:hAnsi="Verdana"/>
                <w:b/>
                <w:bCs/>
                <w:color w:val="FFFFFF" w:themeColor="background1"/>
                <w:sz w:val="16"/>
                <w:szCs w:val="16"/>
              </w:rPr>
            </w:pPr>
          </w:p>
        </w:tc>
        <w:tc>
          <w:tcPr>
            <w:tcW w:w="1530" w:type="dxa"/>
            <w:vMerge/>
            <w:shd w:val="clear" w:color="auto" w:fill="1F497D" w:themeFill="text2"/>
            <w:vAlign w:val="center"/>
          </w:tcPr>
          <w:p w:rsidR="00C27724" w:rsidRPr="005B6074" w:rsidRDefault="00C27724" w:rsidP="00B42F83">
            <w:pPr>
              <w:widowControl w:val="0"/>
              <w:tabs>
                <w:tab w:val="left" w:pos="0"/>
                <w:tab w:val="right" w:pos="9214"/>
              </w:tabs>
              <w:spacing w:after="0" w:line="240" w:lineRule="auto"/>
              <w:jc w:val="center"/>
              <w:rPr>
                <w:rFonts w:ascii="Verdana" w:hAnsi="Verdana"/>
                <w:b/>
                <w:bCs/>
                <w:color w:val="FFFFFF" w:themeColor="background1"/>
                <w:sz w:val="16"/>
                <w:szCs w:val="16"/>
              </w:rPr>
            </w:pPr>
          </w:p>
        </w:tc>
        <w:tc>
          <w:tcPr>
            <w:tcW w:w="993" w:type="dxa"/>
            <w:gridSpan w:val="3"/>
            <w:vMerge/>
            <w:shd w:val="clear" w:color="auto" w:fill="1F497D" w:themeFill="text2"/>
            <w:vAlign w:val="center"/>
          </w:tcPr>
          <w:p w:rsidR="00C27724" w:rsidRPr="005B6074" w:rsidRDefault="00C27724" w:rsidP="00B42F83">
            <w:pPr>
              <w:widowControl w:val="0"/>
              <w:tabs>
                <w:tab w:val="left" w:pos="0"/>
                <w:tab w:val="right" w:pos="9214"/>
              </w:tabs>
              <w:spacing w:after="0" w:line="240" w:lineRule="auto"/>
              <w:jc w:val="center"/>
              <w:rPr>
                <w:rFonts w:ascii="Verdana" w:hAnsi="Verdana"/>
                <w:b/>
                <w:bCs/>
                <w:color w:val="FFFFFF" w:themeColor="background1"/>
                <w:sz w:val="16"/>
                <w:szCs w:val="16"/>
              </w:rPr>
            </w:pPr>
          </w:p>
        </w:tc>
        <w:tc>
          <w:tcPr>
            <w:tcW w:w="992" w:type="dxa"/>
            <w:shd w:val="clear" w:color="auto" w:fill="1F497D" w:themeFill="text2"/>
            <w:vAlign w:val="center"/>
          </w:tcPr>
          <w:p w:rsidR="00C27724" w:rsidRPr="005B6074" w:rsidRDefault="00C27724" w:rsidP="00B42F83">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Baseline</w:t>
            </w:r>
          </w:p>
        </w:tc>
        <w:tc>
          <w:tcPr>
            <w:tcW w:w="992" w:type="dxa"/>
            <w:shd w:val="clear" w:color="auto" w:fill="1F497D" w:themeFill="text2"/>
            <w:vAlign w:val="center"/>
          </w:tcPr>
          <w:p w:rsidR="00C27724" w:rsidRPr="005B6074" w:rsidRDefault="00793793" w:rsidP="00B42F83">
            <w:pPr>
              <w:widowControl w:val="0"/>
              <w:tabs>
                <w:tab w:val="left" w:pos="-108"/>
                <w:tab w:val="right" w:pos="9214"/>
              </w:tabs>
              <w:spacing w:after="0" w:line="240" w:lineRule="auto"/>
              <w:ind w:left="-108" w:right="-108"/>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Milestone</w:t>
            </w:r>
            <w:r w:rsidR="00C27724" w:rsidRPr="005B6074">
              <w:rPr>
                <w:rFonts w:ascii="Verdana" w:hAnsi="Verdana"/>
                <w:b/>
                <w:bCs/>
                <w:color w:val="FFFFFF" w:themeColor="background1"/>
                <w:sz w:val="16"/>
                <w:szCs w:val="16"/>
              </w:rPr>
              <w:t xml:space="preserve"> 2018</w:t>
            </w:r>
          </w:p>
        </w:tc>
        <w:tc>
          <w:tcPr>
            <w:tcW w:w="993" w:type="dxa"/>
            <w:shd w:val="clear" w:color="auto" w:fill="1F497D" w:themeFill="text2"/>
            <w:vAlign w:val="center"/>
          </w:tcPr>
          <w:p w:rsidR="00C27724" w:rsidRPr="005B6074" w:rsidRDefault="00C27724" w:rsidP="00B42F83">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Target</w:t>
            </w:r>
          </w:p>
          <w:p w:rsidR="00C27724" w:rsidRPr="005B6074" w:rsidRDefault="00C27724" w:rsidP="00B42F83">
            <w:pPr>
              <w:widowControl w:val="0"/>
              <w:tabs>
                <w:tab w:val="left" w:pos="0"/>
                <w:tab w:val="right" w:pos="9214"/>
              </w:tabs>
              <w:spacing w:after="0" w:line="240" w:lineRule="auto"/>
              <w:jc w:val="center"/>
              <w:rPr>
                <w:rFonts w:ascii="Verdana" w:hAnsi="Verdana"/>
                <w:b/>
                <w:bCs/>
                <w:color w:val="FFFFFF" w:themeColor="background1"/>
                <w:sz w:val="16"/>
                <w:szCs w:val="16"/>
              </w:rPr>
            </w:pPr>
            <w:r w:rsidRPr="005B6074">
              <w:rPr>
                <w:rFonts w:ascii="Verdana" w:hAnsi="Verdana"/>
                <w:b/>
                <w:bCs/>
                <w:color w:val="FFFFFF" w:themeColor="background1"/>
                <w:sz w:val="16"/>
                <w:szCs w:val="16"/>
              </w:rPr>
              <w:t>2023</w:t>
            </w:r>
          </w:p>
        </w:tc>
        <w:tc>
          <w:tcPr>
            <w:tcW w:w="3798" w:type="dxa"/>
            <w:vMerge/>
            <w:shd w:val="clear" w:color="auto" w:fill="1F497D" w:themeFill="text2"/>
            <w:vAlign w:val="center"/>
          </w:tcPr>
          <w:p w:rsidR="00C27724" w:rsidRPr="005B6074" w:rsidRDefault="00C27724" w:rsidP="00B42F83">
            <w:pPr>
              <w:widowControl w:val="0"/>
              <w:tabs>
                <w:tab w:val="left" w:pos="0"/>
                <w:tab w:val="right" w:pos="9214"/>
              </w:tabs>
              <w:spacing w:after="0" w:line="240" w:lineRule="auto"/>
              <w:jc w:val="center"/>
              <w:rPr>
                <w:rFonts w:ascii="Verdana" w:hAnsi="Verdana"/>
                <w:b/>
                <w:bCs/>
                <w:color w:val="FFFFFF" w:themeColor="background1"/>
                <w:sz w:val="16"/>
                <w:szCs w:val="16"/>
              </w:rPr>
            </w:pPr>
          </w:p>
        </w:tc>
      </w:tr>
      <w:tr w:rsidR="00C27724" w:rsidRPr="005B6074" w:rsidTr="00A511E7">
        <w:tc>
          <w:tcPr>
            <w:tcW w:w="15139" w:type="dxa"/>
            <w:gridSpan w:val="11"/>
            <w:shd w:val="clear" w:color="auto" w:fill="95B3D7" w:themeFill="accent1" w:themeFillTint="99"/>
          </w:tcPr>
          <w:p w:rsidR="00C27724" w:rsidRPr="005B6074" w:rsidRDefault="00C27724" w:rsidP="00A511E7">
            <w:pPr>
              <w:widowControl w:val="0"/>
              <w:tabs>
                <w:tab w:val="left" w:pos="0"/>
                <w:tab w:val="right" w:pos="9214"/>
              </w:tabs>
              <w:spacing w:before="120" w:after="120" w:line="240" w:lineRule="auto"/>
              <w:jc w:val="both"/>
              <w:rPr>
                <w:rFonts w:ascii="Verdana" w:hAnsi="Verdana"/>
                <w:b/>
                <w:bCs/>
                <w:color w:val="000000"/>
                <w:sz w:val="16"/>
                <w:szCs w:val="16"/>
              </w:rPr>
            </w:pPr>
            <w:r w:rsidRPr="005B6074">
              <w:rPr>
                <w:rFonts w:ascii="Verdana" w:hAnsi="Verdana"/>
                <w:b/>
                <w:sz w:val="16"/>
                <w:szCs w:val="16"/>
              </w:rPr>
              <w:t>PA 1 - Scientific Research and Technological Development</w:t>
            </w:r>
          </w:p>
        </w:tc>
      </w:tr>
      <w:tr w:rsidR="00C27724" w:rsidRPr="005B6074" w:rsidTr="00A511E7">
        <w:tc>
          <w:tcPr>
            <w:tcW w:w="15139" w:type="dxa"/>
            <w:gridSpan w:val="11"/>
            <w:shd w:val="clear" w:color="auto" w:fill="F2DBDB" w:themeFill="accent2" w:themeFillTint="33"/>
          </w:tcPr>
          <w:p w:rsidR="00C27724" w:rsidRPr="005B6074" w:rsidRDefault="00C27724" w:rsidP="00A511E7">
            <w:pPr>
              <w:widowControl w:val="0"/>
              <w:tabs>
                <w:tab w:val="left" w:pos="0"/>
                <w:tab w:val="right" w:pos="9214"/>
              </w:tabs>
              <w:spacing w:before="120" w:after="120" w:line="240" w:lineRule="auto"/>
              <w:jc w:val="both"/>
              <w:rPr>
                <w:rFonts w:ascii="Verdana" w:hAnsi="Verdana"/>
                <w:b/>
                <w:sz w:val="16"/>
                <w:szCs w:val="16"/>
              </w:rPr>
            </w:pPr>
            <w:r w:rsidRPr="005B6074">
              <w:rPr>
                <w:rFonts w:ascii="Verdana" w:hAnsi="Verdana"/>
                <w:b/>
                <w:sz w:val="16"/>
                <w:szCs w:val="16"/>
              </w:rPr>
              <w:t xml:space="preserve">IP1. </w:t>
            </w:r>
            <w:r w:rsidRPr="005B6074">
              <w:rPr>
                <w:rFonts w:ascii="Verdana" w:hAnsi="Verdana" w:cs="Arial Narrow"/>
                <w:i/>
                <w:color w:val="000000"/>
                <w:sz w:val="16"/>
                <w:szCs w:val="16"/>
              </w:rPr>
              <w:t>Enhancing research and innovation (R&amp;I) infrastructure and capacities to develop R&amp;I excellence, and promoting centres of competence, in particular those of European interest</w:t>
            </w:r>
            <w:r w:rsidRPr="005B6074">
              <w:rPr>
                <w:rFonts w:ascii="Verdana" w:hAnsi="Verdana"/>
                <w:i/>
                <w:color w:val="000000"/>
                <w:sz w:val="20"/>
              </w:rPr>
              <w:t xml:space="preserve"> </w:t>
            </w:r>
          </w:p>
        </w:tc>
      </w:tr>
      <w:tr w:rsidR="00C27724" w:rsidRPr="005B6074" w:rsidTr="00793793">
        <w:tc>
          <w:tcPr>
            <w:tcW w:w="2581" w:type="dxa"/>
            <w:vMerge w:val="restart"/>
          </w:tcPr>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r w:rsidRPr="005B6074">
              <w:rPr>
                <w:rFonts w:ascii="Verdana" w:hAnsi="Verdana"/>
                <w:sz w:val="16"/>
                <w:szCs w:val="16"/>
              </w:rPr>
              <w:t>SO1. Modernisation of existing excellence centres and competence centres in priority areas and targeted development of new such centres based on their potential to contribute to knowledge base and innovation capacity in priority areas.</w:t>
            </w: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r w:rsidRPr="005B6074">
              <w:rPr>
                <w:rFonts w:ascii="Verdana" w:hAnsi="Verdana"/>
                <w:sz w:val="16"/>
                <w:szCs w:val="16"/>
              </w:rPr>
              <w:t>SO2. Maintenance and development of scientific infrastructure with the aim to maintain the universities and scientific organisations as regional knowledge and technology and/or distributary nodes in support to realisation and sustainability of pan European research facilities.</w:t>
            </w:r>
          </w:p>
        </w:tc>
        <w:tc>
          <w:tcPr>
            <w:tcW w:w="1842" w:type="dxa"/>
            <w:vAlign w:val="center"/>
          </w:tcPr>
          <w:p w:rsidR="00C27724" w:rsidRPr="005B6074" w:rsidRDefault="00C27724" w:rsidP="00793793">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sz w:val="16"/>
                <w:szCs w:val="16"/>
              </w:rPr>
              <w:t>Number of supported excellence centres and competence centres</w:t>
            </w:r>
          </w:p>
        </w:tc>
        <w:tc>
          <w:tcPr>
            <w:tcW w:w="1418" w:type="dxa"/>
            <w:vAlign w:val="center"/>
          </w:tcPr>
          <w:p w:rsidR="00C27724" w:rsidRPr="005B6074" w:rsidRDefault="00C27724" w:rsidP="00793793">
            <w:r w:rsidRPr="005B6074">
              <w:rPr>
                <w:rFonts w:ascii="Verdana" w:hAnsi="Verdana"/>
                <w:bCs/>
                <w:color w:val="000000"/>
                <w:sz w:val="16"/>
                <w:szCs w:val="16"/>
              </w:rPr>
              <w:t xml:space="preserve">The indicator is relevant </w:t>
            </w:r>
          </w:p>
        </w:tc>
        <w:tc>
          <w:tcPr>
            <w:tcW w:w="1530" w:type="dxa"/>
            <w:vAlign w:val="center"/>
          </w:tcPr>
          <w:p w:rsidR="00C27724" w:rsidRPr="005B6074" w:rsidRDefault="00C27724" w:rsidP="00793793">
            <w:pPr>
              <w:spacing w:after="0" w:line="240" w:lineRule="auto"/>
            </w:pPr>
            <w:r w:rsidRPr="005B6074">
              <w:rPr>
                <w:rFonts w:ascii="Verdana" w:hAnsi="Verdana"/>
                <w:bCs/>
                <w:color w:val="000000"/>
                <w:sz w:val="16"/>
                <w:szCs w:val="16"/>
              </w:rPr>
              <w:t>The indicator is clear</w:t>
            </w:r>
          </w:p>
        </w:tc>
        <w:tc>
          <w:tcPr>
            <w:tcW w:w="993" w:type="dxa"/>
            <w:gridSpan w:val="3"/>
            <w:vAlign w:val="center"/>
          </w:tcPr>
          <w:p w:rsidR="00C27724" w:rsidRPr="005B6074" w:rsidRDefault="00C27724" w:rsidP="00793793">
            <w:pPr>
              <w:spacing w:after="0" w:line="240" w:lineRule="auto"/>
            </w:pPr>
            <w:r w:rsidRPr="005B6074">
              <w:rPr>
                <w:rFonts w:ascii="Verdana" w:hAnsi="Verdana"/>
                <w:bCs/>
                <w:color w:val="000000"/>
                <w:sz w:val="16"/>
                <w:szCs w:val="16"/>
              </w:rPr>
              <w:t>Number</w:t>
            </w:r>
          </w:p>
        </w:tc>
        <w:tc>
          <w:tcPr>
            <w:tcW w:w="992"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0</w:t>
            </w:r>
          </w:p>
        </w:tc>
        <w:tc>
          <w:tcPr>
            <w:tcW w:w="992"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0</w:t>
            </w:r>
          </w:p>
        </w:tc>
        <w:tc>
          <w:tcPr>
            <w:tcW w:w="993"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8</w:t>
            </w:r>
          </w:p>
        </w:tc>
        <w:tc>
          <w:tcPr>
            <w:tcW w:w="3798" w:type="dxa"/>
            <w:vAlign w:val="center"/>
          </w:tcPr>
          <w:p w:rsidR="00C27724" w:rsidRPr="005B6074" w:rsidRDefault="00C27724" w:rsidP="00DB6F26">
            <w:pPr>
              <w:rPr>
                <w:rFonts w:ascii="Verdana" w:hAnsi="Verdana"/>
                <w:bCs/>
                <w:color w:val="000000"/>
                <w:sz w:val="16"/>
                <w:szCs w:val="16"/>
              </w:rPr>
            </w:pPr>
            <w:r w:rsidRPr="005B6074">
              <w:rPr>
                <w:rFonts w:ascii="Verdana" w:hAnsi="Verdana"/>
                <w:bCs/>
                <w:color w:val="000000"/>
                <w:sz w:val="16"/>
                <w:szCs w:val="16"/>
              </w:rPr>
              <w:t xml:space="preserve">In the operational programme 6 priority areas for investment in excellence centres have been identified. Having this in mind the target value seems realistic.  It has not been specified what exactly will be supported therefore the planned financial resources could not be bound to the number of the centres to be supported. It is reasonable not to plan </w:t>
            </w:r>
            <w:r w:rsidR="00DB6F26">
              <w:rPr>
                <w:rFonts w:ascii="Verdana" w:hAnsi="Verdana"/>
                <w:bCs/>
                <w:color w:val="000000"/>
                <w:sz w:val="16"/>
                <w:szCs w:val="16"/>
              </w:rPr>
              <w:t>milestone</w:t>
            </w:r>
            <w:r w:rsidRPr="005B6074">
              <w:rPr>
                <w:rFonts w:ascii="Verdana" w:hAnsi="Verdana"/>
                <w:bCs/>
                <w:color w:val="000000"/>
                <w:sz w:val="16"/>
                <w:szCs w:val="16"/>
              </w:rPr>
              <w:t xml:space="preserve"> target having in mind the fact that these are big projects which will require time for preparation and implementation.</w:t>
            </w:r>
          </w:p>
        </w:tc>
      </w:tr>
      <w:tr w:rsidR="00C27724" w:rsidRPr="005B6074" w:rsidTr="002F4E2B">
        <w:tc>
          <w:tcPr>
            <w:tcW w:w="2581" w:type="dxa"/>
            <w:vMerge/>
          </w:tcPr>
          <w:p w:rsidR="00C27724" w:rsidRPr="005B6074" w:rsidRDefault="00C27724" w:rsidP="00A511E7">
            <w:pPr>
              <w:widowControl w:val="0"/>
              <w:tabs>
                <w:tab w:val="left" w:pos="0"/>
                <w:tab w:val="right" w:pos="9214"/>
              </w:tabs>
              <w:spacing w:after="0" w:line="240" w:lineRule="auto"/>
              <w:jc w:val="both"/>
              <w:rPr>
                <w:rFonts w:ascii="Verdana" w:hAnsi="Verdana"/>
                <w:sz w:val="16"/>
                <w:szCs w:val="16"/>
              </w:rPr>
            </w:pPr>
          </w:p>
        </w:tc>
        <w:tc>
          <w:tcPr>
            <w:tcW w:w="1842" w:type="dxa"/>
            <w:vAlign w:val="center"/>
          </w:tcPr>
          <w:p w:rsidR="00C27724" w:rsidRPr="005B6074" w:rsidRDefault="00C27724" w:rsidP="00A511E7">
            <w:pPr>
              <w:widowControl w:val="0"/>
              <w:tabs>
                <w:tab w:val="left" w:pos="0"/>
                <w:tab w:val="right" w:pos="9214"/>
              </w:tabs>
              <w:spacing w:after="0" w:line="240" w:lineRule="auto"/>
              <w:rPr>
                <w:rFonts w:ascii="Verdana" w:hAnsi="Verdana"/>
                <w:sz w:val="16"/>
                <w:szCs w:val="16"/>
              </w:rPr>
            </w:pPr>
            <w:r w:rsidRPr="005B6074">
              <w:rPr>
                <w:rFonts w:ascii="Verdana" w:hAnsi="Verdana"/>
                <w:sz w:val="16"/>
                <w:szCs w:val="16"/>
              </w:rPr>
              <w:t>Research infrastructures built</w:t>
            </w:r>
          </w:p>
        </w:tc>
        <w:tc>
          <w:tcPr>
            <w:tcW w:w="1418" w:type="dxa"/>
            <w:vAlign w:val="center"/>
          </w:tcPr>
          <w:p w:rsidR="00C27724" w:rsidRPr="005B6074" w:rsidRDefault="00C27724" w:rsidP="00A511E7">
            <w:r w:rsidRPr="005B6074">
              <w:rPr>
                <w:rFonts w:ascii="Verdana" w:hAnsi="Verdana"/>
                <w:bCs/>
                <w:color w:val="000000"/>
                <w:sz w:val="16"/>
                <w:szCs w:val="16"/>
              </w:rPr>
              <w:t xml:space="preserve">The indicator is relevant </w:t>
            </w:r>
          </w:p>
        </w:tc>
        <w:tc>
          <w:tcPr>
            <w:tcW w:w="1530" w:type="dxa"/>
            <w:vAlign w:val="center"/>
          </w:tcPr>
          <w:p w:rsidR="00C27724" w:rsidRPr="005B6074" w:rsidRDefault="00C27724" w:rsidP="00793793">
            <w:pPr>
              <w:spacing w:after="0" w:line="240" w:lineRule="auto"/>
            </w:pPr>
            <w:r w:rsidRPr="005B6074">
              <w:rPr>
                <w:rFonts w:ascii="Verdana" w:hAnsi="Verdana"/>
                <w:bCs/>
                <w:color w:val="000000"/>
                <w:sz w:val="16"/>
                <w:szCs w:val="16"/>
              </w:rPr>
              <w:t>The indicator is clear</w:t>
            </w:r>
          </w:p>
        </w:tc>
        <w:tc>
          <w:tcPr>
            <w:tcW w:w="993" w:type="dxa"/>
            <w:gridSpan w:val="3"/>
            <w:vAlign w:val="center"/>
          </w:tcPr>
          <w:p w:rsidR="00C27724" w:rsidRPr="005B6074" w:rsidRDefault="00C27724" w:rsidP="00793793">
            <w:pPr>
              <w:spacing w:after="0" w:line="240" w:lineRule="auto"/>
            </w:pPr>
            <w:r w:rsidRPr="005B6074">
              <w:rPr>
                <w:rFonts w:ascii="Verdana" w:hAnsi="Verdana"/>
                <w:bCs/>
                <w:color w:val="000000"/>
                <w:sz w:val="16"/>
                <w:szCs w:val="16"/>
              </w:rPr>
              <w:t>Number</w:t>
            </w:r>
          </w:p>
        </w:tc>
        <w:tc>
          <w:tcPr>
            <w:tcW w:w="992"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0</w:t>
            </w:r>
          </w:p>
        </w:tc>
        <w:tc>
          <w:tcPr>
            <w:tcW w:w="992"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5</w:t>
            </w:r>
          </w:p>
        </w:tc>
        <w:tc>
          <w:tcPr>
            <w:tcW w:w="993"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9</w:t>
            </w:r>
          </w:p>
        </w:tc>
        <w:tc>
          <w:tcPr>
            <w:tcW w:w="3798" w:type="dxa"/>
            <w:vAlign w:val="center"/>
          </w:tcPr>
          <w:p w:rsidR="00C27724" w:rsidRPr="005B6074" w:rsidRDefault="00C27724" w:rsidP="00B42F83">
            <w:pPr>
              <w:rPr>
                <w:rFonts w:ascii="Verdana" w:hAnsi="Verdana"/>
                <w:bCs/>
                <w:color w:val="000000"/>
                <w:sz w:val="16"/>
                <w:szCs w:val="16"/>
              </w:rPr>
            </w:pPr>
            <w:r w:rsidRPr="005B6074">
              <w:rPr>
                <w:rFonts w:ascii="Verdana" w:hAnsi="Verdana"/>
                <w:bCs/>
                <w:color w:val="000000"/>
                <w:sz w:val="16"/>
                <w:szCs w:val="16"/>
              </w:rPr>
              <w:t xml:space="preserve">The operational programme does not identify potential research infrastructures. It is expected the support to be provided on competitive basis. The setting up of </w:t>
            </w:r>
            <w:r w:rsidR="00B42F83" w:rsidRPr="005B6074">
              <w:rPr>
                <w:rFonts w:ascii="Verdana" w:hAnsi="Verdana"/>
                <w:bCs/>
                <w:color w:val="000000"/>
                <w:sz w:val="16"/>
                <w:szCs w:val="16"/>
              </w:rPr>
              <w:t>a milestone</w:t>
            </w:r>
            <w:r w:rsidRPr="005B6074">
              <w:rPr>
                <w:rFonts w:ascii="Verdana" w:hAnsi="Verdana"/>
                <w:bCs/>
                <w:color w:val="000000"/>
                <w:sz w:val="16"/>
                <w:szCs w:val="16"/>
              </w:rPr>
              <w:t xml:space="preserve"> poses a risk for achievement having in mind that the projects are big and their preparation and implementation requires time. The MES started a procedure for preliminary selection of project ideas. However it is recommended to revise or at </w:t>
            </w:r>
            <w:r w:rsidRPr="005B6074">
              <w:rPr>
                <w:rFonts w:ascii="Verdana" w:hAnsi="Verdana"/>
                <w:bCs/>
                <w:color w:val="000000"/>
                <w:sz w:val="16"/>
                <w:szCs w:val="16"/>
              </w:rPr>
              <w:lastRenderedPageBreak/>
              <w:t xml:space="preserve">least decrease the </w:t>
            </w:r>
            <w:r w:rsidR="00B42F83" w:rsidRPr="005B6074">
              <w:rPr>
                <w:rFonts w:ascii="Verdana" w:hAnsi="Verdana"/>
                <w:bCs/>
                <w:color w:val="000000"/>
                <w:sz w:val="16"/>
                <w:szCs w:val="16"/>
              </w:rPr>
              <w:t>milestone</w:t>
            </w:r>
            <w:r w:rsidRPr="005B6074">
              <w:rPr>
                <w:rFonts w:ascii="Verdana" w:hAnsi="Verdana"/>
                <w:bCs/>
                <w:color w:val="000000"/>
                <w:sz w:val="16"/>
                <w:szCs w:val="16"/>
              </w:rPr>
              <w:t xml:space="preserve"> value for 2018. </w:t>
            </w:r>
          </w:p>
        </w:tc>
      </w:tr>
      <w:tr w:rsidR="00C27724" w:rsidRPr="005B6074" w:rsidTr="00A511E7">
        <w:tc>
          <w:tcPr>
            <w:tcW w:w="15139" w:type="dxa"/>
            <w:gridSpan w:val="11"/>
            <w:shd w:val="clear" w:color="auto" w:fill="F2DBDB" w:themeFill="accent2" w:themeFillTint="33"/>
          </w:tcPr>
          <w:p w:rsidR="00C27724" w:rsidRPr="005B6074" w:rsidRDefault="00C27724" w:rsidP="00793793">
            <w:pPr>
              <w:keepNext/>
              <w:tabs>
                <w:tab w:val="left" w:pos="0"/>
                <w:tab w:val="right" w:pos="9214"/>
              </w:tabs>
              <w:spacing w:after="0" w:line="240" w:lineRule="auto"/>
              <w:jc w:val="both"/>
              <w:rPr>
                <w:rFonts w:ascii="Verdana" w:hAnsi="Verdana"/>
                <w:sz w:val="16"/>
                <w:szCs w:val="16"/>
              </w:rPr>
            </w:pPr>
            <w:r w:rsidRPr="005B6074">
              <w:rPr>
                <w:rFonts w:ascii="Verdana" w:hAnsi="Verdana"/>
                <w:b/>
                <w:bCs/>
                <w:color w:val="000000"/>
                <w:sz w:val="16"/>
                <w:szCs w:val="16"/>
              </w:rPr>
              <w:lastRenderedPageBreak/>
              <w:t>IP2.</w:t>
            </w:r>
            <w:r w:rsidRPr="005B6074">
              <w:rPr>
                <w:rFonts w:ascii="Verdana" w:hAnsi="Verdana"/>
                <w:bCs/>
                <w:color w:val="000000"/>
                <w:sz w:val="16"/>
                <w:szCs w:val="16"/>
              </w:rPr>
              <w:t xml:space="preserve"> </w:t>
            </w:r>
            <w:r w:rsidRPr="005B6074">
              <w:rPr>
                <w:rFonts w:ascii="Verdana" w:hAnsi="Verdana" w:cs="Arial Narrow"/>
                <w:i/>
                <w:color w:val="000000"/>
                <w:sz w:val="16"/>
                <w:szCs w:val="16"/>
              </w:rPr>
              <w:t>Promoting business investment in R&amp;I, developing links and synergies between enterprises, research and development centres and the higher education sector, in particular promoting investment in product and service development, technology transfer, social innovation, eco-innovation, public service applications, demand stimulation, networking, clusters and open innovation through smart specialisation, and supporting technological and applied research, pilot lines, early product validation actions, advanced manufacturing capabilities and first production, in particular in key enabling technologies and diffusion of general purpose technologies.</w:t>
            </w:r>
          </w:p>
        </w:tc>
      </w:tr>
      <w:tr w:rsidR="00C27724" w:rsidRPr="005B6074" w:rsidTr="002F4E2B">
        <w:tc>
          <w:tcPr>
            <w:tcW w:w="2581" w:type="dxa"/>
            <w:vMerge w:val="restart"/>
            <w:vAlign w:val="center"/>
          </w:tcPr>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SO1. Assistance for applied research and experimental development in priority areas, assisting the economic development.</w:t>
            </w:r>
          </w:p>
        </w:tc>
        <w:tc>
          <w:tcPr>
            <w:tcW w:w="1842" w:type="dxa"/>
            <w:vAlign w:val="center"/>
          </w:tcPr>
          <w:p w:rsidR="00C27724" w:rsidRPr="005B6074" w:rsidRDefault="00C27724" w:rsidP="00793793">
            <w:pPr>
              <w:widowControl w:val="0"/>
              <w:tabs>
                <w:tab w:val="left" w:pos="0"/>
                <w:tab w:val="right" w:pos="9214"/>
              </w:tabs>
              <w:spacing w:after="0" w:line="240" w:lineRule="auto"/>
              <w:jc w:val="center"/>
              <w:rPr>
                <w:rFonts w:ascii="Verdana" w:hAnsi="Verdana"/>
                <w:sz w:val="16"/>
                <w:szCs w:val="16"/>
              </w:rPr>
            </w:pPr>
            <w:r w:rsidRPr="005B6074">
              <w:rPr>
                <w:rFonts w:ascii="Verdana" w:hAnsi="Verdana"/>
                <w:sz w:val="16"/>
                <w:szCs w:val="16"/>
              </w:rPr>
              <w:t>Private investment in R&amp;D complementing the public assistance</w:t>
            </w:r>
          </w:p>
          <w:p w:rsidR="00C27724" w:rsidRPr="005B6074" w:rsidRDefault="00C27724" w:rsidP="00793793">
            <w:pPr>
              <w:widowControl w:val="0"/>
              <w:tabs>
                <w:tab w:val="left" w:pos="0"/>
                <w:tab w:val="right" w:pos="9214"/>
              </w:tabs>
              <w:spacing w:after="0" w:line="240" w:lineRule="auto"/>
              <w:jc w:val="center"/>
              <w:rPr>
                <w:rFonts w:ascii="Verdana" w:hAnsi="Verdana"/>
                <w:b/>
                <w:bCs/>
                <w:sz w:val="16"/>
                <w:szCs w:val="16"/>
              </w:rPr>
            </w:pPr>
          </w:p>
        </w:tc>
        <w:tc>
          <w:tcPr>
            <w:tcW w:w="1418" w:type="dxa"/>
            <w:vAlign w:val="center"/>
          </w:tcPr>
          <w:p w:rsidR="00C27724" w:rsidRPr="005B6074" w:rsidRDefault="00C27724" w:rsidP="00DB6F26">
            <w:pPr>
              <w:widowControl w:val="0"/>
              <w:tabs>
                <w:tab w:val="left" w:pos="0"/>
                <w:tab w:val="right" w:pos="9214"/>
              </w:tabs>
              <w:spacing w:after="0" w:line="240" w:lineRule="auto"/>
              <w:jc w:val="center"/>
              <w:rPr>
                <w:rFonts w:ascii="Verdana" w:hAnsi="Verdana"/>
                <w:bCs/>
                <w:color w:val="000000"/>
                <w:sz w:val="16"/>
                <w:szCs w:val="16"/>
              </w:rPr>
            </w:pPr>
            <w:r w:rsidRPr="005B6074">
              <w:rPr>
                <w:rFonts w:ascii="Verdana" w:hAnsi="Verdana"/>
                <w:bCs/>
                <w:color w:val="000000"/>
                <w:sz w:val="16"/>
                <w:szCs w:val="16"/>
              </w:rPr>
              <w:t xml:space="preserve">The indicator is relevant. However it has been listed as </w:t>
            </w:r>
            <w:r w:rsidR="00DB6F26">
              <w:rPr>
                <w:rFonts w:ascii="Verdana" w:hAnsi="Verdana"/>
                <w:bCs/>
                <w:color w:val="000000"/>
                <w:sz w:val="16"/>
                <w:szCs w:val="16"/>
              </w:rPr>
              <w:t xml:space="preserve">an output </w:t>
            </w:r>
            <w:r w:rsidRPr="005B6074">
              <w:rPr>
                <w:rFonts w:ascii="Verdana" w:hAnsi="Verdana"/>
                <w:bCs/>
                <w:color w:val="000000"/>
                <w:sz w:val="16"/>
                <w:szCs w:val="16"/>
              </w:rPr>
              <w:t>indicator in Regulation 1301/2013</w:t>
            </w:r>
          </w:p>
        </w:tc>
        <w:tc>
          <w:tcPr>
            <w:tcW w:w="1530" w:type="dxa"/>
            <w:vAlign w:val="center"/>
          </w:tcPr>
          <w:p w:rsidR="00C27724" w:rsidRPr="005B6074" w:rsidRDefault="00C27724" w:rsidP="00793793">
            <w:pPr>
              <w:spacing w:after="0" w:line="240" w:lineRule="auto"/>
            </w:pPr>
            <w:r w:rsidRPr="005B6074">
              <w:rPr>
                <w:rFonts w:ascii="Verdana" w:hAnsi="Verdana"/>
                <w:bCs/>
                <w:color w:val="000000"/>
                <w:sz w:val="16"/>
                <w:szCs w:val="16"/>
              </w:rPr>
              <w:t>The indicator is clear</w:t>
            </w:r>
          </w:p>
        </w:tc>
        <w:tc>
          <w:tcPr>
            <w:tcW w:w="993" w:type="dxa"/>
            <w:gridSpan w:val="3"/>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w:t>
            </w:r>
          </w:p>
        </w:tc>
        <w:tc>
          <w:tcPr>
            <w:tcW w:w="992"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0</w:t>
            </w:r>
          </w:p>
        </w:tc>
        <w:tc>
          <w:tcPr>
            <w:tcW w:w="992"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10</w:t>
            </w:r>
          </w:p>
        </w:tc>
        <w:tc>
          <w:tcPr>
            <w:tcW w:w="993"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20</w:t>
            </w:r>
          </w:p>
        </w:tc>
        <w:tc>
          <w:tcPr>
            <w:tcW w:w="3798" w:type="dxa"/>
            <w:vAlign w:val="center"/>
          </w:tcPr>
          <w:p w:rsidR="00C27724" w:rsidRPr="005B6074" w:rsidRDefault="00C27724" w:rsidP="00B42F83">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The statistical data for the period 2005-2009 show increase of the private investment in R&amp;D of above 20, although their share is relatively low (National strategy for development of scientific research). In the period 2009-2012, however the investments decrease and in 2012 reach the level before the crisis (NSI). Having this in mind the </w:t>
            </w:r>
            <w:r w:rsidR="00B42F83" w:rsidRPr="005B6074">
              <w:rPr>
                <w:rFonts w:ascii="Verdana" w:hAnsi="Verdana"/>
                <w:bCs/>
                <w:color w:val="000000"/>
                <w:sz w:val="16"/>
                <w:szCs w:val="16"/>
              </w:rPr>
              <w:t>milestone</w:t>
            </w:r>
            <w:r w:rsidRPr="005B6074">
              <w:rPr>
                <w:rFonts w:ascii="Verdana" w:hAnsi="Verdana"/>
                <w:bCs/>
                <w:color w:val="000000"/>
                <w:sz w:val="16"/>
                <w:szCs w:val="16"/>
              </w:rPr>
              <w:t xml:space="preserve"> and target value seem realistic in the view of the expected slow recovery of the economy and the support from the programme. Measurement of the indicator will in all cases require a baseline value in the form of quantitative value (leva/euro) in order to measure the increase of the investments. Therefore it is relevant to revise the measurement units in order to set up a baseline value.</w:t>
            </w:r>
          </w:p>
        </w:tc>
      </w:tr>
      <w:tr w:rsidR="00C27724" w:rsidRPr="005B6074" w:rsidTr="002F4E2B">
        <w:tc>
          <w:tcPr>
            <w:tcW w:w="2581"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1842"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Executed orders from the business for research activities  И</w:t>
            </w:r>
          </w:p>
        </w:tc>
        <w:tc>
          <w:tcPr>
            <w:tcW w:w="1418" w:type="dxa"/>
            <w:vAlign w:val="center"/>
          </w:tcPr>
          <w:p w:rsidR="00C27724" w:rsidRPr="005B6074" w:rsidRDefault="00C27724" w:rsidP="00793793">
            <w:pPr>
              <w:widowControl w:val="0"/>
              <w:tabs>
                <w:tab w:val="left" w:pos="0"/>
                <w:tab w:val="right" w:pos="9214"/>
              </w:tabs>
              <w:spacing w:after="0" w:line="240" w:lineRule="auto"/>
              <w:jc w:val="center"/>
              <w:rPr>
                <w:rFonts w:ascii="Verdana" w:hAnsi="Verdana"/>
                <w:bCs/>
                <w:color w:val="000000"/>
                <w:sz w:val="16"/>
                <w:szCs w:val="16"/>
              </w:rPr>
            </w:pPr>
            <w:r w:rsidRPr="005B6074">
              <w:rPr>
                <w:rFonts w:ascii="Verdana" w:hAnsi="Verdana"/>
                <w:bCs/>
                <w:color w:val="000000"/>
                <w:sz w:val="16"/>
                <w:szCs w:val="16"/>
              </w:rPr>
              <w:t>The indicator is relevant, however is not fully under control of the programme</w:t>
            </w:r>
          </w:p>
        </w:tc>
        <w:tc>
          <w:tcPr>
            <w:tcW w:w="1530" w:type="dxa"/>
            <w:vAlign w:val="center"/>
          </w:tcPr>
          <w:p w:rsidR="00C27724" w:rsidRPr="005B6074" w:rsidRDefault="00C27724" w:rsidP="00793793">
            <w:pPr>
              <w:spacing w:after="0" w:line="240" w:lineRule="auto"/>
            </w:pPr>
            <w:r w:rsidRPr="005B6074">
              <w:rPr>
                <w:rFonts w:ascii="Verdana" w:hAnsi="Verdana"/>
                <w:bCs/>
                <w:color w:val="000000"/>
                <w:sz w:val="16"/>
                <w:szCs w:val="16"/>
              </w:rPr>
              <w:t>The indicator is clear</w:t>
            </w:r>
          </w:p>
        </w:tc>
        <w:tc>
          <w:tcPr>
            <w:tcW w:w="993" w:type="dxa"/>
            <w:gridSpan w:val="3"/>
            <w:vAlign w:val="center"/>
          </w:tcPr>
          <w:p w:rsidR="00C27724" w:rsidRPr="005B6074" w:rsidRDefault="00C27724" w:rsidP="00793793">
            <w:pPr>
              <w:spacing w:after="0" w:line="240" w:lineRule="auto"/>
            </w:pPr>
            <w:r w:rsidRPr="005B6074">
              <w:rPr>
                <w:rFonts w:ascii="Verdana" w:hAnsi="Verdana"/>
                <w:bCs/>
                <w:color w:val="000000"/>
                <w:sz w:val="16"/>
                <w:szCs w:val="16"/>
              </w:rPr>
              <w:t>Number</w:t>
            </w:r>
          </w:p>
        </w:tc>
        <w:tc>
          <w:tcPr>
            <w:tcW w:w="992"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0</w:t>
            </w:r>
          </w:p>
        </w:tc>
        <w:tc>
          <w:tcPr>
            <w:tcW w:w="992"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10</w:t>
            </w:r>
          </w:p>
        </w:tc>
        <w:tc>
          <w:tcPr>
            <w:tcW w:w="993"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35</w:t>
            </w:r>
          </w:p>
        </w:tc>
        <w:tc>
          <w:tcPr>
            <w:tcW w:w="3798"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It is recommended to exclude the indicator from the system of indicators because it is not fully under the control of the programme and because there are too many result indicators set. It is impossible to comment the values set as it is unclear how they have been calculated.</w:t>
            </w:r>
          </w:p>
        </w:tc>
      </w:tr>
      <w:tr w:rsidR="00C27724" w:rsidRPr="005B6074" w:rsidTr="002F4E2B">
        <w:tc>
          <w:tcPr>
            <w:tcW w:w="2581"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1842"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New research products developed</w:t>
            </w:r>
          </w:p>
        </w:tc>
        <w:tc>
          <w:tcPr>
            <w:tcW w:w="1418" w:type="dxa"/>
            <w:vAlign w:val="center"/>
          </w:tcPr>
          <w:p w:rsidR="00C27724" w:rsidRPr="005B6074" w:rsidRDefault="00C27724" w:rsidP="00793793">
            <w:pPr>
              <w:widowControl w:val="0"/>
              <w:tabs>
                <w:tab w:val="left" w:pos="0"/>
                <w:tab w:val="right" w:pos="9214"/>
              </w:tabs>
              <w:spacing w:after="0" w:line="240" w:lineRule="auto"/>
              <w:jc w:val="center"/>
              <w:rPr>
                <w:rFonts w:ascii="Verdana" w:hAnsi="Verdana"/>
                <w:bCs/>
                <w:color w:val="000000"/>
                <w:sz w:val="16"/>
                <w:szCs w:val="16"/>
              </w:rPr>
            </w:pPr>
            <w:r w:rsidRPr="005B6074">
              <w:rPr>
                <w:rFonts w:ascii="Verdana" w:hAnsi="Verdana"/>
                <w:bCs/>
                <w:color w:val="000000"/>
                <w:sz w:val="16"/>
                <w:szCs w:val="16"/>
              </w:rPr>
              <w:t xml:space="preserve">The indicator is not fully relevant </w:t>
            </w:r>
            <w:r w:rsidRPr="005B6074">
              <w:rPr>
                <w:rFonts w:ascii="Verdana" w:hAnsi="Verdana"/>
                <w:bCs/>
                <w:color w:val="000000"/>
                <w:sz w:val="16"/>
                <w:szCs w:val="16"/>
              </w:rPr>
              <w:lastRenderedPageBreak/>
              <w:t>because it envisages research products in general but the specific objective is targeted to applied research</w:t>
            </w:r>
          </w:p>
        </w:tc>
        <w:tc>
          <w:tcPr>
            <w:tcW w:w="1530" w:type="dxa"/>
            <w:vAlign w:val="center"/>
          </w:tcPr>
          <w:p w:rsidR="00C27724" w:rsidRPr="005B6074" w:rsidRDefault="00C27724" w:rsidP="00793793">
            <w:pPr>
              <w:spacing w:after="0" w:line="240" w:lineRule="auto"/>
            </w:pPr>
            <w:r w:rsidRPr="005B6074">
              <w:rPr>
                <w:rFonts w:ascii="Verdana" w:hAnsi="Verdana"/>
                <w:bCs/>
                <w:color w:val="000000"/>
                <w:sz w:val="16"/>
                <w:szCs w:val="16"/>
              </w:rPr>
              <w:lastRenderedPageBreak/>
              <w:t>The indicator is clear</w:t>
            </w:r>
          </w:p>
        </w:tc>
        <w:tc>
          <w:tcPr>
            <w:tcW w:w="993" w:type="dxa"/>
            <w:gridSpan w:val="3"/>
            <w:vAlign w:val="center"/>
          </w:tcPr>
          <w:p w:rsidR="00C27724" w:rsidRPr="005B6074" w:rsidRDefault="00C27724" w:rsidP="00793793">
            <w:pPr>
              <w:spacing w:after="0" w:line="240" w:lineRule="auto"/>
            </w:pPr>
            <w:r w:rsidRPr="005B6074">
              <w:rPr>
                <w:rFonts w:ascii="Verdana" w:hAnsi="Verdana"/>
                <w:bCs/>
                <w:color w:val="000000"/>
                <w:sz w:val="16"/>
                <w:szCs w:val="16"/>
              </w:rPr>
              <w:t>Number</w:t>
            </w:r>
          </w:p>
        </w:tc>
        <w:tc>
          <w:tcPr>
            <w:tcW w:w="992"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0</w:t>
            </w:r>
          </w:p>
        </w:tc>
        <w:tc>
          <w:tcPr>
            <w:tcW w:w="992"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20</w:t>
            </w:r>
          </w:p>
        </w:tc>
        <w:tc>
          <w:tcPr>
            <w:tcW w:w="993"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40</w:t>
            </w:r>
          </w:p>
        </w:tc>
        <w:tc>
          <w:tcPr>
            <w:tcW w:w="3798"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It is recommended to exclude the indicator from the system of indicators because it is not fully relevant and because there are too </w:t>
            </w:r>
            <w:r w:rsidRPr="005B6074">
              <w:rPr>
                <w:rFonts w:ascii="Verdana" w:hAnsi="Verdana"/>
                <w:bCs/>
                <w:color w:val="000000"/>
                <w:sz w:val="16"/>
                <w:szCs w:val="16"/>
              </w:rPr>
              <w:lastRenderedPageBreak/>
              <w:t>many result indicators set. It is impossible to comment the values set as it is unclear how they have been calculated.</w:t>
            </w:r>
          </w:p>
        </w:tc>
      </w:tr>
      <w:tr w:rsidR="00C27724" w:rsidRPr="005B6074" w:rsidTr="002F4E2B">
        <w:tc>
          <w:tcPr>
            <w:tcW w:w="2581"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1842"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Increased share of patents as a result of research in the excellence centres and competence centres.</w:t>
            </w:r>
          </w:p>
        </w:tc>
        <w:tc>
          <w:tcPr>
            <w:tcW w:w="1418" w:type="dxa"/>
            <w:vAlign w:val="center"/>
          </w:tcPr>
          <w:p w:rsidR="00C27724" w:rsidRPr="005B6074" w:rsidRDefault="00C27724" w:rsidP="00793793">
            <w:pPr>
              <w:widowControl w:val="0"/>
              <w:tabs>
                <w:tab w:val="left" w:pos="0"/>
                <w:tab w:val="right" w:pos="9214"/>
              </w:tabs>
              <w:spacing w:after="0" w:line="240" w:lineRule="auto"/>
              <w:jc w:val="center"/>
              <w:rPr>
                <w:rFonts w:ascii="Verdana" w:hAnsi="Verdana"/>
                <w:bCs/>
                <w:color w:val="000000"/>
                <w:sz w:val="16"/>
                <w:szCs w:val="16"/>
              </w:rPr>
            </w:pPr>
            <w:r w:rsidRPr="005B6074">
              <w:rPr>
                <w:rFonts w:ascii="Verdana" w:hAnsi="Verdana"/>
                <w:bCs/>
                <w:color w:val="000000"/>
                <w:sz w:val="16"/>
                <w:szCs w:val="16"/>
              </w:rPr>
              <w:t>The indicator is relevant</w:t>
            </w:r>
          </w:p>
        </w:tc>
        <w:tc>
          <w:tcPr>
            <w:tcW w:w="1530" w:type="dxa"/>
            <w:vAlign w:val="center"/>
          </w:tcPr>
          <w:p w:rsidR="00C27724" w:rsidRPr="005B6074" w:rsidRDefault="00C27724" w:rsidP="00793793">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It is unclear percentage of what is measured (from all patents?)</w:t>
            </w:r>
          </w:p>
        </w:tc>
        <w:tc>
          <w:tcPr>
            <w:tcW w:w="993" w:type="dxa"/>
            <w:gridSpan w:val="3"/>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w:t>
            </w:r>
          </w:p>
        </w:tc>
        <w:tc>
          <w:tcPr>
            <w:tcW w:w="992"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0</w:t>
            </w:r>
          </w:p>
        </w:tc>
        <w:tc>
          <w:tcPr>
            <w:tcW w:w="992"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10</w:t>
            </w:r>
          </w:p>
        </w:tc>
        <w:tc>
          <w:tcPr>
            <w:tcW w:w="993" w:type="dxa"/>
            <w:vAlign w:val="center"/>
          </w:tcPr>
          <w:p w:rsidR="00C27724" w:rsidRPr="005B6074" w:rsidRDefault="00C27724" w:rsidP="00793793">
            <w:pPr>
              <w:spacing w:after="0" w:line="240" w:lineRule="auto"/>
              <w:rPr>
                <w:rFonts w:ascii="Verdana" w:hAnsi="Verdana"/>
                <w:sz w:val="16"/>
                <w:szCs w:val="16"/>
              </w:rPr>
            </w:pPr>
            <w:r w:rsidRPr="005B6074">
              <w:rPr>
                <w:rFonts w:ascii="Verdana" w:hAnsi="Verdana"/>
                <w:sz w:val="16"/>
                <w:szCs w:val="16"/>
              </w:rPr>
              <w:t>50</w:t>
            </w:r>
          </w:p>
        </w:tc>
        <w:tc>
          <w:tcPr>
            <w:tcW w:w="3798"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Issuing of patents in the period 2000-2008 decreases significantly compared to the period before 1990 and is still low. However an increase of about 20% is observed in the export of high technology (National strategy for development of scientific research). Based on the available information the targets set cannot be commented. An increase of 50% in the patents as a result of the research developments in the supported centres seems too ambitious target and requires clear justification. Measurement of the indicator will in all cases require a baseline value in the form of quantitative value in order to measure the increase of the patents. Therefore it is relevant to revise the measurement units in order to set up a baseline value. In order to simplify the measurement it is also recommended to measure the share of the patents from the supported research and not the increase of the share. </w:t>
            </w:r>
          </w:p>
        </w:tc>
      </w:tr>
      <w:tr w:rsidR="00C27724" w:rsidRPr="005B6074" w:rsidTr="00A511E7">
        <w:trPr>
          <w:trHeight w:val="15"/>
        </w:trPr>
        <w:tc>
          <w:tcPr>
            <w:tcW w:w="15139" w:type="dxa"/>
            <w:gridSpan w:val="11"/>
            <w:tcBorders>
              <w:bottom w:val="nil"/>
            </w:tcBorders>
            <w:shd w:val="clear" w:color="auto" w:fill="B8CCE4" w:themeFill="accent1" w:themeFillTint="66"/>
          </w:tcPr>
          <w:p w:rsidR="00C27724" w:rsidRPr="005B6074" w:rsidRDefault="00C27724" w:rsidP="00A511E7">
            <w:pPr>
              <w:pStyle w:val="Default"/>
              <w:keepNext/>
              <w:spacing w:before="120" w:after="120"/>
              <w:jc w:val="both"/>
              <w:rPr>
                <w:rFonts w:ascii="Verdana" w:hAnsi="Verdana"/>
                <w:b/>
                <w:color w:val="auto"/>
                <w:sz w:val="16"/>
                <w:szCs w:val="16"/>
              </w:rPr>
            </w:pPr>
            <w:r w:rsidRPr="005B6074">
              <w:rPr>
                <w:rFonts w:ascii="Verdana" w:hAnsi="Verdana"/>
                <w:b/>
                <w:color w:val="auto"/>
                <w:sz w:val="16"/>
                <w:szCs w:val="16"/>
              </w:rPr>
              <w:lastRenderedPageBreak/>
              <w:t>PA 2. Education and Lifelong Learning</w:t>
            </w:r>
          </w:p>
        </w:tc>
      </w:tr>
      <w:tr w:rsidR="00C27724" w:rsidRPr="005B6074" w:rsidTr="00A511E7">
        <w:trPr>
          <w:trHeight w:val="15"/>
        </w:trPr>
        <w:tc>
          <w:tcPr>
            <w:tcW w:w="15139" w:type="dxa"/>
            <w:gridSpan w:val="11"/>
            <w:tcBorders>
              <w:bottom w:val="nil"/>
            </w:tcBorders>
            <w:shd w:val="clear" w:color="auto" w:fill="F2DBDB" w:themeFill="accent2" w:themeFillTint="33"/>
          </w:tcPr>
          <w:p w:rsidR="00C27724" w:rsidRPr="005B6074" w:rsidRDefault="00C27724" w:rsidP="00A511E7">
            <w:pPr>
              <w:pStyle w:val="Default"/>
              <w:spacing w:before="120" w:after="120"/>
              <w:jc w:val="both"/>
              <w:rPr>
                <w:rFonts w:ascii="Verdana" w:hAnsi="Verdana"/>
                <w:b/>
                <w:color w:val="auto"/>
                <w:sz w:val="16"/>
                <w:szCs w:val="16"/>
              </w:rPr>
            </w:pPr>
            <w:r w:rsidRPr="005B6074">
              <w:rPr>
                <w:rFonts w:ascii="Verdana" w:hAnsi="Verdana"/>
                <w:b/>
                <w:color w:val="auto"/>
                <w:sz w:val="16"/>
                <w:szCs w:val="16"/>
              </w:rPr>
              <w:t xml:space="preserve">IP1. </w:t>
            </w:r>
            <w:r w:rsidRPr="005B6074">
              <w:rPr>
                <w:rFonts w:ascii="Verdana" w:hAnsi="Verdana" w:cs="Arial Narrow"/>
                <w:i/>
                <w:sz w:val="16"/>
                <w:szCs w:val="16"/>
              </w:rPr>
              <w:t>Reducing and preventing early school-leaving and promoting equal access to good quality early-childhood, primary and secondary education including formal, non-formal and informal learning pathways for reintegrating into education and training</w:t>
            </w:r>
            <w:r w:rsidRPr="005B6074">
              <w:rPr>
                <w:rFonts w:cs="EUAlbertina"/>
                <w:color w:val="19161B"/>
                <w:sz w:val="19"/>
                <w:szCs w:val="19"/>
                <w:lang w:eastAsia="bg-BG"/>
              </w:rPr>
              <w:t xml:space="preserve"> </w:t>
            </w:r>
          </w:p>
        </w:tc>
      </w:tr>
      <w:tr w:rsidR="00C27724" w:rsidRPr="005B6074" w:rsidTr="00A511E7">
        <w:trPr>
          <w:trHeight w:val="1369"/>
        </w:trPr>
        <w:tc>
          <w:tcPr>
            <w:tcW w:w="2581" w:type="dxa"/>
            <w:vMerge w:val="restart"/>
            <w:vAlign w:val="center"/>
          </w:tcPr>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SO1 Improving the achievements of children and students in acquiring key competences at the pre-school and school educational level.</w:t>
            </w: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SO2 Enrolling and retaining the children and students in the educational system by raising the motivation for learning and the attractiveness of the educational institutions.</w:t>
            </w: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SO3. Managing of the quality of education by perfecting the system of appraisal of the results of education and developing and putting in place an efficient monitoring system</w:t>
            </w:r>
          </w:p>
        </w:tc>
        <w:tc>
          <w:tcPr>
            <w:tcW w:w="1842" w:type="dxa"/>
            <w:vAlign w:val="center"/>
          </w:tcPr>
          <w:p w:rsidR="00C27724" w:rsidRPr="005B6074" w:rsidRDefault="00C27724" w:rsidP="00793793">
            <w:pPr>
              <w:widowControl w:val="0"/>
              <w:tabs>
                <w:tab w:val="left" w:pos="0"/>
                <w:tab w:val="right" w:pos="9214"/>
              </w:tabs>
              <w:spacing w:after="0" w:line="240" w:lineRule="auto"/>
              <w:jc w:val="center"/>
              <w:rPr>
                <w:rFonts w:ascii="Verdana" w:hAnsi="Verdana"/>
                <w:sz w:val="16"/>
                <w:szCs w:val="16"/>
              </w:rPr>
            </w:pPr>
            <w:r w:rsidRPr="005B6074">
              <w:rPr>
                <w:rFonts w:ascii="Verdana" w:hAnsi="Verdana"/>
                <w:sz w:val="16"/>
                <w:szCs w:val="16"/>
              </w:rPr>
              <w:t>Share of early school leavers from the population aged 18 - 24 г.</w:t>
            </w:r>
          </w:p>
        </w:tc>
        <w:tc>
          <w:tcPr>
            <w:tcW w:w="1418" w:type="dxa"/>
            <w:vAlign w:val="center"/>
          </w:tcPr>
          <w:p w:rsidR="00C27724" w:rsidRPr="005B6074" w:rsidRDefault="00C27724" w:rsidP="00793793">
            <w:pPr>
              <w:spacing w:after="0" w:line="240" w:lineRule="auto"/>
              <w:jc w:val="center"/>
            </w:pPr>
            <w:r w:rsidRPr="005B6074">
              <w:rPr>
                <w:rFonts w:ascii="Verdana" w:hAnsi="Verdana"/>
                <w:bCs/>
                <w:color w:val="000000"/>
                <w:sz w:val="16"/>
                <w:szCs w:val="16"/>
              </w:rPr>
              <w:t>The indicator is relevant</w:t>
            </w:r>
          </w:p>
        </w:tc>
        <w:tc>
          <w:tcPr>
            <w:tcW w:w="1559" w:type="dxa"/>
            <w:gridSpan w:val="2"/>
            <w:vAlign w:val="center"/>
          </w:tcPr>
          <w:p w:rsidR="00C27724" w:rsidRPr="005B6074" w:rsidRDefault="00C27724" w:rsidP="00793793">
            <w:pPr>
              <w:spacing w:after="0" w:line="240" w:lineRule="auto"/>
              <w:jc w:val="center"/>
            </w:pPr>
            <w:r w:rsidRPr="005B6074">
              <w:rPr>
                <w:rFonts w:ascii="Verdana" w:hAnsi="Verdana"/>
                <w:bCs/>
                <w:color w:val="000000"/>
                <w:sz w:val="16"/>
                <w:szCs w:val="16"/>
              </w:rPr>
              <w:t>The indicator is clear</w:t>
            </w:r>
          </w:p>
        </w:tc>
        <w:tc>
          <w:tcPr>
            <w:tcW w:w="851" w:type="dxa"/>
            <w:vAlign w:val="center"/>
          </w:tcPr>
          <w:p w:rsidR="00C27724" w:rsidRPr="005B6074" w:rsidRDefault="00C27724" w:rsidP="00793793">
            <w:pPr>
              <w:spacing w:after="0" w:line="240" w:lineRule="auto"/>
              <w:jc w:val="center"/>
              <w:rPr>
                <w:rFonts w:ascii="Verdana" w:hAnsi="Verdana"/>
                <w:b/>
                <w:sz w:val="16"/>
                <w:szCs w:val="16"/>
                <w:highlight w:val="cyan"/>
              </w:rPr>
            </w:pPr>
            <w:r w:rsidRPr="005B6074">
              <w:rPr>
                <w:rFonts w:ascii="Verdana" w:hAnsi="Verdana"/>
                <w:sz w:val="16"/>
                <w:szCs w:val="16"/>
              </w:rPr>
              <w:t>%</w:t>
            </w:r>
          </w:p>
        </w:tc>
        <w:tc>
          <w:tcPr>
            <w:tcW w:w="1105" w:type="dxa"/>
            <w:gridSpan w:val="2"/>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12,7</w:t>
            </w:r>
          </w:p>
        </w:tc>
        <w:tc>
          <w:tcPr>
            <w:tcW w:w="992" w:type="dxa"/>
            <w:vAlign w:val="center"/>
          </w:tcPr>
          <w:p w:rsidR="00C27724" w:rsidRPr="005B6074" w:rsidRDefault="00C27724" w:rsidP="00793793">
            <w:pPr>
              <w:spacing w:after="0" w:line="240" w:lineRule="auto"/>
              <w:jc w:val="center"/>
              <w:rPr>
                <w:rFonts w:ascii="Verdana" w:hAnsi="Verdana"/>
                <w:b/>
                <w:sz w:val="16"/>
                <w:szCs w:val="16"/>
                <w:highlight w:val="cyan"/>
              </w:rPr>
            </w:pPr>
            <w:r w:rsidRPr="005B6074">
              <w:rPr>
                <w:rFonts w:ascii="Verdana" w:hAnsi="Verdana"/>
                <w:sz w:val="16"/>
                <w:szCs w:val="16"/>
              </w:rPr>
              <w:t>11,5</w:t>
            </w:r>
          </w:p>
        </w:tc>
        <w:tc>
          <w:tcPr>
            <w:tcW w:w="993" w:type="dxa"/>
            <w:vAlign w:val="center"/>
          </w:tcPr>
          <w:p w:rsidR="00C27724" w:rsidRPr="005B6074" w:rsidRDefault="00C27724" w:rsidP="00793793">
            <w:pPr>
              <w:spacing w:after="0" w:line="240" w:lineRule="auto"/>
              <w:jc w:val="center"/>
              <w:rPr>
                <w:rFonts w:ascii="Verdana" w:hAnsi="Verdana"/>
                <w:sz w:val="16"/>
                <w:szCs w:val="16"/>
                <w:highlight w:val="cyan"/>
              </w:rPr>
            </w:pPr>
            <w:r w:rsidRPr="005B6074">
              <w:rPr>
                <w:rFonts w:ascii="Verdana" w:hAnsi="Verdana"/>
                <w:sz w:val="16"/>
                <w:szCs w:val="16"/>
              </w:rPr>
              <w:t>11</w:t>
            </w:r>
          </w:p>
        </w:tc>
        <w:tc>
          <w:tcPr>
            <w:tcW w:w="3798" w:type="dxa"/>
            <w:vAlign w:val="center"/>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Cs/>
                <w:color w:val="000000"/>
                <w:sz w:val="16"/>
                <w:szCs w:val="16"/>
              </w:rPr>
              <w:t>The indicator is national objective as per Europe 2020 Strategy. It should be borne in mind that other EU-funded programmes will contribute to its achievements, as well as the national budget. Therefore to establish the contribution of ORSESG additional evaluation will be needed.</w:t>
            </w:r>
          </w:p>
        </w:tc>
      </w:tr>
      <w:tr w:rsidR="00C27724" w:rsidRPr="005B6074" w:rsidTr="00A511E7">
        <w:tc>
          <w:tcPr>
            <w:tcW w:w="2581"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1842" w:type="dxa"/>
            <w:vAlign w:val="center"/>
          </w:tcPr>
          <w:p w:rsidR="00C27724" w:rsidRPr="005B6074" w:rsidRDefault="00C27724" w:rsidP="00793793">
            <w:pPr>
              <w:widowControl w:val="0"/>
              <w:tabs>
                <w:tab w:val="left" w:pos="0"/>
                <w:tab w:val="right" w:pos="9214"/>
              </w:tabs>
              <w:spacing w:after="0" w:line="240" w:lineRule="auto"/>
              <w:jc w:val="center"/>
              <w:rPr>
                <w:rFonts w:ascii="Verdana" w:hAnsi="Verdana"/>
                <w:sz w:val="16"/>
                <w:szCs w:val="16"/>
              </w:rPr>
            </w:pPr>
            <w:r w:rsidRPr="005B6074">
              <w:rPr>
                <w:rFonts w:ascii="Verdana" w:hAnsi="Verdana"/>
                <w:sz w:val="16"/>
                <w:szCs w:val="16"/>
              </w:rPr>
              <w:t>Share of children aged 15 with low results in the area of reading, mathematics and natural science</w:t>
            </w:r>
          </w:p>
        </w:tc>
        <w:tc>
          <w:tcPr>
            <w:tcW w:w="1418" w:type="dxa"/>
            <w:vAlign w:val="center"/>
          </w:tcPr>
          <w:p w:rsidR="00C27724" w:rsidRPr="005B6074" w:rsidRDefault="00C27724" w:rsidP="00793793">
            <w:pPr>
              <w:spacing w:after="0" w:line="240" w:lineRule="auto"/>
              <w:jc w:val="center"/>
            </w:pPr>
            <w:r w:rsidRPr="005B6074">
              <w:rPr>
                <w:rFonts w:ascii="Verdana" w:hAnsi="Verdana"/>
                <w:bCs/>
                <w:color w:val="000000"/>
                <w:sz w:val="16"/>
                <w:szCs w:val="16"/>
              </w:rPr>
              <w:t>The indicator is relevant</w:t>
            </w:r>
          </w:p>
        </w:tc>
        <w:tc>
          <w:tcPr>
            <w:tcW w:w="1559" w:type="dxa"/>
            <w:gridSpan w:val="2"/>
            <w:vAlign w:val="center"/>
          </w:tcPr>
          <w:p w:rsidR="00C27724" w:rsidRPr="005B6074" w:rsidRDefault="00C27724" w:rsidP="00793793">
            <w:pPr>
              <w:spacing w:after="0" w:line="240" w:lineRule="auto"/>
              <w:jc w:val="center"/>
            </w:pPr>
            <w:r w:rsidRPr="005B6074">
              <w:rPr>
                <w:rFonts w:ascii="Verdana" w:hAnsi="Verdana"/>
                <w:bCs/>
                <w:color w:val="000000"/>
                <w:sz w:val="16"/>
                <w:szCs w:val="16"/>
              </w:rPr>
              <w:t>The indicator is clear</w:t>
            </w:r>
          </w:p>
        </w:tc>
        <w:tc>
          <w:tcPr>
            <w:tcW w:w="851"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w:t>
            </w:r>
          </w:p>
        </w:tc>
        <w:tc>
          <w:tcPr>
            <w:tcW w:w="1105" w:type="dxa"/>
            <w:gridSpan w:val="2"/>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41</w:t>
            </w:r>
          </w:p>
        </w:tc>
        <w:tc>
          <w:tcPr>
            <w:tcW w:w="992"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38</w:t>
            </w:r>
          </w:p>
        </w:tc>
        <w:tc>
          <w:tcPr>
            <w:tcW w:w="993"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35</w:t>
            </w:r>
          </w:p>
        </w:tc>
        <w:tc>
          <w:tcPr>
            <w:tcW w:w="3798"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 results in the last few years show minor changes in the values of the indicator. The changes that are expected will require time before having impact on the final result. Therefore the targets set seem ambitious.</w:t>
            </w:r>
          </w:p>
        </w:tc>
      </w:tr>
      <w:tr w:rsidR="00C27724" w:rsidRPr="005B6074" w:rsidTr="00A511E7">
        <w:tc>
          <w:tcPr>
            <w:tcW w:w="15139" w:type="dxa"/>
            <w:gridSpan w:val="11"/>
            <w:shd w:val="clear" w:color="auto" w:fill="F2DBDB" w:themeFill="accent2" w:themeFillTint="33"/>
          </w:tcPr>
          <w:p w:rsidR="00C27724" w:rsidRPr="005B6074" w:rsidRDefault="00C27724" w:rsidP="00A511E7">
            <w:pPr>
              <w:keepNext/>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
                <w:bCs/>
                <w:color w:val="000000"/>
                <w:sz w:val="16"/>
                <w:szCs w:val="16"/>
              </w:rPr>
              <w:lastRenderedPageBreak/>
              <w:t>IP2.</w:t>
            </w:r>
            <w:r w:rsidRPr="005B6074">
              <w:rPr>
                <w:rFonts w:ascii="Verdana" w:hAnsi="Verdana"/>
                <w:bCs/>
                <w:color w:val="000000"/>
                <w:sz w:val="16"/>
                <w:szCs w:val="16"/>
              </w:rPr>
              <w:t xml:space="preserve"> </w:t>
            </w:r>
            <w:r w:rsidRPr="005B6074">
              <w:rPr>
                <w:rFonts w:ascii="Verdana" w:hAnsi="Verdana" w:cs="Arial Narrow"/>
                <w:i/>
                <w:color w:val="000000"/>
                <w:sz w:val="16"/>
                <w:szCs w:val="16"/>
              </w:rPr>
              <w:t>Improving the quality and efficiency of, and access to, tertiary and equivalent education with a view to increasing participation and attainment levels, especially for disadvantaged groups</w:t>
            </w:r>
          </w:p>
        </w:tc>
      </w:tr>
      <w:tr w:rsidR="00C27724" w:rsidRPr="005B6074" w:rsidTr="00793793">
        <w:trPr>
          <w:trHeight w:val="1515"/>
        </w:trPr>
        <w:tc>
          <w:tcPr>
            <w:tcW w:w="2581" w:type="dxa"/>
            <w:vMerge w:val="restart"/>
          </w:tcPr>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SO1 Improving the knowledge, skills and opportunities for realization of university graduates</w:t>
            </w: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SO 2. Optimizing the activities of the higher schools.</w:t>
            </w: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SO 3 Improving the access to higher education and increasing the number of persons with higher education in the age between 30-34 years up to 36% by 2020.</w:t>
            </w:r>
          </w:p>
        </w:tc>
        <w:tc>
          <w:tcPr>
            <w:tcW w:w="1842" w:type="dxa"/>
            <w:vAlign w:val="center"/>
          </w:tcPr>
          <w:p w:rsidR="00C27724" w:rsidRPr="005B6074" w:rsidRDefault="00C27724" w:rsidP="00793793">
            <w:pPr>
              <w:pStyle w:val="Default"/>
              <w:jc w:val="center"/>
              <w:rPr>
                <w:rFonts w:ascii="Verdana" w:hAnsi="Verdana"/>
                <w:color w:val="auto"/>
                <w:sz w:val="16"/>
                <w:szCs w:val="16"/>
              </w:rPr>
            </w:pPr>
            <w:r w:rsidRPr="005B6074">
              <w:rPr>
                <w:rFonts w:ascii="Verdana" w:hAnsi="Verdana"/>
                <w:color w:val="auto"/>
                <w:sz w:val="16"/>
                <w:szCs w:val="16"/>
              </w:rPr>
              <w:t>Percentage of 30-34-year-old people with higher education</w:t>
            </w:r>
          </w:p>
          <w:p w:rsidR="00C27724" w:rsidRPr="005B6074" w:rsidRDefault="00C27724" w:rsidP="00793793">
            <w:pPr>
              <w:spacing w:after="0" w:line="240" w:lineRule="auto"/>
              <w:jc w:val="center"/>
              <w:rPr>
                <w:rFonts w:ascii="Verdana" w:hAnsi="Verdana"/>
                <w:sz w:val="16"/>
                <w:szCs w:val="16"/>
              </w:rPr>
            </w:pPr>
          </w:p>
        </w:tc>
        <w:tc>
          <w:tcPr>
            <w:tcW w:w="1418" w:type="dxa"/>
            <w:vAlign w:val="center"/>
          </w:tcPr>
          <w:p w:rsidR="00C27724" w:rsidRPr="005B6074" w:rsidRDefault="00C27724" w:rsidP="00793793">
            <w:pPr>
              <w:widowControl w:val="0"/>
              <w:tabs>
                <w:tab w:val="left" w:pos="0"/>
                <w:tab w:val="right" w:pos="9214"/>
              </w:tabs>
              <w:spacing w:after="0" w:line="240" w:lineRule="auto"/>
              <w:jc w:val="center"/>
              <w:rPr>
                <w:rFonts w:ascii="Verdana" w:hAnsi="Verdana"/>
                <w:bCs/>
                <w:color w:val="000000"/>
                <w:sz w:val="16"/>
                <w:szCs w:val="16"/>
              </w:rPr>
            </w:pPr>
            <w:r w:rsidRPr="005B6074">
              <w:rPr>
                <w:rFonts w:ascii="Verdana" w:hAnsi="Verdana"/>
                <w:bCs/>
                <w:color w:val="000000"/>
                <w:sz w:val="16"/>
                <w:szCs w:val="16"/>
              </w:rPr>
              <w:t>The indicator is relevant</w:t>
            </w:r>
          </w:p>
        </w:tc>
        <w:tc>
          <w:tcPr>
            <w:tcW w:w="1530" w:type="dxa"/>
            <w:vAlign w:val="center"/>
          </w:tcPr>
          <w:p w:rsidR="00C27724" w:rsidRPr="005B6074" w:rsidRDefault="00C27724" w:rsidP="00793793">
            <w:pPr>
              <w:widowControl w:val="0"/>
              <w:tabs>
                <w:tab w:val="left" w:pos="0"/>
                <w:tab w:val="right" w:pos="9214"/>
              </w:tabs>
              <w:spacing w:after="0" w:line="240" w:lineRule="auto"/>
              <w:jc w:val="center"/>
              <w:rPr>
                <w:rFonts w:ascii="Verdana" w:hAnsi="Verdana"/>
                <w:bCs/>
                <w:color w:val="000000"/>
                <w:sz w:val="16"/>
                <w:szCs w:val="16"/>
              </w:rPr>
            </w:pPr>
            <w:r w:rsidRPr="005B6074">
              <w:rPr>
                <w:rFonts w:ascii="Verdana" w:hAnsi="Verdana"/>
                <w:bCs/>
                <w:color w:val="000000"/>
                <w:sz w:val="16"/>
                <w:szCs w:val="16"/>
              </w:rPr>
              <w:t>The indicator is clear</w:t>
            </w:r>
          </w:p>
        </w:tc>
        <w:tc>
          <w:tcPr>
            <w:tcW w:w="993" w:type="dxa"/>
            <w:gridSpan w:val="3"/>
            <w:vAlign w:val="center"/>
          </w:tcPr>
          <w:p w:rsidR="00C27724" w:rsidRPr="005B6074" w:rsidRDefault="00C27724" w:rsidP="00793793">
            <w:pPr>
              <w:spacing w:after="0" w:line="240" w:lineRule="auto"/>
              <w:jc w:val="center"/>
              <w:rPr>
                <w:rFonts w:ascii="Verdana" w:hAnsi="Verdana"/>
                <w:b/>
                <w:sz w:val="16"/>
                <w:szCs w:val="16"/>
                <w:highlight w:val="cyan"/>
              </w:rPr>
            </w:pPr>
            <w:r w:rsidRPr="005B6074">
              <w:rPr>
                <w:rFonts w:ascii="Verdana" w:hAnsi="Verdana"/>
                <w:sz w:val="16"/>
                <w:szCs w:val="16"/>
              </w:rPr>
              <w:t>%</w:t>
            </w:r>
          </w:p>
        </w:tc>
        <w:tc>
          <w:tcPr>
            <w:tcW w:w="992"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26,9</w:t>
            </w:r>
          </w:p>
        </w:tc>
        <w:tc>
          <w:tcPr>
            <w:tcW w:w="992"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30</w:t>
            </w:r>
          </w:p>
        </w:tc>
        <w:tc>
          <w:tcPr>
            <w:tcW w:w="993"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36</w:t>
            </w:r>
          </w:p>
        </w:tc>
        <w:tc>
          <w:tcPr>
            <w:tcW w:w="3798" w:type="dxa"/>
            <w:vAlign w:val="center"/>
          </w:tcPr>
          <w:p w:rsidR="00C27724" w:rsidRPr="005B6074" w:rsidRDefault="00C27724" w:rsidP="00DB6F26">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 xml:space="preserve">The indicator is national objective according to Europe 2020 Strategy. The statistical data (NSI) shows continuous increase of the share of the people with higher education and the average annual increase is about 3%. If the trend continues and in addition to the support from the programme the </w:t>
            </w:r>
            <w:r w:rsidR="00DB6F26">
              <w:rPr>
                <w:rFonts w:ascii="Verdana" w:hAnsi="Verdana"/>
                <w:bCs/>
                <w:color w:val="000000"/>
                <w:sz w:val="16"/>
                <w:szCs w:val="16"/>
              </w:rPr>
              <w:t>milestone</w:t>
            </w:r>
            <w:r w:rsidRPr="005B6074">
              <w:rPr>
                <w:rFonts w:ascii="Verdana" w:hAnsi="Verdana"/>
                <w:bCs/>
                <w:color w:val="000000"/>
                <w:sz w:val="16"/>
                <w:szCs w:val="16"/>
              </w:rPr>
              <w:t xml:space="preserve"> and target values set are fully achievable.</w:t>
            </w:r>
          </w:p>
        </w:tc>
      </w:tr>
      <w:tr w:rsidR="00C27724" w:rsidRPr="005B6074" w:rsidTr="00793793">
        <w:trPr>
          <w:trHeight w:val="2064"/>
        </w:trPr>
        <w:tc>
          <w:tcPr>
            <w:tcW w:w="2581" w:type="dxa"/>
            <w:vMerge/>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1842"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Students studying under updated learning plans and programmes</w:t>
            </w:r>
          </w:p>
        </w:tc>
        <w:tc>
          <w:tcPr>
            <w:tcW w:w="1418" w:type="dxa"/>
            <w:vAlign w:val="center"/>
          </w:tcPr>
          <w:p w:rsidR="00C27724" w:rsidRPr="005B6074" w:rsidRDefault="00C27724" w:rsidP="00793793">
            <w:pPr>
              <w:widowControl w:val="0"/>
              <w:tabs>
                <w:tab w:val="left" w:pos="0"/>
                <w:tab w:val="right" w:pos="9214"/>
              </w:tabs>
              <w:spacing w:after="0" w:line="240" w:lineRule="auto"/>
              <w:jc w:val="center"/>
              <w:rPr>
                <w:rFonts w:ascii="Verdana" w:hAnsi="Verdana"/>
                <w:bCs/>
                <w:color w:val="000000"/>
                <w:sz w:val="16"/>
                <w:szCs w:val="16"/>
              </w:rPr>
            </w:pPr>
            <w:r w:rsidRPr="005B6074">
              <w:rPr>
                <w:rFonts w:ascii="Verdana" w:hAnsi="Verdana"/>
                <w:bCs/>
                <w:color w:val="000000"/>
                <w:sz w:val="16"/>
                <w:szCs w:val="16"/>
              </w:rPr>
              <w:t>The indicator does not correspond to the specific objectives</w:t>
            </w:r>
          </w:p>
        </w:tc>
        <w:tc>
          <w:tcPr>
            <w:tcW w:w="1530" w:type="dxa"/>
            <w:vAlign w:val="center"/>
          </w:tcPr>
          <w:p w:rsidR="00C27724" w:rsidRPr="005B6074" w:rsidRDefault="00C27724" w:rsidP="00793793">
            <w:pPr>
              <w:widowControl w:val="0"/>
              <w:tabs>
                <w:tab w:val="left" w:pos="0"/>
                <w:tab w:val="right" w:pos="9214"/>
              </w:tabs>
              <w:spacing w:after="0" w:line="240" w:lineRule="auto"/>
              <w:jc w:val="center"/>
              <w:rPr>
                <w:rFonts w:ascii="Verdana" w:hAnsi="Verdana"/>
                <w:bCs/>
                <w:color w:val="000000"/>
                <w:sz w:val="16"/>
                <w:szCs w:val="16"/>
              </w:rPr>
            </w:pPr>
            <w:r w:rsidRPr="005B6074">
              <w:rPr>
                <w:rFonts w:ascii="Verdana" w:hAnsi="Verdana"/>
                <w:bCs/>
                <w:color w:val="000000"/>
                <w:sz w:val="16"/>
                <w:szCs w:val="16"/>
              </w:rPr>
              <w:t xml:space="preserve">It is assumed that the educational plans and programmes will be updated with support from the </w:t>
            </w:r>
            <w:r w:rsidR="005B35A7">
              <w:rPr>
                <w:rFonts w:ascii="Verdana" w:hAnsi="Verdana"/>
                <w:bCs/>
                <w:color w:val="000000"/>
                <w:sz w:val="16"/>
                <w:szCs w:val="16"/>
              </w:rPr>
              <w:t>OPSESG</w:t>
            </w:r>
          </w:p>
        </w:tc>
        <w:tc>
          <w:tcPr>
            <w:tcW w:w="993" w:type="dxa"/>
            <w:gridSpan w:val="3"/>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w:t>
            </w:r>
          </w:p>
        </w:tc>
        <w:tc>
          <w:tcPr>
            <w:tcW w:w="992"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1</w:t>
            </w:r>
          </w:p>
        </w:tc>
        <w:tc>
          <w:tcPr>
            <w:tcW w:w="992"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5</w:t>
            </w:r>
          </w:p>
        </w:tc>
        <w:tc>
          <w:tcPr>
            <w:tcW w:w="993"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10</w:t>
            </w:r>
          </w:p>
        </w:tc>
        <w:tc>
          <w:tcPr>
            <w:tcW w:w="3798"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is no information on the methodology how the indicator values have been calculated.</w:t>
            </w:r>
          </w:p>
        </w:tc>
      </w:tr>
      <w:tr w:rsidR="00C27724" w:rsidRPr="005B6074" w:rsidTr="00A511E7">
        <w:tc>
          <w:tcPr>
            <w:tcW w:w="15139" w:type="dxa"/>
            <w:gridSpan w:val="11"/>
            <w:shd w:val="clear" w:color="auto" w:fill="F2DBDB" w:themeFill="accent2" w:themeFillTint="33"/>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
                <w:bCs/>
                <w:color w:val="000000"/>
                <w:sz w:val="16"/>
                <w:szCs w:val="16"/>
              </w:rPr>
              <w:t>IP3.</w:t>
            </w:r>
            <w:r w:rsidRPr="005B6074">
              <w:rPr>
                <w:rFonts w:ascii="Verdana" w:hAnsi="Verdana"/>
                <w:bCs/>
                <w:color w:val="000000"/>
                <w:sz w:val="16"/>
                <w:szCs w:val="16"/>
              </w:rPr>
              <w:t xml:space="preserve"> </w:t>
            </w:r>
            <w:r w:rsidRPr="005B6074">
              <w:rPr>
                <w:rFonts w:ascii="Verdana" w:hAnsi="Verdana" w:cs="Arial Narrow"/>
                <w:i/>
                <w:color w:val="000000"/>
                <w:sz w:val="16"/>
                <w:szCs w:val="16"/>
              </w:rPr>
              <w:t>Enhancing equal access to lifelong learning for all age groups in formal, non-formal and informal settings, upgrading the knowledge, skills and competences of the workforce, and promoting flexible learning pathways including through career guidance and validation of acquired competences</w:t>
            </w:r>
          </w:p>
        </w:tc>
      </w:tr>
      <w:tr w:rsidR="00C27724" w:rsidRPr="005B6074" w:rsidTr="00793793">
        <w:trPr>
          <w:trHeight w:val="937"/>
        </w:trPr>
        <w:tc>
          <w:tcPr>
            <w:tcW w:w="2581" w:type="dxa"/>
            <w:vMerge w:val="restart"/>
            <w:shd w:val="clear" w:color="auto" w:fill="auto"/>
          </w:tcPr>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SO1. Developing the capacity and raising the qualification of the people employed in the areas of education, training and science.</w:t>
            </w: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SO2. Rendering support for the continuing education and creating conditions for acquiring and building on knowledge, skills and competences</w:t>
            </w:r>
          </w:p>
        </w:tc>
        <w:tc>
          <w:tcPr>
            <w:tcW w:w="1842" w:type="dxa"/>
            <w:shd w:val="clear" w:color="auto" w:fill="auto"/>
            <w:vAlign w:val="center"/>
          </w:tcPr>
          <w:p w:rsidR="00C27724" w:rsidRPr="005B6074" w:rsidRDefault="00C27724" w:rsidP="00793793">
            <w:pPr>
              <w:pStyle w:val="Default"/>
              <w:jc w:val="center"/>
              <w:rPr>
                <w:rFonts w:ascii="Verdana" w:hAnsi="Verdana"/>
                <w:color w:val="auto"/>
                <w:sz w:val="16"/>
                <w:szCs w:val="16"/>
              </w:rPr>
            </w:pPr>
            <w:r w:rsidRPr="005B6074">
              <w:rPr>
                <w:rFonts w:ascii="Verdana" w:hAnsi="Verdana"/>
                <w:color w:val="auto"/>
                <w:sz w:val="16"/>
                <w:szCs w:val="16"/>
              </w:rPr>
              <w:lastRenderedPageBreak/>
              <w:t>Teachers up to 35 years old</w:t>
            </w:r>
          </w:p>
        </w:tc>
        <w:tc>
          <w:tcPr>
            <w:tcW w:w="1418" w:type="dxa"/>
            <w:shd w:val="clear" w:color="auto" w:fill="auto"/>
            <w:vAlign w:val="center"/>
          </w:tcPr>
          <w:p w:rsidR="00C27724" w:rsidRPr="005B6074" w:rsidRDefault="00C27724" w:rsidP="00793793">
            <w:pPr>
              <w:widowControl w:val="0"/>
              <w:tabs>
                <w:tab w:val="left" w:pos="0"/>
                <w:tab w:val="right" w:pos="9214"/>
              </w:tabs>
              <w:spacing w:after="0" w:line="240" w:lineRule="auto"/>
              <w:jc w:val="center"/>
              <w:rPr>
                <w:rFonts w:ascii="Verdana" w:hAnsi="Verdana"/>
                <w:bCs/>
                <w:color w:val="000000"/>
                <w:sz w:val="16"/>
                <w:szCs w:val="16"/>
              </w:rPr>
            </w:pPr>
            <w:r w:rsidRPr="005B6074">
              <w:rPr>
                <w:rFonts w:ascii="Verdana" w:hAnsi="Verdana"/>
                <w:bCs/>
                <w:color w:val="000000"/>
                <w:sz w:val="16"/>
                <w:szCs w:val="16"/>
              </w:rPr>
              <w:t>The indicator is relevant, however does not correspond to the specific objectives</w:t>
            </w:r>
          </w:p>
        </w:tc>
        <w:tc>
          <w:tcPr>
            <w:tcW w:w="1530" w:type="dxa"/>
            <w:shd w:val="clear" w:color="auto" w:fill="auto"/>
            <w:vAlign w:val="center"/>
          </w:tcPr>
          <w:p w:rsidR="00C27724" w:rsidRPr="005B6074" w:rsidRDefault="00C27724" w:rsidP="00793793">
            <w:pPr>
              <w:spacing w:after="0" w:line="240" w:lineRule="auto"/>
              <w:jc w:val="center"/>
            </w:pPr>
            <w:r w:rsidRPr="005B6074">
              <w:rPr>
                <w:rFonts w:ascii="Verdana" w:hAnsi="Verdana"/>
                <w:bCs/>
                <w:color w:val="000000"/>
                <w:sz w:val="16"/>
                <w:szCs w:val="16"/>
              </w:rPr>
              <w:t>The indicator is clear</w:t>
            </w:r>
          </w:p>
        </w:tc>
        <w:tc>
          <w:tcPr>
            <w:tcW w:w="993" w:type="dxa"/>
            <w:gridSpan w:val="3"/>
            <w:shd w:val="clear" w:color="auto" w:fill="auto"/>
            <w:vAlign w:val="center"/>
          </w:tcPr>
          <w:p w:rsidR="00C27724" w:rsidRPr="005B6074" w:rsidRDefault="00C27724" w:rsidP="00793793">
            <w:pPr>
              <w:widowControl w:val="0"/>
              <w:tabs>
                <w:tab w:val="left" w:pos="0"/>
                <w:tab w:val="right" w:pos="9214"/>
              </w:tabs>
              <w:spacing w:after="0" w:line="240" w:lineRule="auto"/>
              <w:jc w:val="center"/>
              <w:rPr>
                <w:rFonts w:ascii="Verdana" w:hAnsi="Verdana"/>
                <w:bCs/>
                <w:color w:val="000000"/>
                <w:sz w:val="16"/>
                <w:szCs w:val="16"/>
              </w:rPr>
            </w:pPr>
            <w:r w:rsidRPr="005B6074">
              <w:rPr>
                <w:rFonts w:ascii="Verdana" w:hAnsi="Verdana"/>
                <w:bCs/>
                <w:color w:val="000000"/>
                <w:sz w:val="16"/>
                <w:szCs w:val="16"/>
              </w:rPr>
              <w:t>%</w:t>
            </w:r>
          </w:p>
        </w:tc>
        <w:tc>
          <w:tcPr>
            <w:tcW w:w="992" w:type="dxa"/>
            <w:shd w:val="clear" w:color="auto" w:fill="auto"/>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7,7</w:t>
            </w:r>
          </w:p>
        </w:tc>
        <w:tc>
          <w:tcPr>
            <w:tcW w:w="992" w:type="dxa"/>
            <w:shd w:val="clear" w:color="auto" w:fill="auto"/>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10</w:t>
            </w:r>
          </w:p>
        </w:tc>
        <w:tc>
          <w:tcPr>
            <w:tcW w:w="993" w:type="dxa"/>
            <w:shd w:val="clear" w:color="auto" w:fill="auto"/>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15</w:t>
            </w:r>
          </w:p>
        </w:tc>
        <w:tc>
          <w:tcPr>
            <w:tcW w:w="3798" w:type="dxa"/>
            <w:shd w:val="clear" w:color="auto" w:fill="auto"/>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is no information on the methodology how the indicator values have been calculated. Based on the low baseline value and the envisaged support under the programme the values set seem realistic.</w:t>
            </w:r>
          </w:p>
        </w:tc>
      </w:tr>
      <w:tr w:rsidR="00C27724" w:rsidRPr="005B6074" w:rsidTr="008C5DB0">
        <w:trPr>
          <w:trHeight w:val="1555"/>
        </w:trPr>
        <w:tc>
          <w:tcPr>
            <w:tcW w:w="2581" w:type="dxa"/>
            <w:vMerge/>
            <w:shd w:val="clear" w:color="auto" w:fill="auto"/>
          </w:tcPr>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1842" w:type="dxa"/>
            <w:shd w:val="clear" w:color="auto" w:fill="auto"/>
            <w:vAlign w:val="center"/>
          </w:tcPr>
          <w:p w:rsidR="00C27724" w:rsidRPr="005B6074" w:rsidRDefault="00C27724" w:rsidP="00793793">
            <w:pPr>
              <w:pStyle w:val="Default"/>
              <w:jc w:val="center"/>
              <w:rPr>
                <w:rFonts w:ascii="Verdana" w:hAnsi="Verdana"/>
                <w:sz w:val="16"/>
                <w:szCs w:val="16"/>
              </w:rPr>
            </w:pPr>
            <w:r w:rsidRPr="005B6074">
              <w:rPr>
                <w:rFonts w:ascii="Verdana" w:hAnsi="Verdana"/>
                <w:sz w:val="16"/>
                <w:szCs w:val="16"/>
              </w:rPr>
              <w:t>Illiterate persons in the age 15-29</w:t>
            </w:r>
          </w:p>
          <w:p w:rsidR="00C27724" w:rsidRPr="005B6074" w:rsidRDefault="00C27724" w:rsidP="00793793">
            <w:pPr>
              <w:pStyle w:val="Default"/>
              <w:jc w:val="center"/>
              <w:rPr>
                <w:rFonts w:ascii="Verdana" w:hAnsi="Verdana"/>
                <w:color w:val="auto"/>
                <w:sz w:val="16"/>
                <w:szCs w:val="16"/>
              </w:rPr>
            </w:pPr>
          </w:p>
        </w:tc>
        <w:tc>
          <w:tcPr>
            <w:tcW w:w="1418" w:type="dxa"/>
            <w:shd w:val="clear" w:color="auto" w:fill="auto"/>
            <w:vAlign w:val="center"/>
          </w:tcPr>
          <w:p w:rsidR="00C27724" w:rsidRPr="005B6074" w:rsidRDefault="00C27724" w:rsidP="00793793">
            <w:pPr>
              <w:widowControl w:val="0"/>
              <w:tabs>
                <w:tab w:val="left" w:pos="0"/>
                <w:tab w:val="right" w:pos="9214"/>
              </w:tabs>
              <w:spacing w:after="0" w:line="240" w:lineRule="auto"/>
              <w:jc w:val="center"/>
              <w:rPr>
                <w:rFonts w:ascii="Verdana" w:hAnsi="Verdana"/>
                <w:bCs/>
                <w:color w:val="000000"/>
                <w:sz w:val="16"/>
                <w:szCs w:val="16"/>
              </w:rPr>
            </w:pPr>
            <w:r w:rsidRPr="005B6074">
              <w:rPr>
                <w:rFonts w:ascii="Verdana" w:hAnsi="Verdana"/>
                <w:bCs/>
                <w:color w:val="000000"/>
                <w:sz w:val="16"/>
                <w:szCs w:val="16"/>
              </w:rPr>
              <w:t>The indicator is relevant</w:t>
            </w:r>
          </w:p>
        </w:tc>
        <w:tc>
          <w:tcPr>
            <w:tcW w:w="1530" w:type="dxa"/>
            <w:shd w:val="clear" w:color="auto" w:fill="auto"/>
            <w:vAlign w:val="center"/>
          </w:tcPr>
          <w:p w:rsidR="00C27724" w:rsidRPr="005B6074" w:rsidRDefault="00C27724" w:rsidP="00793793">
            <w:pPr>
              <w:spacing w:after="0" w:line="240" w:lineRule="auto"/>
              <w:jc w:val="center"/>
            </w:pPr>
            <w:r w:rsidRPr="005B6074">
              <w:rPr>
                <w:rFonts w:ascii="Verdana" w:hAnsi="Verdana"/>
                <w:bCs/>
                <w:color w:val="000000"/>
                <w:sz w:val="16"/>
                <w:szCs w:val="16"/>
              </w:rPr>
              <w:t>The indicator is clear</w:t>
            </w:r>
          </w:p>
        </w:tc>
        <w:tc>
          <w:tcPr>
            <w:tcW w:w="993" w:type="dxa"/>
            <w:gridSpan w:val="3"/>
            <w:shd w:val="clear" w:color="auto" w:fill="auto"/>
            <w:vAlign w:val="center"/>
          </w:tcPr>
          <w:p w:rsidR="00C27724" w:rsidRPr="005B6074" w:rsidRDefault="00C27724" w:rsidP="00793793">
            <w:pPr>
              <w:spacing w:after="0" w:line="240" w:lineRule="auto"/>
              <w:jc w:val="center"/>
              <w:rPr>
                <w:rFonts w:ascii="Verdana" w:hAnsi="Verdana"/>
                <w:bCs/>
                <w:color w:val="000000"/>
                <w:sz w:val="16"/>
                <w:szCs w:val="16"/>
              </w:rPr>
            </w:pPr>
            <w:r w:rsidRPr="005B6074">
              <w:rPr>
                <w:rFonts w:ascii="Verdana" w:hAnsi="Verdana"/>
                <w:sz w:val="16"/>
                <w:szCs w:val="16"/>
              </w:rPr>
              <w:t>%</w:t>
            </w:r>
          </w:p>
        </w:tc>
        <w:tc>
          <w:tcPr>
            <w:tcW w:w="992" w:type="dxa"/>
            <w:shd w:val="clear" w:color="auto" w:fill="auto"/>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2</w:t>
            </w:r>
          </w:p>
        </w:tc>
        <w:tc>
          <w:tcPr>
            <w:tcW w:w="992" w:type="dxa"/>
            <w:shd w:val="clear" w:color="auto" w:fill="auto"/>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w:t>
            </w:r>
          </w:p>
        </w:tc>
        <w:tc>
          <w:tcPr>
            <w:tcW w:w="993" w:type="dxa"/>
            <w:shd w:val="clear" w:color="auto" w:fill="auto"/>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1,65</w:t>
            </w:r>
          </w:p>
        </w:tc>
        <w:tc>
          <w:tcPr>
            <w:tcW w:w="3798" w:type="dxa"/>
            <w:shd w:val="clear" w:color="auto" w:fill="auto"/>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is no information on the methodology how the indicator values have been calculated. Based on the envisaged support under the programme the target value seems realistic.</w:t>
            </w:r>
          </w:p>
        </w:tc>
      </w:tr>
      <w:tr w:rsidR="00C27724" w:rsidRPr="005B6074" w:rsidTr="00A511E7">
        <w:tc>
          <w:tcPr>
            <w:tcW w:w="15139" w:type="dxa"/>
            <w:gridSpan w:val="11"/>
            <w:shd w:val="clear" w:color="auto" w:fill="F2DBDB" w:themeFill="accent2" w:themeFillTint="33"/>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
                <w:sz w:val="16"/>
                <w:szCs w:val="16"/>
              </w:rPr>
              <w:lastRenderedPageBreak/>
              <w:t>IP4.</w:t>
            </w:r>
            <w:r w:rsidRPr="005B6074">
              <w:rPr>
                <w:rFonts w:ascii="Verdana" w:hAnsi="Verdana"/>
                <w:sz w:val="16"/>
                <w:szCs w:val="16"/>
              </w:rPr>
              <w:t xml:space="preserve"> </w:t>
            </w:r>
            <w:r w:rsidRPr="005B6074">
              <w:rPr>
                <w:rFonts w:ascii="Verdana" w:hAnsi="Verdana" w:cs="Arial Narrow"/>
                <w:i/>
                <w:color w:val="000000"/>
                <w:sz w:val="16"/>
                <w:szCs w:val="16"/>
              </w:rPr>
              <w:t>Improving the labour market relevance of education and training systems, facilitating the transition from education to work, and strengthening vocational education and training systems and their quality, including through mechanisms for skills anticipation, adaptation of curricula and the establishment and development of work-based learning systems, including dual learning systems and apprenticeship schemes.</w:t>
            </w:r>
          </w:p>
        </w:tc>
      </w:tr>
      <w:tr w:rsidR="00C27724" w:rsidRPr="005B6074" w:rsidTr="008C5DB0">
        <w:trPr>
          <w:trHeight w:val="2364"/>
        </w:trPr>
        <w:tc>
          <w:tcPr>
            <w:tcW w:w="2581" w:type="dxa"/>
          </w:tcPr>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SO1. Raising the attractiveness and improving the quality of vocational education and training</w:t>
            </w: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p>
          <w:p w:rsidR="00C27724" w:rsidRPr="005B6074" w:rsidRDefault="00C27724" w:rsidP="00A511E7">
            <w:pPr>
              <w:autoSpaceDE w:val="0"/>
              <w:autoSpaceDN w:val="0"/>
              <w:adjustRightInd w:val="0"/>
              <w:spacing w:after="0" w:line="240" w:lineRule="auto"/>
              <w:rPr>
                <w:rFonts w:ascii="Verdana" w:hAnsi="Verdana"/>
                <w:sz w:val="16"/>
                <w:szCs w:val="16"/>
              </w:rPr>
            </w:pPr>
            <w:r w:rsidRPr="005B6074">
              <w:rPr>
                <w:rFonts w:ascii="Verdana" w:hAnsi="Verdana"/>
                <w:sz w:val="16"/>
                <w:szCs w:val="16"/>
              </w:rPr>
              <w:t>SO2. Promoting cooperation between professional education and training and higher education, science and business.</w:t>
            </w:r>
          </w:p>
          <w:p w:rsidR="00C27724" w:rsidRPr="005B6074" w:rsidRDefault="00C27724" w:rsidP="00A511E7">
            <w:pPr>
              <w:autoSpaceDE w:val="0"/>
              <w:autoSpaceDN w:val="0"/>
              <w:adjustRightInd w:val="0"/>
              <w:spacing w:after="0" w:line="240" w:lineRule="auto"/>
              <w:jc w:val="both"/>
              <w:rPr>
                <w:rFonts w:ascii="Verdana" w:hAnsi="Verdana"/>
                <w:sz w:val="16"/>
                <w:szCs w:val="16"/>
              </w:rPr>
            </w:pPr>
          </w:p>
        </w:tc>
        <w:tc>
          <w:tcPr>
            <w:tcW w:w="1842"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Persons graduating from vocational high schools who have started exercising the respective profession during the first year after graduating.</w:t>
            </w:r>
          </w:p>
        </w:tc>
        <w:tc>
          <w:tcPr>
            <w:tcW w:w="1418" w:type="dxa"/>
            <w:vAlign w:val="center"/>
          </w:tcPr>
          <w:p w:rsidR="00C27724" w:rsidRPr="005B6074" w:rsidRDefault="00C27724" w:rsidP="00793793">
            <w:pPr>
              <w:widowControl w:val="0"/>
              <w:tabs>
                <w:tab w:val="left" w:pos="0"/>
                <w:tab w:val="right" w:pos="9214"/>
              </w:tabs>
              <w:spacing w:after="0" w:line="240" w:lineRule="auto"/>
              <w:jc w:val="center"/>
              <w:rPr>
                <w:rFonts w:ascii="Verdana" w:hAnsi="Verdana"/>
                <w:bCs/>
                <w:color w:val="000000"/>
                <w:sz w:val="16"/>
                <w:szCs w:val="16"/>
              </w:rPr>
            </w:pPr>
            <w:r w:rsidRPr="005B6074">
              <w:rPr>
                <w:rFonts w:ascii="Verdana" w:hAnsi="Verdana"/>
                <w:bCs/>
                <w:color w:val="000000"/>
                <w:sz w:val="16"/>
                <w:szCs w:val="16"/>
              </w:rPr>
              <w:t>The indicator is relevant</w:t>
            </w:r>
          </w:p>
        </w:tc>
        <w:tc>
          <w:tcPr>
            <w:tcW w:w="1530" w:type="dxa"/>
            <w:vAlign w:val="center"/>
          </w:tcPr>
          <w:p w:rsidR="00C27724" w:rsidRPr="005B6074" w:rsidRDefault="00C27724" w:rsidP="00793793">
            <w:pPr>
              <w:widowControl w:val="0"/>
              <w:tabs>
                <w:tab w:val="left" w:pos="0"/>
                <w:tab w:val="right" w:pos="9214"/>
              </w:tabs>
              <w:spacing w:after="0" w:line="240" w:lineRule="auto"/>
              <w:jc w:val="center"/>
              <w:rPr>
                <w:rFonts w:ascii="Verdana" w:hAnsi="Verdana"/>
                <w:bCs/>
                <w:color w:val="000000"/>
                <w:sz w:val="16"/>
                <w:szCs w:val="16"/>
              </w:rPr>
            </w:pPr>
            <w:r w:rsidRPr="005B6074">
              <w:rPr>
                <w:rFonts w:ascii="Verdana" w:hAnsi="Verdana"/>
                <w:bCs/>
                <w:color w:val="000000"/>
                <w:sz w:val="16"/>
                <w:szCs w:val="16"/>
              </w:rPr>
              <w:t>The indicator is clear</w:t>
            </w:r>
          </w:p>
        </w:tc>
        <w:tc>
          <w:tcPr>
            <w:tcW w:w="993" w:type="dxa"/>
            <w:gridSpan w:val="3"/>
            <w:vAlign w:val="center"/>
          </w:tcPr>
          <w:p w:rsidR="00C27724" w:rsidRPr="005B6074" w:rsidRDefault="00C27724" w:rsidP="00793793">
            <w:pPr>
              <w:widowControl w:val="0"/>
              <w:tabs>
                <w:tab w:val="left" w:pos="0"/>
                <w:tab w:val="right" w:pos="9214"/>
              </w:tabs>
              <w:spacing w:after="0" w:line="240" w:lineRule="auto"/>
              <w:jc w:val="center"/>
              <w:rPr>
                <w:rFonts w:ascii="Verdana" w:hAnsi="Verdana"/>
                <w:bCs/>
                <w:color w:val="000000"/>
                <w:sz w:val="16"/>
                <w:szCs w:val="16"/>
              </w:rPr>
            </w:pPr>
            <w:r w:rsidRPr="005B6074">
              <w:rPr>
                <w:rFonts w:ascii="Verdana" w:hAnsi="Verdana"/>
                <w:bCs/>
                <w:color w:val="000000"/>
                <w:sz w:val="16"/>
                <w:szCs w:val="16"/>
              </w:rPr>
              <w:t>%</w:t>
            </w:r>
          </w:p>
        </w:tc>
        <w:tc>
          <w:tcPr>
            <w:tcW w:w="992" w:type="dxa"/>
            <w:vAlign w:val="center"/>
          </w:tcPr>
          <w:p w:rsidR="00C27724" w:rsidRPr="005B6074" w:rsidRDefault="00C27724" w:rsidP="00793793">
            <w:pPr>
              <w:widowControl w:val="0"/>
              <w:tabs>
                <w:tab w:val="left" w:pos="0"/>
                <w:tab w:val="right" w:pos="9214"/>
              </w:tabs>
              <w:spacing w:after="0" w:line="240" w:lineRule="auto"/>
              <w:jc w:val="center"/>
              <w:rPr>
                <w:rFonts w:ascii="Verdana" w:hAnsi="Verdana"/>
                <w:sz w:val="16"/>
                <w:szCs w:val="16"/>
              </w:rPr>
            </w:pPr>
            <w:r w:rsidRPr="005B6074">
              <w:rPr>
                <w:rFonts w:ascii="Verdana" w:hAnsi="Verdana"/>
                <w:sz w:val="16"/>
                <w:szCs w:val="16"/>
              </w:rPr>
              <w:t>Not specified</w:t>
            </w:r>
          </w:p>
        </w:tc>
        <w:tc>
          <w:tcPr>
            <w:tcW w:w="992" w:type="dxa"/>
            <w:vAlign w:val="center"/>
          </w:tcPr>
          <w:p w:rsidR="00C27724" w:rsidRPr="005B6074" w:rsidRDefault="00C27724" w:rsidP="00793793">
            <w:pPr>
              <w:spacing w:after="0" w:line="240" w:lineRule="auto"/>
              <w:jc w:val="center"/>
            </w:pPr>
            <w:r w:rsidRPr="005B6074">
              <w:rPr>
                <w:rFonts w:ascii="Verdana" w:hAnsi="Verdana"/>
                <w:sz w:val="16"/>
                <w:szCs w:val="16"/>
              </w:rPr>
              <w:t>Not specified</w:t>
            </w:r>
          </w:p>
        </w:tc>
        <w:tc>
          <w:tcPr>
            <w:tcW w:w="993" w:type="dxa"/>
            <w:vAlign w:val="center"/>
          </w:tcPr>
          <w:p w:rsidR="00C27724" w:rsidRPr="005B6074" w:rsidRDefault="00C27724" w:rsidP="00793793">
            <w:pPr>
              <w:spacing w:after="0" w:line="240" w:lineRule="auto"/>
              <w:jc w:val="center"/>
            </w:pPr>
            <w:r w:rsidRPr="005B6074">
              <w:rPr>
                <w:rFonts w:ascii="Verdana" w:hAnsi="Verdana"/>
                <w:sz w:val="16"/>
                <w:szCs w:val="16"/>
              </w:rPr>
              <w:t>Not specified</w:t>
            </w:r>
          </w:p>
        </w:tc>
        <w:tc>
          <w:tcPr>
            <w:tcW w:w="3798"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are no values</w:t>
            </w:r>
          </w:p>
        </w:tc>
      </w:tr>
      <w:tr w:rsidR="00C27724" w:rsidRPr="005B6074" w:rsidTr="00A511E7">
        <w:tc>
          <w:tcPr>
            <w:tcW w:w="15139" w:type="dxa"/>
            <w:gridSpan w:val="11"/>
            <w:shd w:val="clear" w:color="auto" w:fill="B8CCE4" w:themeFill="accent1" w:themeFillTint="66"/>
          </w:tcPr>
          <w:p w:rsidR="00C27724" w:rsidRPr="005B6074" w:rsidRDefault="00C27724" w:rsidP="00A511E7">
            <w:pPr>
              <w:keepNext/>
              <w:tabs>
                <w:tab w:val="left" w:pos="0"/>
                <w:tab w:val="right" w:pos="9214"/>
              </w:tabs>
              <w:spacing w:after="0" w:line="240" w:lineRule="auto"/>
              <w:jc w:val="both"/>
              <w:rPr>
                <w:rFonts w:ascii="Verdana" w:hAnsi="Verdana"/>
                <w:b/>
                <w:bCs/>
                <w:color w:val="000000"/>
                <w:sz w:val="16"/>
                <w:szCs w:val="16"/>
              </w:rPr>
            </w:pPr>
            <w:r w:rsidRPr="005B6074">
              <w:rPr>
                <w:rFonts w:ascii="Verdana" w:hAnsi="Verdana"/>
                <w:b/>
                <w:sz w:val="16"/>
                <w:szCs w:val="16"/>
              </w:rPr>
              <w:lastRenderedPageBreak/>
              <w:t>PA 3. Educational Environment for Active Social Inclusion</w:t>
            </w:r>
          </w:p>
        </w:tc>
      </w:tr>
      <w:tr w:rsidR="00C27724" w:rsidRPr="005B6074" w:rsidTr="00A511E7">
        <w:tc>
          <w:tcPr>
            <w:tcW w:w="15139" w:type="dxa"/>
            <w:gridSpan w:val="11"/>
            <w:shd w:val="clear" w:color="auto" w:fill="F2DBDB" w:themeFill="accent2" w:themeFillTint="33"/>
          </w:tcPr>
          <w:p w:rsidR="00C27724" w:rsidRPr="005B6074" w:rsidRDefault="00C27724" w:rsidP="00A511E7">
            <w:pPr>
              <w:keepNext/>
              <w:tabs>
                <w:tab w:val="left" w:pos="0"/>
                <w:tab w:val="right" w:pos="9214"/>
              </w:tabs>
              <w:spacing w:after="0" w:line="240" w:lineRule="auto"/>
              <w:jc w:val="both"/>
              <w:rPr>
                <w:rFonts w:ascii="Verdana" w:hAnsi="Verdana"/>
                <w:b/>
                <w:sz w:val="16"/>
                <w:szCs w:val="16"/>
              </w:rPr>
            </w:pPr>
            <w:r w:rsidRPr="005B6074">
              <w:rPr>
                <w:rFonts w:ascii="Verdana" w:hAnsi="Verdana"/>
                <w:b/>
                <w:sz w:val="16"/>
                <w:szCs w:val="16"/>
              </w:rPr>
              <w:t xml:space="preserve">IP1. </w:t>
            </w:r>
            <w:r w:rsidRPr="005B6074">
              <w:rPr>
                <w:rFonts w:ascii="Verdana" w:hAnsi="Verdana" w:cs="Arial Narrow"/>
                <w:i/>
                <w:color w:val="000000"/>
                <w:sz w:val="16"/>
                <w:szCs w:val="16"/>
              </w:rPr>
              <w:t>Active inclusion, including with a view to promoting equal opportunities and active participation, and improving employability</w:t>
            </w:r>
          </w:p>
        </w:tc>
      </w:tr>
      <w:tr w:rsidR="00C27724" w:rsidRPr="005B6074" w:rsidTr="008C5DB0">
        <w:trPr>
          <w:trHeight w:val="2689"/>
        </w:trPr>
        <w:tc>
          <w:tcPr>
            <w:tcW w:w="2581" w:type="dxa"/>
          </w:tcPr>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SO1. Raising the quality and improving the access to education by creating supportive environment for inclusive education</w:t>
            </w:r>
          </w:p>
          <w:p w:rsidR="00C27724" w:rsidRPr="005B6074" w:rsidRDefault="00C27724" w:rsidP="00A511E7">
            <w:pPr>
              <w:autoSpaceDE w:val="0"/>
              <w:autoSpaceDN w:val="0"/>
              <w:adjustRightInd w:val="0"/>
              <w:spacing w:after="0" w:line="240" w:lineRule="auto"/>
              <w:jc w:val="both"/>
              <w:rPr>
                <w:rFonts w:ascii="Verdana" w:hAnsi="Verdana"/>
                <w:sz w:val="16"/>
                <w:szCs w:val="16"/>
              </w:rPr>
            </w:pPr>
          </w:p>
          <w:p w:rsidR="00C27724" w:rsidRPr="005B6074" w:rsidRDefault="00C27724" w:rsidP="00A511E7">
            <w:pPr>
              <w:autoSpaceDE w:val="0"/>
              <w:autoSpaceDN w:val="0"/>
              <w:adjustRightInd w:val="0"/>
              <w:spacing w:after="0" w:line="240" w:lineRule="auto"/>
              <w:jc w:val="both"/>
              <w:rPr>
                <w:rFonts w:ascii="Verdana" w:hAnsi="Verdana"/>
                <w:sz w:val="16"/>
                <w:szCs w:val="16"/>
              </w:rPr>
            </w:pPr>
            <w:r w:rsidRPr="005B6074">
              <w:rPr>
                <w:rFonts w:ascii="Verdana" w:hAnsi="Verdana"/>
                <w:sz w:val="16"/>
                <w:szCs w:val="16"/>
              </w:rPr>
              <w:t>SO2. Building an educational system, which encourages the realization of the potential of every child and student for personal development, successful realization and socialization.</w:t>
            </w:r>
          </w:p>
        </w:tc>
        <w:tc>
          <w:tcPr>
            <w:tcW w:w="1842" w:type="dxa"/>
            <w:vAlign w:val="center"/>
          </w:tcPr>
          <w:p w:rsidR="00C27724" w:rsidRPr="005B6074" w:rsidRDefault="00C27724" w:rsidP="00793793">
            <w:pPr>
              <w:pStyle w:val="Default"/>
              <w:jc w:val="center"/>
              <w:rPr>
                <w:rFonts w:ascii="Verdana" w:hAnsi="Verdana"/>
                <w:iCs/>
                <w:color w:val="auto"/>
                <w:sz w:val="16"/>
                <w:szCs w:val="16"/>
              </w:rPr>
            </w:pPr>
            <w:r w:rsidRPr="005B6074">
              <w:rPr>
                <w:rFonts w:ascii="Verdana" w:hAnsi="Verdana"/>
                <w:iCs/>
                <w:color w:val="auto"/>
                <w:sz w:val="16"/>
                <w:szCs w:val="16"/>
              </w:rPr>
              <w:t>Number of educational institutions which have ensured supportive environment for inclusive education.</w:t>
            </w:r>
          </w:p>
          <w:p w:rsidR="00C27724" w:rsidRPr="005B6074" w:rsidRDefault="00C27724" w:rsidP="00793793">
            <w:pPr>
              <w:pStyle w:val="Default"/>
              <w:jc w:val="center"/>
              <w:rPr>
                <w:rFonts w:ascii="Verdana" w:hAnsi="Verdana"/>
                <w:bCs/>
                <w:color w:val="auto"/>
                <w:sz w:val="16"/>
                <w:szCs w:val="16"/>
              </w:rPr>
            </w:pPr>
          </w:p>
        </w:tc>
        <w:tc>
          <w:tcPr>
            <w:tcW w:w="1418" w:type="dxa"/>
            <w:vAlign w:val="center"/>
          </w:tcPr>
          <w:p w:rsidR="00C27724" w:rsidRPr="005B6074" w:rsidRDefault="00C27724" w:rsidP="00793793">
            <w:pPr>
              <w:widowControl w:val="0"/>
              <w:tabs>
                <w:tab w:val="left" w:pos="0"/>
                <w:tab w:val="right" w:pos="9214"/>
              </w:tabs>
              <w:spacing w:after="0" w:line="240" w:lineRule="auto"/>
              <w:jc w:val="center"/>
              <w:rPr>
                <w:rFonts w:ascii="Verdana" w:hAnsi="Verdana"/>
                <w:bCs/>
                <w:color w:val="000000"/>
                <w:sz w:val="16"/>
                <w:szCs w:val="16"/>
              </w:rPr>
            </w:pPr>
            <w:r w:rsidRPr="005B6074">
              <w:rPr>
                <w:rFonts w:ascii="Verdana" w:hAnsi="Verdana"/>
                <w:bCs/>
                <w:color w:val="000000"/>
                <w:sz w:val="16"/>
                <w:szCs w:val="16"/>
              </w:rPr>
              <w:t>The indicator is relevant</w:t>
            </w:r>
          </w:p>
        </w:tc>
        <w:tc>
          <w:tcPr>
            <w:tcW w:w="1530" w:type="dxa"/>
            <w:vAlign w:val="center"/>
          </w:tcPr>
          <w:p w:rsidR="00C27724" w:rsidRPr="005B6074" w:rsidRDefault="00C27724" w:rsidP="00793793">
            <w:pPr>
              <w:widowControl w:val="0"/>
              <w:tabs>
                <w:tab w:val="left" w:pos="0"/>
                <w:tab w:val="right" w:pos="9214"/>
              </w:tabs>
              <w:spacing w:after="0" w:line="240" w:lineRule="auto"/>
              <w:jc w:val="center"/>
              <w:rPr>
                <w:rFonts w:ascii="Verdana" w:hAnsi="Verdana"/>
                <w:bCs/>
                <w:color w:val="000000"/>
                <w:sz w:val="16"/>
                <w:szCs w:val="16"/>
              </w:rPr>
            </w:pPr>
            <w:r w:rsidRPr="005B6074">
              <w:rPr>
                <w:rFonts w:ascii="Verdana" w:hAnsi="Verdana"/>
                <w:bCs/>
                <w:color w:val="000000"/>
                <w:sz w:val="16"/>
                <w:szCs w:val="16"/>
              </w:rPr>
              <w:t>In the indicator fiches it should be specified what “inclusive education” means</w:t>
            </w:r>
          </w:p>
        </w:tc>
        <w:tc>
          <w:tcPr>
            <w:tcW w:w="993" w:type="dxa"/>
            <w:gridSpan w:val="3"/>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bCs/>
                <w:color w:val="000000"/>
                <w:sz w:val="16"/>
                <w:szCs w:val="16"/>
              </w:rPr>
              <w:t>Number</w:t>
            </w:r>
          </w:p>
        </w:tc>
        <w:tc>
          <w:tcPr>
            <w:tcW w:w="992"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84</w:t>
            </w:r>
          </w:p>
        </w:tc>
        <w:tc>
          <w:tcPr>
            <w:tcW w:w="992"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100</w:t>
            </w:r>
          </w:p>
        </w:tc>
        <w:tc>
          <w:tcPr>
            <w:tcW w:w="993" w:type="dxa"/>
            <w:vAlign w:val="center"/>
          </w:tcPr>
          <w:p w:rsidR="00C27724" w:rsidRPr="005B6074" w:rsidRDefault="00C27724" w:rsidP="00793793">
            <w:pPr>
              <w:spacing w:after="0" w:line="240" w:lineRule="auto"/>
              <w:jc w:val="center"/>
              <w:rPr>
                <w:rFonts w:ascii="Verdana" w:hAnsi="Verdana"/>
                <w:sz w:val="16"/>
                <w:szCs w:val="16"/>
              </w:rPr>
            </w:pPr>
            <w:r w:rsidRPr="005B6074">
              <w:rPr>
                <w:rFonts w:ascii="Verdana" w:hAnsi="Verdana"/>
                <w:sz w:val="16"/>
                <w:szCs w:val="16"/>
              </w:rPr>
              <w:t>120</w:t>
            </w:r>
          </w:p>
        </w:tc>
        <w:tc>
          <w:tcPr>
            <w:tcW w:w="3798"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is no information on the methodology how the indicator values have been calculated. The target values seem realistic having in mind the support planned to be provided for inclusive education.</w:t>
            </w:r>
          </w:p>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p>
        </w:tc>
      </w:tr>
      <w:tr w:rsidR="00C27724" w:rsidRPr="005B6074" w:rsidTr="00A511E7">
        <w:tc>
          <w:tcPr>
            <w:tcW w:w="15139" w:type="dxa"/>
            <w:gridSpan w:val="11"/>
            <w:shd w:val="clear" w:color="auto" w:fill="F2DBDB" w:themeFill="accent2" w:themeFillTint="33"/>
          </w:tcPr>
          <w:p w:rsidR="00C27724" w:rsidRPr="005B6074" w:rsidRDefault="00C27724" w:rsidP="00A511E7">
            <w:pPr>
              <w:widowControl w:val="0"/>
              <w:tabs>
                <w:tab w:val="left" w:pos="0"/>
                <w:tab w:val="right" w:pos="9214"/>
              </w:tabs>
              <w:spacing w:after="0" w:line="240" w:lineRule="auto"/>
              <w:jc w:val="both"/>
              <w:rPr>
                <w:rFonts w:ascii="Verdana" w:hAnsi="Verdana"/>
                <w:bCs/>
                <w:color w:val="000000"/>
                <w:sz w:val="16"/>
                <w:szCs w:val="16"/>
              </w:rPr>
            </w:pPr>
            <w:r w:rsidRPr="005B6074">
              <w:rPr>
                <w:rFonts w:ascii="Verdana" w:hAnsi="Verdana"/>
                <w:b/>
                <w:bCs/>
                <w:color w:val="000000"/>
                <w:sz w:val="16"/>
                <w:szCs w:val="16"/>
              </w:rPr>
              <w:t>IP2.</w:t>
            </w:r>
            <w:r w:rsidRPr="005B6074">
              <w:rPr>
                <w:rFonts w:ascii="Verdana" w:hAnsi="Verdana"/>
                <w:bCs/>
                <w:color w:val="000000"/>
                <w:sz w:val="16"/>
                <w:szCs w:val="16"/>
              </w:rPr>
              <w:t xml:space="preserve"> </w:t>
            </w:r>
            <w:r w:rsidRPr="005B6074">
              <w:rPr>
                <w:rFonts w:ascii="Verdana" w:hAnsi="Verdana" w:cs="Arial Narrow"/>
                <w:i/>
                <w:color w:val="000000"/>
                <w:sz w:val="16"/>
                <w:szCs w:val="16"/>
              </w:rPr>
              <w:t>Socio-economic integration of marginalised communities such as the Roma</w:t>
            </w:r>
          </w:p>
        </w:tc>
      </w:tr>
      <w:tr w:rsidR="00C27724" w:rsidRPr="005B6074" w:rsidTr="00793793">
        <w:tc>
          <w:tcPr>
            <w:tcW w:w="2581" w:type="dxa"/>
          </w:tcPr>
          <w:p w:rsidR="00C27724" w:rsidRPr="005B6074" w:rsidRDefault="00C27724" w:rsidP="00793793">
            <w:pPr>
              <w:autoSpaceDE w:val="0"/>
              <w:autoSpaceDN w:val="0"/>
              <w:adjustRightInd w:val="0"/>
              <w:spacing w:after="0" w:line="240" w:lineRule="auto"/>
              <w:jc w:val="center"/>
              <w:rPr>
                <w:rFonts w:ascii="Verdana" w:hAnsi="Verdana"/>
                <w:sz w:val="16"/>
                <w:szCs w:val="16"/>
              </w:rPr>
            </w:pPr>
            <w:r w:rsidRPr="005B6074">
              <w:rPr>
                <w:rFonts w:ascii="Verdana" w:hAnsi="Verdana"/>
                <w:sz w:val="16"/>
                <w:szCs w:val="16"/>
              </w:rPr>
              <w:t>SO1. Efficient integration in the educational system of children, students and young people from the ethnic minorities and other vulnerable groups</w:t>
            </w:r>
          </w:p>
        </w:tc>
        <w:tc>
          <w:tcPr>
            <w:tcW w:w="1842" w:type="dxa"/>
            <w:vAlign w:val="center"/>
          </w:tcPr>
          <w:p w:rsidR="00C27724" w:rsidRPr="005B6074" w:rsidRDefault="00C27724" w:rsidP="00793793">
            <w:pPr>
              <w:pStyle w:val="Default"/>
              <w:jc w:val="center"/>
              <w:rPr>
                <w:rFonts w:ascii="Verdana" w:hAnsi="Verdana"/>
                <w:iCs/>
                <w:color w:val="auto"/>
                <w:sz w:val="16"/>
                <w:szCs w:val="16"/>
              </w:rPr>
            </w:pPr>
            <w:r w:rsidRPr="005B6074">
              <w:rPr>
                <w:rFonts w:ascii="Verdana" w:hAnsi="Verdana"/>
                <w:iCs/>
                <w:color w:val="auto"/>
                <w:sz w:val="16"/>
                <w:szCs w:val="16"/>
              </w:rPr>
              <w:t>No result indicator was specified</w:t>
            </w:r>
          </w:p>
        </w:tc>
        <w:tc>
          <w:tcPr>
            <w:tcW w:w="1418"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p>
        </w:tc>
        <w:tc>
          <w:tcPr>
            <w:tcW w:w="1530"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p>
        </w:tc>
        <w:tc>
          <w:tcPr>
            <w:tcW w:w="993" w:type="dxa"/>
            <w:gridSpan w:val="3"/>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p>
        </w:tc>
        <w:tc>
          <w:tcPr>
            <w:tcW w:w="992" w:type="dxa"/>
            <w:vAlign w:val="center"/>
          </w:tcPr>
          <w:p w:rsidR="00C27724" w:rsidRPr="005B6074" w:rsidRDefault="00C27724" w:rsidP="00A511E7">
            <w:pPr>
              <w:rPr>
                <w:rFonts w:ascii="Verdana" w:hAnsi="Verdana"/>
                <w:sz w:val="16"/>
                <w:szCs w:val="16"/>
              </w:rPr>
            </w:pPr>
          </w:p>
        </w:tc>
        <w:tc>
          <w:tcPr>
            <w:tcW w:w="992" w:type="dxa"/>
            <w:vAlign w:val="center"/>
          </w:tcPr>
          <w:p w:rsidR="00C27724" w:rsidRPr="005B6074" w:rsidRDefault="00C27724" w:rsidP="00A511E7">
            <w:pPr>
              <w:rPr>
                <w:rFonts w:ascii="Verdana" w:hAnsi="Verdana"/>
                <w:sz w:val="16"/>
                <w:szCs w:val="16"/>
              </w:rPr>
            </w:pPr>
          </w:p>
        </w:tc>
        <w:tc>
          <w:tcPr>
            <w:tcW w:w="993" w:type="dxa"/>
            <w:vAlign w:val="center"/>
          </w:tcPr>
          <w:p w:rsidR="00C27724" w:rsidRPr="005B6074" w:rsidRDefault="00C27724" w:rsidP="00A511E7">
            <w:pPr>
              <w:rPr>
                <w:rFonts w:ascii="Verdana" w:hAnsi="Verdana"/>
                <w:sz w:val="16"/>
                <w:szCs w:val="16"/>
              </w:rPr>
            </w:pPr>
          </w:p>
        </w:tc>
        <w:tc>
          <w:tcPr>
            <w:tcW w:w="3798" w:type="dxa"/>
            <w:vAlign w:val="center"/>
          </w:tcPr>
          <w:p w:rsidR="00C27724" w:rsidRPr="005B6074" w:rsidRDefault="00C27724" w:rsidP="00A511E7">
            <w:pPr>
              <w:widowControl w:val="0"/>
              <w:tabs>
                <w:tab w:val="left" w:pos="0"/>
                <w:tab w:val="right" w:pos="9214"/>
              </w:tabs>
              <w:spacing w:after="0" w:line="240" w:lineRule="auto"/>
              <w:rPr>
                <w:rFonts w:ascii="Verdana" w:hAnsi="Verdana"/>
                <w:bCs/>
                <w:color w:val="000000"/>
                <w:sz w:val="16"/>
                <w:szCs w:val="16"/>
              </w:rPr>
            </w:pPr>
            <w:r w:rsidRPr="005B6074">
              <w:rPr>
                <w:rFonts w:ascii="Verdana" w:hAnsi="Verdana"/>
                <w:bCs/>
                <w:color w:val="000000"/>
                <w:sz w:val="16"/>
                <w:szCs w:val="16"/>
              </w:rPr>
              <w:t>There is no indicator specified</w:t>
            </w:r>
          </w:p>
        </w:tc>
      </w:tr>
    </w:tbl>
    <w:p w:rsidR="00C27724" w:rsidRPr="005B6074" w:rsidRDefault="00C27724" w:rsidP="00C27724"/>
    <w:p w:rsidR="004B278E" w:rsidRPr="005B6074" w:rsidRDefault="004B278E" w:rsidP="00C513B7">
      <w:pPr>
        <w:widowControl w:val="0"/>
        <w:tabs>
          <w:tab w:val="left" w:pos="0"/>
          <w:tab w:val="right" w:pos="9214"/>
        </w:tabs>
        <w:spacing w:after="120"/>
        <w:jc w:val="both"/>
        <w:rPr>
          <w:rFonts w:ascii="Verdana" w:hAnsi="Verdana"/>
          <w:bCs/>
          <w:color w:val="000000"/>
          <w:sz w:val="20"/>
          <w:szCs w:val="20"/>
          <w:lang w:eastAsia="bg-BG"/>
        </w:rPr>
        <w:sectPr w:rsidR="004B278E" w:rsidRPr="005B6074" w:rsidSect="00A511E7">
          <w:headerReference w:type="default" r:id="rId46"/>
          <w:footerReference w:type="default" r:id="rId47"/>
          <w:pgSz w:w="16839" w:h="11907" w:orient="landscape" w:code="9"/>
          <w:pgMar w:top="2127" w:right="2087" w:bottom="1378" w:left="1440" w:header="720" w:footer="726" w:gutter="0"/>
          <w:cols w:space="720"/>
          <w:docGrid w:linePitch="360"/>
        </w:sectPr>
      </w:pPr>
    </w:p>
    <w:p w:rsidR="00C513B7" w:rsidRPr="005B6074" w:rsidRDefault="00C513B7" w:rsidP="00C513B7">
      <w:pPr>
        <w:widowControl w:val="0"/>
        <w:tabs>
          <w:tab w:val="left" w:pos="0"/>
          <w:tab w:val="right" w:pos="9214"/>
        </w:tabs>
        <w:spacing w:after="120"/>
        <w:rPr>
          <w:rFonts w:ascii="Verdana" w:eastAsia="Times New Roman" w:hAnsi="Verdana"/>
          <w:bCs/>
          <w:color w:val="000000"/>
          <w:sz w:val="20"/>
          <w:szCs w:val="20"/>
          <w:lang w:eastAsia="bg-BG"/>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67"/>
        <w:gridCol w:w="8364"/>
      </w:tblGrid>
      <w:tr w:rsidR="00C513B7" w:rsidRPr="005B6074" w:rsidTr="00F24971">
        <w:tc>
          <w:tcPr>
            <w:tcW w:w="567" w:type="dxa"/>
            <w:vAlign w:val="center"/>
          </w:tcPr>
          <w:p w:rsidR="00C513B7" w:rsidRPr="005B6074" w:rsidRDefault="00A35E98" w:rsidP="00F24971">
            <w:pPr>
              <w:spacing w:after="0"/>
              <w:jc w:val="center"/>
              <w:rPr>
                <w:rFonts w:ascii="Verdana" w:eastAsia="Times New Roman" w:hAnsi="Verdana"/>
                <w:color w:val="548DD4"/>
                <w:sz w:val="36"/>
                <w:szCs w:val="36"/>
                <w:lang w:eastAsia="bg-BG"/>
              </w:rPr>
            </w:pPr>
            <w:r w:rsidRPr="005B6074">
              <w:rPr>
                <w:rFonts w:ascii="Verdana" w:eastAsia="Times New Roman" w:hAnsi="Verdana"/>
                <w:color w:val="548DD4"/>
                <w:sz w:val="36"/>
                <w:szCs w:val="36"/>
                <w:lang w:eastAsia="bg-BG"/>
              </w:rPr>
              <w:t>?</w:t>
            </w:r>
          </w:p>
        </w:tc>
        <w:tc>
          <w:tcPr>
            <w:tcW w:w="8364" w:type="dxa"/>
            <w:shd w:val="clear" w:color="auto" w:fill="B8CCE4"/>
          </w:tcPr>
          <w:p w:rsidR="00C513B7" w:rsidRPr="005B6074" w:rsidRDefault="00A35E98" w:rsidP="00F24971">
            <w:pPr>
              <w:autoSpaceDE w:val="0"/>
              <w:autoSpaceDN w:val="0"/>
              <w:adjustRightInd w:val="0"/>
              <w:spacing w:before="120" w:after="120"/>
              <w:ind w:left="113"/>
              <w:rPr>
                <w:rFonts w:ascii="Verdana" w:eastAsia="Times New Roman" w:hAnsi="Verdana"/>
                <w:sz w:val="20"/>
                <w:szCs w:val="20"/>
              </w:rPr>
            </w:pPr>
            <w:r w:rsidRPr="005B6074">
              <w:rPr>
                <w:rFonts w:ascii="Verdana" w:hAnsi="Verdana"/>
                <w:sz w:val="20"/>
                <w:szCs w:val="20"/>
              </w:rPr>
              <w:t>Assessment of the feasibility of the quantitative measurement of the baseline and target values of the indicators</w:t>
            </w:r>
          </w:p>
        </w:tc>
      </w:tr>
    </w:tbl>
    <w:p w:rsidR="00C513B7" w:rsidRPr="005B6074" w:rsidRDefault="00C513B7" w:rsidP="00C513B7">
      <w:pPr>
        <w:widowControl w:val="0"/>
        <w:tabs>
          <w:tab w:val="left" w:pos="0"/>
          <w:tab w:val="right" w:pos="9214"/>
        </w:tabs>
        <w:spacing w:after="120"/>
        <w:rPr>
          <w:rFonts w:ascii="Verdana" w:eastAsia="Times New Roman" w:hAnsi="Verdana"/>
          <w:bCs/>
          <w:color w:val="000000"/>
          <w:sz w:val="20"/>
          <w:szCs w:val="20"/>
          <w:lang w:eastAsia="bg-BG"/>
        </w:rPr>
      </w:pPr>
    </w:p>
    <w:p w:rsidR="00066AD8" w:rsidRPr="005B6074" w:rsidRDefault="00066AD8" w:rsidP="00490ED6">
      <w:pPr>
        <w:widowControl w:val="0"/>
        <w:tabs>
          <w:tab w:val="left" w:pos="0"/>
          <w:tab w:val="right" w:pos="9214"/>
        </w:tabs>
        <w:spacing w:after="120"/>
        <w:jc w:val="both"/>
        <w:rPr>
          <w:rFonts w:ascii="Verdana" w:hAnsi="Verdana"/>
          <w:bCs/>
          <w:color w:val="000000"/>
          <w:sz w:val="20"/>
          <w:szCs w:val="20"/>
          <w:lang w:eastAsia="bg-BG"/>
        </w:rPr>
      </w:pPr>
      <w:r w:rsidRPr="005B6074">
        <w:rPr>
          <w:rFonts w:ascii="Verdana" w:hAnsi="Verdana"/>
          <w:bCs/>
          <w:color w:val="000000"/>
          <w:sz w:val="20"/>
          <w:szCs w:val="20"/>
          <w:lang w:eastAsia="bg-BG"/>
        </w:rPr>
        <w:t xml:space="preserve">In August 2014 DG SFIEP has submitted a new table with the system of indicators, including </w:t>
      </w:r>
      <w:r w:rsidR="00502E0E" w:rsidRPr="005B6074">
        <w:rPr>
          <w:rFonts w:ascii="Verdana" w:hAnsi="Verdana"/>
          <w:bCs/>
          <w:color w:val="000000"/>
          <w:sz w:val="20"/>
          <w:szCs w:val="20"/>
          <w:lang w:eastAsia="bg-BG"/>
        </w:rPr>
        <w:t xml:space="preserve">new </w:t>
      </w:r>
      <w:r w:rsidRPr="005B6074">
        <w:rPr>
          <w:rFonts w:ascii="Verdana" w:hAnsi="Verdana"/>
          <w:bCs/>
          <w:color w:val="000000"/>
          <w:sz w:val="20"/>
          <w:szCs w:val="20"/>
          <w:lang w:eastAsia="bg-BG"/>
        </w:rPr>
        <w:t xml:space="preserve">baseline and target values, which still has not been incorporated in the text of the Operational programme. These indicators, as well as their baseline and target values have been commented above, in tables 36 and 37. </w:t>
      </w:r>
    </w:p>
    <w:p w:rsidR="00CF46B9" w:rsidRPr="005B6074" w:rsidRDefault="00CF46B9" w:rsidP="00490ED6">
      <w:pPr>
        <w:widowControl w:val="0"/>
        <w:tabs>
          <w:tab w:val="left" w:pos="0"/>
          <w:tab w:val="right" w:pos="9214"/>
        </w:tabs>
        <w:spacing w:after="120"/>
        <w:jc w:val="both"/>
        <w:rPr>
          <w:rFonts w:ascii="Verdana" w:hAnsi="Verdana"/>
          <w:bCs/>
          <w:color w:val="000000"/>
          <w:sz w:val="20"/>
          <w:szCs w:val="20"/>
          <w:lang w:eastAsia="bg-BG"/>
        </w:rPr>
      </w:pPr>
      <w:r w:rsidRPr="005B6074">
        <w:rPr>
          <w:rFonts w:ascii="Verdana" w:hAnsi="Verdana"/>
          <w:bCs/>
          <w:color w:val="000000"/>
          <w:sz w:val="20"/>
          <w:szCs w:val="20"/>
          <w:lang w:eastAsia="bg-BG"/>
        </w:rPr>
        <w:t>The EC guidelines</w:t>
      </w:r>
      <w:r w:rsidRPr="005B6074">
        <w:rPr>
          <w:rStyle w:val="FootnoteReference"/>
          <w:rFonts w:ascii="Verdana" w:hAnsi="Verdana"/>
          <w:bCs/>
          <w:color w:val="000000"/>
          <w:sz w:val="20"/>
          <w:szCs w:val="20"/>
          <w:lang w:eastAsia="bg-BG"/>
        </w:rPr>
        <w:footnoteReference w:id="7"/>
      </w:r>
      <w:r w:rsidRPr="005B6074">
        <w:rPr>
          <w:rFonts w:ascii="Verdana" w:hAnsi="Verdana"/>
          <w:bCs/>
          <w:color w:val="000000"/>
          <w:sz w:val="20"/>
          <w:szCs w:val="20"/>
          <w:lang w:eastAsia="bg-BG"/>
        </w:rPr>
        <w:t xml:space="preserve"> with regard to the values of the indicators suggest that baseline values for the result indicators should be present, which has not been </w:t>
      </w:r>
      <w:r w:rsidR="00502E0E" w:rsidRPr="005B6074">
        <w:rPr>
          <w:rFonts w:ascii="Verdana" w:hAnsi="Verdana"/>
          <w:bCs/>
          <w:color w:val="000000"/>
          <w:sz w:val="20"/>
          <w:szCs w:val="20"/>
          <w:lang w:eastAsia="bg-BG"/>
        </w:rPr>
        <w:t>the case</w:t>
      </w:r>
      <w:r w:rsidRPr="005B6074">
        <w:rPr>
          <w:rFonts w:ascii="Verdana" w:hAnsi="Verdana"/>
          <w:bCs/>
          <w:color w:val="000000"/>
          <w:sz w:val="20"/>
          <w:szCs w:val="20"/>
          <w:lang w:eastAsia="bg-BG"/>
        </w:rPr>
        <w:t xml:space="preserve"> for all proposed indicators.</w:t>
      </w:r>
    </w:p>
    <w:p w:rsidR="008C5DB0" w:rsidRPr="005B6074" w:rsidRDefault="00CF46B9" w:rsidP="008C5DB0">
      <w:pPr>
        <w:widowControl w:val="0"/>
        <w:tabs>
          <w:tab w:val="left" w:pos="0"/>
          <w:tab w:val="right" w:pos="9214"/>
        </w:tabs>
        <w:spacing w:after="0"/>
        <w:jc w:val="both"/>
        <w:rPr>
          <w:rFonts w:ascii="Verdana" w:hAnsi="Verdana"/>
          <w:bCs/>
          <w:color w:val="000000"/>
          <w:sz w:val="20"/>
          <w:szCs w:val="20"/>
          <w:lang w:eastAsia="bg-BG"/>
        </w:rPr>
      </w:pPr>
      <w:r w:rsidRPr="005B6074">
        <w:rPr>
          <w:rFonts w:ascii="Verdana" w:hAnsi="Verdana"/>
          <w:bCs/>
          <w:color w:val="000000"/>
          <w:sz w:val="20"/>
          <w:szCs w:val="20"/>
          <w:lang w:eastAsia="bg-BG"/>
        </w:rPr>
        <w:t xml:space="preserve">According to the information provided by DG SFIEP, </w:t>
      </w:r>
      <w:r w:rsidR="00BC7EAE" w:rsidRPr="005B6074">
        <w:rPr>
          <w:rFonts w:ascii="Verdana" w:hAnsi="Verdana"/>
          <w:bCs/>
          <w:color w:val="000000"/>
          <w:sz w:val="20"/>
          <w:szCs w:val="20"/>
          <w:lang w:eastAsia="bg-BG"/>
        </w:rPr>
        <w:t xml:space="preserve">baseline and target values, as well as </w:t>
      </w:r>
      <w:r w:rsidR="008E7210" w:rsidRPr="005B6074">
        <w:rPr>
          <w:rFonts w:ascii="Verdana" w:hAnsi="Verdana"/>
          <w:bCs/>
          <w:color w:val="000000"/>
          <w:sz w:val="20"/>
          <w:szCs w:val="20"/>
          <w:lang w:eastAsia="bg-BG"/>
        </w:rPr>
        <w:t>milestones</w:t>
      </w:r>
      <w:r w:rsidR="00BC7EAE" w:rsidRPr="005B6074">
        <w:rPr>
          <w:rFonts w:ascii="Verdana" w:hAnsi="Verdana"/>
          <w:bCs/>
          <w:color w:val="000000"/>
          <w:sz w:val="20"/>
          <w:szCs w:val="20"/>
          <w:lang w:eastAsia="bg-BG"/>
        </w:rPr>
        <w:t xml:space="preserve"> are calculated following the experience with similar measures in program period 2007-2013 under OP HRD, as well as according to </w:t>
      </w:r>
      <w:r w:rsidR="00E11A57" w:rsidRPr="005B6074">
        <w:rPr>
          <w:rFonts w:ascii="Verdana" w:hAnsi="Verdana"/>
          <w:bCs/>
          <w:color w:val="000000"/>
          <w:sz w:val="20"/>
          <w:szCs w:val="20"/>
          <w:lang w:eastAsia="bg-BG"/>
        </w:rPr>
        <w:t>estimates</w:t>
      </w:r>
      <w:r w:rsidR="00BC7EAE" w:rsidRPr="005B6074">
        <w:rPr>
          <w:rFonts w:ascii="Verdana" w:hAnsi="Verdana"/>
          <w:bCs/>
          <w:color w:val="000000"/>
          <w:sz w:val="20"/>
          <w:szCs w:val="20"/>
          <w:lang w:eastAsia="bg-BG"/>
        </w:rPr>
        <w:t xml:space="preserve"> of the specialized directorates within the Ministry of Education. </w:t>
      </w:r>
      <w:r w:rsidR="00D563C3" w:rsidRPr="005B6074">
        <w:rPr>
          <w:rFonts w:ascii="Verdana" w:hAnsi="Verdana"/>
          <w:bCs/>
          <w:color w:val="000000"/>
          <w:sz w:val="20"/>
          <w:szCs w:val="20"/>
          <w:lang w:eastAsia="bg-BG"/>
        </w:rPr>
        <w:t xml:space="preserve">DG SFIEP did not provide the methodology for calculating </w:t>
      </w:r>
      <w:r w:rsidR="00502E0E" w:rsidRPr="005B6074">
        <w:rPr>
          <w:rFonts w:ascii="Verdana" w:hAnsi="Verdana"/>
          <w:bCs/>
          <w:color w:val="000000"/>
          <w:sz w:val="20"/>
          <w:szCs w:val="20"/>
          <w:lang w:eastAsia="bg-BG"/>
        </w:rPr>
        <w:t xml:space="preserve">these </w:t>
      </w:r>
      <w:r w:rsidR="00D563C3" w:rsidRPr="005B6074">
        <w:rPr>
          <w:rFonts w:ascii="Verdana" w:hAnsi="Verdana"/>
          <w:bCs/>
          <w:color w:val="000000"/>
          <w:sz w:val="20"/>
          <w:szCs w:val="20"/>
          <w:lang w:eastAsia="bg-BG"/>
        </w:rPr>
        <w:t xml:space="preserve">indicator values, which makes the assessment of their rationale </w:t>
      </w:r>
      <w:r w:rsidR="00E11A57" w:rsidRPr="005B6074">
        <w:rPr>
          <w:rFonts w:ascii="Verdana" w:hAnsi="Verdana"/>
          <w:bCs/>
          <w:color w:val="000000"/>
          <w:sz w:val="20"/>
          <w:szCs w:val="20"/>
          <w:lang w:eastAsia="bg-BG"/>
        </w:rPr>
        <w:t xml:space="preserve">rather </w:t>
      </w:r>
      <w:r w:rsidR="00D563C3" w:rsidRPr="005B6074">
        <w:rPr>
          <w:rFonts w:ascii="Verdana" w:hAnsi="Verdana"/>
          <w:bCs/>
          <w:color w:val="000000"/>
          <w:sz w:val="20"/>
          <w:szCs w:val="20"/>
          <w:lang w:eastAsia="bg-BG"/>
        </w:rPr>
        <w:t xml:space="preserve">difficult. </w:t>
      </w:r>
      <w:r w:rsidR="00E11A57" w:rsidRPr="005B6074">
        <w:rPr>
          <w:rFonts w:ascii="Verdana" w:hAnsi="Verdana"/>
          <w:bCs/>
          <w:color w:val="000000"/>
          <w:sz w:val="20"/>
          <w:szCs w:val="20"/>
          <w:lang w:eastAsia="bg-BG"/>
        </w:rPr>
        <w:t>Because of this</w:t>
      </w:r>
      <w:r w:rsidR="00502E0E" w:rsidRPr="005B6074">
        <w:rPr>
          <w:rFonts w:ascii="Verdana" w:hAnsi="Verdana"/>
          <w:bCs/>
          <w:color w:val="000000"/>
          <w:sz w:val="20"/>
          <w:szCs w:val="20"/>
          <w:lang w:eastAsia="bg-BG"/>
        </w:rPr>
        <w:t xml:space="preserve"> reason</w:t>
      </w:r>
      <w:r w:rsidR="00E11A57" w:rsidRPr="005B6074">
        <w:rPr>
          <w:rFonts w:ascii="Verdana" w:hAnsi="Verdana"/>
          <w:bCs/>
          <w:color w:val="000000"/>
          <w:sz w:val="20"/>
          <w:szCs w:val="20"/>
          <w:lang w:eastAsia="bg-BG"/>
        </w:rPr>
        <w:t xml:space="preserve">, the comments presented in tables 36 and 37 are based on the available information of prior experience of implementation of similar measures, the proposed budget of the programme, the existing administrative capacity and the information within the programme itself regarding the nature of the activities and the objectives, which the indicators </w:t>
      </w:r>
      <w:r w:rsidR="00502E0E" w:rsidRPr="005B6074">
        <w:rPr>
          <w:rFonts w:ascii="Verdana" w:hAnsi="Verdana"/>
          <w:bCs/>
          <w:color w:val="000000"/>
          <w:sz w:val="20"/>
          <w:szCs w:val="20"/>
          <w:lang w:eastAsia="bg-BG"/>
        </w:rPr>
        <w:t xml:space="preserve">will </w:t>
      </w:r>
      <w:r w:rsidR="00E11A57" w:rsidRPr="005B6074">
        <w:rPr>
          <w:rFonts w:ascii="Verdana" w:hAnsi="Verdana"/>
          <w:bCs/>
          <w:color w:val="000000"/>
          <w:sz w:val="20"/>
          <w:szCs w:val="20"/>
          <w:lang w:eastAsia="bg-BG"/>
        </w:rPr>
        <w:t>measure.</w:t>
      </w:r>
    </w:p>
    <w:p w:rsidR="00490ED6" w:rsidRPr="005B6074" w:rsidRDefault="00490ED6" w:rsidP="008C5DB0">
      <w:pPr>
        <w:widowControl w:val="0"/>
        <w:tabs>
          <w:tab w:val="left" w:pos="0"/>
          <w:tab w:val="right" w:pos="9214"/>
        </w:tabs>
        <w:spacing w:after="0"/>
        <w:rPr>
          <w:rFonts w:ascii="Verdana" w:eastAsia="Times New Roman" w:hAnsi="Verdana"/>
          <w:bCs/>
          <w:color w:val="000000"/>
          <w:sz w:val="20"/>
          <w:szCs w:val="20"/>
          <w:lang w:eastAsia="bg-BG"/>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67"/>
        <w:gridCol w:w="8364"/>
      </w:tblGrid>
      <w:tr w:rsidR="00C513B7" w:rsidRPr="005B6074" w:rsidTr="00F24971">
        <w:tc>
          <w:tcPr>
            <w:tcW w:w="567" w:type="dxa"/>
            <w:vAlign w:val="center"/>
          </w:tcPr>
          <w:p w:rsidR="00C513B7" w:rsidRPr="005B6074" w:rsidRDefault="00A35E98" w:rsidP="00F24971">
            <w:pPr>
              <w:spacing w:after="0"/>
              <w:jc w:val="center"/>
              <w:rPr>
                <w:rFonts w:ascii="Verdana" w:eastAsia="Times New Roman" w:hAnsi="Verdana"/>
                <w:color w:val="548DD4"/>
                <w:sz w:val="36"/>
                <w:szCs w:val="36"/>
                <w:lang w:eastAsia="bg-BG"/>
              </w:rPr>
            </w:pPr>
            <w:r w:rsidRPr="005B6074">
              <w:rPr>
                <w:rFonts w:ascii="Verdana" w:eastAsia="Times New Roman" w:hAnsi="Verdana"/>
                <w:color w:val="548DD4"/>
                <w:sz w:val="36"/>
                <w:szCs w:val="36"/>
                <w:lang w:eastAsia="bg-BG"/>
              </w:rPr>
              <w:t>?</w:t>
            </w:r>
          </w:p>
        </w:tc>
        <w:tc>
          <w:tcPr>
            <w:tcW w:w="8364" w:type="dxa"/>
            <w:shd w:val="clear" w:color="auto" w:fill="B8CCE4"/>
          </w:tcPr>
          <w:p w:rsidR="00C513B7" w:rsidRPr="005B6074" w:rsidRDefault="00A35E98" w:rsidP="00F24971">
            <w:pPr>
              <w:autoSpaceDE w:val="0"/>
              <w:autoSpaceDN w:val="0"/>
              <w:adjustRightInd w:val="0"/>
              <w:spacing w:before="120" w:after="120"/>
              <w:ind w:left="113"/>
              <w:rPr>
                <w:rFonts w:ascii="Verdana" w:eastAsia="Times New Roman" w:hAnsi="Verdana"/>
                <w:sz w:val="20"/>
                <w:szCs w:val="20"/>
              </w:rPr>
            </w:pPr>
            <w:r w:rsidRPr="005B6074">
              <w:rPr>
                <w:rFonts w:ascii="Verdana" w:hAnsi="Verdana"/>
                <w:sz w:val="20"/>
                <w:szCs w:val="20"/>
              </w:rPr>
              <w:t>Relevance of the defined targets by stages</w:t>
            </w:r>
          </w:p>
        </w:tc>
      </w:tr>
    </w:tbl>
    <w:p w:rsidR="00C513B7" w:rsidRPr="005B6074" w:rsidRDefault="00C513B7" w:rsidP="00C513B7">
      <w:pPr>
        <w:widowControl w:val="0"/>
        <w:tabs>
          <w:tab w:val="left" w:pos="0"/>
          <w:tab w:val="right" w:pos="9214"/>
        </w:tabs>
        <w:spacing w:after="120"/>
        <w:jc w:val="both"/>
        <w:rPr>
          <w:rFonts w:ascii="Verdana" w:eastAsia="Times New Roman" w:hAnsi="Verdana"/>
          <w:bCs/>
          <w:color w:val="000000"/>
          <w:sz w:val="20"/>
          <w:szCs w:val="20"/>
          <w:lang w:eastAsia="bg-BG"/>
        </w:rPr>
      </w:pPr>
    </w:p>
    <w:p w:rsidR="00C513B7" w:rsidRPr="005B6074" w:rsidRDefault="00A35E98" w:rsidP="008C5DB0">
      <w:pPr>
        <w:widowControl w:val="0"/>
        <w:tabs>
          <w:tab w:val="left" w:pos="0"/>
          <w:tab w:val="right" w:pos="9214"/>
        </w:tabs>
        <w:spacing w:after="0" w:line="360" w:lineRule="auto"/>
        <w:jc w:val="both"/>
        <w:rPr>
          <w:rFonts w:ascii="Verdana" w:eastAsia="Times New Roman" w:hAnsi="Verdana"/>
          <w:bCs/>
          <w:color w:val="000000"/>
          <w:sz w:val="20"/>
          <w:szCs w:val="20"/>
          <w:lang w:eastAsia="bg-BG"/>
        </w:rPr>
      </w:pPr>
      <w:bookmarkStart w:id="183" w:name="_Toc362617579"/>
      <w:bookmarkStart w:id="184" w:name="_Toc390262447"/>
      <w:r w:rsidRPr="005B6074">
        <w:rPr>
          <w:rFonts w:ascii="Verdana" w:eastAsia="Times New Roman" w:hAnsi="Verdana"/>
          <w:bCs/>
          <w:color w:val="000000"/>
          <w:sz w:val="20"/>
          <w:szCs w:val="20"/>
          <w:lang w:eastAsia="bg-BG"/>
        </w:rPr>
        <w:t xml:space="preserve">The Section cannot be developed at this stage because the indicators </w:t>
      </w:r>
      <w:r w:rsidR="002E4D38" w:rsidRPr="005B6074">
        <w:rPr>
          <w:rFonts w:ascii="Verdana" w:eastAsia="Times New Roman" w:hAnsi="Verdana"/>
          <w:bCs/>
          <w:color w:val="000000"/>
          <w:sz w:val="20"/>
          <w:szCs w:val="20"/>
          <w:lang w:eastAsia="bg-BG"/>
        </w:rPr>
        <w:t xml:space="preserve">to </w:t>
      </w:r>
      <w:r w:rsidR="00490ED6" w:rsidRPr="005B6074">
        <w:rPr>
          <w:rFonts w:ascii="Verdana" w:eastAsia="Times New Roman" w:hAnsi="Verdana"/>
          <w:bCs/>
          <w:color w:val="000000"/>
          <w:sz w:val="20"/>
          <w:szCs w:val="20"/>
          <w:lang w:eastAsia="bg-BG"/>
        </w:rPr>
        <w:t xml:space="preserve">be </w:t>
      </w:r>
      <w:r w:rsidR="002E4D38" w:rsidRPr="005B6074">
        <w:rPr>
          <w:rFonts w:ascii="Verdana" w:eastAsia="Times New Roman" w:hAnsi="Verdana"/>
          <w:bCs/>
          <w:color w:val="000000"/>
          <w:sz w:val="20"/>
          <w:szCs w:val="20"/>
          <w:lang w:eastAsia="bg-BG"/>
        </w:rPr>
        <w:t xml:space="preserve">included in the performance framework </w:t>
      </w:r>
      <w:r w:rsidRPr="005B6074">
        <w:rPr>
          <w:rFonts w:ascii="Verdana" w:eastAsia="Times New Roman" w:hAnsi="Verdana"/>
          <w:bCs/>
          <w:color w:val="000000"/>
          <w:sz w:val="20"/>
          <w:szCs w:val="20"/>
          <w:lang w:eastAsia="bg-BG"/>
        </w:rPr>
        <w:t xml:space="preserve">have </w:t>
      </w:r>
      <w:r w:rsidR="002E4D38" w:rsidRPr="005B6074">
        <w:rPr>
          <w:rFonts w:ascii="Verdana" w:eastAsia="Times New Roman" w:hAnsi="Verdana"/>
          <w:bCs/>
          <w:color w:val="000000"/>
          <w:sz w:val="20"/>
          <w:szCs w:val="20"/>
          <w:lang w:eastAsia="bg-BG"/>
        </w:rPr>
        <w:t xml:space="preserve">still </w:t>
      </w:r>
      <w:r w:rsidRPr="005B6074">
        <w:rPr>
          <w:rFonts w:ascii="Verdana" w:eastAsia="Times New Roman" w:hAnsi="Verdana"/>
          <w:bCs/>
          <w:color w:val="000000"/>
          <w:sz w:val="20"/>
          <w:szCs w:val="20"/>
          <w:lang w:eastAsia="bg-BG"/>
        </w:rPr>
        <w:t>not been identified.</w:t>
      </w:r>
    </w:p>
    <w:p w:rsidR="00C513B7" w:rsidRPr="005B6074" w:rsidRDefault="00A35E98" w:rsidP="008C5DB0">
      <w:pPr>
        <w:widowControl w:val="0"/>
        <w:tabs>
          <w:tab w:val="left" w:pos="1276"/>
        </w:tabs>
        <w:overflowPunct w:val="0"/>
        <w:autoSpaceDE w:val="0"/>
        <w:autoSpaceDN w:val="0"/>
        <w:adjustRightInd w:val="0"/>
        <w:spacing w:before="120" w:after="120"/>
        <w:jc w:val="both"/>
        <w:textAlignment w:val="baseline"/>
        <w:outlineLvl w:val="2"/>
        <w:rPr>
          <w:rFonts w:ascii="Verdana" w:eastAsia="Times New Roman" w:hAnsi="Verdana" w:cs="Calibri"/>
          <w:b/>
          <w:color w:val="365F91"/>
          <w:lang w:eastAsia="cs-CZ"/>
        </w:rPr>
      </w:pPr>
      <w:bookmarkStart w:id="185" w:name="_Toc396225562"/>
      <w:bookmarkEnd w:id="183"/>
      <w:bookmarkEnd w:id="184"/>
      <w:r w:rsidRPr="005B6074">
        <w:rPr>
          <w:rFonts w:ascii="Verdana" w:eastAsia="Times New Roman" w:hAnsi="Verdana" w:cs="Calibri"/>
          <w:b/>
          <w:color w:val="365F91"/>
          <w:lang w:eastAsia="cs-CZ"/>
        </w:rPr>
        <w:t>Conclusions and Recommendations</w:t>
      </w:r>
      <w:bookmarkEnd w:id="185"/>
    </w:p>
    <w:p w:rsidR="00A5313C" w:rsidRPr="005B6074" w:rsidRDefault="00A35E98" w:rsidP="00C513B7">
      <w:pPr>
        <w:widowControl w:val="0"/>
        <w:tabs>
          <w:tab w:val="left" w:pos="0"/>
          <w:tab w:val="right" w:pos="9214"/>
        </w:tabs>
        <w:spacing w:after="12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The system of indicators was made more precise and significantly improved as compared to its initial draft. Still, some editing is to be done with respect to certain indicators. </w:t>
      </w:r>
    </w:p>
    <w:p w:rsidR="00A5313C" w:rsidRPr="005B6074" w:rsidRDefault="00A5313C" w:rsidP="00C513B7">
      <w:pPr>
        <w:widowControl w:val="0"/>
        <w:tabs>
          <w:tab w:val="left" w:pos="0"/>
          <w:tab w:val="right" w:pos="9214"/>
        </w:tabs>
        <w:spacing w:after="12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In August 2014 a new system of indicators </w:t>
      </w:r>
      <w:r w:rsidR="001E4780" w:rsidRPr="005B6074">
        <w:rPr>
          <w:rFonts w:ascii="Verdana" w:eastAsia="Times New Roman" w:hAnsi="Verdana"/>
          <w:bCs/>
          <w:color w:val="000000"/>
          <w:sz w:val="20"/>
          <w:szCs w:val="20"/>
          <w:lang w:eastAsia="bg-BG"/>
        </w:rPr>
        <w:t xml:space="preserve">with baseline and  target values </w:t>
      </w:r>
      <w:r w:rsidRPr="005B6074">
        <w:rPr>
          <w:rFonts w:ascii="Verdana" w:eastAsia="Times New Roman" w:hAnsi="Verdana"/>
          <w:bCs/>
          <w:color w:val="000000"/>
          <w:sz w:val="20"/>
          <w:szCs w:val="20"/>
          <w:lang w:eastAsia="bg-BG"/>
        </w:rPr>
        <w:t>has been elaborated</w:t>
      </w:r>
      <w:r w:rsidR="001E4780" w:rsidRPr="005B6074">
        <w:rPr>
          <w:rFonts w:ascii="Verdana" w:eastAsia="Times New Roman" w:hAnsi="Verdana"/>
          <w:bCs/>
          <w:color w:val="000000"/>
          <w:sz w:val="20"/>
          <w:szCs w:val="20"/>
          <w:lang w:eastAsia="bg-BG"/>
        </w:rPr>
        <w:t xml:space="preserve">, which still has not been incorporated in the text of the operational programme. The evaluation report includes a review of the proposed new system of indicators, incl. of their proposed values. This review, however, met some difficulties, as </w:t>
      </w:r>
      <w:r w:rsidR="005D3D82" w:rsidRPr="005B6074">
        <w:rPr>
          <w:rFonts w:ascii="Verdana" w:eastAsia="Times New Roman" w:hAnsi="Verdana"/>
          <w:bCs/>
          <w:color w:val="000000"/>
          <w:sz w:val="20"/>
          <w:szCs w:val="20"/>
          <w:lang w:eastAsia="bg-BG"/>
        </w:rPr>
        <w:t>a methodology for their calculation has not been presented. Milestones also have not yet been defined.</w:t>
      </w:r>
    </w:p>
    <w:p w:rsidR="00C513B7" w:rsidRPr="005B6074" w:rsidRDefault="00A35E98" w:rsidP="00C513B7">
      <w:pPr>
        <w:widowControl w:val="0"/>
        <w:tabs>
          <w:tab w:val="left" w:pos="0"/>
          <w:tab w:val="right" w:pos="9214"/>
        </w:tabs>
        <w:spacing w:after="12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Specific recommendations were given on the indicators</w:t>
      </w:r>
      <w:r w:rsidR="002E4D38" w:rsidRPr="005B6074">
        <w:rPr>
          <w:rFonts w:ascii="Verdana" w:eastAsia="Times New Roman" w:hAnsi="Verdana"/>
          <w:bCs/>
          <w:color w:val="000000"/>
          <w:sz w:val="20"/>
          <w:szCs w:val="20"/>
          <w:lang w:eastAsia="bg-BG"/>
        </w:rPr>
        <w:t xml:space="preserve">, as well as on the baseline and target values, </w:t>
      </w:r>
      <w:r w:rsidRPr="005B6074">
        <w:rPr>
          <w:rFonts w:ascii="Verdana" w:eastAsia="Times New Roman" w:hAnsi="Verdana"/>
          <w:bCs/>
          <w:color w:val="000000"/>
          <w:sz w:val="20"/>
          <w:szCs w:val="20"/>
          <w:lang w:eastAsia="bg-BG"/>
        </w:rPr>
        <w:t>for each priority axis.</w:t>
      </w:r>
    </w:p>
    <w:p w:rsidR="00C513B7" w:rsidRPr="005B6074" w:rsidRDefault="003753FE" w:rsidP="00C513B7">
      <w:pPr>
        <w:pStyle w:val="Heading2"/>
        <w:shd w:val="clear" w:color="auto" w:fill="FFCC99"/>
        <w:spacing w:line="276" w:lineRule="auto"/>
        <w:rPr>
          <w:rFonts w:ascii="Verdana" w:hAnsi="Verdana"/>
          <w:i w:val="0"/>
          <w:iCs/>
          <w:color w:val="0063B8"/>
          <w:sz w:val="26"/>
          <w:szCs w:val="26"/>
        </w:rPr>
      </w:pPr>
      <w:bookmarkStart w:id="186" w:name="_Toc390262448"/>
      <w:bookmarkStart w:id="187" w:name="_Toc396225563"/>
      <w:r>
        <w:rPr>
          <w:rFonts w:ascii="Verdana" w:hAnsi="Verdana"/>
          <w:i w:val="0"/>
          <w:iCs/>
          <w:color w:val="0063B8"/>
          <w:sz w:val="26"/>
          <w:szCs w:val="26"/>
        </w:rPr>
        <w:lastRenderedPageBreak/>
        <w:t xml:space="preserve">Evaluation </w:t>
      </w:r>
      <w:r w:rsidR="00A35E98" w:rsidRPr="005B6074">
        <w:rPr>
          <w:rFonts w:ascii="Verdana" w:hAnsi="Verdana"/>
          <w:i w:val="0"/>
          <w:iCs/>
          <w:color w:val="0063B8"/>
          <w:sz w:val="26"/>
          <w:szCs w:val="26"/>
        </w:rPr>
        <w:t>of the Programme budget</w:t>
      </w:r>
      <w:bookmarkEnd w:id="186"/>
      <w:bookmarkEnd w:id="187"/>
    </w:p>
    <w:p w:rsidR="00C513B7" w:rsidRPr="005B6074" w:rsidRDefault="00A35E98" w:rsidP="00C513B7">
      <w:pPr>
        <w:widowControl w:val="0"/>
        <w:tabs>
          <w:tab w:val="left" w:pos="1276"/>
        </w:tabs>
        <w:overflowPunct w:val="0"/>
        <w:autoSpaceDE w:val="0"/>
        <w:autoSpaceDN w:val="0"/>
        <w:adjustRightInd w:val="0"/>
        <w:spacing w:before="360" w:after="120"/>
        <w:jc w:val="both"/>
        <w:textAlignment w:val="baseline"/>
        <w:outlineLvl w:val="2"/>
        <w:rPr>
          <w:rFonts w:ascii="Verdana" w:eastAsia="Times New Roman" w:hAnsi="Verdana" w:cs="Calibri"/>
          <w:b/>
          <w:color w:val="365F91"/>
          <w:lang w:eastAsia="cs-CZ"/>
        </w:rPr>
      </w:pPr>
      <w:bookmarkStart w:id="188" w:name="_Toc396225564"/>
      <w:r w:rsidRPr="005B6074">
        <w:rPr>
          <w:rFonts w:ascii="Verdana" w:eastAsia="Times New Roman" w:hAnsi="Verdana" w:cs="Calibri"/>
          <w:b/>
          <w:color w:val="365F91"/>
          <w:lang w:eastAsia="cs-CZ"/>
        </w:rPr>
        <w:t>Analysis</w:t>
      </w:r>
      <w:bookmarkEnd w:id="188"/>
    </w:p>
    <w:p w:rsidR="00C513B7" w:rsidRPr="005B6074" w:rsidRDefault="00C513B7" w:rsidP="00C513B7">
      <w:pPr>
        <w:widowControl w:val="0"/>
        <w:tabs>
          <w:tab w:val="left" w:pos="0"/>
          <w:tab w:val="right" w:pos="9214"/>
        </w:tabs>
        <w:spacing w:before="120" w:after="0"/>
        <w:jc w:val="both"/>
        <w:rPr>
          <w:rFonts w:ascii="Verdana" w:eastAsia="Times New Roman" w:hAnsi="Verdana"/>
          <w:bCs/>
          <w:color w:val="000000"/>
          <w:sz w:val="20"/>
          <w:szCs w:val="20"/>
          <w:lang w:eastAsia="bg-BG"/>
        </w:rPr>
      </w:pPr>
    </w:p>
    <w:tbl>
      <w:tblPr>
        <w:tblW w:w="9072" w:type="dxa"/>
        <w:tblBorders>
          <w:top w:val="single" w:sz="4" w:space="0" w:color="auto"/>
          <w:bottom w:val="single" w:sz="4" w:space="0" w:color="auto"/>
        </w:tblBorders>
        <w:tblLook w:val="04A0" w:firstRow="1" w:lastRow="0" w:firstColumn="1" w:lastColumn="0" w:noHBand="0" w:noVBand="1"/>
      </w:tblPr>
      <w:tblGrid>
        <w:gridCol w:w="567"/>
        <w:gridCol w:w="8505"/>
      </w:tblGrid>
      <w:tr w:rsidR="00C513B7" w:rsidRPr="005B6074" w:rsidTr="005B6074">
        <w:tc>
          <w:tcPr>
            <w:tcW w:w="567" w:type="dxa"/>
            <w:vAlign w:val="center"/>
          </w:tcPr>
          <w:p w:rsidR="00C513B7" w:rsidRPr="005B6074" w:rsidRDefault="00A35E98" w:rsidP="00F24971">
            <w:pPr>
              <w:spacing w:after="0"/>
              <w:jc w:val="center"/>
              <w:rPr>
                <w:rFonts w:ascii="Verdana" w:eastAsia="Times New Roman" w:hAnsi="Verdana"/>
                <w:color w:val="548DD4"/>
                <w:sz w:val="36"/>
                <w:szCs w:val="36"/>
                <w:lang w:eastAsia="bg-BG"/>
              </w:rPr>
            </w:pPr>
            <w:r w:rsidRPr="005B6074">
              <w:rPr>
                <w:rFonts w:ascii="Verdana" w:eastAsia="Times New Roman" w:hAnsi="Verdana"/>
                <w:color w:val="548DD4"/>
                <w:sz w:val="36"/>
                <w:szCs w:val="36"/>
                <w:lang w:eastAsia="bg-BG"/>
              </w:rPr>
              <w:t>?</w:t>
            </w:r>
          </w:p>
        </w:tc>
        <w:tc>
          <w:tcPr>
            <w:tcW w:w="8505" w:type="dxa"/>
            <w:shd w:val="clear" w:color="auto" w:fill="B8CCE4"/>
          </w:tcPr>
          <w:p w:rsidR="00C513B7" w:rsidRPr="005B6074" w:rsidRDefault="00A35E98" w:rsidP="001B7A88">
            <w:pPr>
              <w:autoSpaceDE w:val="0"/>
              <w:autoSpaceDN w:val="0"/>
              <w:adjustRightInd w:val="0"/>
              <w:spacing w:before="120" w:after="120" w:line="240" w:lineRule="auto"/>
              <w:ind w:left="135"/>
              <w:rPr>
                <w:rFonts w:ascii="Verdana" w:eastAsia="Times New Roman" w:hAnsi="Verdana" w:cs="TimesNewRomanPSMT"/>
                <w:sz w:val="20"/>
                <w:szCs w:val="20"/>
                <w:lang w:eastAsia="bg-BG"/>
              </w:rPr>
            </w:pPr>
            <w:r w:rsidRPr="005B6074">
              <w:rPr>
                <w:rFonts w:ascii="Verdana" w:eastAsia="Times New Roman" w:hAnsi="Verdana" w:cs="TimesNewRomanPSMT"/>
                <w:sz w:val="20"/>
                <w:szCs w:val="20"/>
                <w:lang w:eastAsia="bg-BG"/>
              </w:rPr>
              <w:t xml:space="preserve">Consistency and justification of the allocation of budget funds against the Programme objectives </w:t>
            </w:r>
          </w:p>
        </w:tc>
      </w:tr>
    </w:tbl>
    <w:p w:rsidR="00C513B7" w:rsidRPr="005B6074" w:rsidRDefault="00A35E98" w:rsidP="00C513B7">
      <w:pPr>
        <w:keepNext/>
        <w:widowControl w:val="0"/>
        <w:tabs>
          <w:tab w:val="left" w:pos="0"/>
          <w:tab w:val="right" w:pos="9214"/>
        </w:tabs>
        <w:spacing w:before="240" w:after="120"/>
        <w:jc w:val="both"/>
        <w:rPr>
          <w:rFonts w:ascii="Verdana" w:eastAsia="Times New Roman" w:hAnsi="Verdana"/>
          <w:bCs/>
          <w:color w:val="0070C0"/>
          <w:sz w:val="20"/>
          <w:szCs w:val="20"/>
          <w:lang w:eastAsia="bg-BG"/>
        </w:rPr>
      </w:pPr>
      <w:r w:rsidRPr="005B6074">
        <w:rPr>
          <w:rFonts w:ascii="Verdana" w:eastAsia="Times New Roman" w:hAnsi="Verdana"/>
          <w:bCs/>
          <w:color w:val="0070C0"/>
          <w:sz w:val="20"/>
          <w:szCs w:val="20"/>
          <w:lang w:eastAsia="bg-BG"/>
        </w:rPr>
        <w:t>Structure of the financial framework by investment priorities and comparisons with the financing of similar activities during the 2007-2013 programming period</w:t>
      </w:r>
    </w:p>
    <w:p w:rsidR="00C513B7" w:rsidRPr="005B6074" w:rsidRDefault="00A35E98" w:rsidP="00C513B7">
      <w:pPr>
        <w:tabs>
          <w:tab w:val="left" w:pos="0"/>
          <w:tab w:val="right" w:pos="9214"/>
        </w:tabs>
        <w:spacing w:after="120"/>
        <w:jc w:val="both"/>
        <w:rPr>
          <w:rFonts w:ascii="Verdana" w:eastAsia="Calibri" w:hAnsi="Verdana"/>
          <w:sz w:val="20"/>
          <w:szCs w:val="20"/>
        </w:rPr>
      </w:pPr>
      <w:r w:rsidRPr="005B6074">
        <w:rPr>
          <w:rFonts w:ascii="Verdana" w:eastAsia="Calibri" w:hAnsi="Verdana"/>
          <w:sz w:val="20"/>
          <w:szCs w:val="20"/>
        </w:rPr>
        <w:t xml:space="preserve">The Programme document for </w:t>
      </w:r>
      <w:r w:rsidR="005B35A7">
        <w:rPr>
          <w:rFonts w:ascii="Verdana" w:eastAsia="Calibri" w:hAnsi="Verdana"/>
          <w:sz w:val="20"/>
          <w:szCs w:val="20"/>
        </w:rPr>
        <w:t>OPSESG</w:t>
      </w:r>
      <w:r w:rsidRPr="005B6074">
        <w:rPr>
          <w:rFonts w:ascii="Verdana" w:eastAsia="Calibri" w:hAnsi="Verdana"/>
          <w:sz w:val="20"/>
          <w:szCs w:val="20"/>
        </w:rPr>
        <w:t xml:space="preserve"> 2014-2020 envisages EU financing in the amount of EUR 5</w:t>
      </w:r>
      <w:r w:rsidR="00CA1E1C" w:rsidRPr="005B6074">
        <w:rPr>
          <w:rFonts w:ascii="Verdana" w:eastAsia="Calibri" w:hAnsi="Verdana"/>
          <w:sz w:val="20"/>
          <w:szCs w:val="20"/>
        </w:rPr>
        <w:t>96</w:t>
      </w:r>
      <w:r w:rsidRPr="005B6074">
        <w:rPr>
          <w:rFonts w:ascii="Verdana" w:eastAsia="Calibri" w:hAnsi="Verdana"/>
          <w:sz w:val="20"/>
          <w:szCs w:val="20"/>
        </w:rPr>
        <w:t> </w:t>
      </w:r>
      <w:r w:rsidR="00CA1E1C" w:rsidRPr="005B6074">
        <w:rPr>
          <w:rFonts w:ascii="Verdana" w:eastAsia="Calibri" w:hAnsi="Verdana"/>
          <w:sz w:val="20"/>
          <w:szCs w:val="20"/>
        </w:rPr>
        <w:t>00</w:t>
      </w:r>
      <w:r w:rsidRPr="005B6074">
        <w:rPr>
          <w:rFonts w:ascii="Verdana" w:eastAsia="Calibri" w:hAnsi="Verdana"/>
          <w:sz w:val="20"/>
          <w:szCs w:val="20"/>
        </w:rPr>
        <w:t>0 6</w:t>
      </w:r>
      <w:r w:rsidR="00CA1E1C" w:rsidRPr="005B6074">
        <w:rPr>
          <w:rFonts w:ascii="Verdana" w:eastAsia="Calibri" w:hAnsi="Verdana"/>
          <w:sz w:val="20"/>
          <w:szCs w:val="20"/>
        </w:rPr>
        <w:t>81</w:t>
      </w:r>
      <w:r w:rsidRPr="005B6074">
        <w:rPr>
          <w:rFonts w:ascii="Verdana" w:eastAsia="Calibri" w:hAnsi="Verdana"/>
          <w:sz w:val="20"/>
          <w:szCs w:val="20"/>
        </w:rPr>
        <w:t xml:space="preserve">, to which national co-financing of 15% is added to reach a total financing of the Programme standing at EUR </w:t>
      </w:r>
      <w:r w:rsidR="00CA1E1C" w:rsidRPr="005B6074">
        <w:rPr>
          <w:rFonts w:ascii="Verdana" w:eastAsia="Calibri" w:hAnsi="Verdana"/>
          <w:sz w:val="20"/>
          <w:szCs w:val="20"/>
        </w:rPr>
        <w:t>701</w:t>
      </w:r>
      <w:r w:rsidRPr="005B6074">
        <w:rPr>
          <w:rFonts w:ascii="Verdana" w:eastAsia="Calibri" w:hAnsi="Verdana"/>
          <w:sz w:val="20"/>
          <w:szCs w:val="20"/>
        </w:rPr>
        <w:t> </w:t>
      </w:r>
      <w:r w:rsidR="00CA1E1C" w:rsidRPr="005B6074">
        <w:rPr>
          <w:rFonts w:ascii="Verdana" w:eastAsia="Calibri" w:hAnsi="Verdana"/>
          <w:sz w:val="20"/>
          <w:szCs w:val="20"/>
        </w:rPr>
        <w:t>177</w:t>
      </w:r>
      <w:r w:rsidRPr="005B6074">
        <w:rPr>
          <w:rFonts w:ascii="Verdana" w:eastAsia="Calibri" w:hAnsi="Verdana"/>
          <w:sz w:val="20"/>
          <w:szCs w:val="20"/>
        </w:rPr>
        <w:t xml:space="preserve"> </w:t>
      </w:r>
      <w:r w:rsidR="00CA1E1C" w:rsidRPr="005B6074">
        <w:rPr>
          <w:rFonts w:ascii="Verdana" w:eastAsia="Calibri" w:hAnsi="Verdana"/>
          <w:sz w:val="20"/>
          <w:szCs w:val="20"/>
        </w:rPr>
        <w:t>271</w:t>
      </w:r>
      <w:r w:rsidRPr="005B6074">
        <w:rPr>
          <w:rFonts w:ascii="Verdana" w:eastAsia="Calibri" w:hAnsi="Verdana"/>
          <w:sz w:val="20"/>
          <w:szCs w:val="20"/>
        </w:rPr>
        <w:t xml:space="preserve">. </w:t>
      </w:r>
    </w:p>
    <w:p w:rsidR="00C513B7" w:rsidRPr="005B6074" w:rsidRDefault="001C0323" w:rsidP="00C513B7">
      <w:pPr>
        <w:tabs>
          <w:tab w:val="left" w:pos="0"/>
          <w:tab w:val="right" w:pos="9214"/>
        </w:tabs>
        <w:spacing w:after="120"/>
        <w:jc w:val="center"/>
        <w:rPr>
          <w:rFonts w:ascii="Verdana" w:eastAsia="Calibri" w:hAnsi="Verdana"/>
          <w:sz w:val="16"/>
          <w:szCs w:val="16"/>
        </w:rPr>
      </w:pPr>
      <w:r w:rsidRPr="005B6074">
        <w:rPr>
          <w:rFonts w:ascii="Verdana" w:eastAsia="Times New Roman" w:hAnsi="Verdana"/>
          <w:b/>
          <w:bCs/>
          <w:i/>
          <w:noProof/>
          <w:color w:val="000000"/>
          <w:sz w:val="16"/>
          <w:szCs w:val="16"/>
          <w:lang w:val="bg-BG" w:eastAsia="bg-BG"/>
        </w:rPr>
        <w:drawing>
          <wp:inline distT="0" distB="0" distL="0" distR="0" wp14:anchorId="65C8CA9C" wp14:editId="6311B409">
            <wp:extent cx="5638800" cy="2762250"/>
            <wp:effectExtent l="0" t="0" r="0" b="0"/>
            <wp:docPr id="40" name="Picture 3" descr="OPNOIR_sh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NOIR_shares"/>
                    <pic:cNvPicPr>
                      <a:picLocks noChangeAspect="1" noChangeArrowheads="1"/>
                    </pic:cNvPicPr>
                  </pic:nvPicPr>
                  <pic:blipFill>
                    <a:blip r:embed="rId48">
                      <a:extLst>
                        <a:ext uri="{28A0092B-C50C-407E-A947-70E740481C1C}">
                          <a14:useLocalDpi xmlns:a14="http://schemas.microsoft.com/office/drawing/2010/main" val="0"/>
                        </a:ext>
                      </a:extLst>
                    </a:blip>
                    <a:srcRect l="2246" t="7692" b="10406"/>
                    <a:stretch>
                      <a:fillRect/>
                    </a:stretch>
                  </pic:blipFill>
                  <pic:spPr bwMode="auto">
                    <a:xfrm>
                      <a:off x="0" y="0"/>
                      <a:ext cx="5638800" cy="2762250"/>
                    </a:xfrm>
                    <a:prstGeom prst="rect">
                      <a:avLst/>
                    </a:prstGeom>
                    <a:noFill/>
                    <a:ln>
                      <a:noFill/>
                    </a:ln>
                  </pic:spPr>
                </pic:pic>
              </a:graphicData>
            </a:graphic>
          </wp:inline>
        </w:drawing>
      </w:r>
      <w:r w:rsidR="00A35E98" w:rsidRPr="005B6074">
        <w:rPr>
          <w:rFonts w:ascii="Verdana" w:eastAsia="Times New Roman" w:hAnsi="Verdana"/>
          <w:b/>
          <w:bCs/>
          <w:i/>
          <w:color w:val="000000"/>
          <w:sz w:val="16"/>
          <w:szCs w:val="16"/>
          <w:lang w:eastAsia="bg-BG"/>
        </w:rPr>
        <w:t>Source</w:t>
      </w:r>
      <w:r w:rsidR="00A35E98" w:rsidRPr="005B6074">
        <w:rPr>
          <w:rFonts w:ascii="Verdana" w:eastAsia="Times New Roman" w:hAnsi="Verdana"/>
          <w:bCs/>
          <w:color w:val="000000"/>
          <w:sz w:val="16"/>
          <w:szCs w:val="16"/>
          <w:lang w:eastAsia="bg-BG"/>
        </w:rPr>
        <w:t xml:space="preserve">: OP </w:t>
      </w:r>
      <w:r w:rsidR="00CA1E1C" w:rsidRPr="005B6074">
        <w:rPr>
          <w:rFonts w:ascii="Verdana" w:eastAsia="Times New Roman" w:hAnsi="Verdana"/>
          <w:bCs/>
          <w:color w:val="000000"/>
          <w:sz w:val="16"/>
          <w:szCs w:val="16"/>
          <w:lang w:eastAsia="bg-BG"/>
        </w:rPr>
        <w:t>“</w:t>
      </w:r>
      <w:r w:rsidR="00A35E98" w:rsidRPr="005B6074">
        <w:rPr>
          <w:rFonts w:ascii="Verdana" w:eastAsia="Times New Roman" w:hAnsi="Verdana"/>
          <w:bCs/>
          <w:color w:val="000000"/>
          <w:sz w:val="16"/>
          <w:szCs w:val="16"/>
          <w:lang w:eastAsia="bg-BG"/>
        </w:rPr>
        <w:t>Science and Education for Smart Growth”, own calculations</w:t>
      </w:r>
    </w:p>
    <w:p w:rsidR="00C513B7" w:rsidRPr="005B6074" w:rsidRDefault="00A35E98" w:rsidP="00C513B7">
      <w:pPr>
        <w:jc w:val="center"/>
        <w:rPr>
          <w:rFonts w:ascii="Verdana" w:hAnsi="Verdana"/>
          <w:b/>
          <w:color w:val="006CB6"/>
          <w:sz w:val="20"/>
          <w:szCs w:val="20"/>
        </w:rPr>
      </w:pPr>
      <w:bookmarkStart w:id="189" w:name="_Toc390257331"/>
      <w:bookmarkStart w:id="190" w:name="_Toc396225642"/>
      <w:r w:rsidRPr="005B6074">
        <w:rPr>
          <w:rFonts w:ascii="Verdana" w:hAnsi="Verdana"/>
          <w:b/>
          <w:color w:val="006CB6"/>
          <w:sz w:val="20"/>
          <w:szCs w:val="20"/>
        </w:rPr>
        <w:t xml:space="preserve">Figure </w:t>
      </w:r>
      <w:r w:rsidRPr="005B6074">
        <w:rPr>
          <w:rFonts w:ascii="Verdana" w:hAnsi="Verdana"/>
          <w:b/>
          <w:color w:val="006CB6"/>
          <w:sz w:val="20"/>
          <w:szCs w:val="20"/>
        </w:rPr>
        <w:fldChar w:fldCharType="begin"/>
      </w:r>
      <w:r w:rsidRPr="005B6074">
        <w:rPr>
          <w:rFonts w:ascii="Verdana" w:hAnsi="Verdana"/>
          <w:b/>
          <w:color w:val="006CB6"/>
          <w:sz w:val="20"/>
          <w:szCs w:val="20"/>
        </w:rPr>
        <w:instrText>SEQ Фигура \* ARABIC</w:instrText>
      </w:r>
      <w:r w:rsidRPr="005B6074">
        <w:rPr>
          <w:rFonts w:ascii="Verdana" w:hAnsi="Verdana"/>
          <w:b/>
          <w:color w:val="006CB6"/>
          <w:sz w:val="20"/>
          <w:szCs w:val="20"/>
        </w:rPr>
        <w:fldChar w:fldCharType="separate"/>
      </w:r>
      <w:r w:rsidR="009330F5">
        <w:rPr>
          <w:rFonts w:ascii="Verdana" w:hAnsi="Verdana"/>
          <w:b/>
          <w:noProof/>
          <w:color w:val="006CB6"/>
          <w:sz w:val="20"/>
          <w:szCs w:val="20"/>
        </w:rPr>
        <w:t>6</w:t>
      </w:r>
      <w:r w:rsidRPr="005B6074">
        <w:rPr>
          <w:rFonts w:ascii="Verdana" w:hAnsi="Verdana"/>
          <w:b/>
          <w:color w:val="006CB6"/>
          <w:sz w:val="20"/>
          <w:szCs w:val="20"/>
        </w:rPr>
        <w:fldChar w:fldCharType="end"/>
      </w:r>
      <w:r w:rsidRPr="005B6074">
        <w:rPr>
          <w:rFonts w:ascii="Verdana" w:hAnsi="Verdana"/>
          <w:b/>
          <w:color w:val="006CB6"/>
          <w:sz w:val="20"/>
          <w:szCs w:val="20"/>
        </w:rPr>
        <w:t xml:space="preserve">: Structure of the budget of </w:t>
      </w:r>
      <w:r w:rsidR="005B35A7">
        <w:rPr>
          <w:rFonts w:ascii="Verdana" w:hAnsi="Verdana"/>
          <w:b/>
          <w:color w:val="006CB6"/>
          <w:sz w:val="20"/>
          <w:szCs w:val="20"/>
        </w:rPr>
        <w:t>OPSESG</w:t>
      </w:r>
      <w:r w:rsidRPr="005B6074">
        <w:rPr>
          <w:rFonts w:ascii="Verdana" w:hAnsi="Verdana"/>
          <w:b/>
          <w:color w:val="006CB6"/>
          <w:sz w:val="20"/>
          <w:szCs w:val="20"/>
        </w:rPr>
        <w:t xml:space="preserve"> 2014-2020 by priority axes and funds</w:t>
      </w:r>
      <w:bookmarkEnd w:id="189"/>
      <w:bookmarkEnd w:id="190"/>
    </w:p>
    <w:p w:rsidR="00C513B7" w:rsidRPr="005B6074" w:rsidRDefault="00246319" w:rsidP="00C513B7">
      <w:pPr>
        <w:tabs>
          <w:tab w:val="left" w:pos="0"/>
          <w:tab w:val="right" w:pos="9214"/>
        </w:tabs>
        <w:spacing w:after="120"/>
        <w:jc w:val="both"/>
        <w:rPr>
          <w:rFonts w:ascii="Verdana" w:eastAsia="Calibri" w:hAnsi="Verdana"/>
          <w:sz w:val="20"/>
          <w:szCs w:val="20"/>
        </w:rPr>
      </w:pPr>
      <w:bookmarkStart w:id="191" w:name="_Toc373747273"/>
      <w:bookmarkStart w:id="192" w:name="_Toc381712211"/>
      <w:r w:rsidRPr="005B6074">
        <w:rPr>
          <w:rFonts w:ascii="Verdana" w:eastAsia="Calibri" w:hAnsi="Verdana"/>
          <w:sz w:val="20"/>
          <w:szCs w:val="20"/>
        </w:rPr>
        <w:t>In broader terms</w:t>
      </w:r>
      <w:r w:rsidR="00A35E98" w:rsidRPr="005B6074">
        <w:rPr>
          <w:rFonts w:ascii="Verdana" w:eastAsia="Calibri" w:hAnsi="Verdana"/>
          <w:sz w:val="20"/>
          <w:szCs w:val="20"/>
        </w:rPr>
        <w:t xml:space="preserve">, the budget of </w:t>
      </w:r>
      <w:r w:rsidR="005B35A7">
        <w:rPr>
          <w:rFonts w:ascii="Verdana" w:eastAsia="Calibri" w:hAnsi="Verdana"/>
          <w:sz w:val="20"/>
          <w:szCs w:val="20"/>
        </w:rPr>
        <w:t>OPSESG</w:t>
      </w:r>
      <w:r w:rsidR="00A35E98" w:rsidRPr="005B6074">
        <w:rPr>
          <w:rFonts w:ascii="Verdana" w:eastAsia="Calibri" w:hAnsi="Verdana"/>
          <w:sz w:val="20"/>
          <w:szCs w:val="20"/>
        </w:rPr>
        <w:t xml:space="preserve"> is allocated among education and lifelong learning, including inclusion in education (under PA2 and PA3) and scientific research and technology development (PA1), where the total budget for education is slightly higher than the one for research and innovations. Some 4% of the financial resources are allocated to technical assistance. With respect to technical assistance, two important changes are introduced in this version of the OP NOIR as compared to previous versions - financing is provided for technical assistance both </w:t>
      </w:r>
      <w:r w:rsidRPr="005B6074">
        <w:rPr>
          <w:rFonts w:ascii="Verdana" w:eastAsia="Calibri" w:hAnsi="Verdana"/>
          <w:sz w:val="20"/>
          <w:szCs w:val="20"/>
        </w:rPr>
        <w:t>from</w:t>
      </w:r>
      <w:r w:rsidR="00A35E98" w:rsidRPr="005B6074">
        <w:rPr>
          <w:rFonts w:ascii="Verdana" w:eastAsia="Calibri" w:hAnsi="Verdana"/>
          <w:sz w:val="20"/>
          <w:szCs w:val="20"/>
        </w:rPr>
        <w:t xml:space="preserve"> ESF and ERDF and, thus, the total amount under PA 4 is increased. The evaluator supports this change, thought it exceeds the 4% limit on the technical assistance by fund in view of the fact that the </w:t>
      </w:r>
      <w:r w:rsidR="005B35A7">
        <w:rPr>
          <w:rFonts w:ascii="Verdana" w:eastAsia="Calibri" w:hAnsi="Verdana"/>
          <w:sz w:val="20"/>
          <w:szCs w:val="20"/>
        </w:rPr>
        <w:t>OPSESG</w:t>
      </w:r>
      <w:r w:rsidR="00A35E98" w:rsidRPr="005B6074">
        <w:rPr>
          <w:rFonts w:ascii="Verdana" w:eastAsia="Calibri" w:hAnsi="Verdana"/>
          <w:sz w:val="20"/>
          <w:szCs w:val="20"/>
        </w:rPr>
        <w:t xml:space="preserve"> is a newly established operational program and, as its total budget is not very high, there is a need for a higher proportion of technical assistance in it to ensure the successful programming, implementation and monitoring of the program.</w:t>
      </w:r>
    </w:p>
    <w:p w:rsidR="00C513B7" w:rsidRPr="005B6074" w:rsidRDefault="00A35E98" w:rsidP="00C513B7">
      <w:pPr>
        <w:tabs>
          <w:tab w:val="left" w:pos="0"/>
          <w:tab w:val="right" w:pos="9214"/>
        </w:tabs>
        <w:spacing w:after="120"/>
        <w:jc w:val="both"/>
        <w:rPr>
          <w:rFonts w:ascii="Verdana" w:eastAsia="Calibri" w:hAnsi="Verdana"/>
          <w:sz w:val="20"/>
          <w:szCs w:val="20"/>
        </w:rPr>
      </w:pPr>
      <w:r w:rsidRPr="005B6074">
        <w:rPr>
          <w:rFonts w:ascii="Verdana" w:eastAsia="Calibri" w:hAnsi="Verdana"/>
          <w:sz w:val="20"/>
          <w:szCs w:val="20"/>
        </w:rPr>
        <w:lastRenderedPageBreak/>
        <w:t xml:space="preserve">Under </w:t>
      </w:r>
      <w:r w:rsidRPr="005B6074">
        <w:rPr>
          <w:rFonts w:ascii="Verdana" w:eastAsia="Calibri" w:hAnsi="Verdana"/>
          <w:color w:val="548DD4" w:themeColor="text2" w:themeTint="99"/>
          <w:sz w:val="20"/>
          <w:szCs w:val="20"/>
        </w:rPr>
        <w:t xml:space="preserve">Priority Axis 1 </w:t>
      </w:r>
      <w:r w:rsidRPr="005B6074">
        <w:rPr>
          <w:rFonts w:ascii="Verdana" w:eastAsia="Calibri" w:hAnsi="Verdana"/>
          <w:sz w:val="20"/>
          <w:szCs w:val="20"/>
        </w:rPr>
        <w:t>investment</w:t>
      </w:r>
      <w:r w:rsidR="00894EA2" w:rsidRPr="005B6074">
        <w:rPr>
          <w:rFonts w:ascii="Verdana" w:eastAsia="Calibri" w:hAnsi="Verdana"/>
          <w:sz w:val="20"/>
          <w:szCs w:val="20"/>
        </w:rPr>
        <w:t>s</w:t>
      </w:r>
      <w:r w:rsidRPr="005B6074">
        <w:rPr>
          <w:rFonts w:ascii="Verdana" w:eastAsia="Calibri" w:hAnsi="Verdana"/>
          <w:sz w:val="20"/>
          <w:szCs w:val="20"/>
        </w:rPr>
        <w:t xml:space="preserve"> will be supported mainly for upgrading the scientific infrastructure, for the competence centres and excellence centres and laboratories. Special attention will be attached to the financing of applied science research. From the comparative Table below it is evident that in the 2014-2020 period the resources allocated to investment of this type will be </w:t>
      </w:r>
      <w:r w:rsidR="00246319" w:rsidRPr="005B6074">
        <w:rPr>
          <w:rFonts w:ascii="Verdana" w:eastAsia="Calibri" w:hAnsi="Verdana"/>
          <w:sz w:val="20"/>
          <w:szCs w:val="20"/>
        </w:rPr>
        <w:t xml:space="preserve">almost </w:t>
      </w:r>
      <w:r w:rsidRPr="005B6074">
        <w:rPr>
          <w:rFonts w:ascii="Verdana" w:eastAsia="Calibri" w:hAnsi="Verdana"/>
          <w:sz w:val="20"/>
          <w:szCs w:val="20"/>
        </w:rPr>
        <w:t>6 times higher in nominal terms, which is directly connected with the objectives of the Strategy Europe 2020 for smart growth and with the significant challenge to achieve the target for expenditure on research and development activities of 1.5% of GDP in 2020.</w:t>
      </w:r>
    </w:p>
    <w:p w:rsidR="00C513B7" w:rsidRPr="005B6074" w:rsidRDefault="00A35E98" w:rsidP="00C513B7">
      <w:pPr>
        <w:pStyle w:val="Caption"/>
        <w:rPr>
          <w:rFonts w:ascii="Verdana" w:hAnsi="Verdana"/>
          <w:color w:val="548DD4" w:themeColor="text2" w:themeTint="99"/>
        </w:rPr>
      </w:pPr>
      <w:bookmarkStart w:id="193" w:name="_Toc390257092"/>
      <w:bookmarkStart w:id="194" w:name="_Toc396225633"/>
      <w:r w:rsidRPr="005B6074">
        <w:rPr>
          <w:rFonts w:ascii="Verdana" w:hAnsi="Verdana"/>
          <w:color w:val="548DD4" w:themeColor="text2" w:themeTint="99"/>
        </w:rPr>
        <w:t xml:space="preserve">Table </w:t>
      </w:r>
      <w:r w:rsidRPr="005B6074">
        <w:rPr>
          <w:rFonts w:ascii="Verdana" w:hAnsi="Verdana"/>
          <w:color w:val="548DD4" w:themeColor="text2" w:themeTint="99"/>
        </w:rPr>
        <w:fldChar w:fldCharType="begin"/>
      </w:r>
      <w:r w:rsidRPr="005B6074">
        <w:rPr>
          <w:rFonts w:ascii="Verdana" w:hAnsi="Verdana"/>
          <w:color w:val="548DD4" w:themeColor="text2" w:themeTint="99"/>
        </w:rPr>
        <w:instrText xml:space="preserve"> SEQ таблица \* ARABIC </w:instrText>
      </w:r>
      <w:r w:rsidRPr="005B6074">
        <w:rPr>
          <w:rFonts w:ascii="Verdana" w:hAnsi="Verdana"/>
          <w:color w:val="548DD4" w:themeColor="text2" w:themeTint="99"/>
        </w:rPr>
        <w:fldChar w:fldCharType="separate"/>
      </w:r>
      <w:r w:rsidR="009330F5">
        <w:rPr>
          <w:rFonts w:ascii="Verdana" w:hAnsi="Verdana"/>
          <w:noProof/>
          <w:color w:val="548DD4" w:themeColor="text2" w:themeTint="99"/>
        </w:rPr>
        <w:t>38</w:t>
      </w:r>
      <w:r w:rsidRPr="005B6074">
        <w:rPr>
          <w:rFonts w:ascii="Verdana" w:hAnsi="Verdana"/>
          <w:color w:val="548DD4" w:themeColor="text2" w:themeTint="99"/>
        </w:rPr>
        <w:fldChar w:fldCharType="end"/>
      </w:r>
      <w:r w:rsidRPr="005B6074">
        <w:rPr>
          <w:rFonts w:ascii="Verdana" w:hAnsi="Verdana"/>
          <w:color w:val="548DD4" w:themeColor="text2" w:themeTint="99"/>
        </w:rPr>
        <w:t xml:space="preserve">. Comparison of the budget of </w:t>
      </w:r>
      <w:r w:rsidR="005B35A7">
        <w:rPr>
          <w:rFonts w:ascii="Verdana" w:hAnsi="Verdana"/>
          <w:color w:val="548DD4" w:themeColor="text2" w:themeTint="99"/>
        </w:rPr>
        <w:t>OPSESG</w:t>
      </w:r>
      <w:r w:rsidRPr="005B6074">
        <w:rPr>
          <w:rFonts w:ascii="Verdana" w:hAnsi="Verdana"/>
          <w:color w:val="548DD4" w:themeColor="text2" w:themeTint="99"/>
        </w:rPr>
        <w:t xml:space="preserve"> 2014-2020 with the budget for similar activities in the 2007-2013 programming period under Priority Axes</w:t>
      </w:r>
      <w:bookmarkEnd w:id="191"/>
      <w:bookmarkEnd w:id="192"/>
      <w:bookmarkEnd w:id="193"/>
      <w:bookmarkEnd w:id="194"/>
    </w:p>
    <w:tbl>
      <w:tblPr>
        <w:tblW w:w="5757" w:type="pct"/>
        <w:tblInd w:w="-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66"/>
        <w:gridCol w:w="709"/>
        <w:gridCol w:w="1131"/>
        <w:gridCol w:w="1131"/>
        <w:gridCol w:w="1131"/>
        <w:gridCol w:w="1131"/>
        <w:gridCol w:w="1217"/>
        <w:gridCol w:w="1039"/>
      </w:tblGrid>
      <w:tr w:rsidR="00181A22" w:rsidRPr="005B6074" w:rsidTr="00181A22">
        <w:trPr>
          <w:trHeight w:val="545"/>
        </w:trPr>
        <w:tc>
          <w:tcPr>
            <w:tcW w:w="1418" w:type="pct"/>
            <w:vMerge w:val="restart"/>
            <w:shd w:val="clear" w:color="auto" w:fill="auto"/>
            <w:noWrap/>
            <w:vAlign w:val="center"/>
            <w:hideMark/>
          </w:tcPr>
          <w:p w:rsidR="00181A22" w:rsidRPr="005B6074" w:rsidRDefault="00181A22" w:rsidP="00181A22">
            <w:pPr>
              <w:spacing w:after="0"/>
              <w:rPr>
                <w:rFonts w:ascii="Verdana" w:hAnsi="Verdana"/>
                <w:color w:val="000000"/>
                <w:sz w:val="16"/>
                <w:szCs w:val="16"/>
              </w:rPr>
            </w:pPr>
            <w:r w:rsidRPr="005B6074">
              <w:rPr>
                <w:rFonts w:ascii="Verdana" w:hAnsi="Verdana"/>
                <w:color w:val="000000"/>
                <w:sz w:val="16"/>
                <w:szCs w:val="16"/>
              </w:rPr>
              <w:t> </w:t>
            </w:r>
            <w:r w:rsidRPr="00181A22">
              <w:rPr>
                <w:rFonts w:ascii="Verdana" w:hAnsi="Verdana"/>
                <w:b/>
                <w:bCs/>
                <w:color w:val="000000"/>
                <w:sz w:val="16"/>
                <w:szCs w:val="16"/>
              </w:rPr>
              <w:t>P</w:t>
            </w:r>
            <w:r w:rsidR="003764DF">
              <w:rPr>
                <w:rFonts w:ascii="Verdana" w:hAnsi="Verdana"/>
                <w:b/>
                <w:bCs/>
                <w:color w:val="000000"/>
                <w:sz w:val="16"/>
                <w:szCs w:val="16"/>
              </w:rPr>
              <w:t xml:space="preserve">riority </w:t>
            </w:r>
            <w:proofErr w:type="spellStart"/>
            <w:r w:rsidRPr="00181A22">
              <w:rPr>
                <w:rFonts w:ascii="Verdana" w:hAnsi="Verdana"/>
                <w:b/>
                <w:bCs/>
                <w:color w:val="000000"/>
                <w:sz w:val="16"/>
                <w:szCs w:val="16"/>
              </w:rPr>
              <w:t>A</w:t>
            </w:r>
            <w:r w:rsidR="003764DF">
              <w:rPr>
                <w:rFonts w:ascii="Verdana" w:hAnsi="Verdana"/>
                <w:b/>
                <w:bCs/>
                <w:color w:val="000000"/>
                <w:sz w:val="16"/>
                <w:szCs w:val="16"/>
              </w:rPr>
              <w:t>six</w:t>
            </w:r>
            <w:proofErr w:type="spellEnd"/>
            <w:r w:rsidRPr="005B6074">
              <w:rPr>
                <w:rFonts w:ascii="Verdana" w:hAnsi="Verdana"/>
                <w:b/>
                <w:bCs/>
                <w:color w:val="000000"/>
                <w:sz w:val="16"/>
                <w:szCs w:val="16"/>
              </w:rPr>
              <w:t> </w:t>
            </w:r>
          </w:p>
        </w:tc>
        <w:tc>
          <w:tcPr>
            <w:tcW w:w="339" w:type="pct"/>
            <w:vMerge w:val="restart"/>
            <w:shd w:val="clear" w:color="auto" w:fill="auto"/>
            <w:noWrap/>
            <w:vAlign w:val="center"/>
            <w:hideMark/>
          </w:tcPr>
          <w:p w:rsidR="00181A22" w:rsidRPr="005B6074" w:rsidRDefault="00181A22" w:rsidP="00181A22">
            <w:pPr>
              <w:spacing w:after="0"/>
              <w:jc w:val="center"/>
              <w:rPr>
                <w:rFonts w:ascii="Verdana" w:hAnsi="Verdana"/>
                <w:b/>
                <w:bCs/>
                <w:color w:val="000000"/>
                <w:sz w:val="16"/>
                <w:szCs w:val="16"/>
              </w:rPr>
            </w:pPr>
            <w:r w:rsidRPr="005B6074">
              <w:rPr>
                <w:rFonts w:ascii="Verdana" w:hAnsi="Verdana"/>
                <w:b/>
                <w:bCs/>
                <w:color w:val="000000"/>
                <w:sz w:val="16"/>
                <w:szCs w:val="16"/>
              </w:rPr>
              <w:t>Fund*</w:t>
            </w:r>
          </w:p>
        </w:tc>
        <w:tc>
          <w:tcPr>
            <w:tcW w:w="1082" w:type="pct"/>
            <w:gridSpan w:val="2"/>
            <w:shd w:val="clear" w:color="auto" w:fill="auto"/>
            <w:noWrap/>
            <w:vAlign w:val="center"/>
            <w:hideMark/>
          </w:tcPr>
          <w:p w:rsidR="00181A22" w:rsidRPr="005B6074" w:rsidRDefault="00181A22" w:rsidP="00181A22">
            <w:pPr>
              <w:spacing w:after="0"/>
              <w:jc w:val="center"/>
              <w:rPr>
                <w:rFonts w:ascii="Verdana" w:hAnsi="Verdana"/>
                <w:b/>
                <w:bCs/>
                <w:color w:val="000000"/>
                <w:sz w:val="16"/>
                <w:szCs w:val="16"/>
              </w:rPr>
            </w:pPr>
            <w:r w:rsidRPr="005B6074">
              <w:rPr>
                <w:rFonts w:ascii="Verdana" w:hAnsi="Verdana"/>
                <w:b/>
                <w:bCs/>
                <w:color w:val="000000"/>
                <w:sz w:val="16"/>
                <w:szCs w:val="16"/>
              </w:rPr>
              <w:t>Budget commitments</w:t>
            </w:r>
          </w:p>
        </w:tc>
        <w:tc>
          <w:tcPr>
            <w:tcW w:w="1082" w:type="pct"/>
            <w:gridSpan w:val="2"/>
            <w:shd w:val="clear" w:color="auto" w:fill="auto"/>
            <w:noWrap/>
            <w:vAlign w:val="center"/>
            <w:hideMark/>
          </w:tcPr>
          <w:p w:rsidR="00181A22" w:rsidRPr="005B6074" w:rsidRDefault="00181A22" w:rsidP="005B6074">
            <w:pPr>
              <w:spacing w:after="0"/>
              <w:jc w:val="center"/>
              <w:rPr>
                <w:rFonts w:ascii="Verdana" w:hAnsi="Verdana"/>
                <w:b/>
                <w:bCs/>
                <w:color w:val="000000"/>
                <w:sz w:val="16"/>
                <w:szCs w:val="16"/>
              </w:rPr>
            </w:pPr>
            <w:r w:rsidRPr="005B6074">
              <w:rPr>
                <w:rFonts w:ascii="Verdana" w:hAnsi="Verdana"/>
                <w:b/>
                <w:bCs/>
                <w:color w:val="000000"/>
                <w:sz w:val="16"/>
                <w:szCs w:val="16"/>
              </w:rPr>
              <w:t>% of total budget</w:t>
            </w:r>
          </w:p>
        </w:tc>
        <w:tc>
          <w:tcPr>
            <w:tcW w:w="1079" w:type="pct"/>
            <w:gridSpan w:val="2"/>
            <w:shd w:val="clear" w:color="auto" w:fill="auto"/>
            <w:vAlign w:val="center"/>
            <w:hideMark/>
          </w:tcPr>
          <w:p w:rsidR="00181A22" w:rsidRPr="005B6074" w:rsidRDefault="00181A22" w:rsidP="005B6074">
            <w:pPr>
              <w:spacing w:after="0"/>
              <w:jc w:val="center"/>
              <w:rPr>
                <w:rFonts w:ascii="Verdana" w:hAnsi="Verdana"/>
                <w:b/>
                <w:bCs/>
                <w:color w:val="000000"/>
                <w:sz w:val="16"/>
                <w:szCs w:val="16"/>
              </w:rPr>
            </w:pPr>
            <w:r w:rsidRPr="005B6074">
              <w:rPr>
                <w:rFonts w:ascii="Verdana" w:hAnsi="Verdana"/>
                <w:b/>
                <w:bCs/>
                <w:color w:val="000000"/>
                <w:sz w:val="16"/>
                <w:szCs w:val="16"/>
              </w:rPr>
              <w:t>Percentage difference compared to 2007-2013</w:t>
            </w:r>
          </w:p>
        </w:tc>
      </w:tr>
      <w:tr w:rsidR="00181A22" w:rsidRPr="005B6074" w:rsidTr="00181A22">
        <w:trPr>
          <w:trHeight w:val="739"/>
        </w:trPr>
        <w:tc>
          <w:tcPr>
            <w:tcW w:w="1418" w:type="pct"/>
            <w:vMerge/>
            <w:shd w:val="clear" w:color="auto" w:fill="auto"/>
            <w:noWrap/>
            <w:vAlign w:val="center"/>
            <w:hideMark/>
          </w:tcPr>
          <w:p w:rsidR="00181A22" w:rsidRPr="005B6074" w:rsidRDefault="00181A22" w:rsidP="00F24971">
            <w:pPr>
              <w:keepNext/>
              <w:spacing w:before="240" w:after="0"/>
              <w:outlineLvl w:val="0"/>
              <w:rPr>
                <w:rFonts w:ascii="Verdana" w:hAnsi="Verdana"/>
                <w:b/>
                <w:bCs/>
                <w:color w:val="000000"/>
                <w:sz w:val="16"/>
                <w:szCs w:val="16"/>
              </w:rPr>
            </w:pPr>
          </w:p>
        </w:tc>
        <w:tc>
          <w:tcPr>
            <w:tcW w:w="339" w:type="pct"/>
            <w:vMerge/>
            <w:vAlign w:val="center"/>
            <w:hideMark/>
          </w:tcPr>
          <w:p w:rsidR="00181A22" w:rsidRPr="005B6074" w:rsidRDefault="00181A22" w:rsidP="00181A22">
            <w:pPr>
              <w:spacing w:after="0"/>
              <w:jc w:val="center"/>
              <w:rPr>
                <w:rFonts w:ascii="Verdana" w:hAnsi="Verdana"/>
                <w:b/>
                <w:bCs/>
                <w:color w:val="000000"/>
                <w:sz w:val="16"/>
                <w:szCs w:val="16"/>
              </w:rPr>
            </w:pPr>
          </w:p>
        </w:tc>
        <w:tc>
          <w:tcPr>
            <w:tcW w:w="541" w:type="pct"/>
            <w:shd w:val="clear" w:color="auto" w:fill="auto"/>
            <w:vAlign w:val="center"/>
            <w:hideMark/>
          </w:tcPr>
          <w:p w:rsidR="00181A22" w:rsidRPr="005B6074" w:rsidRDefault="00181A22" w:rsidP="00181A22">
            <w:pPr>
              <w:spacing w:after="0"/>
              <w:jc w:val="center"/>
              <w:rPr>
                <w:rFonts w:ascii="Verdana" w:hAnsi="Verdana"/>
                <w:b/>
                <w:bCs/>
                <w:color w:val="000000"/>
                <w:sz w:val="16"/>
                <w:szCs w:val="16"/>
              </w:rPr>
            </w:pPr>
            <w:r w:rsidRPr="005B6074">
              <w:rPr>
                <w:rFonts w:ascii="Verdana" w:hAnsi="Verdana"/>
                <w:b/>
                <w:bCs/>
                <w:color w:val="000000"/>
                <w:sz w:val="16"/>
                <w:szCs w:val="16"/>
              </w:rPr>
              <w:t>2014-2020</w:t>
            </w:r>
          </w:p>
        </w:tc>
        <w:tc>
          <w:tcPr>
            <w:tcW w:w="541" w:type="pct"/>
            <w:shd w:val="clear" w:color="auto" w:fill="auto"/>
            <w:vAlign w:val="center"/>
            <w:hideMark/>
          </w:tcPr>
          <w:p w:rsidR="00181A22" w:rsidRPr="005B6074" w:rsidRDefault="00181A22" w:rsidP="005B6074">
            <w:pPr>
              <w:spacing w:after="0"/>
              <w:jc w:val="center"/>
              <w:rPr>
                <w:rFonts w:ascii="Verdana" w:hAnsi="Verdana"/>
                <w:b/>
                <w:bCs/>
                <w:color w:val="000000"/>
                <w:sz w:val="16"/>
                <w:szCs w:val="16"/>
              </w:rPr>
            </w:pPr>
            <w:r w:rsidRPr="005B6074">
              <w:rPr>
                <w:rFonts w:ascii="Verdana" w:hAnsi="Verdana"/>
                <w:b/>
                <w:bCs/>
                <w:color w:val="000000"/>
                <w:sz w:val="16"/>
                <w:szCs w:val="16"/>
              </w:rPr>
              <w:t>2007-2013</w:t>
            </w:r>
          </w:p>
        </w:tc>
        <w:tc>
          <w:tcPr>
            <w:tcW w:w="541" w:type="pct"/>
            <w:shd w:val="clear" w:color="auto" w:fill="auto"/>
            <w:vAlign w:val="center"/>
            <w:hideMark/>
          </w:tcPr>
          <w:p w:rsidR="00181A22" w:rsidRPr="005B6074" w:rsidRDefault="005B35A7" w:rsidP="005B6074">
            <w:pPr>
              <w:spacing w:after="0"/>
              <w:jc w:val="center"/>
              <w:rPr>
                <w:rFonts w:ascii="Verdana" w:hAnsi="Verdana"/>
                <w:b/>
                <w:bCs/>
                <w:color w:val="000000"/>
                <w:sz w:val="16"/>
                <w:szCs w:val="16"/>
              </w:rPr>
            </w:pPr>
            <w:r>
              <w:rPr>
                <w:rFonts w:ascii="Verdana" w:hAnsi="Verdana"/>
                <w:b/>
                <w:bCs/>
                <w:color w:val="000000"/>
                <w:sz w:val="16"/>
                <w:szCs w:val="16"/>
              </w:rPr>
              <w:t>OPSESG</w:t>
            </w:r>
            <w:r w:rsidR="00181A22" w:rsidRPr="005B6074">
              <w:rPr>
                <w:rFonts w:ascii="Verdana" w:hAnsi="Verdana"/>
                <w:b/>
                <w:bCs/>
                <w:color w:val="000000"/>
                <w:sz w:val="16"/>
                <w:szCs w:val="16"/>
              </w:rPr>
              <w:t xml:space="preserve"> 2014-2020</w:t>
            </w:r>
          </w:p>
        </w:tc>
        <w:tc>
          <w:tcPr>
            <w:tcW w:w="541" w:type="pct"/>
            <w:shd w:val="clear" w:color="auto" w:fill="auto"/>
            <w:vAlign w:val="center"/>
            <w:hideMark/>
          </w:tcPr>
          <w:p w:rsidR="00181A22" w:rsidRPr="005B6074" w:rsidRDefault="00181A22" w:rsidP="005B6074">
            <w:pPr>
              <w:spacing w:after="0"/>
              <w:jc w:val="center"/>
              <w:rPr>
                <w:rFonts w:ascii="Verdana" w:hAnsi="Verdana"/>
                <w:b/>
                <w:bCs/>
                <w:color w:val="000000"/>
                <w:sz w:val="16"/>
                <w:szCs w:val="16"/>
              </w:rPr>
            </w:pPr>
            <w:r w:rsidRPr="005B6074">
              <w:rPr>
                <w:rFonts w:ascii="Verdana" w:hAnsi="Verdana"/>
                <w:b/>
                <w:bCs/>
                <w:color w:val="000000"/>
                <w:sz w:val="16"/>
                <w:szCs w:val="16"/>
              </w:rPr>
              <w:t>Similar activities 2007-2013</w:t>
            </w:r>
          </w:p>
        </w:tc>
        <w:tc>
          <w:tcPr>
            <w:tcW w:w="582" w:type="pct"/>
            <w:shd w:val="clear" w:color="auto" w:fill="auto"/>
            <w:vAlign w:val="center"/>
            <w:hideMark/>
          </w:tcPr>
          <w:p w:rsidR="00181A22" w:rsidRPr="005B6074" w:rsidRDefault="00181A22" w:rsidP="005B6074">
            <w:pPr>
              <w:spacing w:after="0"/>
              <w:jc w:val="center"/>
              <w:rPr>
                <w:rFonts w:ascii="Verdana" w:hAnsi="Verdana"/>
                <w:b/>
                <w:bCs/>
                <w:color w:val="000000"/>
                <w:sz w:val="16"/>
                <w:szCs w:val="16"/>
              </w:rPr>
            </w:pPr>
            <w:r w:rsidRPr="005B6074">
              <w:rPr>
                <w:rFonts w:ascii="Verdana" w:hAnsi="Verdana"/>
                <w:b/>
                <w:bCs/>
                <w:color w:val="000000"/>
                <w:sz w:val="16"/>
                <w:szCs w:val="16"/>
              </w:rPr>
              <w:t>in nominal value</w:t>
            </w:r>
          </w:p>
        </w:tc>
        <w:tc>
          <w:tcPr>
            <w:tcW w:w="497" w:type="pct"/>
            <w:shd w:val="clear" w:color="auto" w:fill="auto"/>
            <w:vAlign w:val="center"/>
            <w:hideMark/>
          </w:tcPr>
          <w:p w:rsidR="00181A22" w:rsidRPr="005B6074" w:rsidRDefault="00181A22" w:rsidP="005B6074">
            <w:pPr>
              <w:spacing w:after="0"/>
              <w:jc w:val="center"/>
              <w:rPr>
                <w:rFonts w:ascii="Verdana" w:hAnsi="Verdana"/>
                <w:b/>
                <w:bCs/>
                <w:color w:val="000000"/>
                <w:sz w:val="16"/>
                <w:szCs w:val="16"/>
              </w:rPr>
            </w:pPr>
            <w:r w:rsidRPr="005B6074">
              <w:rPr>
                <w:rFonts w:ascii="Verdana" w:hAnsi="Verdana"/>
                <w:b/>
                <w:bCs/>
                <w:color w:val="000000"/>
                <w:sz w:val="16"/>
                <w:szCs w:val="16"/>
              </w:rPr>
              <w:t>in real value</w:t>
            </w:r>
          </w:p>
        </w:tc>
      </w:tr>
      <w:tr w:rsidR="005E4F1D" w:rsidRPr="005B6074" w:rsidTr="00181A22">
        <w:trPr>
          <w:trHeight w:val="276"/>
        </w:trPr>
        <w:tc>
          <w:tcPr>
            <w:tcW w:w="1418" w:type="pct"/>
            <w:shd w:val="clear" w:color="auto" w:fill="auto"/>
            <w:vAlign w:val="center"/>
            <w:hideMark/>
          </w:tcPr>
          <w:p w:rsidR="005E4F1D" w:rsidRPr="005B6074" w:rsidRDefault="00A35E98" w:rsidP="00F24971">
            <w:pPr>
              <w:spacing w:after="0"/>
              <w:rPr>
                <w:rFonts w:ascii="Verdana" w:hAnsi="Verdana"/>
                <w:b/>
                <w:bCs/>
                <w:color w:val="000000"/>
                <w:sz w:val="16"/>
                <w:szCs w:val="16"/>
              </w:rPr>
            </w:pPr>
            <w:r w:rsidRPr="005B6074">
              <w:rPr>
                <w:rFonts w:ascii="Verdana" w:hAnsi="Verdana"/>
                <w:b/>
                <w:bCs/>
                <w:color w:val="000000"/>
                <w:sz w:val="16"/>
                <w:szCs w:val="16"/>
              </w:rPr>
              <w:t>PA 1: Scientific research and technological development</w:t>
            </w:r>
          </w:p>
        </w:tc>
        <w:tc>
          <w:tcPr>
            <w:tcW w:w="339" w:type="pct"/>
            <w:shd w:val="clear" w:color="auto" w:fill="auto"/>
            <w:noWrap/>
            <w:vAlign w:val="center"/>
            <w:hideMark/>
          </w:tcPr>
          <w:p w:rsidR="005E4F1D" w:rsidRPr="005B6074" w:rsidRDefault="00A35E98" w:rsidP="006B0E0B">
            <w:pPr>
              <w:spacing w:after="0"/>
              <w:ind w:right="-1"/>
              <w:jc w:val="right"/>
              <w:rPr>
                <w:rFonts w:ascii="Verdana" w:hAnsi="Verdana"/>
                <w:color w:val="000000"/>
                <w:sz w:val="16"/>
                <w:szCs w:val="16"/>
              </w:rPr>
            </w:pPr>
            <w:r w:rsidRPr="005B6074">
              <w:rPr>
                <w:rFonts w:ascii="Verdana" w:hAnsi="Verdana"/>
                <w:color w:val="000000"/>
                <w:sz w:val="16"/>
                <w:szCs w:val="16"/>
              </w:rPr>
              <w:t>ERDF</w:t>
            </w:r>
          </w:p>
        </w:tc>
        <w:tc>
          <w:tcPr>
            <w:tcW w:w="541" w:type="pct"/>
            <w:shd w:val="clear" w:color="auto" w:fill="auto"/>
            <w:noWrap/>
            <w:vAlign w:val="center"/>
            <w:hideMark/>
          </w:tcPr>
          <w:p w:rsidR="005E4F1D" w:rsidRPr="005B6074" w:rsidRDefault="00A35E98" w:rsidP="004D27A1">
            <w:pPr>
              <w:spacing w:after="0"/>
              <w:jc w:val="right"/>
              <w:rPr>
                <w:rFonts w:ascii="Verdana" w:hAnsi="Verdana"/>
                <w:color w:val="000000"/>
                <w:sz w:val="16"/>
                <w:szCs w:val="16"/>
              </w:rPr>
            </w:pPr>
            <w:r w:rsidRPr="005B6074">
              <w:rPr>
                <w:rFonts w:ascii="Verdana" w:hAnsi="Verdana"/>
                <w:color w:val="000000"/>
                <w:sz w:val="16"/>
                <w:szCs w:val="16"/>
              </w:rPr>
              <w:t>2</w:t>
            </w:r>
            <w:r w:rsidR="004D27A1" w:rsidRPr="005B6074">
              <w:rPr>
                <w:rFonts w:ascii="Verdana" w:hAnsi="Verdana"/>
                <w:color w:val="000000"/>
                <w:sz w:val="16"/>
                <w:szCs w:val="16"/>
              </w:rPr>
              <w:t>37</w:t>
            </w:r>
            <w:r w:rsidRPr="005B6074">
              <w:rPr>
                <w:rFonts w:ascii="Verdana" w:hAnsi="Verdana"/>
                <w:color w:val="000000"/>
                <w:sz w:val="16"/>
                <w:szCs w:val="16"/>
              </w:rPr>
              <w:t xml:space="preserve"> </w:t>
            </w:r>
            <w:r w:rsidR="004D27A1" w:rsidRPr="005B6074">
              <w:rPr>
                <w:rFonts w:ascii="Verdana" w:hAnsi="Verdana"/>
                <w:color w:val="000000"/>
                <w:sz w:val="16"/>
                <w:szCs w:val="16"/>
              </w:rPr>
              <w:t>212 225</w:t>
            </w:r>
          </w:p>
        </w:tc>
        <w:tc>
          <w:tcPr>
            <w:tcW w:w="541" w:type="pct"/>
            <w:shd w:val="clear" w:color="auto" w:fill="auto"/>
            <w:noWrap/>
            <w:vAlign w:val="center"/>
            <w:hideMark/>
          </w:tcPr>
          <w:p w:rsidR="005E4F1D" w:rsidRPr="005B6074" w:rsidRDefault="00A35E98" w:rsidP="00F24971">
            <w:pPr>
              <w:spacing w:after="0"/>
              <w:jc w:val="right"/>
              <w:rPr>
                <w:rFonts w:ascii="Verdana" w:hAnsi="Verdana"/>
                <w:color w:val="FF0000"/>
                <w:sz w:val="16"/>
                <w:szCs w:val="16"/>
              </w:rPr>
            </w:pPr>
            <w:r w:rsidRPr="005B6074">
              <w:rPr>
                <w:rFonts w:ascii="Verdana" w:hAnsi="Verdana"/>
                <w:sz w:val="16"/>
                <w:szCs w:val="16"/>
              </w:rPr>
              <w:t>35 251 901</w:t>
            </w:r>
          </w:p>
        </w:tc>
        <w:tc>
          <w:tcPr>
            <w:tcW w:w="541" w:type="pct"/>
            <w:shd w:val="clear" w:color="auto" w:fill="auto"/>
            <w:noWrap/>
            <w:vAlign w:val="center"/>
            <w:hideMark/>
          </w:tcPr>
          <w:p w:rsidR="00A511E7" w:rsidRPr="005B6074" w:rsidRDefault="00A35E98" w:rsidP="005B6074">
            <w:pPr>
              <w:spacing w:after="0"/>
              <w:ind w:right="141"/>
              <w:jc w:val="right"/>
              <w:rPr>
                <w:rFonts w:ascii="Verdana" w:hAnsi="Verdana"/>
                <w:color w:val="000000"/>
                <w:sz w:val="16"/>
                <w:szCs w:val="16"/>
              </w:rPr>
            </w:pPr>
            <w:r w:rsidRPr="005B6074">
              <w:rPr>
                <w:rFonts w:ascii="Verdana" w:hAnsi="Verdana"/>
                <w:color w:val="000000"/>
                <w:sz w:val="16"/>
                <w:szCs w:val="16"/>
              </w:rPr>
              <w:t>4</w:t>
            </w:r>
            <w:r w:rsidR="000A2D1B" w:rsidRPr="005B6074">
              <w:rPr>
                <w:rFonts w:ascii="Verdana" w:hAnsi="Verdana"/>
                <w:color w:val="000000"/>
                <w:sz w:val="16"/>
                <w:szCs w:val="16"/>
              </w:rPr>
              <w:t>0</w:t>
            </w:r>
            <w:r w:rsidRPr="005B6074">
              <w:rPr>
                <w:rFonts w:ascii="Verdana" w:hAnsi="Verdana"/>
                <w:color w:val="000000"/>
                <w:sz w:val="16"/>
                <w:szCs w:val="16"/>
              </w:rPr>
              <w:t>%</w:t>
            </w:r>
          </w:p>
        </w:tc>
        <w:tc>
          <w:tcPr>
            <w:tcW w:w="541" w:type="pct"/>
            <w:shd w:val="clear" w:color="auto" w:fill="auto"/>
            <w:noWrap/>
            <w:vAlign w:val="center"/>
            <w:hideMark/>
          </w:tcPr>
          <w:p w:rsidR="00A511E7" w:rsidRPr="005B6074" w:rsidRDefault="000A2D1B" w:rsidP="005B6074">
            <w:pPr>
              <w:spacing w:after="0"/>
              <w:ind w:left="-141" w:right="141"/>
              <w:jc w:val="right"/>
              <w:rPr>
                <w:rFonts w:ascii="Verdana" w:hAnsi="Verdana"/>
                <w:color w:val="000000"/>
                <w:sz w:val="16"/>
                <w:szCs w:val="16"/>
              </w:rPr>
            </w:pPr>
            <w:r w:rsidRPr="005B6074">
              <w:rPr>
                <w:rFonts w:ascii="Verdana" w:hAnsi="Verdana"/>
                <w:color w:val="000000"/>
                <w:sz w:val="16"/>
                <w:szCs w:val="16"/>
              </w:rPr>
              <w:t>4</w:t>
            </w:r>
            <w:r w:rsidR="00A35E98" w:rsidRPr="005B6074">
              <w:rPr>
                <w:rFonts w:ascii="Verdana" w:hAnsi="Verdana"/>
                <w:color w:val="000000"/>
                <w:sz w:val="16"/>
                <w:szCs w:val="16"/>
              </w:rPr>
              <w:t>%</w:t>
            </w:r>
          </w:p>
        </w:tc>
        <w:tc>
          <w:tcPr>
            <w:tcW w:w="582" w:type="pct"/>
            <w:shd w:val="clear" w:color="auto" w:fill="auto"/>
            <w:noWrap/>
            <w:vAlign w:val="center"/>
            <w:hideMark/>
          </w:tcPr>
          <w:p w:rsidR="00A511E7" w:rsidRPr="005B6074" w:rsidRDefault="00A35E98" w:rsidP="005B6074">
            <w:pPr>
              <w:spacing w:after="0"/>
              <w:ind w:left="-141" w:right="141"/>
              <w:jc w:val="right"/>
              <w:rPr>
                <w:rFonts w:ascii="Verdana" w:hAnsi="Verdana"/>
                <w:color w:val="000000"/>
                <w:sz w:val="16"/>
                <w:szCs w:val="16"/>
              </w:rPr>
            </w:pPr>
            <w:r w:rsidRPr="005B6074">
              <w:rPr>
                <w:rFonts w:ascii="Verdana" w:hAnsi="Verdana"/>
                <w:color w:val="000000"/>
                <w:sz w:val="16"/>
                <w:szCs w:val="16"/>
              </w:rPr>
              <w:t>5</w:t>
            </w:r>
            <w:r w:rsidR="000A2D1B" w:rsidRPr="005B6074">
              <w:rPr>
                <w:rFonts w:ascii="Verdana" w:hAnsi="Verdana"/>
                <w:color w:val="000000"/>
                <w:sz w:val="16"/>
                <w:szCs w:val="16"/>
              </w:rPr>
              <w:t>73</w:t>
            </w:r>
            <w:r w:rsidRPr="005B6074">
              <w:rPr>
                <w:rFonts w:ascii="Verdana" w:hAnsi="Verdana"/>
                <w:color w:val="000000"/>
                <w:sz w:val="16"/>
                <w:szCs w:val="16"/>
              </w:rPr>
              <w:t>%</w:t>
            </w:r>
          </w:p>
        </w:tc>
        <w:tc>
          <w:tcPr>
            <w:tcW w:w="497" w:type="pct"/>
            <w:shd w:val="clear" w:color="auto" w:fill="auto"/>
            <w:noWrap/>
            <w:vAlign w:val="center"/>
            <w:hideMark/>
          </w:tcPr>
          <w:p w:rsidR="00A511E7" w:rsidRPr="005B6074" w:rsidRDefault="00A35E98" w:rsidP="005B6074">
            <w:pPr>
              <w:spacing w:after="0"/>
              <w:ind w:left="-141" w:right="141"/>
              <w:jc w:val="right"/>
              <w:rPr>
                <w:rFonts w:ascii="Verdana" w:hAnsi="Verdana"/>
                <w:color w:val="000000"/>
                <w:sz w:val="16"/>
                <w:szCs w:val="16"/>
              </w:rPr>
            </w:pPr>
            <w:r w:rsidRPr="005B6074">
              <w:rPr>
                <w:rFonts w:ascii="Verdana" w:hAnsi="Verdana"/>
                <w:color w:val="000000"/>
                <w:sz w:val="16"/>
                <w:szCs w:val="16"/>
              </w:rPr>
              <w:t>5</w:t>
            </w:r>
            <w:r w:rsidR="000A2D1B" w:rsidRPr="005B6074">
              <w:rPr>
                <w:rFonts w:ascii="Verdana" w:hAnsi="Verdana"/>
                <w:color w:val="000000"/>
                <w:sz w:val="16"/>
                <w:szCs w:val="16"/>
              </w:rPr>
              <w:t>21</w:t>
            </w:r>
            <w:r w:rsidRPr="005B6074">
              <w:rPr>
                <w:rFonts w:ascii="Verdana" w:hAnsi="Verdana"/>
                <w:color w:val="000000"/>
                <w:sz w:val="16"/>
                <w:szCs w:val="16"/>
              </w:rPr>
              <w:t>%</w:t>
            </w:r>
          </w:p>
        </w:tc>
      </w:tr>
      <w:tr w:rsidR="005E4F1D" w:rsidRPr="005B6074" w:rsidTr="00181A22">
        <w:trPr>
          <w:trHeight w:val="276"/>
        </w:trPr>
        <w:tc>
          <w:tcPr>
            <w:tcW w:w="1418" w:type="pct"/>
            <w:shd w:val="clear" w:color="auto" w:fill="auto"/>
            <w:vAlign w:val="center"/>
            <w:hideMark/>
          </w:tcPr>
          <w:p w:rsidR="005E4F1D" w:rsidRPr="005B6074" w:rsidRDefault="00A35E98" w:rsidP="00F24971">
            <w:pPr>
              <w:spacing w:after="0"/>
              <w:rPr>
                <w:rFonts w:ascii="Verdana" w:hAnsi="Verdana"/>
                <w:b/>
                <w:bCs/>
                <w:color w:val="000000"/>
                <w:sz w:val="16"/>
                <w:szCs w:val="16"/>
              </w:rPr>
            </w:pPr>
            <w:r w:rsidRPr="005B6074">
              <w:rPr>
                <w:rFonts w:ascii="Verdana" w:hAnsi="Verdana"/>
                <w:b/>
                <w:bCs/>
                <w:color w:val="000000"/>
                <w:sz w:val="16"/>
                <w:szCs w:val="16"/>
              </w:rPr>
              <w:t>PA 2: Education and lifelong learning</w:t>
            </w:r>
          </w:p>
        </w:tc>
        <w:tc>
          <w:tcPr>
            <w:tcW w:w="339" w:type="pct"/>
            <w:shd w:val="clear" w:color="auto" w:fill="auto"/>
            <w:noWrap/>
            <w:vAlign w:val="center"/>
            <w:hideMark/>
          </w:tcPr>
          <w:p w:rsidR="005E4F1D" w:rsidRPr="005B6074" w:rsidRDefault="00A35E98" w:rsidP="006B0E0B">
            <w:pPr>
              <w:spacing w:after="0"/>
              <w:ind w:right="-1"/>
              <w:jc w:val="right"/>
              <w:rPr>
                <w:rFonts w:ascii="Verdana" w:hAnsi="Verdana"/>
                <w:color w:val="000000"/>
                <w:sz w:val="16"/>
                <w:szCs w:val="16"/>
              </w:rPr>
            </w:pPr>
            <w:r w:rsidRPr="005B6074">
              <w:rPr>
                <w:rFonts w:ascii="Verdana" w:hAnsi="Verdana"/>
                <w:color w:val="000000"/>
                <w:sz w:val="16"/>
                <w:szCs w:val="16"/>
              </w:rPr>
              <w:t>ESF</w:t>
            </w:r>
          </w:p>
        </w:tc>
        <w:tc>
          <w:tcPr>
            <w:tcW w:w="541" w:type="pct"/>
            <w:shd w:val="clear" w:color="auto" w:fill="auto"/>
            <w:noWrap/>
            <w:vAlign w:val="center"/>
            <w:hideMark/>
          </w:tcPr>
          <w:p w:rsidR="005E4F1D" w:rsidRPr="005B6074" w:rsidRDefault="00A35E98" w:rsidP="004D27A1">
            <w:pPr>
              <w:spacing w:after="0"/>
              <w:jc w:val="right"/>
              <w:rPr>
                <w:rFonts w:ascii="Verdana" w:hAnsi="Verdana"/>
                <w:color w:val="000000"/>
                <w:sz w:val="16"/>
                <w:szCs w:val="16"/>
              </w:rPr>
            </w:pPr>
            <w:r w:rsidRPr="005B6074">
              <w:rPr>
                <w:rFonts w:ascii="Verdana" w:hAnsi="Verdana"/>
                <w:color w:val="000000"/>
                <w:sz w:val="16"/>
                <w:szCs w:val="16"/>
              </w:rPr>
              <w:t>21</w:t>
            </w:r>
            <w:r w:rsidR="004D27A1" w:rsidRPr="005B6074">
              <w:rPr>
                <w:rFonts w:ascii="Verdana" w:hAnsi="Verdana"/>
                <w:color w:val="000000"/>
                <w:sz w:val="16"/>
                <w:szCs w:val="16"/>
              </w:rPr>
              <w:t>9</w:t>
            </w:r>
            <w:r w:rsidRPr="005B6074">
              <w:rPr>
                <w:rFonts w:ascii="Verdana" w:hAnsi="Verdana"/>
                <w:color w:val="000000"/>
                <w:sz w:val="16"/>
                <w:szCs w:val="16"/>
              </w:rPr>
              <w:t xml:space="preserve"> </w:t>
            </w:r>
            <w:r w:rsidR="004D27A1" w:rsidRPr="005B6074">
              <w:rPr>
                <w:rFonts w:ascii="Verdana" w:hAnsi="Verdana"/>
                <w:color w:val="000000"/>
                <w:sz w:val="16"/>
                <w:szCs w:val="16"/>
              </w:rPr>
              <w:t>310</w:t>
            </w:r>
            <w:r w:rsidRPr="005B6074">
              <w:rPr>
                <w:rFonts w:ascii="Verdana" w:hAnsi="Verdana"/>
                <w:color w:val="000000"/>
                <w:sz w:val="16"/>
                <w:szCs w:val="16"/>
              </w:rPr>
              <w:t xml:space="preserve"> </w:t>
            </w:r>
            <w:r w:rsidR="004D27A1" w:rsidRPr="005B6074">
              <w:rPr>
                <w:rFonts w:ascii="Verdana" w:hAnsi="Verdana"/>
                <w:color w:val="000000"/>
                <w:sz w:val="16"/>
                <w:szCs w:val="16"/>
              </w:rPr>
              <w:t>520</w:t>
            </w:r>
          </w:p>
        </w:tc>
        <w:tc>
          <w:tcPr>
            <w:tcW w:w="541" w:type="pct"/>
            <w:shd w:val="clear" w:color="auto" w:fill="auto"/>
            <w:noWrap/>
            <w:vAlign w:val="center"/>
            <w:hideMark/>
          </w:tcPr>
          <w:p w:rsidR="005E4F1D" w:rsidRPr="005B6074" w:rsidRDefault="00A35E98" w:rsidP="00F24971">
            <w:pPr>
              <w:spacing w:after="0"/>
              <w:jc w:val="right"/>
              <w:rPr>
                <w:rFonts w:ascii="Verdana" w:hAnsi="Verdana"/>
                <w:color w:val="000000"/>
                <w:sz w:val="16"/>
                <w:szCs w:val="16"/>
              </w:rPr>
            </w:pPr>
            <w:r w:rsidRPr="005B6074">
              <w:rPr>
                <w:rFonts w:ascii="Verdana" w:hAnsi="Verdana"/>
                <w:color w:val="000000"/>
                <w:sz w:val="16"/>
                <w:szCs w:val="16"/>
              </w:rPr>
              <w:t>200 619 311</w:t>
            </w:r>
          </w:p>
        </w:tc>
        <w:tc>
          <w:tcPr>
            <w:tcW w:w="541" w:type="pct"/>
            <w:shd w:val="clear" w:color="auto" w:fill="auto"/>
            <w:noWrap/>
            <w:vAlign w:val="center"/>
            <w:hideMark/>
          </w:tcPr>
          <w:p w:rsidR="00A511E7" w:rsidRPr="005B6074" w:rsidRDefault="00A35E98" w:rsidP="005B6074">
            <w:pPr>
              <w:spacing w:after="0"/>
              <w:ind w:right="141"/>
              <w:jc w:val="right"/>
              <w:rPr>
                <w:rFonts w:ascii="Verdana" w:hAnsi="Verdana"/>
                <w:color w:val="000000"/>
                <w:sz w:val="16"/>
                <w:szCs w:val="16"/>
              </w:rPr>
            </w:pPr>
            <w:r w:rsidRPr="005B6074">
              <w:rPr>
                <w:rFonts w:ascii="Verdana" w:hAnsi="Verdana"/>
                <w:color w:val="000000"/>
                <w:sz w:val="16"/>
                <w:szCs w:val="16"/>
              </w:rPr>
              <w:t>3</w:t>
            </w:r>
            <w:r w:rsidR="000A2D1B" w:rsidRPr="005B6074">
              <w:rPr>
                <w:rFonts w:ascii="Verdana" w:hAnsi="Verdana"/>
                <w:color w:val="000000"/>
                <w:sz w:val="16"/>
                <w:szCs w:val="16"/>
              </w:rPr>
              <w:t>7</w:t>
            </w:r>
            <w:r w:rsidRPr="005B6074">
              <w:rPr>
                <w:rFonts w:ascii="Verdana" w:hAnsi="Verdana"/>
                <w:color w:val="000000"/>
                <w:sz w:val="16"/>
                <w:szCs w:val="16"/>
              </w:rPr>
              <w:t>%</w:t>
            </w:r>
          </w:p>
        </w:tc>
        <w:tc>
          <w:tcPr>
            <w:tcW w:w="541" w:type="pct"/>
            <w:shd w:val="clear" w:color="auto" w:fill="auto"/>
            <w:noWrap/>
            <w:vAlign w:val="center"/>
            <w:hideMark/>
          </w:tcPr>
          <w:p w:rsidR="00A511E7" w:rsidRPr="005B6074" w:rsidRDefault="000A2D1B" w:rsidP="005B6074">
            <w:pPr>
              <w:spacing w:after="0"/>
              <w:ind w:left="-141" w:right="141"/>
              <w:jc w:val="right"/>
              <w:rPr>
                <w:rFonts w:ascii="Verdana" w:hAnsi="Verdana"/>
                <w:color w:val="000000"/>
                <w:sz w:val="16"/>
                <w:szCs w:val="16"/>
              </w:rPr>
            </w:pPr>
            <w:r w:rsidRPr="005B6074">
              <w:rPr>
                <w:rFonts w:ascii="Verdana" w:hAnsi="Verdana"/>
                <w:color w:val="000000"/>
                <w:sz w:val="16"/>
                <w:szCs w:val="16"/>
              </w:rPr>
              <w:t>21</w:t>
            </w:r>
            <w:r w:rsidR="00A35E98" w:rsidRPr="005B6074">
              <w:rPr>
                <w:rFonts w:ascii="Verdana" w:hAnsi="Verdana"/>
                <w:color w:val="000000"/>
                <w:sz w:val="16"/>
                <w:szCs w:val="16"/>
              </w:rPr>
              <w:t>%</w:t>
            </w:r>
          </w:p>
        </w:tc>
        <w:tc>
          <w:tcPr>
            <w:tcW w:w="582" w:type="pct"/>
            <w:shd w:val="clear" w:color="auto" w:fill="auto"/>
            <w:noWrap/>
            <w:vAlign w:val="center"/>
            <w:hideMark/>
          </w:tcPr>
          <w:p w:rsidR="00A511E7" w:rsidRPr="005B6074" w:rsidRDefault="000A2D1B" w:rsidP="005B6074">
            <w:pPr>
              <w:spacing w:after="0"/>
              <w:ind w:left="-141" w:right="141"/>
              <w:jc w:val="right"/>
              <w:rPr>
                <w:rFonts w:ascii="Verdana" w:hAnsi="Verdana"/>
                <w:color w:val="000000"/>
                <w:sz w:val="16"/>
                <w:szCs w:val="16"/>
              </w:rPr>
            </w:pPr>
            <w:r w:rsidRPr="005B6074">
              <w:rPr>
                <w:rFonts w:ascii="Verdana" w:hAnsi="Verdana"/>
                <w:color w:val="000000"/>
                <w:sz w:val="16"/>
                <w:szCs w:val="16"/>
              </w:rPr>
              <w:t>9</w:t>
            </w:r>
            <w:r w:rsidR="00A35E98" w:rsidRPr="005B6074">
              <w:rPr>
                <w:rFonts w:ascii="Verdana" w:hAnsi="Verdana"/>
                <w:color w:val="000000"/>
                <w:sz w:val="16"/>
                <w:szCs w:val="16"/>
              </w:rPr>
              <w:t>%</w:t>
            </w:r>
          </w:p>
        </w:tc>
        <w:tc>
          <w:tcPr>
            <w:tcW w:w="497" w:type="pct"/>
            <w:shd w:val="clear" w:color="auto" w:fill="auto"/>
            <w:noWrap/>
            <w:vAlign w:val="center"/>
            <w:hideMark/>
          </w:tcPr>
          <w:p w:rsidR="00A511E7" w:rsidRPr="005B6074" w:rsidRDefault="000A2D1B" w:rsidP="005B6074">
            <w:pPr>
              <w:spacing w:after="0"/>
              <w:ind w:left="-141" w:right="141"/>
              <w:jc w:val="right"/>
              <w:rPr>
                <w:rFonts w:ascii="Verdana" w:hAnsi="Verdana"/>
                <w:color w:val="000000"/>
                <w:sz w:val="16"/>
                <w:szCs w:val="16"/>
              </w:rPr>
            </w:pPr>
            <w:r w:rsidRPr="005B6074">
              <w:rPr>
                <w:rFonts w:ascii="Verdana" w:hAnsi="Verdana"/>
                <w:color w:val="000000"/>
                <w:sz w:val="16"/>
                <w:szCs w:val="16"/>
              </w:rPr>
              <w:t>1</w:t>
            </w:r>
            <w:r w:rsidR="00A35E98" w:rsidRPr="005B6074">
              <w:rPr>
                <w:rFonts w:ascii="Verdana" w:hAnsi="Verdana"/>
                <w:color w:val="000000"/>
                <w:sz w:val="16"/>
                <w:szCs w:val="16"/>
              </w:rPr>
              <w:t>%</w:t>
            </w:r>
          </w:p>
        </w:tc>
      </w:tr>
      <w:tr w:rsidR="005E4F1D" w:rsidRPr="005B6074" w:rsidTr="00181A22">
        <w:trPr>
          <w:trHeight w:val="276"/>
        </w:trPr>
        <w:tc>
          <w:tcPr>
            <w:tcW w:w="1418" w:type="pct"/>
            <w:shd w:val="clear" w:color="auto" w:fill="auto"/>
            <w:vAlign w:val="center"/>
            <w:hideMark/>
          </w:tcPr>
          <w:p w:rsidR="005E4F1D" w:rsidRPr="005B6074" w:rsidRDefault="00A35E98" w:rsidP="00F24971">
            <w:pPr>
              <w:spacing w:after="0"/>
              <w:rPr>
                <w:rFonts w:ascii="Verdana" w:hAnsi="Verdana"/>
                <w:b/>
                <w:bCs/>
                <w:color w:val="000000"/>
                <w:sz w:val="16"/>
                <w:szCs w:val="16"/>
              </w:rPr>
            </w:pPr>
            <w:r w:rsidRPr="005B6074">
              <w:rPr>
                <w:rFonts w:ascii="Verdana" w:hAnsi="Verdana"/>
                <w:b/>
                <w:bCs/>
                <w:color w:val="000000"/>
                <w:sz w:val="16"/>
                <w:szCs w:val="16"/>
              </w:rPr>
              <w:t>PA 3: Educational environment for active social inclusion</w:t>
            </w:r>
          </w:p>
        </w:tc>
        <w:tc>
          <w:tcPr>
            <w:tcW w:w="339" w:type="pct"/>
            <w:shd w:val="clear" w:color="auto" w:fill="auto"/>
            <w:noWrap/>
            <w:vAlign w:val="center"/>
            <w:hideMark/>
          </w:tcPr>
          <w:p w:rsidR="005E4F1D" w:rsidRPr="005B6074" w:rsidRDefault="00A35E98" w:rsidP="006B0E0B">
            <w:pPr>
              <w:spacing w:after="0"/>
              <w:ind w:right="-1"/>
              <w:jc w:val="right"/>
              <w:rPr>
                <w:rFonts w:ascii="Verdana" w:hAnsi="Verdana"/>
                <w:color w:val="000000"/>
                <w:sz w:val="16"/>
                <w:szCs w:val="16"/>
              </w:rPr>
            </w:pPr>
            <w:r w:rsidRPr="005B6074">
              <w:rPr>
                <w:rFonts w:ascii="Verdana" w:hAnsi="Verdana"/>
                <w:color w:val="000000"/>
                <w:sz w:val="16"/>
                <w:szCs w:val="16"/>
              </w:rPr>
              <w:t>ESF</w:t>
            </w:r>
          </w:p>
        </w:tc>
        <w:tc>
          <w:tcPr>
            <w:tcW w:w="541" w:type="pct"/>
            <w:shd w:val="clear" w:color="auto" w:fill="auto"/>
            <w:noWrap/>
            <w:vAlign w:val="center"/>
            <w:hideMark/>
          </w:tcPr>
          <w:p w:rsidR="005E4F1D" w:rsidRPr="005B6074" w:rsidRDefault="00A35E98" w:rsidP="004D27A1">
            <w:pPr>
              <w:spacing w:after="0"/>
              <w:jc w:val="right"/>
              <w:rPr>
                <w:rFonts w:ascii="Verdana" w:hAnsi="Verdana"/>
                <w:color w:val="000000"/>
                <w:sz w:val="16"/>
                <w:szCs w:val="16"/>
              </w:rPr>
            </w:pPr>
            <w:r w:rsidRPr="005B6074">
              <w:rPr>
                <w:rFonts w:ascii="Verdana" w:hAnsi="Verdana"/>
                <w:color w:val="000000"/>
                <w:sz w:val="16"/>
                <w:szCs w:val="16"/>
              </w:rPr>
              <w:t>1</w:t>
            </w:r>
            <w:r w:rsidR="004D27A1" w:rsidRPr="005B6074">
              <w:rPr>
                <w:rFonts w:ascii="Verdana" w:hAnsi="Verdana"/>
                <w:color w:val="000000"/>
                <w:sz w:val="16"/>
                <w:szCs w:val="16"/>
              </w:rPr>
              <w:t>15</w:t>
            </w:r>
            <w:r w:rsidRPr="005B6074">
              <w:rPr>
                <w:rFonts w:ascii="Verdana" w:hAnsi="Verdana"/>
                <w:color w:val="000000"/>
                <w:sz w:val="16"/>
                <w:szCs w:val="16"/>
              </w:rPr>
              <w:t xml:space="preserve"> </w:t>
            </w:r>
            <w:r w:rsidR="004D27A1" w:rsidRPr="005B6074">
              <w:rPr>
                <w:rFonts w:ascii="Verdana" w:hAnsi="Verdana"/>
                <w:color w:val="000000"/>
                <w:sz w:val="16"/>
                <w:szCs w:val="16"/>
              </w:rPr>
              <w:t>700 695</w:t>
            </w:r>
          </w:p>
        </w:tc>
        <w:tc>
          <w:tcPr>
            <w:tcW w:w="541" w:type="pct"/>
            <w:shd w:val="clear" w:color="auto" w:fill="auto"/>
            <w:noWrap/>
            <w:vAlign w:val="center"/>
            <w:hideMark/>
          </w:tcPr>
          <w:p w:rsidR="005E4F1D" w:rsidRPr="005B6074" w:rsidRDefault="00A35E98" w:rsidP="00F24971">
            <w:pPr>
              <w:spacing w:after="0"/>
              <w:jc w:val="right"/>
              <w:rPr>
                <w:rFonts w:ascii="Verdana" w:hAnsi="Verdana"/>
                <w:color w:val="000000"/>
                <w:sz w:val="16"/>
                <w:szCs w:val="16"/>
              </w:rPr>
            </w:pPr>
            <w:r w:rsidRPr="005B6074">
              <w:rPr>
                <w:rFonts w:ascii="Verdana" w:hAnsi="Verdana"/>
                <w:color w:val="000000"/>
                <w:sz w:val="16"/>
                <w:szCs w:val="16"/>
              </w:rPr>
              <w:t>200 970 328</w:t>
            </w:r>
          </w:p>
        </w:tc>
        <w:tc>
          <w:tcPr>
            <w:tcW w:w="541" w:type="pct"/>
            <w:shd w:val="clear" w:color="auto" w:fill="auto"/>
            <w:noWrap/>
            <w:vAlign w:val="center"/>
            <w:hideMark/>
          </w:tcPr>
          <w:p w:rsidR="00A511E7" w:rsidRPr="005B6074" w:rsidRDefault="00A35E98" w:rsidP="005B6074">
            <w:pPr>
              <w:spacing w:after="0"/>
              <w:ind w:right="141"/>
              <w:jc w:val="right"/>
              <w:rPr>
                <w:rFonts w:ascii="Verdana" w:hAnsi="Verdana"/>
                <w:color w:val="000000"/>
                <w:sz w:val="16"/>
                <w:szCs w:val="16"/>
              </w:rPr>
            </w:pPr>
            <w:r w:rsidRPr="005B6074">
              <w:rPr>
                <w:rFonts w:ascii="Verdana" w:hAnsi="Verdana"/>
                <w:color w:val="000000"/>
                <w:sz w:val="16"/>
                <w:szCs w:val="16"/>
              </w:rPr>
              <w:t>19%</w:t>
            </w:r>
          </w:p>
        </w:tc>
        <w:tc>
          <w:tcPr>
            <w:tcW w:w="541" w:type="pct"/>
            <w:shd w:val="clear" w:color="auto" w:fill="auto"/>
            <w:noWrap/>
            <w:vAlign w:val="center"/>
            <w:hideMark/>
          </w:tcPr>
          <w:p w:rsidR="00A511E7" w:rsidRPr="005B6074" w:rsidRDefault="000A2D1B" w:rsidP="005B6074">
            <w:pPr>
              <w:spacing w:after="0"/>
              <w:ind w:left="-141" w:right="141"/>
              <w:jc w:val="right"/>
              <w:rPr>
                <w:rFonts w:ascii="Verdana" w:hAnsi="Verdana"/>
                <w:color w:val="000000"/>
                <w:sz w:val="16"/>
                <w:szCs w:val="16"/>
              </w:rPr>
            </w:pPr>
            <w:r w:rsidRPr="005B6074">
              <w:rPr>
                <w:rFonts w:ascii="Verdana" w:hAnsi="Verdana"/>
                <w:color w:val="000000"/>
                <w:sz w:val="16"/>
                <w:szCs w:val="16"/>
              </w:rPr>
              <w:t>21</w:t>
            </w:r>
            <w:r w:rsidR="00A35E98" w:rsidRPr="005B6074">
              <w:rPr>
                <w:rFonts w:ascii="Verdana" w:hAnsi="Verdana"/>
                <w:color w:val="000000"/>
                <w:sz w:val="16"/>
                <w:szCs w:val="16"/>
              </w:rPr>
              <w:t>%</w:t>
            </w:r>
          </w:p>
        </w:tc>
        <w:tc>
          <w:tcPr>
            <w:tcW w:w="582" w:type="pct"/>
            <w:shd w:val="clear" w:color="auto" w:fill="auto"/>
            <w:noWrap/>
            <w:vAlign w:val="center"/>
            <w:hideMark/>
          </w:tcPr>
          <w:p w:rsidR="00A511E7" w:rsidRPr="005B6074" w:rsidRDefault="00A35E98" w:rsidP="005B6074">
            <w:pPr>
              <w:spacing w:after="0"/>
              <w:ind w:left="-141" w:right="141"/>
              <w:jc w:val="right"/>
              <w:rPr>
                <w:rFonts w:ascii="Verdana" w:hAnsi="Verdana"/>
                <w:color w:val="000000"/>
                <w:sz w:val="16"/>
                <w:szCs w:val="16"/>
              </w:rPr>
            </w:pPr>
            <w:r w:rsidRPr="005B6074">
              <w:rPr>
                <w:rFonts w:ascii="Verdana" w:hAnsi="Verdana"/>
                <w:color w:val="000000"/>
                <w:sz w:val="16"/>
                <w:szCs w:val="16"/>
              </w:rPr>
              <w:t>-4</w:t>
            </w:r>
            <w:r w:rsidR="000A2D1B" w:rsidRPr="005B6074">
              <w:rPr>
                <w:rFonts w:ascii="Verdana" w:hAnsi="Verdana"/>
                <w:color w:val="000000"/>
                <w:sz w:val="16"/>
                <w:szCs w:val="16"/>
              </w:rPr>
              <w:t>2</w:t>
            </w:r>
            <w:r w:rsidRPr="005B6074">
              <w:rPr>
                <w:rFonts w:ascii="Verdana" w:hAnsi="Verdana"/>
                <w:color w:val="000000"/>
                <w:sz w:val="16"/>
                <w:szCs w:val="16"/>
              </w:rPr>
              <w:t>%</w:t>
            </w:r>
          </w:p>
        </w:tc>
        <w:tc>
          <w:tcPr>
            <w:tcW w:w="497" w:type="pct"/>
            <w:shd w:val="clear" w:color="auto" w:fill="auto"/>
            <w:noWrap/>
            <w:vAlign w:val="center"/>
            <w:hideMark/>
          </w:tcPr>
          <w:p w:rsidR="00A511E7" w:rsidRPr="005B6074" w:rsidRDefault="00A35E98" w:rsidP="005B6074">
            <w:pPr>
              <w:spacing w:after="0"/>
              <w:ind w:left="-141" w:right="141"/>
              <w:jc w:val="right"/>
              <w:rPr>
                <w:rFonts w:ascii="Verdana" w:hAnsi="Verdana"/>
                <w:color w:val="000000"/>
                <w:sz w:val="16"/>
                <w:szCs w:val="16"/>
              </w:rPr>
            </w:pPr>
            <w:r w:rsidRPr="005B6074">
              <w:rPr>
                <w:rFonts w:ascii="Verdana" w:hAnsi="Verdana"/>
                <w:color w:val="000000"/>
                <w:sz w:val="16"/>
                <w:szCs w:val="16"/>
              </w:rPr>
              <w:t>-</w:t>
            </w:r>
            <w:r w:rsidR="000A2D1B" w:rsidRPr="005B6074">
              <w:rPr>
                <w:rFonts w:ascii="Verdana" w:hAnsi="Verdana"/>
                <w:color w:val="000000"/>
                <w:sz w:val="16"/>
                <w:szCs w:val="16"/>
              </w:rPr>
              <w:t>47</w:t>
            </w:r>
            <w:r w:rsidRPr="005B6074">
              <w:rPr>
                <w:rFonts w:ascii="Verdana" w:hAnsi="Verdana"/>
                <w:color w:val="000000"/>
                <w:sz w:val="16"/>
                <w:szCs w:val="16"/>
              </w:rPr>
              <w:t>%</w:t>
            </w:r>
          </w:p>
        </w:tc>
      </w:tr>
      <w:tr w:rsidR="005E4F1D" w:rsidRPr="005B6074" w:rsidTr="00181A22">
        <w:trPr>
          <w:trHeight w:val="276"/>
        </w:trPr>
        <w:tc>
          <w:tcPr>
            <w:tcW w:w="1418" w:type="pct"/>
            <w:shd w:val="clear" w:color="auto" w:fill="auto"/>
            <w:vAlign w:val="center"/>
            <w:hideMark/>
          </w:tcPr>
          <w:p w:rsidR="005E4F1D" w:rsidRPr="005B6074" w:rsidRDefault="00A35E98" w:rsidP="00F24971">
            <w:pPr>
              <w:spacing w:after="0"/>
              <w:rPr>
                <w:rFonts w:ascii="Verdana" w:hAnsi="Verdana"/>
                <w:b/>
                <w:bCs/>
                <w:color w:val="000000"/>
                <w:sz w:val="16"/>
                <w:szCs w:val="16"/>
              </w:rPr>
            </w:pPr>
            <w:r w:rsidRPr="005B6074">
              <w:rPr>
                <w:rFonts w:ascii="Verdana" w:hAnsi="Verdana"/>
                <w:b/>
                <w:bCs/>
                <w:color w:val="000000"/>
                <w:sz w:val="16"/>
                <w:szCs w:val="16"/>
              </w:rPr>
              <w:t>PA 4: Technical assistance</w:t>
            </w:r>
          </w:p>
        </w:tc>
        <w:tc>
          <w:tcPr>
            <w:tcW w:w="339" w:type="pct"/>
            <w:shd w:val="clear" w:color="auto" w:fill="auto"/>
            <w:noWrap/>
            <w:vAlign w:val="center"/>
            <w:hideMark/>
          </w:tcPr>
          <w:p w:rsidR="00ED2E4D" w:rsidRPr="005B6074" w:rsidRDefault="00A35E98" w:rsidP="006B0E0B">
            <w:pPr>
              <w:spacing w:after="0"/>
              <w:ind w:right="-1"/>
              <w:jc w:val="right"/>
              <w:rPr>
                <w:rFonts w:ascii="Verdana" w:hAnsi="Verdana"/>
                <w:color w:val="000000"/>
                <w:sz w:val="16"/>
                <w:szCs w:val="16"/>
              </w:rPr>
            </w:pPr>
            <w:r w:rsidRPr="005B6074">
              <w:rPr>
                <w:rFonts w:ascii="Verdana" w:hAnsi="Verdana"/>
                <w:color w:val="000000"/>
                <w:sz w:val="16"/>
                <w:szCs w:val="16"/>
              </w:rPr>
              <w:t>ESF and ERDF</w:t>
            </w:r>
          </w:p>
        </w:tc>
        <w:tc>
          <w:tcPr>
            <w:tcW w:w="541" w:type="pct"/>
            <w:shd w:val="clear" w:color="auto" w:fill="auto"/>
            <w:noWrap/>
            <w:vAlign w:val="center"/>
            <w:hideMark/>
          </w:tcPr>
          <w:p w:rsidR="005E4F1D" w:rsidRPr="005B6074" w:rsidRDefault="00A35E98" w:rsidP="00CD557D">
            <w:pPr>
              <w:spacing w:after="0"/>
              <w:jc w:val="right"/>
              <w:rPr>
                <w:rFonts w:ascii="Verdana" w:hAnsi="Verdana"/>
                <w:color w:val="000000"/>
                <w:sz w:val="16"/>
                <w:szCs w:val="16"/>
              </w:rPr>
            </w:pPr>
            <w:r w:rsidRPr="005B6074">
              <w:rPr>
                <w:rFonts w:ascii="Verdana" w:hAnsi="Verdana"/>
                <w:color w:val="000000"/>
                <w:sz w:val="16"/>
                <w:szCs w:val="16"/>
              </w:rPr>
              <w:t xml:space="preserve">23 778 </w:t>
            </w:r>
            <w:r w:rsidR="004D27A1" w:rsidRPr="005B6074">
              <w:rPr>
                <w:rFonts w:ascii="Verdana" w:hAnsi="Verdana"/>
                <w:color w:val="000000"/>
                <w:sz w:val="16"/>
                <w:szCs w:val="16"/>
              </w:rPr>
              <w:t>241</w:t>
            </w:r>
          </w:p>
        </w:tc>
        <w:tc>
          <w:tcPr>
            <w:tcW w:w="541" w:type="pct"/>
            <w:shd w:val="clear" w:color="auto" w:fill="auto"/>
            <w:noWrap/>
            <w:vAlign w:val="center"/>
            <w:hideMark/>
          </w:tcPr>
          <w:p w:rsidR="005E4F1D" w:rsidRPr="005B6074" w:rsidRDefault="005E4F1D" w:rsidP="00F24971">
            <w:pPr>
              <w:spacing w:after="0"/>
              <w:jc w:val="right"/>
              <w:rPr>
                <w:rFonts w:ascii="Verdana" w:hAnsi="Verdana"/>
                <w:color w:val="000000"/>
                <w:sz w:val="16"/>
                <w:szCs w:val="16"/>
              </w:rPr>
            </w:pPr>
          </w:p>
        </w:tc>
        <w:tc>
          <w:tcPr>
            <w:tcW w:w="541" w:type="pct"/>
            <w:shd w:val="clear" w:color="auto" w:fill="auto"/>
            <w:noWrap/>
            <w:vAlign w:val="center"/>
            <w:hideMark/>
          </w:tcPr>
          <w:p w:rsidR="00A511E7" w:rsidRPr="005B6074" w:rsidRDefault="000A2D1B" w:rsidP="005B6074">
            <w:pPr>
              <w:spacing w:after="0"/>
              <w:ind w:right="141"/>
              <w:jc w:val="right"/>
              <w:rPr>
                <w:rFonts w:ascii="Verdana" w:hAnsi="Verdana"/>
                <w:color w:val="000000"/>
                <w:sz w:val="16"/>
                <w:szCs w:val="16"/>
              </w:rPr>
            </w:pPr>
            <w:r w:rsidRPr="005B6074">
              <w:rPr>
                <w:rFonts w:ascii="Verdana" w:hAnsi="Verdana"/>
                <w:color w:val="000000"/>
                <w:sz w:val="16"/>
                <w:szCs w:val="16"/>
              </w:rPr>
              <w:t>4%</w:t>
            </w:r>
          </w:p>
        </w:tc>
        <w:tc>
          <w:tcPr>
            <w:tcW w:w="541" w:type="pct"/>
            <w:shd w:val="clear" w:color="auto" w:fill="auto"/>
            <w:noWrap/>
            <w:vAlign w:val="center"/>
            <w:hideMark/>
          </w:tcPr>
          <w:p w:rsidR="00A511E7" w:rsidRPr="005B6074" w:rsidRDefault="00A511E7" w:rsidP="005B6074">
            <w:pPr>
              <w:spacing w:after="0"/>
              <w:ind w:left="-141" w:right="141"/>
              <w:jc w:val="right"/>
              <w:rPr>
                <w:rFonts w:ascii="Verdana" w:hAnsi="Verdana"/>
                <w:color w:val="000000"/>
                <w:sz w:val="16"/>
                <w:szCs w:val="16"/>
              </w:rPr>
            </w:pPr>
          </w:p>
        </w:tc>
        <w:tc>
          <w:tcPr>
            <w:tcW w:w="582" w:type="pct"/>
            <w:shd w:val="clear" w:color="auto" w:fill="auto"/>
            <w:noWrap/>
            <w:vAlign w:val="center"/>
            <w:hideMark/>
          </w:tcPr>
          <w:p w:rsidR="00A511E7" w:rsidRPr="005B6074" w:rsidRDefault="00A511E7" w:rsidP="005B6074">
            <w:pPr>
              <w:spacing w:after="0"/>
              <w:ind w:left="-141" w:right="141"/>
              <w:jc w:val="right"/>
              <w:rPr>
                <w:rFonts w:ascii="Verdana" w:hAnsi="Verdana"/>
                <w:color w:val="000000"/>
                <w:sz w:val="16"/>
                <w:szCs w:val="16"/>
              </w:rPr>
            </w:pPr>
          </w:p>
        </w:tc>
        <w:tc>
          <w:tcPr>
            <w:tcW w:w="497" w:type="pct"/>
            <w:shd w:val="clear" w:color="auto" w:fill="auto"/>
            <w:noWrap/>
            <w:vAlign w:val="center"/>
            <w:hideMark/>
          </w:tcPr>
          <w:p w:rsidR="00A511E7" w:rsidRPr="005B6074" w:rsidRDefault="00A35E98" w:rsidP="005B6074">
            <w:pPr>
              <w:spacing w:after="0"/>
              <w:ind w:left="-141" w:right="141"/>
              <w:jc w:val="right"/>
              <w:rPr>
                <w:rFonts w:ascii="Verdana" w:hAnsi="Verdana"/>
                <w:color w:val="000000"/>
                <w:sz w:val="16"/>
                <w:szCs w:val="16"/>
              </w:rPr>
            </w:pPr>
            <w:r w:rsidRPr="005B6074">
              <w:rPr>
                <w:rFonts w:ascii="Verdana" w:hAnsi="Verdana"/>
                <w:color w:val="000000"/>
                <w:sz w:val="16"/>
                <w:szCs w:val="16"/>
              </w:rPr>
              <w:t> </w:t>
            </w:r>
          </w:p>
        </w:tc>
      </w:tr>
      <w:tr w:rsidR="005E4F1D" w:rsidRPr="005B6074" w:rsidTr="00181A22">
        <w:trPr>
          <w:trHeight w:val="276"/>
        </w:trPr>
        <w:tc>
          <w:tcPr>
            <w:tcW w:w="1418" w:type="pct"/>
            <w:shd w:val="clear" w:color="000000" w:fill="E4DFEC"/>
            <w:vAlign w:val="center"/>
            <w:hideMark/>
          </w:tcPr>
          <w:p w:rsidR="005E4F1D" w:rsidRPr="005B6074" w:rsidRDefault="00A35E98" w:rsidP="00F24971">
            <w:pPr>
              <w:spacing w:after="0"/>
              <w:rPr>
                <w:rFonts w:ascii="Verdana" w:hAnsi="Verdana"/>
                <w:color w:val="000000"/>
                <w:sz w:val="16"/>
                <w:szCs w:val="16"/>
              </w:rPr>
            </w:pPr>
            <w:r w:rsidRPr="005B6074">
              <w:rPr>
                <w:rFonts w:ascii="Verdana" w:hAnsi="Verdana"/>
                <w:color w:val="000000"/>
                <w:sz w:val="16"/>
                <w:szCs w:val="16"/>
              </w:rPr>
              <w:t>Total amount under comparable items</w:t>
            </w:r>
          </w:p>
        </w:tc>
        <w:tc>
          <w:tcPr>
            <w:tcW w:w="339" w:type="pct"/>
            <w:shd w:val="clear" w:color="000000" w:fill="E4DFEC"/>
            <w:noWrap/>
            <w:vAlign w:val="center"/>
            <w:hideMark/>
          </w:tcPr>
          <w:p w:rsidR="005E4F1D" w:rsidRPr="005B6074" w:rsidRDefault="00A35E98" w:rsidP="006B0E0B">
            <w:pPr>
              <w:spacing w:after="0"/>
              <w:ind w:right="-1"/>
              <w:jc w:val="right"/>
              <w:rPr>
                <w:rFonts w:ascii="Verdana" w:hAnsi="Verdana"/>
                <w:color w:val="000000"/>
                <w:sz w:val="16"/>
                <w:szCs w:val="16"/>
              </w:rPr>
            </w:pPr>
            <w:r w:rsidRPr="005B6074">
              <w:rPr>
                <w:rFonts w:ascii="Verdana" w:hAnsi="Verdana"/>
                <w:color w:val="000000"/>
                <w:sz w:val="16"/>
                <w:szCs w:val="16"/>
              </w:rPr>
              <w:t> </w:t>
            </w:r>
          </w:p>
        </w:tc>
        <w:tc>
          <w:tcPr>
            <w:tcW w:w="541" w:type="pct"/>
            <w:shd w:val="clear" w:color="000000" w:fill="E4DFEC"/>
            <w:noWrap/>
            <w:vAlign w:val="center"/>
            <w:hideMark/>
          </w:tcPr>
          <w:p w:rsidR="005E4F1D" w:rsidRPr="005B6074" w:rsidRDefault="00A35E98" w:rsidP="004D27A1">
            <w:pPr>
              <w:spacing w:after="0"/>
              <w:jc w:val="right"/>
              <w:rPr>
                <w:rFonts w:ascii="Verdana" w:hAnsi="Verdana"/>
                <w:color w:val="000000"/>
                <w:sz w:val="16"/>
                <w:szCs w:val="16"/>
              </w:rPr>
            </w:pPr>
            <w:r w:rsidRPr="005B6074">
              <w:rPr>
                <w:rFonts w:ascii="Verdana" w:hAnsi="Verdana"/>
                <w:color w:val="000000"/>
                <w:sz w:val="16"/>
                <w:szCs w:val="16"/>
              </w:rPr>
              <w:t>5</w:t>
            </w:r>
            <w:r w:rsidR="004D27A1" w:rsidRPr="005B6074">
              <w:rPr>
                <w:rFonts w:ascii="Verdana" w:hAnsi="Verdana"/>
                <w:color w:val="000000"/>
                <w:sz w:val="16"/>
                <w:szCs w:val="16"/>
              </w:rPr>
              <w:t xml:space="preserve">72 223 440 </w:t>
            </w:r>
          </w:p>
        </w:tc>
        <w:tc>
          <w:tcPr>
            <w:tcW w:w="541" w:type="pct"/>
            <w:shd w:val="clear" w:color="000000" w:fill="E4DFEC"/>
            <w:noWrap/>
            <w:vAlign w:val="center"/>
            <w:hideMark/>
          </w:tcPr>
          <w:p w:rsidR="005E4F1D" w:rsidRPr="005B6074" w:rsidRDefault="00A35E98" w:rsidP="00F24971">
            <w:pPr>
              <w:spacing w:after="0"/>
              <w:jc w:val="right"/>
              <w:rPr>
                <w:rFonts w:ascii="Verdana" w:hAnsi="Verdana"/>
                <w:color w:val="000000"/>
                <w:sz w:val="16"/>
                <w:szCs w:val="16"/>
              </w:rPr>
            </w:pPr>
            <w:r w:rsidRPr="005B6074">
              <w:rPr>
                <w:rFonts w:ascii="Verdana" w:hAnsi="Verdana"/>
                <w:color w:val="000000"/>
                <w:sz w:val="16"/>
                <w:szCs w:val="16"/>
              </w:rPr>
              <w:t>436 841 540</w:t>
            </w:r>
          </w:p>
        </w:tc>
        <w:tc>
          <w:tcPr>
            <w:tcW w:w="541" w:type="pct"/>
            <w:shd w:val="clear" w:color="000000" w:fill="E4DFEC"/>
            <w:noWrap/>
            <w:vAlign w:val="center"/>
            <w:hideMark/>
          </w:tcPr>
          <w:p w:rsidR="00A511E7" w:rsidRPr="005B6074" w:rsidRDefault="00A35E98" w:rsidP="005B6074">
            <w:pPr>
              <w:spacing w:after="0"/>
              <w:ind w:right="141"/>
              <w:jc w:val="right"/>
              <w:rPr>
                <w:rFonts w:ascii="Verdana" w:hAnsi="Verdana"/>
                <w:color w:val="000000"/>
                <w:sz w:val="16"/>
                <w:szCs w:val="16"/>
              </w:rPr>
            </w:pPr>
            <w:r w:rsidRPr="005B6074">
              <w:rPr>
                <w:rFonts w:ascii="Verdana" w:hAnsi="Verdana"/>
                <w:color w:val="000000"/>
                <w:sz w:val="16"/>
                <w:szCs w:val="16"/>
              </w:rPr>
              <w:t>100%</w:t>
            </w:r>
          </w:p>
        </w:tc>
        <w:tc>
          <w:tcPr>
            <w:tcW w:w="541" w:type="pct"/>
            <w:shd w:val="clear" w:color="000000" w:fill="E4DFEC"/>
            <w:noWrap/>
            <w:vAlign w:val="center"/>
            <w:hideMark/>
          </w:tcPr>
          <w:p w:rsidR="00A511E7" w:rsidRPr="005B6074" w:rsidRDefault="00A511E7" w:rsidP="005B6074">
            <w:pPr>
              <w:spacing w:after="0"/>
              <w:ind w:left="-141" w:right="141"/>
              <w:jc w:val="right"/>
              <w:rPr>
                <w:rFonts w:ascii="Verdana" w:hAnsi="Verdana"/>
                <w:color w:val="000000"/>
                <w:sz w:val="16"/>
                <w:szCs w:val="16"/>
              </w:rPr>
            </w:pPr>
          </w:p>
        </w:tc>
        <w:tc>
          <w:tcPr>
            <w:tcW w:w="582" w:type="pct"/>
            <w:shd w:val="clear" w:color="000000" w:fill="E4DFEC"/>
            <w:noWrap/>
            <w:vAlign w:val="center"/>
            <w:hideMark/>
          </w:tcPr>
          <w:p w:rsidR="00A511E7" w:rsidRPr="005B6074" w:rsidRDefault="000A2D1B" w:rsidP="005B6074">
            <w:pPr>
              <w:spacing w:after="0"/>
              <w:ind w:left="-141" w:right="141"/>
              <w:jc w:val="right"/>
              <w:rPr>
                <w:rFonts w:ascii="Verdana" w:hAnsi="Verdana"/>
                <w:color w:val="000000"/>
                <w:sz w:val="16"/>
                <w:szCs w:val="16"/>
              </w:rPr>
            </w:pPr>
            <w:r w:rsidRPr="005B6074">
              <w:rPr>
                <w:rFonts w:ascii="Verdana" w:hAnsi="Verdana"/>
                <w:color w:val="000000"/>
                <w:sz w:val="16"/>
                <w:szCs w:val="16"/>
              </w:rPr>
              <w:t>31</w:t>
            </w:r>
            <w:r w:rsidR="00A35E98" w:rsidRPr="005B6074">
              <w:rPr>
                <w:rFonts w:ascii="Verdana" w:hAnsi="Verdana"/>
                <w:color w:val="000000"/>
                <w:sz w:val="16"/>
                <w:szCs w:val="16"/>
              </w:rPr>
              <w:t>%</w:t>
            </w:r>
          </w:p>
        </w:tc>
        <w:tc>
          <w:tcPr>
            <w:tcW w:w="497" w:type="pct"/>
            <w:shd w:val="clear" w:color="000000" w:fill="E4DFEC"/>
            <w:noWrap/>
            <w:vAlign w:val="center"/>
            <w:hideMark/>
          </w:tcPr>
          <w:p w:rsidR="00A511E7" w:rsidRPr="005B6074" w:rsidRDefault="000A2D1B" w:rsidP="005B6074">
            <w:pPr>
              <w:spacing w:after="0"/>
              <w:ind w:left="-141" w:right="141"/>
              <w:jc w:val="right"/>
              <w:rPr>
                <w:rFonts w:ascii="Verdana" w:hAnsi="Verdana"/>
                <w:color w:val="000000"/>
                <w:sz w:val="16"/>
                <w:szCs w:val="16"/>
              </w:rPr>
            </w:pPr>
            <w:r w:rsidRPr="005B6074">
              <w:rPr>
                <w:rFonts w:ascii="Verdana" w:hAnsi="Verdana"/>
                <w:color w:val="000000"/>
                <w:sz w:val="16"/>
                <w:szCs w:val="16"/>
              </w:rPr>
              <w:t>21</w:t>
            </w:r>
            <w:r w:rsidR="00A35E98" w:rsidRPr="005B6074">
              <w:rPr>
                <w:rFonts w:ascii="Verdana" w:hAnsi="Verdana"/>
                <w:color w:val="000000"/>
                <w:sz w:val="16"/>
                <w:szCs w:val="16"/>
              </w:rPr>
              <w:t>%</w:t>
            </w:r>
          </w:p>
        </w:tc>
      </w:tr>
      <w:tr w:rsidR="005E4F1D" w:rsidRPr="005B6074" w:rsidTr="00181A22">
        <w:trPr>
          <w:trHeight w:val="288"/>
        </w:trPr>
        <w:tc>
          <w:tcPr>
            <w:tcW w:w="1418" w:type="pct"/>
            <w:shd w:val="clear" w:color="000000" w:fill="E4DFEC"/>
            <w:vAlign w:val="center"/>
            <w:hideMark/>
          </w:tcPr>
          <w:p w:rsidR="005E4F1D" w:rsidRPr="005B6074" w:rsidRDefault="00A35E98" w:rsidP="00F24971">
            <w:pPr>
              <w:spacing w:after="0"/>
              <w:rPr>
                <w:rFonts w:ascii="Verdana" w:hAnsi="Verdana"/>
                <w:b/>
                <w:bCs/>
                <w:color w:val="000000"/>
                <w:sz w:val="16"/>
                <w:szCs w:val="16"/>
              </w:rPr>
            </w:pPr>
            <w:r w:rsidRPr="005B6074">
              <w:rPr>
                <w:rFonts w:ascii="Verdana" w:hAnsi="Verdana"/>
                <w:b/>
                <w:bCs/>
                <w:color w:val="000000"/>
                <w:sz w:val="16"/>
                <w:szCs w:val="16"/>
              </w:rPr>
              <w:t>Total amount</w:t>
            </w:r>
          </w:p>
        </w:tc>
        <w:tc>
          <w:tcPr>
            <w:tcW w:w="339" w:type="pct"/>
            <w:shd w:val="clear" w:color="000000" w:fill="E4DFEC"/>
            <w:noWrap/>
            <w:vAlign w:val="center"/>
            <w:hideMark/>
          </w:tcPr>
          <w:p w:rsidR="005E4F1D" w:rsidRPr="005B6074" w:rsidRDefault="00A35E98" w:rsidP="00F24971">
            <w:pPr>
              <w:spacing w:after="0"/>
              <w:jc w:val="right"/>
              <w:rPr>
                <w:rFonts w:ascii="Verdana" w:hAnsi="Verdana"/>
                <w:b/>
                <w:bCs/>
                <w:color w:val="000000"/>
                <w:sz w:val="16"/>
                <w:szCs w:val="16"/>
              </w:rPr>
            </w:pPr>
            <w:r w:rsidRPr="005B6074">
              <w:rPr>
                <w:rFonts w:ascii="Verdana" w:hAnsi="Verdana"/>
                <w:b/>
                <w:bCs/>
                <w:color w:val="000000"/>
                <w:sz w:val="16"/>
                <w:szCs w:val="16"/>
              </w:rPr>
              <w:t> </w:t>
            </w:r>
          </w:p>
        </w:tc>
        <w:tc>
          <w:tcPr>
            <w:tcW w:w="541" w:type="pct"/>
            <w:shd w:val="clear" w:color="000000" w:fill="E4DFEC"/>
            <w:noWrap/>
            <w:vAlign w:val="center"/>
            <w:hideMark/>
          </w:tcPr>
          <w:p w:rsidR="005E4F1D" w:rsidRPr="005B6074" w:rsidRDefault="00A35E98" w:rsidP="004D27A1">
            <w:pPr>
              <w:spacing w:after="0"/>
              <w:jc w:val="right"/>
              <w:rPr>
                <w:rFonts w:ascii="Verdana" w:hAnsi="Verdana"/>
                <w:color w:val="000000"/>
                <w:sz w:val="16"/>
                <w:szCs w:val="16"/>
              </w:rPr>
            </w:pPr>
            <w:r w:rsidRPr="005B6074">
              <w:rPr>
                <w:rFonts w:ascii="Verdana" w:hAnsi="Verdana"/>
                <w:color w:val="000000"/>
                <w:sz w:val="16"/>
                <w:szCs w:val="16"/>
              </w:rPr>
              <w:t>5</w:t>
            </w:r>
            <w:r w:rsidR="004D27A1" w:rsidRPr="005B6074">
              <w:rPr>
                <w:rFonts w:ascii="Verdana" w:hAnsi="Verdana"/>
                <w:color w:val="000000"/>
                <w:sz w:val="16"/>
                <w:szCs w:val="16"/>
              </w:rPr>
              <w:t>96</w:t>
            </w:r>
            <w:r w:rsidRPr="005B6074">
              <w:rPr>
                <w:rFonts w:ascii="Verdana" w:hAnsi="Verdana"/>
                <w:color w:val="000000"/>
                <w:sz w:val="16"/>
                <w:szCs w:val="16"/>
              </w:rPr>
              <w:t xml:space="preserve"> </w:t>
            </w:r>
            <w:r w:rsidR="004D27A1" w:rsidRPr="005B6074">
              <w:rPr>
                <w:rFonts w:ascii="Verdana" w:hAnsi="Verdana"/>
                <w:color w:val="000000"/>
                <w:sz w:val="16"/>
                <w:szCs w:val="16"/>
              </w:rPr>
              <w:t>00</w:t>
            </w:r>
            <w:r w:rsidRPr="005B6074">
              <w:rPr>
                <w:rFonts w:ascii="Verdana" w:hAnsi="Verdana"/>
                <w:color w:val="000000"/>
                <w:sz w:val="16"/>
                <w:szCs w:val="16"/>
              </w:rPr>
              <w:t xml:space="preserve">0 </w:t>
            </w:r>
            <w:r w:rsidR="004D27A1" w:rsidRPr="005B6074">
              <w:rPr>
                <w:rFonts w:ascii="Verdana" w:hAnsi="Verdana"/>
                <w:color w:val="000000"/>
                <w:sz w:val="16"/>
                <w:szCs w:val="16"/>
              </w:rPr>
              <w:t>681</w:t>
            </w:r>
          </w:p>
        </w:tc>
        <w:tc>
          <w:tcPr>
            <w:tcW w:w="541" w:type="pct"/>
            <w:shd w:val="clear" w:color="000000" w:fill="E4DFEC"/>
            <w:noWrap/>
            <w:vAlign w:val="center"/>
            <w:hideMark/>
          </w:tcPr>
          <w:p w:rsidR="005E4F1D" w:rsidRPr="005B6074" w:rsidRDefault="00A35E98" w:rsidP="00F24971">
            <w:pPr>
              <w:spacing w:after="0"/>
              <w:jc w:val="right"/>
              <w:rPr>
                <w:rFonts w:ascii="Verdana" w:hAnsi="Verdana"/>
                <w:color w:val="000000"/>
                <w:sz w:val="16"/>
                <w:szCs w:val="16"/>
              </w:rPr>
            </w:pPr>
            <w:r w:rsidRPr="005B6074">
              <w:rPr>
                <w:rFonts w:ascii="Verdana" w:hAnsi="Verdana"/>
                <w:color w:val="000000"/>
                <w:sz w:val="16"/>
                <w:szCs w:val="16"/>
              </w:rPr>
              <w:t> </w:t>
            </w:r>
          </w:p>
        </w:tc>
        <w:tc>
          <w:tcPr>
            <w:tcW w:w="541" w:type="pct"/>
            <w:shd w:val="clear" w:color="000000" w:fill="E4DFEC"/>
            <w:noWrap/>
            <w:vAlign w:val="center"/>
            <w:hideMark/>
          </w:tcPr>
          <w:p w:rsidR="005E4F1D" w:rsidRPr="005B6074" w:rsidRDefault="00A35E98" w:rsidP="00F24971">
            <w:pPr>
              <w:spacing w:after="0"/>
              <w:jc w:val="right"/>
              <w:rPr>
                <w:rFonts w:ascii="Verdana" w:hAnsi="Verdana"/>
                <w:color w:val="000000"/>
                <w:sz w:val="16"/>
                <w:szCs w:val="16"/>
              </w:rPr>
            </w:pPr>
            <w:r w:rsidRPr="005B6074">
              <w:rPr>
                <w:rFonts w:ascii="Verdana" w:hAnsi="Verdana"/>
                <w:color w:val="000000"/>
                <w:sz w:val="16"/>
                <w:szCs w:val="16"/>
              </w:rPr>
              <w:t> </w:t>
            </w:r>
          </w:p>
        </w:tc>
        <w:tc>
          <w:tcPr>
            <w:tcW w:w="541" w:type="pct"/>
            <w:shd w:val="clear" w:color="000000" w:fill="E4DFEC"/>
            <w:noWrap/>
            <w:vAlign w:val="center"/>
            <w:hideMark/>
          </w:tcPr>
          <w:p w:rsidR="005E4F1D" w:rsidRPr="005B6074" w:rsidRDefault="00A35E98" w:rsidP="00F24971">
            <w:pPr>
              <w:spacing w:after="0"/>
              <w:jc w:val="right"/>
              <w:rPr>
                <w:rFonts w:ascii="Verdana" w:hAnsi="Verdana"/>
                <w:color w:val="000000"/>
                <w:sz w:val="16"/>
                <w:szCs w:val="16"/>
              </w:rPr>
            </w:pPr>
            <w:r w:rsidRPr="005B6074">
              <w:rPr>
                <w:rFonts w:ascii="Verdana" w:hAnsi="Verdana"/>
                <w:color w:val="000000"/>
                <w:sz w:val="16"/>
                <w:szCs w:val="16"/>
              </w:rPr>
              <w:t> </w:t>
            </w:r>
          </w:p>
        </w:tc>
        <w:tc>
          <w:tcPr>
            <w:tcW w:w="582" w:type="pct"/>
            <w:shd w:val="clear" w:color="000000" w:fill="E4DFEC"/>
            <w:noWrap/>
            <w:vAlign w:val="center"/>
            <w:hideMark/>
          </w:tcPr>
          <w:p w:rsidR="005E4F1D" w:rsidRPr="005B6074" w:rsidRDefault="00A35E98" w:rsidP="00F24971">
            <w:pPr>
              <w:spacing w:after="0"/>
              <w:jc w:val="right"/>
              <w:rPr>
                <w:rFonts w:ascii="Verdana" w:hAnsi="Verdana"/>
                <w:color w:val="000000"/>
                <w:sz w:val="16"/>
                <w:szCs w:val="16"/>
              </w:rPr>
            </w:pPr>
            <w:r w:rsidRPr="005B6074">
              <w:rPr>
                <w:rFonts w:ascii="Verdana" w:hAnsi="Verdana"/>
                <w:color w:val="000000"/>
                <w:sz w:val="16"/>
                <w:szCs w:val="16"/>
              </w:rPr>
              <w:t> </w:t>
            </w:r>
          </w:p>
        </w:tc>
        <w:tc>
          <w:tcPr>
            <w:tcW w:w="497" w:type="pct"/>
            <w:shd w:val="clear" w:color="000000" w:fill="E4DFEC"/>
            <w:noWrap/>
            <w:vAlign w:val="center"/>
            <w:hideMark/>
          </w:tcPr>
          <w:p w:rsidR="005E4F1D" w:rsidRPr="005B6074" w:rsidRDefault="00A35E98" w:rsidP="00F24971">
            <w:pPr>
              <w:spacing w:after="0"/>
              <w:jc w:val="right"/>
              <w:rPr>
                <w:rFonts w:ascii="Verdana" w:hAnsi="Verdana"/>
                <w:color w:val="000000"/>
                <w:sz w:val="16"/>
                <w:szCs w:val="16"/>
              </w:rPr>
            </w:pPr>
            <w:r w:rsidRPr="005B6074">
              <w:rPr>
                <w:rFonts w:ascii="Verdana" w:hAnsi="Verdana"/>
                <w:color w:val="000000"/>
                <w:sz w:val="16"/>
                <w:szCs w:val="16"/>
              </w:rPr>
              <w:t> </w:t>
            </w:r>
          </w:p>
        </w:tc>
      </w:tr>
    </w:tbl>
    <w:p w:rsidR="00C513B7" w:rsidRPr="005B6074" w:rsidRDefault="00A35E98" w:rsidP="00C513B7">
      <w:pPr>
        <w:tabs>
          <w:tab w:val="left" w:pos="0"/>
          <w:tab w:val="right" w:pos="9214"/>
        </w:tabs>
        <w:spacing w:after="120"/>
        <w:jc w:val="both"/>
        <w:rPr>
          <w:rFonts w:ascii="Verdana" w:eastAsia="Calibri" w:hAnsi="Verdana"/>
          <w:sz w:val="16"/>
          <w:szCs w:val="16"/>
        </w:rPr>
      </w:pPr>
      <w:r w:rsidRPr="005B6074">
        <w:rPr>
          <w:rFonts w:ascii="Verdana" w:eastAsia="Calibri" w:hAnsi="Verdana"/>
          <w:i/>
          <w:sz w:val="16"/>
          <w:szCs w:val="16"/>
        </w:rPr>
        <w:t>Source</w:t>
      </w:r>
      <w:r w:rsidRPr="005B6074">
        <w:rPr>
          <w:rFonts w:ascii="Verdana" w:eastAsia="Calibri" w:hAnsi="Verdana"/>
          <w:sz w:val="16"/>
          <w:szCs w:val="16"/>
        </w:rPr>
        <w:t xml:space="preserve">: UMIS </w:t>
      </w:r>
      <w:r w:rsidR="005B35A7">
        <w:rPr>
          <w:rFonts w:ascii="Verdana" w:eastAsia="Calibri" w:hAnsi="Verdana"/>
          <w:sz w:val="16"/>
          <w:szCs w:val="16"/>
        </w:rPr>
        <w:t>OPSESG</w:t>
      </w:r>
      <w:r w:rsidRPr="005B6074">
        <w:rPr>
          <w:rFonts w:ascii="Verdana" w:eastAsia="Calibri" w:hAnsi="Verdana"/>
          <w:sz w:val="16"/>
          <w:szCs w:val="16"/>
        </w:rPr>
        <w:t xml:space="preserve"> 2014-2020, own calculations.</w:t>
      </w:r>
    </w:p>
    <w:p w:rsidR="00C513B7" w:rsidRPr="005B6074" w:rsidRDefault="00A35E98" w:rsidP="00C513B7">
      <w:pPr>
        <w:tabs>
          <w:tab w:val="left" w:pos="0"/>
          <w:tab w:val="right" w:pos="9214"/>
        </w:tabs>
        <w:spacing w:after="120"/>
        <w:jc w:val="both"/>
        <w:rPr>
          <w:rFonts w:ascii="Verdana" w:eastAsia="Calibri" w:hAnsi="Verdana"/>
          <w:sz w:val="20"/>
          <w:szCs w:val="20"/>
        </w:rPr>
      </w:pPr>
      <w:r w:rsidRPr="005B6074">
        <w:rPr>
          <w:rFonts w:ascii="Verdana" w:eastAsia="Calibri" w:hAnsi="Verdana"/>
          <w:sz w:val="20"/>
          <w:szCs w:val="20"/>
        </w:rPr>
        <w:t xml:space="preserve">Allocations for improvement of </w:t>
      </w:r>
      <w:r w:rsidRPr="005B6074">
        <w:rPr>
          <w:rFonts w:ascii="Verdana" w:eastAsia="Calibri" w:hAnsi="Verdana"/>
          <w:color w:val="548DD4" w:themeColor="text2" w:themeTint="99"/>
          <w:sz w:val="20"/>
          <w:szCs w:val="20"/>
        </w:rPr>
        <w:t xml:space="preserve">education and lifelong learning (PA 2) </w:t>
      </w:r>
      <w:r w:rsidRPr="005B6074">
        <w:rPr>
          <w:rFonts w:ascii="Verdana" w:eastAsia="Calibri" w:hAnsi="Verdana"/>
          <w:sz w:val="20"/>
          <w:szCs w:val="20"/>
        </w:rPr>
        <w:t>are approximately 3</w:t>
      </w:r>
      <w:r w:rsidR="00CD557D" w:rsidRPr="005B6074">
        <w:rPr>
          <w:rFonts w:ascii="Verdana" w:eastAsia="Calibri" w:hAnsi="Verdana"/>
          <w:sz w:val="20"/>
          <w:szCs w:val="20"/>
        </w:rPr>
        <w:t>7</w:t>
      </w:r>
      <w:r w:rsidRPr="005B6074">
        <w:rPr>
          <w:rFonts w:ascii="Verdana" w:eastAsia="Calibri" w:hAnsi="Verdana"/>
          <w:sz w:val="20"/>
          <w:szCs w:val="20"/>
        </w:rPr>
        <w:t xml:space="preserve">% of all the funds currently foreseen for the Programme. The EU funding of over EUR 200 million aims at improving the key competences of children in the pre-school and school institutions, at retaining and raising the motivation of children in schools, at managing the quality of the educational system, improving the share and quality of people with higher education and at optimizing the system of higher education and at promoting lifelong learning. </w:t>
      </w:r>
    </w:p>
    <w:p w:rsidR="00C513B7" w:rsidRPr="005B6074" w:rsidRDefault="00A35E98" w:rsidP="00C513B7">
      <w:pPr>
        <w:tabs>
          <w:tab w:val="left" w:pos="0"/>
          <w:tab w:val="right" w:pos="9214"/>
        </w:tabs>
        <w:spacing w:after="120"/>
        <w:jc w:val="both"/>
        <w:rPr>
          <w:rFonts w:ascii="Verdana" w:eastAsia="Calibri" w:hAnsi="Verdana"/>
          <w:sz w:val="20"/>
          <w:szCs w:val="20"/>
        </w:rPr>
      </w:pPr>
      <w:r w:rsidRPr="005B6074">
        <w:rPr>
          <w:rFonts w:ascii="Verdana" w:eastAsia="Calibri" w:hAnsi="Verdana"/>
          <w:sz w:val="20"/>
          <w:szCs w:val="20"/>
        </w:rPr>
        <w:t xml:space="preserve">Given the high priority attached to education for the achievement of smart growth in the long run, the increase of </w:t>
      </w:r>
      <w:r w:rsidR="00CD557D" w:rsidRPr="005B6074">
        <w:rPr>
          <w:rFonts w:ascii="Verdana" w:eastAsia="Calibri" w:hAnsi="Verdana"/>
          <w:sz w:val="20"/>
          <w:szCs w:val="20"/>
        </w:rPr>
        <w:t>9</w:t>
      </w:r>
      <w:r w:rsidRPr="005B6074">
        <w:rPr>
          <w:rFonts w:ascii="Verdana" w:eastAsia="Calibri" w:hAnsi="Verdana"/>
          <w:sz w:val="20"/>
          <w:szCs w:val="20"/>
        </w:rPr>
        <w:t xml:space="preserve">%, which, in real terms, is practically </w:t>
      </w:r>
      <w:r w:rsidR="00CD557D" w:rsidRPr="005B6074">
        <w:rPr>
          <w:rFonts w:ascii="Verdana" w:eastAsia="Calibri" w:hAnsi="Verdana"/>
          <w:sz w:val="20"/>
          <w:szCs w:val="20"/>
        </w:rPr>
        <w:t>only 1% increase</w:t>
      </w:r>
      <w:r w:rsidRPr="005B6074">
        <w:rPr>
          <w:rFonts w:ascii="Verdana" w:eastAsia="Calibri" w:hAnsi="Verdana"/>
          <w:sz w:val="20"/>
          <w:szCs w:val="20"/>
        </w:rPr>
        <w:t xml:space="preserve">, seems to be insufficient. The evaluator however cannot recommend it to be increased, since the total amounts allocated by funds for </w:t>
      </w:r>
      <w:r w:rsidR="005B35A7">
        <w:rPr>
          <w:rFonts w:ascii="Verdana" w:eastAsia="Calibri" w:hAnsi="Verdana"/>
          <w:sz w:val="20"/>
          <w:szCs w:val="20"/>
        </w:rPr>
        <w:t>OPSESG</w:t>
      </w:r>
      <w:r w:rsidRPr="005B6074">
        <w:rPr>
          <w:rFonts w:ascii="Verdana" w:eastAsia="Calibri" w:hAnsi="Verdana"/>
          <w:sz w:val="20"/>
          <w:szCs w:val="20"/>
        </w:rPr>
        <w:t xml:space="preserve"> are determined at the level of Partnership Agreement, and the resources under ESF for PA3 and PA4 should not be decreased.</w:t>
      </w:r>
    </w:p>
    <w:p w:rsidR="00C513B7" w:rsidRPr="005B6074" w:rsidRDefault="00A35E98" w:rsidP="00C513B7">
      <w:pPr>
        <w:tabs>
          <w:tab w:val="left" w:pos="0"/>
          <w:tab w:val="right" w:pos="9214"/>
        </w:tabs>
        <w:spacing w:after="120"/>
        <w:jc w:val="both"/>
        <w:rPr>
          <w:rFonts w:ascii="Verdana" w:eastAsia="Calibri" w:hAnsi="Verdana"/>
          <w:sz w:val="20"/>
          <w:szCs w:val="20"/>
        </w:rPr>
      </w:pPr>
      <w:r w:rsidRPr="005B6074">
        <w:rPr>
          <w:rFonts w:ascii="Verdana" w:eastAsia="Calibri" w:hAnsi="Verdana"/>
          <w:sz w:val="20"/>
          <w:szCs w:val="20"/>
        </w:rPr>
        <w:t>The allocation of the funds under PA2 among the whole variety of activities covered by this Priority Axis is another major issue, for which there is no information available at this stage. It will probably be possible to evaluate this allocation after the preparation of the investment strategy and the justification of the financial allocations, which should provide information as to how the requirement for concentration of at least 60% of ESF funds in no more than 5 investment projects will be met in practice.</w:t>
      </w:r>
    </w:p>
    <w:p w:rsidR="00C513B7" w:rsidRPr="005B6074" w:rsidRDefault="00A35E98" w:rsidP="00C513B7">
      <w:pPr>
        <w:tabs>
          <w:tab w:val="left" w:pos="0"/>
          <w:tab w:val="right" w:pos="9214"/>
        </w:tabs>
        <w:spacing w:after="120"/>
        <w:jc w:val="both"/>
        <w:rPr>
          <w:rFonts w:ascii="Verdana" w:eastAsia="Calibri" w:hAnsi="Verdana"/>
          <w:sz w:val="20"/>
          <w:szCs w:val="20"/>
        </w:rPr>
      </w:pPr>
      <w:r w:rsidRPr="005B6074">
        <w:rPr>
          <w:rFonts w:ascii="Verdana" w:eastAsia="Calibri" w:hAnsi="Verdana"/>
          <w:sz w:val="20"/>
          <w:szCs w:val="20"/>
        </w:rPr>
        <w:lastRenderedPageBreak/>
        <w:t xml:space="preserve">A number of measures for improving access to education for vulnerable groups of the society, for people with disabilities, socially weak, etc., as well as for students with deviant behaviours and ethnic minorities are foreseen in the framework of </w:t>
      </w:r>
      <w:r w:rsidRPr="005B6074">
        <w:rPr>
          <w:rFonts w:ascii="Verdana" w:eastAsia="Calibri" w:hAnsi="Verdana"/>
          <w:color w:val="548DD4" w:themeColor="text2" w:themeTint="99"/>
          <w:sz w:val="20"/>
          <w:szCs w:val="20"/>
        </w:rPr>
        <w:t xml:space="preserve">priority Axis 3 </w:t>
      </w:r>
      <w:r w:rsidR="00CD557D" w:rsidRPr="005B6074">
        <w:rPr>
          <w:rFonts w:ascii="Verdana" w:eastAsia="Calibri" w:hAnsi="Verdana"/>
          <w:color w:val="548DD4" w:themeColor="text2" w:themeTint="99"/>
          <w:sz w:val="20"/>
          <w:szCs w:val="20"/>
        </w:rPr>
        <w:t>”</w:t>
      </w:r>
      <w:r w:rsidRPr="005B6074">
        <w:rPr>
          <w:rFonts w:ascii="Verdana" w:eastAsia="Calibri" w:hAnsi="Verdana"/>
          <w:color w:val="548DD4" w:themeColor="text2" w:themeTint="99"/>
          <w:sz w:val="20"/>
          <w:szCs w:val="20"/>
        </w:rPr>
        <w:t>Educational environment for active social inclusion”</w:t>
      </w:r>
      <w:r w:rsidRPr="005B6074">
        <w:rPr>
          <w:rFonts w:ascii="Verdana" w:eastAsia="Calibri" w:hAnsi="Verdana"/>
          <w:sz w:val="20"/>
          <w:szCs w:val="20"/>
        </w:rPr>
        <w:t xml:space="preserve">. The main objective will be to develop to the maximum the potential of every child, pupil or student. </w:t>
      </w:r>
    </w:p>
    <w:p w:rsidR="00C513B7" w:rsidRPr="005B6074" w:rsidRDefault="00A35E98" w:rsidP="00C513B7">
      <w:pPr>
        <w:tabs>
          <w:tab w:val="left" w:pos="0"/>
          <w:tab w:val="right" w:pos="9214"/>
        </w:tabs>
        <w:spacing w:after="120"/>
        <w:jc w:val="both"/>
        <w:rPr>
          <w:rFonts w:ascii="Verdana" w:eastAsia="Calibri" w:hAnsi="Verdana"/>
          <w:sz w:val="20"/>
          <w:szCs w:val="20"/>
        </w:rPr>
      </w:pPr>
      <w:r w:rsidRPr="005B6074">
        <w:rPr>
          <w:rFonts w:ascii="Verdana" w:eastAsia="Calibri" w:hAnsi="Verdana"/>
          <w:sz w:val="20"/>
          <w:szCs w:val="20"/>
        </w:rPr>
        <w:t>The amount allocated for the achievement of the set objectives aimed at inclusion in education is EUR 1</w:t>
      </w:r>
      <w:r w:rsidR="004B1EAE" w:rsidRPr="005B6074">
        <w:rPr>
          <w:rFonts w:ascii="Verdana" w:eastAsia="Calibri" w:hAnsi="Verdana"/>
          <w:sz w:val="20"/>
          <w:szCs w:val="20"/>
        </w:rPr>
        <w:t>16</w:t>
      </w:r>
      <w:r w:rsidRPr="005B6074">
        <w:rPr>
          <w:rFonts w:ascii="Verdana" w:eastAsia="Calibri" w:hAnsi="Verdana"/>
          <w:sz w:val="20"/>
          <w:szCs w:val="20"/>
        </w:rPr>
        <w:t xml:space="preserve"> million EU funding. This resource is significantly smaller than the financing of similar activities under OPHRD 2007-2013. Here again, it is impossible to recommend the resource for PA3 to be increased, given the insufficient general financing from ESF, allocated to </w:t>
      </w:r>
      <w:r w:rsidR="005B35A7">
        <w:rPr>
          <w:rFonts w:ascii="Verdana" w:eastAsia="Calibri" w:hAnsi="Verdana"/>
          <w:sz w:val="20"/>
          <w:szCs w:val="20"/>
        </w:rPr>
        <w:t>OPSESG</w:t>
      </w:r>
      <w:r w:rsidRPr="005B6074">
        <w:rPr>
          <w:rFonts w:ascii="Verdana" w:eastAsia="Calibri" w:hAnsi="Verdana"/>
          <w:sz w:val="20"/>
          <w:szCs w:val="20"/>
        </w:rPr>
        <w:t>.</w:t>
      </w:r>
    </w:p>
    <w:p w:rsidR="00C513B7" w:rsidRPr="005B6074" w:rsidRDefault="00A35E98" w:rsidP="00C513B7">
      <w:pPr>
        <w:tabs>
          <w:tab w:val="left" w:pos="0"/>
          <w:tab w:val="right" w:pos="9214"/>
        </w:tabs>
        <w:spacing w:after="120"/>
        <w:jc w:val="both"/>
        <w:rPr>
          <w:rFonts w:ascii="Verdana" w:eastAsia="Calibri" w:hAnsi="Verdana"/>
          <w:sz w:val="20"/>
          <w:szCs w:val="20"/>
        </w:rPr>
      </w:pPr>
      <w:r w:rsidRPr="005B6074">
        <w:rPr>
          <w:rFonts w:ascii="Verdana" w:eastAsia="Calibri" w:hAnsi="Verdana"/>
          <w:color w:val="548DD4" w:themeColor="text2" w:themeTint="99"/>
          <w:sz w:val="20"/>
          <w:szCs w:val="20"/>
        </w:rPr>
        <w:t xml:space="preserve">Priority Axis 4 </w:t>
      </w:r>
      <w:r w:rsidRPr="005B6074">
        <w:rPr>
          <w:rFonts w:ascii="Verdana" w:eastAsia="Calibri" w:hAnsi="Verdana"/>
          <w:sz w:val="20"/>
          <w:szCs w:val="20"/>
        </w:rPr>
        <w:t xml:space="preserve">dedicated for technical assistance. Its scope covers the logistic and technical support for MA of </w:t>
      </w:r>
      <w:r w:rsidR="005B35A7">
        <w:rPr>
          <w:rFonts w:ascii="Verdana" w:eastAsia="Calibri" w:hAnsi="Verdana"/>
          <w:sz w:val="20"/>
          <w:szCs w:val="20"/>
        </w:rPr>
        <w:t>OPSESG</w:t>
      </w:r>
      <w:r w:rsidRPr="005B6074">
        <w:rPr>
          <w:rFonts w:ascii="Verdana" w:eastAsia="Calibri" w:hAnsi="Verdana"/>
          <w:sz w:val="20"/>
          <w:szCs w:val="20"/>
        </w:rPr>
        <w:t xml:space="preserve">, communication activities, development of the information system, etc. In view of the fact that </w:t>
      </w:r>
      <w:r w:rsidR="005B35A7">
        <w:rPr>
          <w:rFonts w:ascii="Verdana" w:eastAsia="Calibri" w:hAnsi="Verdana"/>
          <w:sz w:val="20"/>
          <w:szCs w:val="20"/>
        </w:rPr>
        <w:t>OPSESG</w:t>
      </w:r>
      <w:r w:rsidRPr="005B6074">
        <w:rPr>
          <w:rFonts w:ascii="Verdana" w:eastAsia="Calibri" w:hAnsi="Verdana"/>
          <w:sz w:val="20"/>
          <w:szCs w:val="20"/>
        </w:rPr>
        <w:t xml:space="preserve"> is a newly established operational programme, these almost EUR 24 million allocated for technical assistance could have a high value added for the achievement of the objectives of the Programme, if spent effectively and efficiently.</w:t>
      </w:r>
    </w:p>
    <w:p w:rsidR="00C513B7" w:rsidRPr="005B6074" w:rsidRDefault="00A35E98" w:rsidP="00C513B7">
      <w:pPr>
        <w:keepNext/>
        <w:widowControl w:val="0"/>
        <w:tabs>
          <w:tab w:val="left" w:pos="0"/>
          <w:tab w:val="right" w:pos="9214"/>
        </w:tabs>
        <w:spacing w:before="240" w:after="120"/>
        <w:jc w:val="both"/>
        <w:rPr>
          <w:rFonts w:ascii="Verdana" w:eastAsia="Times New Roman" w:hAnsi="Verdana"/>
          <w:bCs/>
          <w:color w:val="0070C0"/>
          <w:sz w:val="20"/>
          <w:szCs w:val="20"/>
          <w:lang w:eastAsia="bg-BG"/>
        </w:rPr>
      </w:pPr>
      <w:r w:rsidRPr="005B6074">
        <w:rPr>
          <w:rFonts w:ascii="Verdana" w:eastAsia="Times New Roman" w:hAnsi="Verdana"/>
          <w:bCs/>
          <w:color w:val="0070C0"/>
          <w:sz w:val="20"/>
          <w:szCs w:val="20"/>
          <w:lang w:eastAsia="bg-BG"/>
        </w:rPr>
        <w:t xml:space="preserve">Comparing the allocation of budget for similar activities by years compared to the programming period 2007-2013. </w:t>
      </w:r>
    </w:p>
    <w:p w:rsidR="00C513B7" w:rsidRPr="005B6074" w:rsidRDefault="00A35E98" w:rsidP="00C513B7">
      <w:pPr>
        <w:tabs>
          <w:tab w:val="left" w:pos="0"/>
          <w:tab w:val="right" w:pos="9214"/>
        </w:tabs>
        <w:spacing w:after="120"/>
        <w:jc w:val="both"/>
        <w:rPr>
          <w:rFonts w:ascii="Verdana" w:eastAsia="Calibri" w:hAnsi="Verdana"/>
          <w:sz w:val="20"/>
          <w:szCs w:val="20"/>
        </w:rPr>
      </w:pPr>
      <w:r w:rsidRPr="005B6074">
        <w:rPr>
          <w:rFonts w:ascii="Verdana" w:eastAsia="Calibri" w:hAnsi="Verdana"/>
          <w:sz w:val="20"/>
          <w:szCs w:val="20"/>
        </w:rPr>
        <w:t xml:space="preserve">The financial allocation under </w:t>
      </w:r>
      <w:r w:rsidR="005B35A7">
        <w:rPr>
          <w:rFonts w:ascii="Verdana" w:eastAsia="Calibri" w:hAnsi="Verdana"/>
          <w:sz w:val="20"/>
          <w:szCs w:val="20"/>
        </w:rPr>
        <w:t>OPSESG</w:t>
      </w:r>
      <w:r w:rsidRPr="005B6074">
        <w:rPr>
          <w:rFonts w:ascii="Verdana" w:eastAsia="Calibri" w:hAnsi="Verdana"/>
          <w:sz w:val="20"/>
          <w:szCs w:val="20"/>
        </w:rPr>
        <w:t xml:space="preserve"> was assessed from the viewpoint of the foreseen profile of budget commitments by years.</w:t>
      </w:r>
    </w:p>
    <w:p w:rsidR="00C513B7" w:rsidRPr="005B6074" w:rsidRDefault="001C0323" w:rsidP="00C513B7">
      <w:pPr>
        <w:widowControl w:val="0"/>
        <w:tabs>
          <w:tab w:val="left" w:pos="0"/>
          <w:tab w:val="right" w:pos="9072"/>
        </w:tabs>
        <w:spacing w:before="120" w:after="120"/>
        <w:ind w:right="108"/>
        <w:jc w:val="center"/>
        <w:rPr>
          <w:rFonts w:ascii="Verdana" w:eastAsia="Times New Roman" w:hAnsi="Verdana"/>
          <w:bCs/>
          <w:color w:val="000000"/>
          <w:sz w:val="14"/>
          <w:szCs w:val="14"/>
          <w:lang w:eastAsia="bg-BG"/>
        </w:rPr>
      </w:pPr>
      <w:r w:rsidRPr="005B6074">
        <w:rPr>
          <w:rFonts w:ascii="Verdana" w:eastAsia="Times New Roman" w:hAnsi="Verdana"/>
          <w:bCs/>
          <w:noProof/>
          <w:color w:val="000000"/>
          <w:sz w:val="14"/>
          <w:szCs w:val="14"/>
          <w:lang w:val="bg-BG" w:eastAsia="bg-BG"/>
        </w:rPr>
        <w:drawing>
          <wp:inline distT="0" distB="0" distL="0" distR="0" wp14:anchorId="3934B6A7" wp14:editId="36500866">
            <wp:extent cx="3667125" cy="2419350"/>
            <wp:effectExtent l="0" t="0" r="9525" b="0"/>
            <wp:docPr id="39" name="Picture 4" descr="Alloc_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oc_year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67125" cy="2419350"/>
                    </a:xfrm>
                    <a:prstGeom prst="rect">
                      <a:avLst/>
                    </a:prstGeom>
                    <a:noFill/>
                    <a:ln>
                      <a:noFill/>
                    </a:ln>
                  </pic:spPr>
                </pic:pic>
              </a:graphicData>
            </a:graphic>
          </wp:inline>
        </w:drawing>
      </w:r>
    </w:p>
    <w:p w:rsidR="00C513B7" w:rsidRPr="005B6074" w:rsidRDefault="00A35E98" w:rsidP="00C513B7">
      <w:pPr>
        <w:widowControl w:val="0"/>
        <w:tabs>
          <w:tab w:val="left" w:pos="0"/>
          <w:tab w:val="right" w:pos="9072"/>
        </w:tabs>
        <w:spacing w:before="120" w:after="120"/>
        <w:ind w:right="108"/>
        <w:jc w:val="center"/>
        <w:rPr>
          <w:rFonts w:ascii="Verdana" w:eastAsia="Times New Roman" w:hAnsi="Verdana"/>
          <w:bCs/>
          <w:color w:val="000000"/>
          <w:sz w:val="14"/>
          <w:szCs w:val="14"/>
          <w:lang w:eastAsia="bg-BG"/>
        </w:rPr>
      </w:pPr>
      <w:r w:rsidRPr="005B6074">
        <w:rPr>
          <w:rFonts w:ascii="Verdana" w:eastAsia="Times New Roman" w:hAnsi="Verdana"/>
          <w:bCs/>
          <w:color w:val="000000"/>
          <w:sz w:val="14"/>
          <w:szCs w:val="14"/>
          <w:lang w:eastAsia="bg-BG"/>
        </w:rPr>
        <w:t>Source: UMIS, Partnership agreement of the Republic of Bulgaria</w:t>
      </w:r>
      <w:r w:rsidRPr="005B6074">
        <w:rPr>
          <w:rFonts w:ascii="Verdana" w:eastAsia="Calibri" w:hAnsi="Verdana"/>
          <w:sz w:val="14"/>
          <w:szCs w:val="14"/>
        </w:rPr>
        <w:t xml:space="preserve">, </w:t>
      </w:r>
      <w:r w:rsidRPr="005B6074">
        <w:rPr>
          <w:rFonts w:ascii="Verdana" w:eastAsia="Times New Roman" w:hAnsi="Verdana"/>
          <w:bCs/>
          <w:color w:val="000000"/>
          <w:sz w:val="14"/>
          <w:szCs w:val="14"/>
          <w:lang w:eastAsia="bg-BG"/>
        </w:rPr>
        <w:t>own calculations</w:t>
      </w:r>
    </w:p>
    <w:p w:rsidR="00A511E7" w:rsidRPr="005B6074" w:rsidRDefault="00A35E98" w:rsidP="005B6074">
      <w:pPr>
        <w:pStyle w:val="Caption"/>
        <w:spacing w:after="120"/>
        <w:ind w:left="-142"/>
        <w:jc w:val="center"/>
        <w:rPr>
          <w:rFonts w:ascii="Verdana" w:hAnsi="Verdana"/>
          <w:bCs w:val="0"/>
          <w:color w:val="006CB6"/>
          <w:lang w:eastAsia="en-US"/>
        </w:rPr>
      </w:pPr>
      <w:bookmarkStart w:id="195" w:name="_Toc381712245"/>
      <w:bookmarkStart w:id="196" w:name="_Toc390257332"/>
      <w:bookmarkStart w:id="197" w:name="_Toc396225643"/>
      <w:r w:rsidRPr="005B6074">
        <w:rPr>
          <w:rFonts w:ascii="Verdana" w:hAnsi="Verdana"/>
          <w:bCs w:val="0"/>
          <w:color w:val="006CB6"/>
          <w:lang w:eastAsia="en-US"/>
        </w:rPr>
        <w:t xml:space="preserve">Figure </w:t>
      </w:r>
      <w:r w:rsidRPr="005B6074">
        <w:rPr>
          <w:rFonts w:ascii="Verdana" w:hAnsi="Verdana"/>
          <w:bCs w:val="0"/>
          <w:color w:val="006CB6"/>
          <w:lang w:eastAsia="en-US"/>
        </w:rPr>
        <w:fldChar w:fldCharType="begin"/>
      </w:r>
      <w:r w:rsidRPr="005B6074">
        <w:rPr>
          <w:rFonts w:ascii="Verdana" w:hAnsi="Verdana"/>
          <w:bCs w:val="0"/>
          <w:color w:val="006CB6"/>
          <w:lang w:eastAsia="en-US"/>
        </w:rPr>
        <w:instrText>SEQ фигура \* ARABIC</w:instrText>
      </w:r>
      <w:r w:rsidRPr="005B6074">
        <w:rPr>
          <w:rFonts w:ascii="Verdana" w:hAnsi="Verdana"/>
          <w:bCs w:val="0"/>
          <w:color w:val="006CB6"/>
          <w:lang w:eastAsia="en-US"/>
        </w:rPr>
        <w:fldChar w:fldCharType="separate"/>
      </w:r>
      <w:r w:rsidR="009330F5">
        <w:rPr>
          <w:rFonts w:ascii="Verdana" w:hAnsi="Verdana"/>
          <w:bCs w:val="0"/>
          <w:noProof/>
          <w:color w:val="006CB6"/>
          <w:lang w:eastAsia="en-US"/>
        </w:rPr>
        <w:t>7</w:t>
      </w:r>
      <w:r w:rsidRPr="005B6074">
        <w:rPr>
          <w:rFonts w:ascii="Verdana" w:hAnsi="Verdana"/>
          <w:bCs w:val="0"/>
          <w:color w:val="006CB6"/>
          <w:lang w:eastAsia="en-US"/>
        </w:rPr>
        <w:fldChar w:fldCharType="end"/>
      </w:r>
      <w:r w:rsidRPr="005B6074">
        <w:rPr>
          <w:rFonts w:ascii="Verdana" w:hAnsi="Verdana"/>
          <w:bCs w:val="0"/>
          <w:color w:val="006CB6"/>
          <w:lang w:eastAsia="en-US"/>
        </w:rPr>
        <w:t xml:space="preserve">: Break-down of budget commitments by years – </w:t>
      </w:r>
      <w:r w:rsidR="005B35A7">
        <w:rPr>
          <w:rFonts w:ascii="Verdana" w:hAnsi="Verdana"/>
          <w:bCs w:val="0"/>
          <w:color w:val="006CB6"/>
          <w:lang w:eastAsia="en-US"/>
        </w:rPr>
        <w:t>OPSESG</w:t>
      </w:r>
      <w:r w:rsidRPr="005B6074">
        <w:rPr>
          <w:rFonts w:ascii="Verdana" w:hAnsi="Verdana"/>
          <w:bCs w:val="0"/>
          <w:color w:val="006CB6"/>
          <w:lang w:eastAsia="en-US"/>
        </w:rPr>
        <w:t xml:space="preserve"> 2014-2020 - compared to comparable investment in 2007-2013</w:t>
      </w:r>
      <w:bookmarkEnd w:id="197"/>
      <w:r w:rsidRPr="005B6074">
        <w:rPr>
          <w:rFonts w:ascii="Verdana" w:hAnsi="Verdana"/>
          <w:bCs w:val="0"/>
          <w:color w:val="006CB6"/>
          <w:lang w:eastAsia="en-US"/>
        </w:rPr>
        <w:t xml:space="preserve"> </w:t>
      </w:r>
      <w:bookmarkEnd w:id="195"/>
      <w:bookmarkEnd w:id="196"/>
    </w:p>
    <w:p w:rsidR="00C513B7" w:rsidRPr="005B6074" w:rsidRDefault="00A35E98" w:rsidP="00C513B7">
      <w:pPr>
        <w:tabs>
          <w:tab w:val="left" w:pos="0"/>
          <w:tab w:val="right" w:pos="9214"/>
        </w:tabs>
        <w:spacing w:after="120"/>
        <w:jc w:val="both"/>
        <w:rPr>
          <w:rFonts w:ascii="Verdana" w:eastAsia="Calibri" w:hAnsi="Verdana"/>
          <w:sz w:val="20"/>
          <w:szCs w:val="20"/>
        </w:rPr>
      </w:pPr>
      <w:r w:rsidRPr="005B6074">
        <w:rPr>
          <w:rFonts w:ascii="Verdana" w:eastAsia="Calibri" w:hAnsi="Verdana"/>
          <w:sz w:val="20"/>
          <w:szCs w:val="20"/>
        </w:rPr>
        <w:t>The budget allocation by years established in the Programme, does not seem ambitious, assuming that less than 1/5 of the financial resources will be certified by the end of 2020.</w:t>
      </w:r>
      <w:r w:rsidRPr="005B6074">
        <w:t xml:space="preserve"> </w:t>
      </w:r>
      <w:r w:rsidRPr="005B6074">
        <w:rPr>
          <w:rFonts w:ascii="Verdana" w:eastAsia="Calibri" w:hAnsi="Verdana"/>
          <w:sz w:val="20"/>
          <w:szCs w:val="20"/>
        </w:rPr>
        <w:t xml:space="preserve">During the first years of the </w:t>
      </w:r>
      <w:r w:rsidR="005B35A7">
        <w:rPr>
          <w:rFonts w:ascii="Verdana" w:eastAsia="Calibri" w:hAnsi="Verdana"/>
          <w:sz w:val="20"/>
          <w:szCs w:val="20"/>
        </w:rPr>
        <w:t>OPSESG</w:t>
      </w:r>
      <w:r w:rsidRPr="005B6074">
        <w:rPr>
          <w:rFonts w:ascii="Verdana" w:eastAsia="Calibri" w:hAnsi="Verdana"/>
          <w:sz w:val="20"/>
          <w:szCs w:val="20"/>
        </w:rPr>
        <w:t xml:space="preserve"> 2014-2020 lower budget commitments are set at the expense of the subsequent years when certification is expected to accelerate significantly, thereby gradually increasing budget commitments throughout the programming period.</w:t>
      </w:r>
    </w:p>
    <w:p w:rsidR="00C513B7" w:rsidRPr="005B6074" w:rsidRDefault="00A35E98" w:rsidP="00C513B7">
      <w:pPr>
        <w:tabs>
          <w:tab w:val="left" w:pos="0"/>
          <w:tab w:val="right" w:pos="9214"/>
        </w:tabs>
        <w:spacing w:after="120"/>
        <w:jc w:val="both"/>
        <w:rPr>
          <w:rFonts w:ascii="Verdana" w:eastAsia="Calibri" w:hAnsi="Verdana"/>
          <w:sz w:val="20"/>
          <w:szCs w:val="20"/>
        </w:rPr>
      </w:pPr>
      <w:r w:rsidRPr="005B6074">
        <w:rPr>
          <w:rFonts w:ascii="Verdana" w:eastAsia="Calibri" w:hAnsi="Verdana"/>
          <w:sz w:val="20"/>
          <w:szCs w:val="20"/>
        </w:rPr>
        <w:lastRenderedPageBreak/>
        <w:t>In order to make a general check of the adequacy of the budget allocations by years, the profile of certifications of comparable funds to date from the 2007-2013 period was estimated with a logistic regression. Several assumptions were also made</w:t>
      </w:r>
      <w:r w:rsidRPr="005B6074">
        <w:rPr>
          <w:rFonts w:ascii="Verdana" w:eastAsia="Times New Roman" w:hAnsi="Verdana"/>
          <w:bCs/>
          <w:color w:val="000000"/>
          <w:sz w:val="20"/>
          <w:szCs w:val="20"/>
          <w:lang w:eastAsia="bg-BG"/>
        </w:rPr>
        <w:t>:</w:t>
      </w:r>
    </w:p>
    <w:p w:rsidR="00C513B7" w:rsidRPr="005B6074" w:rsidRDefault="00A35E98" w:rsidP="00181A22">
      <w:pPr>
        <w:pStyle w:val="ListParagraph1"/>
        <w:widowControl w:val="0"/>
        <w:numPr>
          <w:ilvl w:val="0"/>
          <w:numId w:val="54"/>
        </w:numPr>
        <w:tabs>
          <w:tab w:val="left" w:pos="0"/>
          <w:tab w:val="right" w:pos="9214"/>
        </w:tabs>
        <w:spacing w:before="120" w:after="120" w:line="276" w:lineRule="auto"/>
        <w:rPr>
          <w:rFonts w:ascii="Verdana" w:hAnsi="Verdana"/>
          <w:bCs/>
          <w:color w:val="000000"/>
          <w:sz w:val="20"/>
          <w:lang w:eastAsia="bg-BG"/>
        </w:rPr>
      </w:pPr>
      <w:r w:rsidRPr="005B6074">
        <w:rPr>
          <w:rFonts w:ascii="Verdana" w:hAnsi="Verdana"/>
          <w:bCs/>
          <w:color w:val="000000"/>
          <w:sz w:val="20"/>
          <w:lang w:eastAsia="bg-BG"/>
        </w:rPr>
        <w:t>The pre-financing of the programme by the European Commission during the next programming period is assumed to be as follows:</w:t>
      </w:r>
    </w:p>
    <w:tbl>
      <w:tblPr>
        <w:tblStyle w:val="MediumShading1-Accent11"/>
        <w:tblW w:w="9063" w:type="dxa"/>
        <w:tblInd w:w="108" w:type="dxa"/>
        <w:tblLook w:val="04A0" w:firstRow="1" w:lastRow="0" w:firstColumn="1" w:lastColumn="0" w:noHBand="0" w:noVBand="1"/>
      </w:tblPr>
      <w:tblGrid>
        <w:gridCol w:w="1560"/>
        <w:gridCol w:w="696"/>
        <w:gridCol w:w="696"/>
        <w:gridCol w:w="696"/>
        <w:gridCol w:w="921"/>
        <w:gridCol w:w="814"/>
        <w:gridCol w:w="921"/>
        <w:gridCol w:w="696"/>
        <w:gridCol w:w="696"/>
        <w:gridCol w:w="696"/>
        <w:gridCol w:w="671"/>
      </w:tblGrid>
      <w:tr w:rsidR="00C513B7" w:rsidRPr="005B6074" w:rsidTr="008C5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C513B7" w:rsidRPr="005B6074" w:rsidRDefault="00C513B7" w:rsidP="00F24971">
            <w:pPr>
              <w:widowControl w:val="0"/>
              <w:tabs>
                <w:tab w:val="left" w:pos="0"/>
                <w:tab w:val="right" w:pos="9214"/>
              </w:tabs>
              <w:spacing w:after="0" w:line="240" w:lineRule="auto"/>
              <w:jc w:val="right"/>
              <w:rPr>
                <w:rFonts w:ascii="Verdana" w:eastAsia="Times New Roman" w:hAnsi="Verdana"/>
                <w:bCs w:val="0"/>
                <w:sz w:val="16"/>
                <w:szCs w:val="16"/>
              </w:rPr>
            </w:pPr>
          </w:p>
        </w:tc>
        <w:tc>
          <w:tcPr>
            <w:tcW w:w="696" w:type="dxa"/>
          </w:tcPr>
          <w:p w:rsidR="00A511E7" w:rsidRPr="005B6074" w:rsidRDefault="00A35E98" w:rsidP="005B6074">
            <w:pPr>
              <w:widowControl w:val="0"/>
              <w:tabs>
                <w:tab w:val="left" w:pos="0"/>
                <w:tab w:val="right" w:pos="921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Cs w:val="0"/>
                <w:sz w:val="16"/>
                <w:szCs w:val="16"/>
              </w:rPr>
            </w:pPr>
            <w:r w:rsidRPr="005B6074">
              <w:rPr>
                <w:rFonts w:ascii="Verdana" w:eastAsia="Times New Roman" w:hAnsi="Verdana"/>
                <w:sz w:val="16"/>
                <w:szCs w:val="16"/>
              </w:rPr>
              <w:t>2014</w:t>
            </w:r>
          </w:p>
        </w:tc>
        <w:tc>
          <w:tcPr>
            <w:tcW w:w="696" w:type="dxa"/>
          </w:tcPr>
          <w:p w:rsidR="00A511E7" w:rsidRPr="005B6074" w:rsidRDefault="00A35E98" w:rsidP="005B6074">
            <w:pPr>
              <w:widowControl w:val="0"/>
              <w:tabs>
                <w:tab w:val="left" w:pos="0"/>
                <w:tab w:val="right" w:pos="921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Cs w:val="0"/>
                <w:sz w:val="16"/>
                <w:szCs w:val="16"/>
              </w:rPr>
            </w:pPr>
            <w:r w:rsidRPr="005B6074">
              <w:rPr>
                <w:rFonts w:ascii="Verdana" w:eastAsia="Times New Roman" w:hAnsi="Verdana"/>
                <w:sz w:val="16"/>
                <w:szCs w:val="16"/>
              </w:rPr>
              <w:t>2015</w:t>
            </w:r>
          </w:p>
        </w:tc>
        <w:tc>
          <w:tcPr>
            <w:tcW w:w="696" w:type="dxa"/>
          </w:tcPr>
          <w:p w:rsidR="00A511E7" w:rsidRPr="005B6074" w:rsidRDefault="00A35E98" w:rsidP="005B6074">
            <w:pPr>
              <w:widowControl w:val="0"/>
              <w:tabs>
                <w:tab w:val="left" w:pos="0"/>
                <w:tab w:val="right" w:pos="921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Cs w:val="0"/>
                <w:sz w:val="16"/>
                <w:szCs w:val="16"/>
              </w:rPr>
            </w:pPr>
            <w:r w:rsidRPr="005B6074">
              <w:rPr>
                <w:rFonts w:ascii="Verdana" w:eastAsia="Times New Roman" w:hAnsi="Verdana"/>
                <w:sz w:val="16"/>
                <w:szCs w:val="16"/>
              </w:rPr>
              <w:t>2016</w:t>
            </w:r>
          </w:p>
        </w:tc>
        <w:tc>
          <w:tcPr>
            <w:tcW w:w="921" w:type="dxa"/>
          </w:tcPr>
          <w:p w:rsidR="00A511E7" w:rsidRPr="005B6074" w:rsidRDefault="00A35E98" w:rsidP="005B6074">
            <w:pPr>
              <w:widowControl w:val="0"/>
              <w:tabs>
                <w:tab w:val="left" w:pos="0"/>
                <w:tab w:val="right" w:pos="921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Cs w:val="0"/>
                <w:sz w:val="16"/>
                <w:szCs w:val="16"/>
              </w:rPr>
            </w:pPr>
            <w:r w:rsidRPr="005B6074">
              <w:rPr>
                <w:rFonts w:ascii="Verdana" w:eastAsia="Times New Roman" w:hAnsi="Verdana"/>
                <w:sz w:val="16"/>
                <w:szCs w:val="16"/>
              </w:rPr>
              <w:t>2017</w:t>
            </w:r>
          </w:p>
        </w:tc>
        <w:tc>
          <w:tcPr>
            <w:tcW w:w="814" w:type="dxa"/>
          </w:tcPr>
          <w:p w:rsidR="00A511E7" w:rsidRPr="005B6074" w:rsidRDefault="00A35E98" w:rsidP="005B6074">
            <w:pPr>
              <w:widowControl w:val="0"/>
              <w:tabs>
                <w:tab w:val="left" w:pos="0"/>
                <w:tab w:val="right" w:pos="921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Cs w:val="0"/>
                <w:sz w:val="16"/>
                <w:szCs w:val="16"/>
              </w:rPr>
            </w:pPr>
            <w:r w:rsidRPr="005B6074">
              <w:rPr>
                <w:rFonts w:ascii="Verdana" w:eastAsia="Times New Roman" w:hAnsi="Verdana"/>
                <w:sz w:val="16"/>
                <w:szCs w:val="16"/>
              </w:rPr>
              <w:t>2018</w:t>
            </w:r>
          </w:p>
        </w:tc>
        <w:tc>
          <w:tcPr>
            <w:tcW w:w="921" w:type="dxa"/>
          </w:tcPr>
          <w:p w:rsidR="00A511E7" w:rsidRPr="005B6074" w:rsidRDefault="00A35E98" w:rsidP="005B6074">
            <w:pPr>
              <w:widowControl w:val="0"/>
              <w:tabs>
                <w:tab w:val="left" w:pos="0"/>
                <w:tab w:val="right" w:pos="921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Cs w:val="0"/>
                <w:sz w:val="16"/>
                <w:szCs w:val="16"/>
              </w:rPr>
            </w:pPr>
            <w:r w:rsidRPr="005B6074">
              <w:rPr>
                <w:rFonts w:ascii="Verdana" w:eastAsia="Times New Roman" w:hAnsi="Verdana"/>
                <w:sz w:val="16"/>
                <w:szCs w:val="16"/>
              </w:rPr>
              <w:t>2019</w:t>
            </w:r>
          </w:p>
        </w:tc>
        <w:tc>
          <w:tcPr>
            <w:tcW w:w="696" w:type="dxa"/>
          </w:tcPr>
          <w:p w:rsidR="00A511E7" w:rsidRPr="005B6074" w:rsidRDefault="00A35E98" w:rsidP="005B6074">
            <w:pPr>
              <w:widowControl w:val="0"/>
              <w:tabs>
                <w:tab w:val="left" w:pos="0"/>
                <w:tab w:val="right" w:pos="921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Cs w:val="0"/>
                <w:sz w:val="16"/>
                <w:szCs w:val="16"/>
              </w:rPr>
            </w:pPr>
            <w:r w:rsidRPr="005B6074">
              <w:rPr>
                <w:rFonts w:ascii="Verdana" w:eastAsia="Times New Roman" w:hAnsi="Verdana"/>
                <w:sz w:val="16"/>
                <w:szCs w:val="16"/>
              </w:rPr>
              <w:t>2020</w:t>
            </w:r>
          </w:p>
        </w:tc>
        <w:tc>
          <w:tcPr>
            <w:tcW w:w="696" w:type="dxa"/>
          </w:tcPr>
          <w:p w:rsidR="00A511E7" w:rsidRPr="005B6074" w:rsidRDefault="00A35E98" w:rsidP="005B6074">
            <w:pPr>
              <w:widowControl w:val="0"/>
              <w:tabs>
                <w:tab w:val="left" w:pos="0"/>
                <w:tab w:val="right" w:pos="921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Cs w:val="0"/>
                <w:sz w:val="16"/>
                <w:szCs w:val="16"/>
              </w:rPr>
            </w:pPr>
            <w:r w:rsidRPr="005B6074">
              <w:rPr>
                <w:rFonts w:ascii="Verdana" w:eastAsia="Times New Roman" w:hAnsi="Verdana"/>
                <w:sz w:val="16"/>
                <w:szCs w:val="16"/>
              </w:rPr>
              <w:t>2021</w:t>
            </w:r>
          </w:p>
        </w:tc>
        <w:tc>
          <w:tcPr>
            <w:tcW w:w="696" w:type="dxa"/>
          </w:tcPr>
          <w:p w:rsidR="00A511E7" w:rsidRPr="005B6074" w:rsidRDefault="00A35E98" w:rsidP="005B6074">
            <w:pPr>
              <w:widowControl w:val="0"/>
              <w:tabs>
                <w:tab w:val="left" w:pos="0"/>
                <w:tab w:val="right" w:pos="921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Cs w:val="0"/>
                <w:sz w:val="16"/>
                <w:szCs w:val="16"/>
              </w:rPr>
            </w:pPr>
            <w:r w:rsidRPr="005B6074">
              <w:rPr>
                <w:rFonts w:ascii="Verdana" w:eastAsia="Times New Roman" w:hAnsi="Verdana"/>
                <w:sz w:val="16"/>
                <w:szCs w:val="16"/>
              </w:rPr>
              <w:t>2022</w:t>
            </w:r>
          </w:p>
        </w:tc>
        <w:tc>
          <w:tcPr>
            <w:tcW w:w="671" w:type="dxa"/>
          </w:tcPr>
          <w:p w:rsidR="00A511E7" w:rsidRPr="005B6074" w:rsidRDefault="00A35E98" w:rsidP="005B6074">
            <w:pPr>
              <w:widowControl w:val="0"/>
              <w:tabs>
                <w:tab w:val="left" w:pos="0"/>
                <w:tab w:val="right" w:pos="9214"/>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bCs w:val="0"/>
                <w:sz w:val="16"/>
                <w:szCs w:val="16"/>
              </w:rPr>
            </w:pPr>
            <w:r w:rsidRPr="005B6074">
              <w:rPr>
                <w:rFonts w:ascii="Verdana" w:eastAsia="Times New Roman" w:hAnsi="Verdana"/>
                <w:sz w:val="16"/>
                <w:szCs w:val="16"/>
              </w:rPr>
              <w:t>2023</w:t>
            </w:r>
          </w:p>
        </w:tc>
      </w:tr>
      <w:tr w:rsidR="00C513B7" w:rsidRPr="005B6074" w:rsidTr="008C5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C513B7" w:rsidRPr="005B6074" w:rsidRDefault="00A35E98" w:rsidP="00F24971">
            <w:pPr>
              <w:spacing w:after="0" w:line="240" w:lineRule="auto"/>
              <w:jc w:val="right"/>
              <w:rPr>
                <w:rFonts w:ascii="Verdana" w:hAnsi="Verdana"/>
                <w:color w:val="000000"/>
                <w:sz w:val="16"/>
                <w:szCs w:val="16"/>
              </w:rPr>
            </w:pPr>
            <w:r w:rsidRPr="005B6074">
              <w:rPr>
                <w:rFonts w:ascii="Verdana" w:hAnsi="Verdana"/>
                <w:color w:val="000000"/>
                <w:sz w:val="16"/>
                <w:szCs w:val="16"/>
              </w:rPr>
              <w:t>Initial pre-financing</w:t>
            </w:r>
          </w:p>
        </w:tc>
        <w:tc>
          <w:tcPr>
            <w:tcW w:w="696" w:type="dxa"/>
          </w:tcPr>
          <w:p w:rsidR="00C513B7" w:rsidRPr="005B6074" w:rsidRDefault="00A35E98" w:rsidP="00F249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5B6074">
              <w:rPr>
                <w:rFonts w:ascii="Verdana" w:hAnsi="Verdana"/>
                <w:color w:val="000000"/>
                <w:sz w:val="16"/>
                <w:szCs w:val="16"/>
              </w:rPr>
              <w:t>0.01</w:t>
            </w:r>
          </w:p>
        </w:tc>
        <w:tc>
          <w:tcPr>
            <w:tcW w:w="696" w:type="dxa"/>
          </w:tcPr>
          <w:p w:rsidR="00C513B7" w:rsidRPr="005B6074" w:rsidRDefault="00A35E98" w:rsidP="00F249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5B6074">
              <w:rPr>
                <w:rFonts w:ascii="Verdana" w:hAnsi="Verdana"/>
                <w:color w:val="000000"/>
                <w:sz w:val="16"/>
                <w:szCs w:val="16"/>
              </w:rPr>
              <w:t>0.01</w:t>
            </w:r>
          </w:p>
        </w:tc>
        <w:tc>
          <w:tcPr>
            <w:tcW w:w="696" w:type="dxa"/>
          </w:tcPr>
          <w:p w:rsidR="00C513B7" w:rsidRPr="005B6074" w:rsidRDefault="00A35E98" w:rsidP="00F249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5B6074">
              <w:rPr>
                <w:rFonts w:ascii="Verdana" w:hAnsi="Verdana"/>
                <w:color w:val="000000"/>
                <w:sz w:val="16"/>
                <w:szCs w:val="16"/>
              </w:rPr>
              <w:t>0.01</w:t>
            </w:r>
          </w:p>
        </w:tc>
        <w:tc>
          <w:tcPr>
            <w:tcW w:w="921" w:type="dxa"/>
          </w:tcPr>
          <w:p w:rsidR="00C513B7" w:rsidRPr="005B6074" w:rsidRDefault="00C513B7" w:rsidP="00F249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p>
        </w:tc>
        <w:tc>
          <w:tcPr>
            <w:tcW w:w="814" w:type="dxa"/>
          </w:tcPr>
          <w:p w:rsidR="00C513B7" w:rsidRPr="005B6074" w:rsidRDefault="00C513B7" w:rsidP="00F249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p>
        </w:tc>
        <w:tc>
          <w:tcPr>
            <w:tcW w:w="921" w:type="dxa"/>
          </w:tcPr>
          <w:p w:rsidR="00C513B7" w:rsidRPr="005B6074" w:rsidRDefault="00C513B7" w:rsidP="00F249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p>
        </w:tc>
        <w:tc>
          <w:tcPr>
            <w:tcW w:w="696" w:type="dxa"/>
          </w:tcPr>
          <w:p w:rsidR="00C513B7" w:rsidRPr="005B6074" w:rsidRDefault="00C513B7" w:rsidP="00F249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p>
        </w:tc>
        <w:tc>
          <w:tcPr>
            <w:tcW w:w="696" w:type="dxa"/>
          </w:tcPr>
          <w:p w:rsidR="00C513B7" w:rsidRPr="005B6074" w:rsidRDefault="00C513B7" w:rsidP="00F24971">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p>
        </w:tc>
        <w:tc>
          <w:tcPr>
            <w:tcW w:w="696" w:type="dxa"/>
          </w:tcPr>
          <w:p w:rsidR="00C513B7" w:rsidRPr="005B6074" w:rsidRDefault="00C513B7" w:rsidP="00F24971">
            <w:pPr>
              <w:widowControl w:val="0"/>
              <w:tabs>
                <w:tab w:val="left" w:pos="0"/>
                <w:tab w:val="right" w:pos="9214"/>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bCs/>
                <w:color w:val="000000"/>
                <w:sz w:val="16"/>
                <w:szCs w:val="16"/>
              </w:rPr>
            </w:pPr>
          </w:p>
        </w:tc>
        <w:tc>
          <w:tcPr>
            <w:tcW w:w="671" w:type="dxa"/>
          </w:tcPr>
          <w:p w:rsidR="00C513B7" w:rsidRPr="005B6074" w:rsidRDefault="00C513B7" w:rsidP="00F24971">
            <w:pPr>
              <w:widowControl w:val="0"/>
              <w:tabs>
                <w:tab w:val="left" w:pos="0"/>
                <w:tab w:val="right" w:pos="9214"/>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Verdana" w:eastAsia="Times New Roman" w:hAnsi="Verdana"/>
                <w:bCs/>
                <w:color w:val="000000"/>
                <w:sz w:val="16"/>
                <w:szCs w:val="16"/>
              </w:rPr>
            </w:pPr>
          </w:p>
        </w:tc>
      </w:tr>
      <w:tr w:rsidR="00C513B7" w:rsidRPr="005B6074" w:rsidTr="008C5D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C513B7" w:rsidRPr="005B6074" w:rsidRDefault="00A35E98" w:rsidP="00F24971">
            <w:pPr>
              <w:spacing w:after="0" w:line="240" w:lineRule="auto"/>
              <w:jc w:val="right"/>
              <w:rPr>
                <w:rFonts w:ascii="Verdana" w:hAnsi="Verdana"/>
                <w:color w:val="000000"/>
                <w:sz w:val="16"/>
                <w:szCs w:val="16"/>
              </w:rPr>
            </w:pPr>
            <w:r w:rsidRPr="005B6074">
              <w:rPr>
                <w:rFonts w:ascii="Verdana" w:hAnsi="Verdana"/>
                <w:color w:val="000000"/>
                <w:sz w:val="16"/>
                <w:szCs w:val="16"/>
              </w:rPr>
              <w:t>Annual pre-financing</w:t>
            </w:r>
          </w:p>
        </w:tc>
        <w:tc>
          <w:tcPr>
            <w:tcW w:w="696" w:type="dxa"/>
          </w:tcPr>
          <w:p w:rsidR="00C513B7" w:rsidRPr="005B6074" w:rsidRDefault="00C513B7" w:rsidP="00F249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Verdana" w:hAnsi="Verdana"/>
                <w:color w:val="000000"/>
                <w:sz w:val="16"/>
                <w:szCs w:val="16"/>
              </w:rPr>
            </w:pPr>
          </w:p>
        </w:tc>
        <w:tc>
          <w:tcPr>
            <w:tcW w:w="696" w:type="dxa"/>
          </w:tcPr>
          <w:p w:rsidR="00C513B7" w:rsidRPr="005B6074" w:rsidRDefault="00C513B7" w:rsidP="00F249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Verdana" w:hAnsi="Verdana"/>
                <w:color w:val="000000"/>
                <w:sz w:val="16"/>
                <w:szCs w:val="16"/>
              </w:rPr>
            </w:pPr>
          </w:p>
        </w:tc>
        <w:tc>
          <w:tcPr>
            <w:tcW w:w="696" w:type="dxa"/>
          </w:tcPr>
          <w:p w:rsidR="00C513B7" w:rsidRPr="005B6074" w:rsidRDefault="00A35E98" w:rsidP="00F249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Verdana" w:hAnsi="Verdana"/>
                <w:color w:val="000000"/>
                <w:sz w:val="16"/>
                <w:szCs w:val="16"/>
              </w:rPr>
            </w:pPr>
            <w:r w:rsidRPr="005B6074">
              <w:rPr>
                <w:rFonts w:ascii="Verdana" w:hAnsi="Verdana"/>
                <w:color w:val="000000"/>
                <w:sz w:val="16"/>
                <w:szCs w:val="16"/>
              </w:rPr>
              <w:t>0.02</w:t>
            </w:r>
          </w:p>
        </w:tc>
        <w:tc>
          <w:tcPr>
            <w:tcW w:w="921" w:type="dxa"/>
          </w:tcPr>
          <w:p w:rsidR="00C513B7" w:rsidRPr="005B6074" w:rsidRDefault="00A35E98" w:rsidP="00F249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Verdana" w:hAnsi="Verdana"/>
                <w:color w:val="000000"/>
                <w:sz w:val="16"/>
                <w:szCs w:val="16"/>
              </w:rPr>
            </w:pPr>
            <w:r w:rsidRPr="005B6074">
              <w:rPr>
                <w:rFonts w:ascii="Verdana" w:hAnsi="Verdana"/>
                <w:color w:val="000000"/>
                <w:sz w:val="16"/>
                <w:szCs w:val="16"/>
              </w:rPr>
              <w:t>0.02625</w:t>
            </w:r>
          </w:p>
        </w:tc>
        <w:tc>
          <w:tcPr>
            <w:tcW w:w="814" w:type="dxa"/>
          </w:tcPr>
          <w:p w:rsidR="00C513B7" w:rsidRPr="005B6074" w:rsidRDefault="00A35E98" w:rsidP="00F249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Verdana" w:hAnsi="Verdana"/>
                <w:color w:val="000000"/>
                <w:sz w:val="16"/>
                <w:szCs w:val="16"/>
              </w:rPr>
            </w:pPr>
            <w:r w:rsidRPr="005B6074">
              <w:rPr>
                <w:rFonts w:ascii="Verdana" w:hAnsi="Verdana"/>
                <w:color w:val="000000"/>
                <w:sz w:val="16"/>
                <w:szCs w:val="16"/>
              </w:rPr>
              <w:t>0.0275</w:t>
            </w:r>
          </w:p>
        </w:tc>
        <w:tc>
          <w:tcPr>
            <w:tcW w:w="921" w:type="dxa"/>
          </w:tcPr>
          <w:p w:rsidR="00C513B7" w:rsidRPr="005B6074" w:rsidRDefault="00A35E98" w:rsidP="00F249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Verdana" w:hAnsi="Verdana"/>
                <w:color w:val="000000"/>
                <w:sz w:val="16"/>
                <w:szCs w:val="16"/>
              </w:rPr>
            </w:pPr>
            <w:r w:rsidRPr="005B6074">
              <w:rPr>
                <w:rFonts w:ascii="Verdana" w:hAnsi="Verdana"/>
                <w:color w:val="000000"/>
                <w:sz w:val="16"/>
                <w:szCs w:val="16"/>
              </w:rPr>
              <w:t>0.02875</w:t>
            </w:r>
          </w:p>
        </w:tc>
        <w:tc>
          <w:tcPr>
            <w:tcW w:w="696" w:type="dxa"/>
          </w:tcPr>
          <w:p w:rsidR="00C513B7" w:rsidRPr="005B6074" w:rsidRDefault="00A35E98" w:rsidP="00F249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Verdana" w:hAnsi="Verdana"/>
                <w:color w:val="000000"/>
                <w:sz w:val="16"/>
                <w:szCs w:val="16"/>
              </w:rPr>
            </w:pPr>
            <w:r w:rsidRPr="005B6074">
              <w:rPr>
                <w:rFonts w:ascii="Verdana" w:hAnsi="Verdana"/>
                <w:color w:val="000000"/>
                <w:sz w:val="16"/>
                <w:szCs w:val="16"/>
              </w:rPr>
              <w:t>0.03</w:t>
            </w:r>
          </w:p>
        </w:tc>
        <w:tc>
          <w:tcPr>
            <w:tcW w:w="696" w:type="dxa"/>
          </w:tcPr>
          <w:p w:rsidR="00C513B7" w:rsidRPr="005B6074" w:rsidRDefault="00A35E98" w:rsidP="00F24971">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Verdana" w:hAnsi="Verdana"/>
                <w:color w:val="000000"/>
                <w:sz w:val="16"/>
                <w:szCs w:val="16"/>
              </w:rPr>
            </w:pPr>
            <w:r w:rsidRPr="005B6074">
              <w:rPr>
                <w:rFonts w:ascii="Verdana" w:hAnsi="Verdana"/>
                <w:color w:val="000000"/>
                <w:sz w:val="16"/>
                <w:szCs w:val="16"/>
              </w:rPr>
              <w:t>0.03</w:t>
            </w:r>
          </w:p>
        </w:tc>
        <w:tc>
          <w:tcPr>
            <w:tcW w:w="696" w:type="dxa"/>
          </w:tcPr>
          <w:p w:rsidR="00C513B7" w:rsidRPr="005B6074" w:rsidRDefault="00A35E98" w:rsidP="00F24971">
            <w:pPr>
              <w:widowControl w:val="0"/>
              <w:tabs>
                <w:tab w:val="left" w:pos="0"/>
                <w:tab w:val="right" w:pos="9214"/>
              </w:tabs>
              <w:spacing w:after="0" w:line="240" w:lineRule="auto"/>
              <w:jc w:val="right"/>
              <w:cnfStyle w:val="000000010000" w:firstRow="0" w:lastRow="0" w:firstColumn="0" w:lastColumn="0" w:oddVBand="0" w:evenVBand="0" w:oddHBand="0" w:evenHBand="1" w:firstRowFirstColumn="0" w:firstRowLastColumn="0" w:lastRowFirstColumn="0" w:lastRowLastColumn="0"/>
              <w:rPr>
                <w:rFonts w:ascii="Verdana" w:eastAsia="Times New Roman" w:hAnsi="Verdana"/>
                <w:bCs/>
                <w:color w:val="000000"/>
                <w:sz w:val="16"/>
                <w:szCs w:val="16"/>
              </w:rPr>
            </w:pPr>
            <w:r w:rsidRPr="005B6074">
              <w:rPr>
                <w:rFonts w:ascii="Verdana" w:eastAsia="Times New Roman" w:hAnsi="Verdana"/>
                <w:bCs/>
                <w:color w:val="000000"/>
                <w:sz w:val="16"/>
                <w:szCs w:val="16"/>
              </w:rPr>
              <w:t>0.03</w:t>
            </w:r>
          </w:p>
        </w:tc>
        <w:tc>
          <w:tcPr>
            <w:tcW w:w="671" w:type="dxa"/>
          </w:tcPr>
          <w:p w:rsidR="00C513B7" w:rsidRPr="005B6074" w:rsidRDefault="00A35E98" w:rsidP="00F24971">
            <w:pPr>
              <w:widowControl w:val="0"/>
              <w:tabs>
                <w:tab w:val="left" w:pos="0"/>
                <w:tab w:val="right" w:pos="9214"/>
              </w:tabs>
              <w:spacing w:after="0" w:line="240" w:lineRule="auto"/>
              <w:jc w:val="right"/>
              <w:cnfStyle w:val="000000010000" w:firstRow="0" w:lastRow="0" w:firstColumn="0" w:lastColumn="0" w:oddVBand="0" w:evenVBand="0" w:oddHBand="0" w:evenHBand="1" w:firstRowFirstColumn="0" w:firstRowLastColumn="0" w:lastRowFirstColumn="0" w:lastRowLastColumn="0"/>
              <w:rPr>
                <w:rFonts w:ascii="Verdana" w:eastAsia="Times New Roman" w:hAnsi="Verdana"/>
                <w:bCs/>
                <w:color w:val="000000"/>
                <w:sz w:val="16"/>
                <w:szCs w:val="16"/>
              </w:rPr>
            </w:pPr>
            <w:r w:rsidRPr="005B6074">
              <w:rPr>
                <w:rFonts w:ascii="Verdana" w:eastAsia="Times New Roman" w:hAnsi="Verdana"/>
                <w:bCs/>
                <w:color w:val="000000"/>
                <w:sz w:val="16"/>
                <w:szCs w:val="16"/>
              </w:rPr>
              <w:t>0.03</w:t>
            </w:r>
          </w:p>
        </w:tc>
      </w:tr>
    </w:tbl>
    <w:p w:rsidR="00C513B7" w:rsidRPr="005B6074" w:rsidRDefault="00A35E98" w:rsidP="00181A22">
      <w:pPr>
        <w:pStyle w:val="ListParagraph1"/>
        <w:widowControl w:val="0"/>
        <w:numPr>
          <w:ilvl w:val="0"/>
          <w:numId w:val="54"/>
        </w:numPr>
        <w:tabs>
          <w:tab w:val="left" w:pos="0"/>
          <w:tab w:val="right" w:pos="9214"/>
        </w:tabs>
        <w:spacing w:before="120" w:after="120" w:line="276" w:lineRule="auto"/>
        <w:rPr>
          <w:rFonts w:ascii="Verdana" w:hAnsi="Verdana"/>
          <w:bCs/>
          <w:color w:val="000000"/>
          <w:sz w:val="20"/>
          <w:lang w:eastAsia="bg-BG"/>
        </w:rPr>
      </w:pPr>
      <w:r w:rsidRPr="005B6074">
        <w:rPr>
          <w:rFonts w:ascii="Verdana" w:hAnsi="Verdana"/>
          <w:bCs/>
          <w:color w:val="000000"/>
          <w:sz w:val="20"/>
          <w:lang w:eastAsia="bg-BG"/>
        </w:rPr>
        <w:t>With the reconciliation of accounts at the end of each year, it will not be necessary to return part of the annual pre-financing to the European Commission.</w:t>
      </w:r>
    </w:p>
    <w:p w:rsidR="00C513B7" w:rsidRPr="005B6074" w:rsidRDefault="00A35E98" w:rsidP="00181A22">
      <w:pPr>
        <w:pStyle w:val="ListParagraph1"/>
        <w:widowControl w:val="0"/>
        <w:numPr>
          <w:ilvl w:val="0"/>
          <w:numId w:val="54"/>
        </w:numPr>
        <w:tabs>
          <w:tab w:val="left" w:pos="0"/>
          <w:tab w:val="right" w:pos="9214"/>
        </w:tabs>
        <w:spacing w:before="120" w:after="120" w:line="276" w:lineRule="auto"/>
        <w:rPr>
          <w:rFonts w:ascii="Verdana" w:hAnsi="Verdana"/>
          <w:bCs/>
          <w:color w:val="000000"/>
          <w:sz w:val="20"/>
          <w:lang w:eastAsia="bg-BG"/>
        </w:rPr>
      </w:pPr>
      <w:r w:rsidRPr="005B6074">
        <w:rPr>
          <w:rFonts w:ascii="Verdana" w:hAnsi="Verdana"/>
          <w:bCs/>
          <w:color w:val="000000"/>
          <w:sz w:val="20"/>
          <w:lang w:eastAsia="bg-BG"/>
        </w:rPr>
        <w:t xml:space="preserve">For the purposes of the evaluation of the automatic loss of funds, the performance reserve, amounting to 6% of the funds under the Programme, will be accounted for at the end of the programming period. </w:t>
      </w:r>
    </w:p>
    <w:p w:rsidR="00C513B7" w:rsidRPr="005B6074" w:rsidRDefault="00A35E98" w:rsidP="00181A22">
      <w:pPr>
        <w:pStyle w:val="ListParagraph1"/>
        <w:widowControl w:val="0"/>
        <w:numPr>
          <w:ilvl w:val="0"/>
          <w:numId w:val="54"/>
        </w:numPr>
        <w:tabs>
          <w:tab w:val="left" w:pos="0"/>
          <w:tab w:val="right" w:pos="9214"/>
        </w:tabs>
        <w:spacing w:before="120" w:after="120" w:line="276" w:lineRule="auto"/>
        <w:rPr>
          <w:rFonts w:ascii="Verdana" w:hAnsi="Verdana"/>
          <w:bCs/>
          <w:color w:val="000000"/>
          <w:sz w:val="20"/>
          <w:lang w:eastAsia="bg-BG"/>
        </w:rPr>
      </w:pPr>
      <w:r w:rsidRPr="005B6074">
        <w:rPr>
          <w:rFonts w:ascii="Verdana" w:hAnsi="Verdana"/>
          <w:bCs/>
          <w:color w:val="000000"/>
          <w:sz w:val="20"/>
          <w:lang w:eastAsia="bg-BG"/>
        </w:rPr>
        <w:t>The results of the analysis are illustrated in the Charts below.</w:t>
      </w:r>
    </w:p>
    <w:tbl>
      <w:tblPr>
        <w:tblStyle w:val="TableGrid"/>
        <w:tblW w:w="9782" w:type="dxa"/>
        <w:tblInd w:w="-289" w:type="dxa"/>
        <w:tblLook w:val="04A0" w:firstRow="1" w:lastRow="0" w:firstColumn="1" w:lastColumn="0" w:noHBand="0" w:noVBand="1"/>
      </w:tblPr>
      <w:tblGrid>
        <w:gridCol w:w="5136"/>
        <w:gridCol w:w="4806"/>
      </w:tblGrid>
      <w:tr w:rsidR="00C513B7" w:rsidRPr="005B6074" w:rsidTr="008C5DB0">
        <w:tc>
          <w:tcPr>
            <w:tcW w:w="4962" w:type="dxa"/>
            <w:tcBorders>
              <w:top w:val="nil"/>
              <w:left w:val="nil"/>
              <w:bottom w:val="nil"/>
              <w:right w:val="nil"/>
            </w:tcBorders>
          </w:tcPr>
          <w:p w:rsidR="00C513B7" w:rsidRPr="005B6074" w:rsidRDefault="002900DF" w:rsidP="00F24971">
            <w:pPr>
              <w:widowControl w:val="0"/>
              <w:tabs>
                <w:tab w:val="left" w:pos="0"/>
                <w:tab w:val="right" w:pos="9214"/>
              </w:tabs>
              <w:spacing w:before="120" w:after="120"/>
              <w:jc w:val="both"/>
              <w:rPr>
                <w:rFonts w:ascii="Verdana" w:eastAsia="Times New Roman" w:hAnsi="Verdana"/>
                <w:bCs/>
                <w:color w:val="000000"/>
                <w:sz w:val="20"/>
                <w:szCs w:val="20"/>
              </w:rPr>
            </w:pPr>
            <w:r w:rsidRPr="005B6074">
              <w:rPr>
                <w:rFonts w:ascii="Verdana" w:eastAsia="Times New Roman" w:hAnsi="Verdana"/>
                <w:bCs/>
                <w:noProof/>
                <w:color w:val="000000"/>
                <w:sz w:val="20"/>
                <w:szCs w:val="20"/>
                <w:lang w:val="bg-BG" w:eastAsia="bg-BG"/>
              </w:rPr>
              <w:drawing>
                <wp:inline distT="0" distB="0" distL="0" distR="0" wp14:anchorId="375F01D4" wp14:editId="52D5F483">
                  <wp:extent cx="3095625" cy="2568575"/>
                  <wp:effectExtent l="19050" t="0" r="9525" b="3175"/>
                  <wp:docPr id="4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820" w:type="dxa"/>
            <w:tcBorders>
              <w:top w:val="nil"/>
              <w:left w:val="nil"/>
              <w:bottom w:val="nil"/>
              <w:right w:val="nil"/>
            </w:tcBorders>
          </w:tcPr>
          <w:p w:rsidR="00C513B7" w:rsidRPr="005B6074" w:rsidRDefault="002900DF" w:rsidP="00F24971">
            <w:pPr>
              <w:widowControl w:val="0"/>
              <w:tabs>
                <w:tab w:val="left" w:pos="0"/>
                <w:tab w:val="right" w:pos="9214"/>
              </w:tabs>
              <w:spacing w:before="120" w:after="120"/>
              <w:jc w:val="both"/>
              <w:rPr>
                <w:rFonts w:ascii="Verdana" w:eastAsia="Times New Roman" w:hAnsi="Verdana"/>
                <w:bCs/>
                <w:color w:val="000000"/>
                <w:sz w:val="20"/>
                <w:szCs w:val="20"/>
              </w:rPr>
            </w:pPr>
            <w:r w:rsidRPr="005B6074">
              <w:rPr>
                <w:rFonts w:ascii="Verdana" w:eastAsia="Times New Roman" w:hAnsi="Verdana"/>
                <w:bCs/>
                <w:noProof/>
                <w:color w:val="000000"/>
                <w:sz w:val="20"/>
                <w:szCs w:val="20"/>
                <w:lang w:val="bg-BG" w:eastAsia="bg-BG"/>
              </w:rPr>
              <w:drawing>
                <wp:inline distT="0" distB="0" distL="0" distR="0" wp14:anchorId="75121EE7" wp14:editId="5338718A">
                  <wp:extent cx="2876550" cy="2568575"/>
                  <wp:effectExtent l="19050" t="0" r="19050" b="3175"/>
                  <wp:docPr id="4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C513B7" w:rsidRPr="005B6074" w:rsidTr="00B332D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2"/>
        </w:trPr>
        <w:tc>
          <w:tcPr>
            <w:tcW w:w="4962" w:type="dxa"/>
          </w:tcPr>
          <w:p w:rsidR="00C513B7" w:rsidRPr="005B6074" w:rsidRDefault="00B61225">
            <w:pPr>
              <w:pStyle w:val="Caption"/>
              <w:jc w:val="center"/>
              <w:rPr>
                <w:rFonts w:ascii="Verdana" w:eastAsia="Times New Roman" w:hAnsi="Verdana"/>
                <w:b w:val="0"/>
                <w:bCs w:val="0"/>
                <w:color w:val="548DD4" w:themeColor="text2" w:themeTint="99"/>
              </w:rPr>
            </w:pPr>
            <w:bookmarkStart w:id="198" w:name="_Toc381712246"/>
            <w:bookmarkStart w:id="199" w:name="_Toc390257333"/>
            <w:bookmarkStart w:id="200" w:name="_Toc396225644"/>
            <w:r w:rsidRPr="005B6074">
              <w:rPr>
                <w:rFonts w:ascii="Verdana" w:hAnsi="Verdana"/>
                <w:bCs w:val="0"/>
                <w:color w:val="006CB6"/>
                <w:lang w:eastAsia="en-US"/>
              </w:rPr>
              <w:t xml:space="preserve">Figure </w:t>
            </w:r>
            <w:r w:rsidR="00A35E98" w:rsidRPr="005B6074">
              <w:rPr>
                <w:rFonts w:ascii="Verdana" w:hAnsi="Verdana"/>
                <w:bCs w:val="0"/>
                <w:color w:val="006CB6"/>
                <w:lang w:eastAsia="en-US"/>
              </w:rPr>
              <w:fldChar w:fldCharType="begin"/>
            </w:r>
            <w:r w:rsidRPr="005B6074">
              <w:rPr>
                <w:rFonts w:ascii="Verdana" w:hAnsi="Verdana"/>
                <w:bCs w:val="0"/>
                <w:color w:val="006CB6"/>
                <w:lang w:eastAsia="en-US"/>
              </w:rPr>
              <w:instrText>SEQ фигура \* ARABIC</w:instrText>
            </w:r>
            <w:r w:rsidR="00A35E98" w:rsidRPr="005B6074">
              <w:rPr>
                <w:rFonts w:ascii="Verdana" w:hAnsi="Verdana"/>
                <w:bCs w:val="0"/>
                <w:color w:val="006CB6"/>
                <w:lang w:eastAsia="en-US"/>
              </w:rPr>
              <w:fldChar w:fldCharType="separate"/>
            </w:r>
            <w:r w:rsidR="009330F5">
              <w:rPr>
                <w:rFonts w:ascii="Verdana" w:hAnsi="Verdana"/>
                <w:bCs w:val="0"/>
                <w:noProof/>
                <w:color w:val="006CB6"/>
                <w:lang w:eastAsia="en-US"/>
              </w:rPr>
              <w:t>8</w:t>
            </w:r>
            <w:r w:rsidR="00A35E98" w:rsidRPr="005B6074">
              <w:rPr>
                <w:rFonts w:ascii="Verdana" w:hAnsi="Verdana"/>
                <w:bCs w:val="0"/>
                <w:color w:val="006CB6"/>
                <w:lang w:eastAsia="en-US"/>
              </w:rPr>
              <w:fldChar w:fldCharType="end"/>
            </w:r>
            <w:r w:rsidRPr="005B6074">
              <w:rPr>
                <w:rFonts w:ascii="Verdana" w:hAnsi="Verdana"/>
                <w:bCs w:val="0"/>
                <w:color w:val="006CB6"/>
                <w:lang w:eastAsia="en-US"/>
              </w:rPr>
              <w:t>:</w:t>
            </w:r>
            <w:r w:rsidR="005A4639" w:rsidRPr="005B6074">
              <w:rPr>
                <w:rFonts w:ascii="Verdana" w:hAnsi="Verdana"/>
                <w:bCs w:val="0"/>
                <w:color w:val="006CB6"/>
                <w:lang w:eastAsia="en-US"/>
              </w:rPr>
              <w:t xml:space="preserve"> </w:t>
            </w:r>
            <w:r w:rsidR="00A35E98" w:rsidRPr="005B6074">
              <w:rPr>
                <w:rFonts w:ascii="Verdana" w:hAnsi="Verdana"/>
                <w:bCs w:val="0"/>
                <w:color w:val="006CB6"/>
                <w:lang w:eastAsia="en-US"/>
              </w:rPr>
              <w:t>Absorption during 2007-2013</w:t>
            </w:r>
            <w:bookmarkEnd w:id="198"/>
            <w:bookmarkEnd w:id="199"/>
            <w:bookmarkEnd w:id="200"/>
          </w:p>
        </w:tc>
        <w:tc>
          <w:tcPr>
            <w:tcW w:w="4820" w:type="dxa"/>
          </w:tcPr>
          <w:p w:rsidR="00C513B7" w:rsidRPr="005B6074" w:rsidRDefault="00B61225" w:rsidP="00F24971">
            <w:pPr>
              <w:pStyle w:val="Caption"/>
              <w:jc w:val="center"/>
              <w:rPr>
                <w:rFonts w:ascii="Verdana" w:eastAsia="Times New Roman" w:hAnsi="Verdana"/>
                <w:bCs w:val="0"/>
                <w:color w:val="000000"/>
              </w:rPr>
            </w:pPr>
            <w:bookmarkStart w:id="201" w:name="_Toc381712247"/>
            <w:bookmarkStart w:id="202" w:name="_Toc390257334"/>
            <w:bookmarkStart w:id="203" w:name="_Toc396225645"/>
            <w:r w:rsidRPr="005B6074">
              <w:rPr>
                <w:rFonts w:ascii="Verdana" w:hAnsi="Verdana"/>
                <w:bCs w:val="0"/>
                <w:color w:val="006CB6"/>
                <w:lang w:eastAsia="en-US"/>
              </w:rPr>
              <w:t xml:space="preserve">Figure </w:t>
            </w:r>
            <w:r w:rsidR="00A35E98" w:rsidRPr="005B6074">
              <w:rPr>
                <w:rFonts w:ascii="Verdana" w:hAnsi="Verdana"/>
                <w:bCs w:val="0"/>
                <w:color w:val="006CB6"/>
                <w:lang w:eastAsia="en-US"/>
              </w:rPr>
              <w:fldChar w:fldCharType="begin"/>
            </w:r>
            <w:r w:rsidRPr="005B6074">
              <w:rPr>
                <w:rFonts w:ascii="Verdana" w:hAnsi="Verdana"/>
                <w:bCs w:val="0"/>
                <w:color w:val="006CB6"/>
                <w:lang w:eastAsia="en-US"/>
              </w:rPr>
              <w:instrText>SEQ фигура \* ARABIC</w:instrText>
            </w:r>
            <w:r w:rsidR="00A35E98" w:rsidRPr="005B6074">
              <w:rPr>
                <w:rFonts w:ascii="Verdana" w:hAnsi="Verdana"/>
                <w:bCs w:val="0"/>
                <w:color w:val="006CB6"/>
                <w:lang w:eastAsia="en-US"/>
              </w:rPr>
              <w:fldChar w:fldCharType="separate"/>
            </w:r>
            <w:r w:rsidR="009330F5">
              <w:rPr>
                <w:rFonts w:ascii="Verdana" w:hAnsi="Verdana"/>
                <w:bCs w:val="0"/>
                <w:noProof/>
                <w:color w:val="006CB6"/>
                <w:lang w:eastAsia="en-US"/>
              </w:rPr>
              <w:t>9</w:t>
            </w:r>
            <w:r w:rsidR="00A35E98" w:rsidRPr="005B6074">
              <w:rPr>
                <w:rFonts w:ascii="Verdana" w:hAnsi="Verdana"/>
                <w:bCs w:val="0"/>
                <w:color w:val="006CB6"/>
                <w:lang w:eastAsia="en-US"/>
              </w:rPr>
              <w:fldChar w:fldCharType="end"/>
            </w:r>
            <w:r w:rsidRPr="005B6074">
              <w:rPr>
                <w:rFonts w:ascii="Verdana" w:hAnsi="Verdana"/>
                <w:bCs w:val="0"/>
                <w:color w:val="006CB6"/>
                <w:lang w:eastAsia="en-US"/>
              </w:rPr>
              <w:t xml:space="preserve">: </w:t>
            </w:r>
            <w:r w:rsidR="00A35E98" w:rsidRPr="005B6074">
              <w:rPr>
                <w:rFonts w:ascii="Verdana" w:hAnsi="Verdana"/>
                <w:bCs w:val="0"/>
                <w:color w:val="006CB6"/>
                <w:lang w:eastAsia="en-US"/>
              </w:rPr>
              <w:t>Absorption during 2014-2020</w:t>
            </w:r>
            <w:bookmarkEnd w:id="201"/>
            <w:bookmarkEnd w:id="202"/>
            <w:bookmarkEnd w:id="203"/>
          </w:p>
        </w:tc>
      </w:tr>
    </w:tbl>
    <w:p w:rsidR="00C513B7" w:rsidRPr="005B6074" w:rsidRDefault="00A35E98" w:rsidP="00C513B7">
      <w:pPr>
        <w:widowControl w:val="0"/>
        <w:tabs>
          <w:tab w:val="left" w:pos="0"/>
          <w:tab w:val="right" w:pos="9214"/>
        </w:tabs>
        <w:spacing w:before="120" w:after="120"/>
        <w:ind w:hanging="426"/>
        <w:jc w:val="center"/>
        <w:rPr>
          <w:rFonts w:ascii="Verdana" w:eastAsia="Times New Roman" w:hAnsi="Verdana"/>
          <w:bCs/>
          <w:color w:val="000000"/>
          <w:sz w:val="16"/>
          <w:szCs w:val="16"/>
          <w:lang w:eastAsia="bg-BG"/>
        </w:rPr>
      </w:pPr>
      <w:r w:rsidRPr="005B6074">
        <w:rPr>
          <w:rFonts w:ascii="Verdana" w:eastAsia="Times New Roman" w:hAnsi="Verdana"/>
          <w:bCs/>
          <w:color w:val="000000"/>
          <w:sz w:val="16"/>
          <w:szCs w:val="16"/>
          <w:lang w:eastAsia="bg-BG"/>
        </w:rPr>
        <w:t>Source: UMIS, Partnership agreement of the Republic of Bulgaria, own calculations</w:t>
      </w:r>
    </w:p>
    <w:p w:rsidR="00200BD2" w:rsidRPr="005B6074" w:rsidRDefault="00A35E98" w:rsidP="00C513B7">
      <w:pPr>
        <w:keepNext/>
        <w:widowControl w:val="0"/>
        <w:tabs>
          <w:tab w:val="left" w:pos="0"/>
          <w:tab w:val="right" w:pos="9214"/>
        </w:tabs>
        <w:spacing w:before="240" w:after="12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The figures above show that the specified in the current version of the </w:t>
      </w:r>
      <w:r w:rsidR="005B35A7">
        <w:rPr>
          <w:rFonts w:ascii="Verdana" w:eastAsia="Times New Roman" w:hAnsi="Verdana"/>
          <w:bCs/>
          <w:color w:val="000000"/>
          <w:sz w:val="20"/>
          <w:szCs w:val="20"/>
          <w:lang w:eastAsia="bg-BG"/>
        </w:rPr>
        <w:t>OPSESG</w:t>
      </w:r>
      <w:r w:rsidRPr="005B6074">
        <w:rPr>
          <w:rFonts w:ascii="Verdana" w:eastAsia="Times New Roman" w:hAnsi="Verdana"/>
          <w:bCs/>
          <w:color w:val="000000"/>
          <w:sz w:val="20"/>
          <w:szCs w:val="20"/>
          <w:lang w:eastAsia="bg-BG"/>
        </w:rPr>
        <w:t xml:space="preserve"> 2014</w:t>
      </w:r>
      <w:r w:rsidR="00356DA5" w:rsidRPr="005B6074">
        <w:rPr>
          <w:rFonts w:ascii="Verdana" w:eastAsia="Times New Roman" w:hAnsi="Verdana"/>
          <w:bCs/>
          <w:color w:val="000000"/>
          <w:sz w:val="20"/>
          <w:szCs w:val="20"/>
          <w:lang w:eastAsia="bg-BG"/>
        </w:rPr>
        <w:t>-</w:t>
      </w:r>
      <w:r w:rsidRPr="005B6074">
        <w:rPr>
          <w:rFonts w:ascii="Verdana" w:eastAsia="Times New Roman" w:hAnsi="Verdana"/>
          <w:bCs/>
          <w:color w:val="000000"/>
          <w:sz w:val="20"/>
          <w:szCs w:val="20"/>
          <w:lang w:eastAsia="bg-BG"/>
        </w:rPr>
        <w:t xml:space="preserve">2020 profile of the budgetary commitments and under the assumption that the implementation of the program will be similar to the one under priority axes 3 and 4 of the OP HRD 2007-2013, there will be risk of automatic </w:t>
      </w:r>
      <w:proofErr w:type="spellStart"/>
      <w:r w:rsidRPr="005B6074">
        <w:rPr>
          <w:rFonts w:ascii="Verdana" w:eastAsia="Times New Roman" w:hAnsi="Verdana"/>
          <w:bCs/>
          <w:color w:val="000000"/>
          <w:sz w:val="20"/>
          <w:szCs w:val="20"/>
          <w:lang w:eastAsia="bg-BG"/>
        </w:rPr>
        <w:t>decommitment</w:t>
      </w:r>
      <w:proofErr w:type="spellEnd"/>
      <w:r w:rsidRPr="005B6074">
        <w:rPr>
          <w:rFonts w:ascii="Verdana" w:eastAsia="Times New Roman" w:hAnsi="Verdana"/>
          <w:bCs/>
          <w:color w:val="000000"/>
          <w:sz w:val="20"/>
          <w:szCs w:val="20"/>
          <w:lang w:eastAsia="bg-BG"/>
        </w:rPr>
        <w:t xml:space="preserve"> </w:t>
      </w:r>
      <w:r w:rsidR="004A41DD" w:rsidRPr="005B6074">
        <w:rPr>
          <w:rFonts w:ascii="Verdana" w:eastAsia="Times New Roman" w:hAnsi="Verdana"/>
          <w:bCs/>
          <w:color w:val="000000"/>
          <w:sz w:val="20"/>
          <w:szCs w:val="20"/>
          <w:lang w:eastAsia="bg-BG"/>
        </w:rPr>
        <w:t>in</w:t>
      </w:r>
      <w:r w:rsidRPr="005B6074">
        <w:rPr>
          <w:rFonts w:ascii="Verdana" w:eastAsia="Times New Roman" w:hAnsi="Verdana"/>
          <w:bCs/>
          <w:color w:val="000000"/>
          <w:sz w:val="20"/>
          <w:szCs w:val="20"/>
          <w:lang w:eastAsia="bg-BG"/>
        </w:rPr>
        <w:t xml:space="preserve"> 20</w:t>
      </w:r>
      <w:r w:rsidR="004A41DD" w:rsidRPr="005B6074">
        <w:rPr>
          <w:rFonts w:ascii="Verdana" w:eastAsia="Times New Roman" w:hAnsi="Verdana"/>
          <w:bCs/>
          <w:color w:val="000000"/>
          <w:sz w:val="20"/>
          <w:szCs w:val="20"/>
          <w:lang w:eastAsia="bg-BG"/>
        </w:rPr>
        <w:t>1</w:t>
      </w:r>
      <w:r w:rsidR="000D4E29" w:rsidRPr="005B6074">
        <w:rPr>
          <w:rFonts w:ascii="Verdana" w:eastAsia="Times New Roman" w:hAnsi="Verdana"/>
          <w:bCs/>
          <w:color w:val="000000"/>
          <w:sz w:val="20"/>
          <w:szCs w:val="20"/>
          <w:lang w:eastAsia="bg-BG"/>
        </w:rPr>
        <w:t>8-2019</w:t>
      </w:r>
      <w:r w:rsidRPr="005B6074">
        <w:rPr>
          <w:rFonts w:ascii="Verdana" w:eastAsia="Times New Roman" w:hAnsi="Verdana"/>
          <w:bCs/>
          <w:color w:val="000000"/>
          <w:sz w:val="20"/>
          <w:szCs w:val="20"/>
          <w:lang w:eastAsia="bg-BG"/>
        </w:rPr>
        <w:t xml:space="preserve">. </w:t>
      </w:r>
    </w:p>
    <w:p w:rsidR="00200BD2" w:rsidRPr="005B6074" w:rsidRDefault="00200BD2" w:rsidP="00C513B7">
      <w:pPr>
        <w:keepNext/>
        <w:widowControl w:val="0"/>
        <w:tabs>
          <w:tab w:val="left" w:pos="0"/>
          <w:tab w:val="right" w:pos="9214"/>
        </w:tabs>
        <w:spacing w:before="240" w:after="12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Therefore the evaluator proposes </w:t>
      </w:r>
      <w:r w:rsidR="00AE7E17" w:rsidRPr="005B6074">
        <w:rPr>
          <w:rFonts w:ascii="Verdana" w:eastAsia="Times New Roman" w:hAnsi="Verdana"/>
          <w:bCs/>
          <w:color w:val="000000"/>
          <w:sz w:val="20"/>
          <w:szCs w:val="20"/>
          <w:lang w:eastAsia="bg-BG"/>
        </w:rPr>
        <w:t xml:space="preserve">non-linear, but constantly increasing </w:t>
      </w:r>
      <w:r w:rsidR="005A4639" w:rsidRPr="005B6074">
        <w:rPr>
          <w:rFonts w:ascii="Verdana" w:eastAsia="Times New Roman" w:hAnsi="Verdana"/>
          <w:bCs/>
          <w:color w:val="000000"/>
          <w:sz w:val="20"/>
          <w:szCs w:val="20"/>
          <w:lang w:eastAsia="bg-BG"/>
        </w:rPr>
        <w:t>with time distribution of the annual financing</w:t>
      </w:r>
      <w:r w:rsidR="00AE7E17" w:rsidRPr="005B6074">
        <w:rPr>
          <w:rFonts w:ascii="Verdana" w:eastAsia="Times New Roman" w:hAnsi="Verdana"/>
          <w:bCs/>
          <w:color w:val="000000"/>
          <w:sz w:val="20"/>
          <w:szCs w:val="20"/>
          <w:lang w:eastAsia="bg-BG"/>
        </w:rPr>
        <w:t xml:space="preserve">, as in the first periods of the implementation of </w:t>
      </w:r>
      <w:r w:rsidR="005B35A7">
        <w:rPr>
          <w:rFonts w:ascii="Verdana" w:eastAsia="Times New Roman" w:hAnsi="Verdana"/>
          <w:bCs/>
          <w:color w:val="000000"/>
          <w:sz w:val="20"/>
          <w:szCs w:val="20"/>
          <w:lang w:eastAsia="bg-BG"/>
        </w:rPr>
        <w:t>OPSESG</w:t>
      </w:r>
      <w:r w:rsidR="00AE7E17" w:rsidRPr="005B6074">
        <w:rPr>
          <w:rFonts w:ascii="Verdana" w:eastAsia="Times New Roman" w:hAnsi="Verdana"/>
          <w:bCs/>
          <w:color w:val="000000"/>
          <w:sz w:val="20"/>
          <w:szCs w:val="20"/>
          <w:lang w:eastAsia="bg-BG"/>
        </w:rPr>
        <w:t xml:space="preserve"> 2014-2020 lower budget commitments are set. As an example of such distribution, for the purpose of the evaluation,</w:t>
      </w:r>
      <w:r w:rsidR="00311E51" w:rsidRPr="005B6074">
        <w:rPr>
          <w:rFonts w:ascii="Verdana" w:eastAsia="Times New Roman" w:hAnsi="Verdana"/>
          <w:bCs/>
          <w:color w:val="000000"/>
          <w:sz w:val="20"/>
          <w:szCs w:val="20"/>
          <w:lang w:eastAsia="bg-BG"/>
        </w:rPr>
        <w:t xml:space="preserve"> we have calculated the minimum permissible profile of the </w:t>
      </w:r>
      <w:r w:rsidR="00311E51" w:rsidRPr="005B6074">
        <w:rPr>
          <w:rFonts w:ascii="Verdana" w:eastAsia="Times New Roman" w:hAnsi="Verdana"/>
          <w:bCs/>
          <w:color w:val="000000"/>
          <w:sz w:val="20"/>
          <w:szCs w:val="20"/>
          <w:lang w:eastAsia="bg-BG"/>
        </w:rPr>
        <w:lastRenderedPageBreak/>
        <w:t xml:space="preserve">budget of </w:t>
      </w:r>
      <w:r w:rsidR="005B35A7">
        <w:rPr>
          <w:rFonts w:ascii="Verdana" w:eastAsia="Times New Roman" w:hAnsi="Verdana"/>
          <w:bCs/>
          <w:color w:val="000000"/>
          <w:sz w:val="20"/>
          <w:szCs w:val="20"/>
          <w:lang w:eastAsia="bg-BG"/>
        </w:rPr>
        <w:t>OPSESG</w:t>
      </w:r>
      <w:r w:rsidR="00311E51" w:rsidRPr="005B6074">
        <w:rPr>
          <w:rFonts w:ascii="Verdana" w:eastAsia="Times New Roman" w:hAnsi="Verdana"/>
          <w:bCs/>
          <w:color w:val="000000"/>
          <w:sz w:val="20"/>
          <w:szCs w:val="20"/>
          <w:lang w:eastAsia="bg-BG"/>
        </w:rPr>
        <w:t xml:space="preserve"> that does not allow for automatic </w:t>
      </w:r>
      <w:proofErr w:type="spellStart"/>
      <w:r w:rsidR="00311E51" w:rsidRPr="005B6074">
        <w:rPr>
          <w:rFonts w:ascii="Verdana" w:eastAsia="Times New Roman" w:hAnsi="Verdana"/>
          <w:bCs/>
          <w:color w:val="000000"/>
          <w:sz w:val="20"/>
          <w:szCs w:val="20"/>
          <w:lang w:eastAsia="bg-BG"/>
        </w:rPr>
        <w:t>decommitment</w:t>
      </w:r>
      <w:proofErr w:type="spellEnd"/>
      <w:r w:rsidR="00311E51" w:rsidRPr="005B6074">
        <w:rPr>
          <w:rFonts w:ascii="Verdana" w:eastAsia="Times New Roman" w:hAnsi="Verdana"/>
          <w:bCs/>
          <w:color w:val="000000"/>
          <w:sz w:val="20"/>
          <w:szCs w:val="20"/>
          <w:lang w:eastAsia="bg-BG"/>
        </w:rPr>
        <w:t xml:space="preserve"> of financial resources in case programme implementation follows the one of priority axes 3 and 4 of OP HRD 2007-2013.</w:t>
      </w:r>
      <w:r w:rsidR="00AE7E17" w:rsidRPr="005B6074">
        <w:rPr>
          <w:rFonts w:ascii="Verdana" w:eastAsia="Times New Roman" w:hAnsi="Verdana"/>
          <w:bCs/>
          <w:color w:val="000000"/>
          <w:sz w:val="20"/>
          <w:szCs w:val="20"/>
          <w:lang w:eastAsia="bg-BG"/>
        </w:rPr>
        <w:t xml:space="preserve"> </w:t>
      </w:r>
    </w:p>
    <w:tbl>
      <w:tblPr>
        <w:tblStyle w:val="TableGrid"/>
        <w:tblW w:w="1071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8"/>
        <w:gridCol w:w="5316"/>
      </w:tblGrid>
      <w:tr w:rsidR="005A4639" w:rsidRPr="005B6074" w:rsidTr="00845752">
        <w:tc>
          <w:tcPr>
            <w:tcW w:w="5455" w:type="dxa"/>
          </w:tcPr>
          <w:p w:rsidR="005A4639" w:rsidRPr="005B6074" w:rsidRDefault="001C0323" w:rsidP="00EC49BE">
            <w:pPr>
              <w:widowControl w:val="0"/>
              <w:tabs>
                <w:tab w:val="left" w:pos="176"/>
                <w:tab w:val="right" w:pos="9214"/>
              </w:tabs>
              <w:spacing w:before="120" w:after="120"/>
              <w:rPr>
                <w:rFonts w:ascii="Verdana" w:eastAsia="Times New Roman" w:hAnsi="Verdana"/>
                <w:bCs/>
                <w:color w:val="000000"/>
                <w:sz w:val="20"/>
                <w:szCs w:val="20"/>
                <w:lang w:eastAsia="bg-BG"/>
              </w:rPr>
            </w:pPr>
            <w:r w:rsidRPr="005B6074">
              <w:rPr>
                <w:rFonts w:ascii="Verdana" w:eastAsia="Times New Roman" w:hAnsi="Verdana"/>
                <w:bCs/>
                <w:noProof/>
                <w:color w:val="000000"/>
                <w:sz w:val="20"/>
                <w:szCs w:val="20"/>
                <w:lang w:val="bg-BG" w:eastAsia="bg-BG"/>
              </w:rPr>
              <mc:AlternateContent>
                <mc:Choice Requires="wps">
                  <w:drawing>
                    <wp:anchor distT="0" distB="0" distL="114300" distR="114300" simplePos="0" relativeHeight="251660288" behindDoc="0" locked="0" layoutInCell="1" allowOverlap="1" wp14:anchorId="37688B15" wp14:editId="40AC7733">
                      <wp:simplePos x="0" y="0"/>
                      <wp:positionH relativeFrom="column">
                        <wp:posOffset>624840</wp:posOffset>
                      </wp:positionH>
                      <wp:positionV relativeFrom="paragraph">
                        <wp:posOffset>2734310</wp:posOffset>
                      </wp:positionV>
                      <wp:extent cx="2138045" cy="179070"/>
                      <wp:effectExtent l="0" t="0" r="0" b="0"/>
                      <wp:wrapNone/>
                      <wp:docPr id="37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179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21F" w:rsidRPr="00973495" w:rsidRDefault="005A221F" w:rsidP="003764DF">
                                  <w:pPr>
                                    <w:spacing w:after="0" w:line="240" w:lineRule="auto"/>
                                    <w:rPr>
                                      <w:rFonts w:ascii="Verdana" w:hAnsi="Verdana"/>
                                      <w:sz w:val="14"/>
                                      <w:szCs w:val="14"/>
                                      <w:lang w:val="en-US"/>
                                    </w:rPr>
                                  </w:pPr>
                                  <w:r w:rsidRPr="00973495">
                                    <w:rPr>
                                      <w:rFonts w:ascii="Verdana" w:hAnsi="Verdana"/>
                                      <w:sz w:val="14"/>
                                      <w:szCs w:val="14"/>
                                      <w:lang w:val="en-US"/>
                                    </w:rPr>
                                    <w:t>Distribution according to OP SESG 2014-2020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88B15" id="Text Box 50" o:spid="_x0000_s1033" type="#_x0000_t202" style="position:absolute;margin-left:49.2pt;margin-top:215.3pt;width:168.35pt;height:1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" stroked="f">
                      <v:textbox>
                        <w:txbxContent>
                          <w:p w:rsidR="005A221F" w:rsidRPr="00973495" w:rsidRDefault="005A221F" w:rsidP="003764DF">
                            <w:pPr>
                              <w:spacing w:after="0" w:line="240" w:lineRule="auto"/>
                              <w:rPr>
                                <w:rFonts w:ascii="Verdana" w:hAnsi="Verdana"/>
                                <w:sz w:val="14"/>
                                <w:szCs w:val="14"/>
                                <w:lang w:val="en-US"/>
                              </w:rPr>
                            </w:pPr>
                            <w:r w:rsidRPr="00973495">
                              <w:rPr>
                                <w:rFonts w:ascii="Verdana" w:hAnsi="Verdana"/>
                                <w:sz w:val="14"/>
                                <w:szCs w:val="14"/>
                                <w:lang w:val="en-US"/>
                              </w:rPr>
                              <w:t>Distribution according to OP SESG 2014-2020</w:t>
                            </w:r>
                          </w:p>
                        </w:txbxContent>
                      </v:textbox>
                    </v:shape>
                  </w:pict>
                </mc:Fallback>
              </mc:AlternateContent>
            </w:r>
            <w:r w:rsidRPr="005B6074">
              <w:rPr>
                <w:rFonts w:ascii="Verdana" w:eastAsia="Times New Roman" w:hAnsi="Verdana"/>
                <w:bCs/>
                <w:noProof/>
                <w:color w:val="000000"/>
                <w:sz w:val="20"/>
                <w:szCs w:val="20"/>
                <w:lang w:val="bg-BG" w:eastAsia="bg-BG"/>
              </w:rPr>
              <mc:AlternateContent>
                <mc:Choice Requires="wps">
                  <w:drawing>
                    <wp:anchor distT="0" distB="0" distL="114300" distR="114300" simplePos="0" relativeHeight="251661312" behindDoc="0" locked="0" layoutInCell="1" allowOverlap="1" wp14:anchorId="3365BFD0" wp14:editId="617C51B2">
                      <wp:simplePos x="0" y="0"/>
                      <wp:positionH relativeFrom="column">
                        <wp:posOffset>625475</wp:posOffset>
                      </wp:positionH>
                      <wp:positionV relativeFrom="paragraph">
                        <wp:posOffset>2881630</wp:posOffset>
                      </wp:positionV>
                      <wp:extent cx="1320800" cy="193040"/>
                      <wp:effectExtent l="0" t="1270" r="0" b="0"/>
                      <wp:wrapNone/>
                      <wp:docPr id="37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19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21F" w:rsidRPr="00973495" w:rsidRDefault="005A221F" w:rsidP="00973495">
                                  <w:pPr>
                                    <w:spacing w:after="0" w:line="240" w:lineRule="auto"/>
                                    <w:rPr>
                                      <w:rFonts w:ascii="Verdana" w:hAnsi="Verdana"/>
                                      <w:sz w:val="14"/>
                                      <w:szCs w:val="14"/>
                                      <w:lang w:val="en-US"/>
                                    </w:rPr>
                                  </w:pPr>
                                  <w:r w:rsidRPr="00973495">
                                    <w:rPr>
                                      <w:rFonts w:ascii="Verdana" w:hAnsi="Verdana"/>
                                      <w:sz w:val="14"/>
                                      <w:szCs w:val="14"/>
                                      <w:lang w:val="en-US"/>
                                    </w:rPr>
                                    <w:t>Alternative distribution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5BFD0" id="Text Box 51" o:spid="_x0000_s1034" type="#_x0000_t202" style="position:absolute;margin-left:49.25pt;margin-top:226.9pt;width:104pt;height: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" stroked="f">
                      <v:textbox>
                        <w:txbxContent>
                          <w:p w:rsidR="005A221F" w:rsidRPr="00973495" w:rsidRDefault="005A221F" w:rsidP="00973495">
                            <w:pPr>
                              <w:spacing w:after="0" w:line="240" w:lineRule="auto"/>
                              <w:rPr>
                                <w:rFonts w:ascii="Verdana" w:hAnsi="Verdana"/>
                                <w:sz w:val="14"/>
                                <w:szCs w:val="14"/>
                                <w:lang w:val="en-US"/>
                              </w:rPr>
                            </w:pPr>
                            <w:r w:rsidRPr="00973495">
                              <w:rPr>
                                <w:rFonts w:ascii="Verdana" w:hAnsi="Verdana"/>
                                <w:sz w:val="14"/>
                                <w:szCs w:val="14"/>
                                <w:lang w:val="en-US"/>
                              </w:rPr>
                              <w:t>Alternative distribution</w:t>
                            </w:r>
                          </w:p>
                        </w:txbxContent>
                      </v:textbox>
                    </v:shape>
                  </w:pict>
                </mc:Fallback>
              </mc:AlternateContent>
            </w:r>
            <w:r w:rsidR="00A511E7" w:rsidRPr="005B6074">
              <w:rPr>
                <w:rFonts w:ascii="Verdana" w:eastAsia="Times New Roman" w:hAnsi="Verdana"/>
                <w:bCs/>
                <w:noProof/>
                <w:color w:val="000000"/>
                <w:sz w:val="20"/>
                <w:szCs w:val="20"/>
                <w:lang w:val="bg-BG" w:eastAsia="bg-BG"/>
              </w:rPr>
              <w:drawing>
                <wp:inline distT="0" distB="0" distL="0" distR="0" wp14:anchorId="79571046" wp14:editId="1C183BE0">
                  <wp:extent cx="3147060" cy="3025140"/>
                  <wp:effectExtent l="0" t="0" r="0" b="381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45809" cy="3025993"/>
                          </a:xfrm>
                          <a:prstGeom prst="rect">
                            <a:avLst/>
                          </a:prstGeom>
                          <a:noFill/>
                          <a:ln>
                            <a:noFill/>
                          </a:ln>
                        </pic:spPr>
                      </pic:pic>
                    </a:graphicData>
                  </a:graphic>
                </wp:inline>
              </w:drawing>
            </w:r>
          </w:p>
        </w:tc>
        <w:tc>
          <w:tcPr>
            <w:tcW w:w="5259" w:type="dxa"/>
          </w:tcPr>
          <w:p w:rsidR="005A4639" w:rsidRPr="005B6074" w:rsidRDefault="001C0323" w:rsidP="005A4639">
            <w:pPr>
              <w:widowControl w:val="0"/>
              <w:tabs>
                <w:tab w:val="left" w:pos="0"/>
                <w:tab w:val="right" w:pos="9214"/>
              </w:tabs>
              <w:spacing w:before="120" w:after="120"/>
              <w:rPr>
                <w:rFonts w:ascii="Verdana" w:eastAsia="Times New Roman" w:hAnsi="Verdana"/>
                <w:bCs/>
                <w:color w:val="000000"/>
                <w:sz w:val="20"/>
                <w:szCs w:val="20"/>
                <w:lang w:eastAsia="bg-BG"/>
              </w:rPr>
            </w:pPr>
            <w:r w:rsidRPr="005B6074">
              <w:rPr>
                <w:rFonts w:ascii="Verdana" w:eastAsia="Times New Roman" w:hAnsi="Verdana"/>
                <w:bCs/>
                <w:noProof/>
                <w:color w:val="000000"/>
                <w:sz w:val="20"/>
                <w:szCs w:val="20"/>
                <w:lang w:val="bg-BG" w:eastAsia="bg-BG"/>
              </w:rPr>
              <mc:AlternateContent>
                <mc:Choice Requires="wpc">
                  <w:drawing>
                    <wp:inline distT="0" distB="0" distL="0" distR="0" wp14:anchorId="68BDD052" wp14:editId="54EDD2B9">
                      <wp:extent cx="3201670" cy="3101340"/>
                      <wp:effectExtent l="18415" t="13335" r="18415" b="0"/>
                      <wp:docPr id="374"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 name="Rectangle 13"/>
                              <wps:cNvSpPr>
                                <a:spLocks noChangeArrowheads="1"/>
                              </wps:cNvSpPr>
                              <wps:spPr bwMode="auto">
                                <a:xfrm>
                                  <a:off x="3175" y="3175"/>
                                  <a:ext cx="3195320" cy="302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14"/>
                              <wps:cNvSpPr>
                                <a:spLocks noChangeArrowheads="1"/>
                              </wps:cNvSpPr>
                              <wps:spPr bwMode="auto">
                                <a:xfrm>
                                  <a:off x="380365" y="93980"/>
                                  <a:ext cx="2727325" cy="2416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15"/>
                              <wps:cNvSpPr>
                                <a:spLocks noEditPoints="1"/>
                              </wps:cNvSpPr>
                              <wps:spPr bwMode="auto">
                                <a:xfrm>
                                  <a:off x="380365" y="91440"/>
                                  <a:ext cx="2727325" cy="2179955"/>
                                </a:xfrm>
                                <a:custGeom>
                                  <a:avLst/>
                                  <a:gdLst>
                                    <a:gd name="T0" fmla="*/ 0 w 4295"/>
                                    <a:gd name="T1" fmla="*/ 3424 h 3433"/>
                                    <a:gd name="T2" fmla="*/ 4295 w 4295"/>
                                    <a:gd name="T3" fmla="*/ 3424 h 3433"/>
                                    <a:gd name="T4" fmla="*/ 4295 w 4295"/>
                                    <a:gd name="T5" fmla="*/ 3433 h 3433"/>
                                    <a:gd name="T6" fmla="*/ 0 w 4295"/>
                                    <a:gd name="T7" fmla="*/ 3433 h 3433"/>
                                    <a:gd name="T8" fmla="*/ 0 w 4295"/>
                                    <a:gd name="T9" fmla="*/ 3424 h 3433"/>
                                    <a:gd name="T10" fmla="*/ 0 w 4295"/>
                                    <a:gd name="T11" fmla="*/ 3043 h 3433"/>
                                    <a:gd name="T12" fmla="*/ 4295 w 4295"/>
                                    <a:gd name="T13" fmla="*/ 3043 h 3433"/>
                                    <a:gd name="T14" fmla="*/ 4295 w 4295"/>
                                    <a:gd name="T15" fmla="*/ 3052 h 3433"/>
                                    <a:gd name="T16" fmla="*/ 0 w 4295"/>
                                    <a:gd name="T17" fmla="*/ 3052 h 3433"/>
                                    <a:gd name="T18" fmla="*/ 0 w 4295"/>
                                    <a:gd name="T19" fmla="*/ 3043 h 3433"/>
                                    <a:gd name="T20" fmla="*/ 0 w 4295"/>
                                    <a:gd name="T21" fmla="*/ 2664 h 3433"/>
                                    <a:gd name="T22" fmla="*/ 4295 w 4295"/>
                                    <a:gd name="T23" fmla="*/ 2664 h 3433"/>
                                    <a:gd name="T24" fmla="*/ 4295 w 4295"/>
                                    <a:gd name="T25" fmla="*/ 2673 h 3433"/>
                                    <a:gd name="T26" fmla="*/ 0 w 4295"/>
                                    <a:gd name="T27" fmla="*/ 2673 h 3433"/>
                                    <a:gd name="T28" fmla="*/ 0 w 4295"/>
                                    <a:gd name="T29" fmla="*/ 2664 h 3433"/>
                                    <a:gd name="T30" fmla="*/ 0 w 4295"/>
                                    <a:gd name="T31" fmla="*/ 2283 h 3433"/>
                                    <a:gd name="T32" fmla="*/ 4295 w 4295"/>
                                    <a:gd name="T33" fmla="*/ 2283 h 3433"/>
                                    <a:gd name="T34" fmla="*/ 4295 w 4295"/>
                                    <a:gd name="T35" fmla="*/ 2293 h 3433"/>
                                    <a:gd name="T36" fmla="*/ 0 w 4295"/>
                                    <a:gd name="T37" fmla="*/ 2293 h 3433"/>
                                    <a:gd name="T38" fmla="*/ 0 w 4295"/>
                                    <a:gd name="T39" fmla="*/ 2283 h 3433"/>
                                    <a:gd name="T40" fmla="*/ 0 w 4295"/>
                                    <a:gd name="T41" fmla="*/ 1903 h 3433"/>
                                    <a:gd name="T42" fmla="*/ 4295 w 4295"/>
                                    <a:gd name="T43" fmla="*/ 1903 h 3433"/>
                                    <a:gd name="T44" fmla="*/ 4295 w 4295"/>
                                    <a:gd name="T45" fmla="*/ 1912 h 3433"/>
                                    <a:gd name="T46" fmla="*/ 0 w 4295"/>
                                    <a:gd name="T47" fmla="*/ 1912 h 3433"/>
                                    <a:gd name="T48" fmla="*/ 0 w 4295"/>
                                    <a:gd name="T49" fmla="*/ 1903 h 3433"/>
                                    <a:gd name="T50" fmla="*/ 0 w 4295"/>
                                    <a:gd name="T51" fmla="*/ 1522 h 3433"/>
                                    <a:gd name="T52" fmla="*/ 4295 w 4295"/>
                                    <a:gd name="T53" fmla="*/ 1522 h 3433"/>
                                    <a:gd name="T54" fmla="*/ 4295 w 4295"/>
                                    <a:gd name="T55" fmla="*/ 1532 h 3433"/>
                                    <a:gd name="T56" fmla="*/ 0 w 4295"/>
                                    <a:gd name="T57" fmla="*/ 1532 h 3433"/>
                                    <a:gd name="T58" fmla="*/ 0 w 4295"/>
                                    <a:gd name="T59" fmla="*/ 1522 h 3433"/>
                                    <a:gd name="T60" fmla="*/ 0 w 4295"/>
                                    <a:gd name="T61" fmla="*/ 1142 h 3433"/>
                                    <a:gd name="T62" fmla="*/ 4295 w 4295"/>
                                    <a:gd name="T63" fmla="*/ 1142 h 3433"/>
                                    <a:gd name="T64" fmla="*/ 4295 w 4295"/>
                                    <a:gd name="T65" fmla="*/ 1151 h 3433"/>
                                    <a:gd name="T66" fmla="*/ 0 w 4295"/>
                                    <a:gd name="T67" fmla="*/ 1151 h 3433"/>
                                    <a:gd name="T68" fmla="*/ 0 w 4295"/>
                                    <a:gd name="T69" fmla="*/ 1142 h 3433"/>
                                    <a:gd name="T70" fmla="*/ 0 w 4295"/>
                                    <a:gd name="T71" fmla="*/ 761 h 3433"/>
                                    <a:gd name="T72" fmla="*/ 4295 w 4295"/>
                                    <a:gd name="T73" fmla="*/ 761 h 3433"/>
                                    <a:gd name="T74" fmla="*/ 4295 w 4295"/>
                                    <a:gd name="T75" fmla="*/ 770 h 3433"/>
                                    <a:gd name="T76" fmla="*/ 0 w 4295"/>
                                    <a:gd name="T77" fmla="*/ 770 h 3433"/>
                                    <a:gd name="T78" fmla="*/ 0 w 4295"/>
                                    <a:gd name="T79" fmla="*/ 761 h 3433"/>
                                    <a:gd name="T80" fmla="*/ 0 w 4295"/>
                                    <a:gd name="T81" fmla="*/ 380 h 3433"/>
                                    <a:gd name="T82" fmla="*/ 4295 w 4295"/>
                                    <a:gd name="T83" fmla="*/ 380 h 3433"/>
                                    <a:gd name="T84" fmla="*/ 4295 w 4295"/>
                                    <a:gd name="T85" fmla="*/ 390 h 3433"/>
                                    <a:gd name="T86" fmla="*/ 0 w 4295"/>
                                    <a:gd name="T87" fmla="*/ 390 h 3433"/>
                                    <a:gd name="T88" fmla="*/ 0 w 4295"/>
                                    <a:gd name="T89" fmla="*/ 380 h 3433"/>
                                    <a:gd name="T90" fmla="*/ 0 w 4295"/>
                                    <a:gd name="T91" fmla="*/ 0 h 3433"/>
                                    <a:gd name="T92" fmla="*/ 4295 w 4295"/>
                                    <a:gd name="T93" fmla="*/ 0 h 3433"/>
                                    <a:gd name="T94" fmla="*/ 4295 w 4295"/>
                                    <a:gd name="T95" fmla="*/ 9 h 3433"/>
                                    <a:gd name="T96" fmla="*/ 0 w 4295"/>
                                    <a:gd name="T97" fmla="*/ 9 h 3433"/>
                                    <a:gd name="T98" fmla="*/ 0 w 4295"/>
                                    <a:gd name="T99" fmla="*/ 0 h 34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295" h="3433">
                                      <a:moveTo>
                                        <a:pt x="0" y="3424"/>
                                      </a:moveTo>
                                      <a:lnTo>
                                        <a:pt x="4295" y="3424"/>
                                      </a:lnTo>
                                      <a:lnTo>
                                        <a:pt x="4295" y="3433"/>
                                      </a:lnTo>
                                      <a:lnTo>
                                        <a:pt x="0" y="3433"/>
                                      </a:lnTo>
                                      <a:lnTo>
                                        <a:pt x="0" y="3424"/>
                                      </a:lnTo>
                                      <a:close/>
                                      <a:moveTo>
                                        <a:pt x="0" y="3043"/>
                                      </a:moveTo>
                                      <a:lnTo>
                                        <a:pt x="4295" y="3043"/>
                                      </a:lnTo>
                                      <a:lnTo>
                                        <a:pt x="4295" y="3052"/>
                                      </a:lnTo>
                                      <a:lnTo>
                                        <a:pt x="0" y="3052"/>
                                      </a:lnTo>
                                      <a:lnTo>
                                        <a:pt x="0" y="3043"/>
                                      </a:lnTo>
                                      <a:close/>
                                      <a:moveTo>
                                        <a:pt x="0" y="2664"/>
                                      </a:moveTo>
                                      <a:lnTo>
                                        <a:pt x="4295" y="2664"/>
                                      </a:lnTo>
                                      <a:lnTo>
                                        <a:pt x="4295" y="2673"/>
                                      </a:lnTo>
                                      <a:lnTo>
                                        <a:pt x="0" y="2673"/>
                                      </a:lnTo>
                                      <a:lnTo>
                                        <a:pt x="0" y="2664"/>
                                      </a:lnTo>
                                      <a:close/>
                                      <a:moveTo>
                                        <a:pt x="0" y="2283"/>
                                      </a:moveTo>
                                      <a:lnTo>
                                        <a:pt x="4295" y="2283"/>
                                      </a:lnTo>
                                      <a:lnTo>
                                        <a:pt x="4295" y="2293"/>
                                      </a:lnTo>
                                      <a:lnTo>
                                        <a:pt x="0" y="2293"/>
                                      </a:lnTo>
                                      <a:lnTo>
                                        <a:pt x="0" y="2283"/>
                                      </a:lnTo>
                                      <a:close/>
                                      <a:moveTo>
                                        <a:pt x="0" y="1903"/>
                                      </a:moveTo>
                                      <a:lnTo>
                                        <a:pt x="4295" y="1903"/>
                                      </a:lnTo>
                                      <a:lnTo>
                                        <a:pt x="4295" y="1912"/>
                                      </a:lnTo>
                                      <a:lnTo>
                                        <a:pt x="0" y="1912"/>
                                      </a:lnTo>
                                      <a:lnTo>
                                        <a:pt x="0" y="1903"/>
                                      </a:lnTo>
                                      <a:close/>
                                      <a:moveTo>
                                        <a:pt x="0" y="1522"/>
                                      </a:moveTo>
                                      <a:lnTo>
                                        <a:pt x="4295" y="1522"/>
                                      </a:lnTo>
                                      <a:lnTo>
                                        <a:pt x="4295" y="1532"/>
                                      </a:lnTo>
                                      <a:lnTo>
                                        <a:pt x="0" y="1532"/>
                                      </a:lnTo>
                                      <a:lnTo>
                                        <a:pt x="0" y="1522"/>
                                      </a:lnTo>
                                      <a:close/>
                                      <a:moveTo>
                                        <a:pt x="0" y="1142"/>
                                      </a:moveTo>
                                      <a:lnTo>
                                        <a:pt x="4295" y="1142"/>
                                      </a:lnTo>
                                      <a:lnTo>
                                        <a:pt x="4295" y="1151"/>
                                      </a:lnTo>
                                      <a:lnTo>
                                        <a:pt x="0" y="1151"/>
                                      </a:lnTo>
                                      <a:lnTo>
                                        <a:pt x="0" y="1142"/>
                                      </a:lnTo>
                                      <a:close/>
                                      <a:moveTo>
                                        <a:pt x="0" y="761"/>
                                      </a:moveTo>
                                      <a:lnTo>
                                        <a:pt x="4295" y="761"/>
                                      </a:lnTo>
                                      <a:lnTo>
                                        <a:pt x="4295" y="770"/>
                                      </a:lnTo>
                                      <a:lnTo>
                                        <a:pt x="0" y="770"/>
                                      </a:lnTo>
                                      <a:lnTo>
                                        <a:pt x="0" y="761"/>
                                      </a:lnTo>
                                      <a:close/>
                                      <a:moveTo>
                                        <a:pt x="0" y="380"/>
                                      </a:moveTo>
                                      <a:lnTo>
                                        <a:pt x="4295" y="380"/>
                                      </a:lnTo>
                                      <a:lnTo>
                                        <a:pt x="4295" y="390"/>
                                      </a:lnTo>
                                      <a:lnTo>
                                        <a:pt x="0" y="390"/>
                                      </a:lnTo>
                                      <a:lnTo>
                                        <a:pt x="0" y="380"/>
                                      </a:lnTo>
                                      <a:close/>
                                      <a:moveTo>
                                        <a:pt x="0" y="0"/>
                                      </a:moveTo>
                                      <a:lnTo>
                                        <a:pt x="4295" y="0"/>
                                      </a:lnTo>
                                      <a:lnTo>
                                        <a:pt x="4295" y="9"/>
                                      </a:lnTo>
                                      <a:lnTo>
                                        <a:pt x="0" y="9"/>
                                      </a:lnTo>
                                      <a:lnTo>
                                        <a:pt x="0" y="0"/>
                                      </a:lnTo>
                                      <a:close/>
                                    </a:path>
                                  </a:pathLst>
                                </a:custGeom>
                                <a:solidFill>
                                  <a:srgbClr val="868686"/>
                                </a:solidFill>
                                <a:ln w="1270">
                                  <a:solidFill>
                                    <a:srgbClr val="868686"/>
                                  </a:solidFill>
                                  <a:bevel/>
                                  <a:headEnd/>
                                  <a:tailEnd/>
                                </a:ln>
                              </wps:spPr>
                              <wps:bodyPr rot="0" vert="horz" wrap="square" lIns="91440" tIns="45720" rIns="91440" bIns="45720" anchor="t" anchorCtr="0" upright="1">
                                <a:noAutofit/>
                              </wps:bodyPr>
                            </wps:wsp>
                            <wps:wsp>
                              <wps:cNvPr id="51" name="Rectangle 16"/>
                              <wps:cNvSpPr>
                                <a:spLocks noChangeArrowheads="1"/>
                              </wps:cNvSpPr>
                              <wps:spPr bwMode="auto">
                                <a:xfrm>
                                  <a:off x="377190" y="93980"/>
                                  <a:ext cx="6350" cy="2416175"/>
                                </a:xfrm>
                                <a:prstGeom prst="rect">
                                  <a:avLst/>
                                </a:prstGeom>
                                <a:solidFill>
                                  <a:srgbClr val="868686"/>
                                </a:solidFill>
                                <a:ln w="1270">
                                  <a:solidFill>
                                    <a:srgbClr val="868686"/>
                                  </a:solidFill>
                                  <a:bevel/>
                                  <a:headEnd/>
                                  <a:tailEnd/>
                                </a:ln>
                              </wps:spPr>
                              <wps:bodyPr rot="0" vert="horz" wrap="square" lIns="91440" tIns="45720" rIns="91440" bIns="45720" anchor="t" anchorCtr="0" upright="1">
                                <a:noAutofit/>
                              </wps:bodyPr>
                            </wps:wsp>
                            <wps:wsp>
                              <wps:cNvPr id="54" name="Freeform 17"/>
                              <wps:cNvSpPr>
                                <a:spLocks noEditPoints="1"/>
                              </wps:cNvSpPr>
                              <wps:spPr bwMode="auto">
                                <a:xfrm>
                                  <a:off x="352425" y="91440"/>
                                  <a:ext cx="27940" cy="2421890"/>
                                </a:xfrm>
                                <a:custGeom>
                                  <a:avLst/>
                                  <a:gdLst>
                                    <a:gd name="T0" fmla="*/ 0 w 44"/>
                                    <a:gd name="T1" fmla="*/ 3804 h 3814"/>
                                    <a:gd name="T2" fmla="*/ 44 w 44"/>
                                    <a:gd name="T3" fmla="*/ 3804 h 3814"/>
                                    <a:gd name="T4" fmla="*/ 44 w 44"/>
                                    <a:gd name="T5" fmla="*/ 3814 h 3814"/>
                                    <a:gd name="T6" fmla="*/ 0 w 44"/>
                                    <a:gd name="T7" fmla="*/ 3814 h 3814"/>
                                    <a:gd name="T8" fmla="*/ 0 w 44"/>
                                    <a:gd name="T9" fmla="*/ 3804 h 3814"/>
                                    <a:gd name="T10" fmla="*/ 0 w 44"/>
                                    <a:gd name="T11" fmla="*/ 3424 h 3814"/>
                                    <a:gd name="T12" fmla="*/ 44 w 44"/>
                                    <a:gd name="T13" fmla="*/ 3424 h 3814"/>
                                    <a:gd name="T14" fmla="*/ 44 w 44"/>
                                    <a:gd name="T15" fmla="*/ 3433 h 3814"/>
                                    <a:gd name="T16" fmla="*/ 0 w 44"/>
                                    <a:gd name="T17" fmla="*/ 3433 h 3814"/>
                                    <a:gd name="T18" fmla="*/ 0 w 44"/>
                                    <a:gd name="T19" fmla="*/ 3424 h 3814"/>
                                    <a:gd name="T20" fmla="*/ 0 w 44"/>
                                    <a:gd name="T21" fmla="*/ 3043 h 3814"/>
                                    <a:gd name="T22" fmla="*/ 44 w 44"/>
                                    <a:gd name="T23" fmla="*/ 3043 h 3814"/>
                                    <a:gd name="T24" fmla="*/ 44 w 44"/>
                                    <a:gd name="T25" fmla="*/ 3052 h 3814"/>
                                    <a:gd name="T26" fmla="*/ 0 w 44"/>
                                    <a:gd name="T27" fmla="*/ 3052 h 3814"/>
                                    <a:gd name="T28" fmla="*/ 0 w 44"/>
                                    <a:gd name="T29" fmla="*/ 3043 h 3814"/>
                                    <a:gd name="T30" fmla="*/ 0 w 44"/>
                                    <a:gd name="T31" fmla="*/ 2664 h 3814"/>
                                    <a:gd name="T32" fmla="*/ 44 w 44"/>
                                    <a:gd name="T33" fmla="*/ 2664 h 3814"/>
                                    <a:gd name="T34" fmla="*/ 44 w 44"/>
                                    <a:gd name="T35" fmla="*/ 2673 h 3814"/>
                                    <a:gd name="T36" fmla="*/ 0 w 44"/>
                                    <a:gd name="T37" fmla="*/ 2673 h 3814"/>
                                    <a:gd name="T38" fmla="*/ 0 w 44"/>
                                    <a:gd name="T39" fmla="*/ 2664 h 3814"/>
                                    <a:gd name="T40" fmla="*/ 0 w 44"/>
                                    <a:gd name="T41" fmla="*/ 2283 h 3814"/>
                                    <a:gd name="T42" fmla="*/ 44 w 44"/>
                                    <a:gd name="T43" fmla="*/ 2283 h 3814"/>
                                    <a:gd name="T44" fmla="*/ 44 w 44"/>
                                    <a:gd name="T45" fmla="*/ 2293 h 3814"/>
                                    <a:gd name="T46" fmla="*/ 0 w 44"/>
                                    <a:gd name="T47" fmla="*/ 2293 h 3814"/>
                                    <a:gd name="T48" fmla="*/ 0 w 44"/>
                                    <a:gd name="T49" fmla="*/ 2283 h 3814"/>
                                    <a:gd name="T50" fmla="*/ 0 w 44"/>
                                    <a:gd name="T51" fmla="*/ 1903 h 3814"/>
                                    <a:gd name="T52" fmla="*/ 44 w 44"/>
                                    <a:gd name="T53" fmla="*/ 1903 h 3814"/>
                                    <a:gd name="T54" fmla="*/ 44 w 44"/>
                                    <a:gd name="T55" fmla="*/ 1912 h 3814"/>
                                    <a:gd name="T56" fmla="*/ 0 w 44"/>
                                    <a:gd name="T57" fmla="*/ 1912 h 3814"/>
                                    <a:gd name="T58" fmla="*/ 0 w 44"/>
                                    <a:gd name="T59" fmla="*/ 1903 h 3814"/>
                                    <a:gd name="T60" fmla="*/ 0 w 44"/>
                                    <a:gd name="T61" fmla="*/ 1522 h 3814"/>
                                    <a:gd name="T62" fmla="*/ 44 w 44"/>
                                    <a:gd name="T63" fmla="*/ 1522 h 3814"/>
                                    <a:gd name="T64" fmla="*/ 44 w 44"/>
                                    <a:gd name="T65" fmla="*/ 1532 h 3814"/>
                                    <a:gd name="T66" fmla="*/ 0 w 44"/>
                                    <a:gd name="T67" fmla="*/ 1532 h 3814"/>
                                    <a:gd name="T68" fmla="*/ 0 w 44"/>
                                    <a:gd name="T69" fmla="*/ 1522 h 3814"/>
                                    <a:gd name="T70" fmla="*/ 0 w 44"/>
                                    <a:gd name="T71" fmla="*/ 1142 h 3814"/>
                                    <a:gd name="T72" fmla="*/ 44 w 44"/>
                                    <a:gd name="T73" fmla="*/ 1142 h 3814"/>
                                    <a:gd name="T74" fmla="*/ 44 w 44"/>
                                    <a:gd name="T75" fmla="*/ 1151 h 3814"/>
                                    <a:gd name="T76" fmla="*/ 0 w 44"/>
                                    <a:gd name="T77" fmla="*/ 1151 h 3814"/>
                                    <a:gd name="T78" fmla="*/ 0 w 44"/>
                                    <a:gd name="T79" fmla="*/ 1142 h 3814"/>
                                    <a:gd name="T80" fmla="*/ 0 w 44"/>
                                    <a:gd name="T81" fmla="*/ 761 h 3814"/>
                                    <a:gd name="T82" fmla="*/ 44 w 44"/>
                                    <a:gd name="T83" fmla="*/ 761 h 3814"/>
                                    <a:gd name="T84" fmla="*/ 44 w 44"/>
                                    <a:gd name="T85" fmla="*/ 770 h 3814"/>
                                    <a:gd name="T86" fmla="*/ 0 w 44"/>
                                    <a:gd name="T87" fmla="*/ 770 h 3814"/>
                                    <a:gd name="T88" fmla="*/ 0 w 44"/>
                                    <a:gd name="T89" fmla="*/ 761 h 3814"/>
                                    <a:gd name="T90" fmla="*/ 0 w 44"/>
                                    <a:gd name="T91" fmla="*/ 380 h 3814"/>
                                    <a:gd name="T92" fmla="*/ 44 w 44"/>
                                    <a:gd name="T93" fmla="*/ 380 h 3814"/>
                                    <a:gd name="T94" fmla="*/ 44 w 44"/>
                                    <a:gd name="T95" fmla="*/ 390 h 3814"/>
                                    <a:gd name="T96" fmla="*/ 0 w 44"/>
                                    <a:gd name="T97" fmla="*/ 390 h 3814"/>
                                    <a:gd name="T98" fmla="*/ 0 w 44"/>
                                    <a:gd name="T99" fmla="*/ 380 h 3814"/>
                                    <a:gd name="T100" fmla="*/ 0 w 44"/>
                                    <a:gd name="T101" fmla="*/ 0 h 3814"/>
                                    <a:gd name="T102" fmla="*/ 44 w 44"/>
                                    <a:gd name="T103" fmla="*/ 0 h 3814"/>
                                    <a:gd name="T104" fmla="*/ 44 w 44"/>
                                    <a:gd name="T105" fmla="*/ 9 h 3814"/>
                                    <a:gd name="T106" fmla="*/ 0 w 44"/>
                                    <a:gd name="T107" fmla="*/ 9 h 3814"/>
                                    <a:gd name="T108" fmla="*/ 0 w 44"/>
                                    <a:gd name="T109" fmla="*/ 0 h 38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4" h="3814">
                                      <a:moveTo>
                                        <a:pt x="0" y="3804"/>
                                      </a:moveTo>
                                      <a:lnTo>
                                        <a:pt x="44" y="3804"/>
                                      </a:lnTo>
                                      <a:lnTo>
                                        <a:pt x="44" y="3814"/>
                                      </a:lnTo>
                                      <a:lnTo>
                                        <a:pt x="0" y="3814"/>
                                      </a:lnTo>
                                      <a:lnTo>
                                        <a:pt x="0" y="3804"/>
                                      </a:lnTo>
                                      <a:close/>
                                      <a:moveTo>
                                        <a:pt x="0" y="3424"/>
                                      </a:moveTo>
                                      <a:lnTo>
                                        <a:pt x="44" y="3424"/>
                                      </a:lnTo>
                                      <a:lnTo>
                                        <a:pt x="44" y="3433"/>
                                      </a:lnTo>
                                      <a:lnTo>
                                        <a:pt x="0" y="3433"/>
                                      </a:lnTo>
                                      <a:lnTo>
                                        <a:pt x="0" y="3424"/>
                                      </a:lnTo>
                                      <a:close/>
                                      <a:moveTo>
                                        <a:pt x="0" y="3043"/>
                                      </a:moveTo>
                                      <a:lnTo>
                                        <a:pt x="44" y="3043"/>
                                      </a:lnTo>
                                      <a:lnTo>
                                        <a:pt x="44" y="3052"/>
                                      </a:lnTo>
                                      <a:lnTo>
                                        <a:pt x="0" y="3052"/>
                                      </a:lnTo>
                                      <a:lnTo>
                                        <a:pt x="0" y="3043"/>
                                      </a:lnTo>
                                      <a:close/>
                                      <a:moveTo>
                                        <a:pt x="0" y="2664"/>
                                      </a:moveTo>
                                      <a:lnTo>
                                        <a:pt x="44" y="2664"/>
                                      </a:lnTo>
                                      <a:lnTo>
                                        <a:pt x="44" y="2673"/>
                                      </a:lnTo>
                                      <a:lnTo>
                                        <a:pt x="0" y="2673"/>
                                      </a:lnTo>
                                      <a:lnTo>
                                        <a:pt x="0" y="2664"/>
                                      </a:lnTo>
                                      <a:close/>
                                      <a:moveTo>
                                        <a:pt x="0" y="2283"/>
                                      </a:moveTo>
                                      <a:lnTo>
                                        <a:pt x="44" y="2283"/>
                                      </a:lnTo>
                                      <a:lnTo>
                                        <a:pt x="44" y="2293"/>
                                      </a:lnTo>
                                      <a:lnTo>
                                        <a:pt x="0" y="2293"/>
                                      </a:lnTo>
                                      <a:lnTo>
                                        <a:pt x="0" y="2283"/>
                                      </a:lnTo>
                                      <a:close/>
                                      <a:moveTo>
                                        <a:pt x="0" y="1903"/>
                                      </a:moveTo>
                                      <a:lnTo>
                                        <a:pt x="44" y="1903"/>
                                      </a:lnTo>
                                      <a:lnTo>
                                        <a:pt x="44" y="1912"/>
                                      </a:lnTo>
                                      <a:lnTo>
                                        <a:pt x="0" y="1912"/>
                                      </a:lnTo>
                                      <a:lnTo>
                                        <a:pt x="0" y="1903"/>
                                      </a:lnTo>
                                      <a:close/>
                                      <a:moveTo>
                                        <a:pt x="0" y="1522"/>
                                      </a:moveTo>
                                      <a:lnTo>
                                        <a:pt x="44" y="1522"/>
                                      </a:lnTo>
                                      <a:lnTo>
                                        <a:pt x="44" y="1532"/>
                                      </a:lnTo>
                                      <a:lnTo>
                                        <a:pt x="0" y="1532"/>
                                      </a:lnTo>
                                      <a:lnTo>
                                        <a:pt x="0" y="1522"/>
                                      </a:lnTo>
                                      <a:close/>
                                      <a:moveTo>
                                        <a:pt x="0" y="1142"/>
                                      </a:moveTo>
                                      <a:lnTo>
                                        <a:pt x="44" y="1142"/>
                                      </a:lnTo>
                                      <a:lnTo>
                                        <a:pt x="44" y="1151"/>
                                      </a:lnTo>
                                      <a:lnTo>
                                        <a:pt x="0" y="1151"/>
                                      </a:lnTo>
                                      <a:lnTo>
                                        <a:pt x="0" y="1142"/>
                                      </a:lnTo>
                                      <a:close/>
                                      <a:moveTo>
                                        <a:pt x="0" y="761"/>
                                      </a:moveTo>
                                      <a:lnTo>
                                        <a:pt x="44" y="761"/>
                                      </a:lnTo>
                                      <a:lnTo>
                                        <a:pt x="44" y="770"/>
                                      </a:lnTo>
                                      <a:lnTo>
                                        <a:pt x="0" y="770"/>
                                      </a:lnTo>
                                      <a:lnTo>
                                        <a:pt x="0" y="761"/>
                                      </a:lnTo>
                                      <a:close/>
                                      <a:moveTo>
                                        <a:pt x="0" y="380"/>
                                      </a:moveTo>
                                      <a:lnTo>
                                        <a:pt x="44" y="380"/>
                                      </a:lnTo>
                                      <a:lnTo>
                                        <a:pt x="44" y="390"/>
                                      </a:lnTo>
                                      <a:lnTo>
                                        <a:pt x="0" y="390"/>
                                      </a:lnTo>
                                      <a:lnTo>
                                        <a:pt x="0" y="380"/>
                                      </a:lnTo>
                                      <a:close/>
                                      <a:moveTo>
                                        <a:pt x="0" y="0"/>
                                      </a:moveTo>
                                      <a:lnTo>
                                        <a:pt x="44" y="0"/>
                                      </a:lnTo>
                                      <a:lnTo>
                                        <a:pt x="44" y="9"/>
                                      </a:lnTo>
                                      <a:lnTo>
                                        <a:pt x="0" y="9"/>
                                      </a:lnTo>
                                      <a:lnTo>
                                        <a:pt x="0" y="0"/>
                                      </a:lnTo>
                                      <a:close/>
                                    </a:path>
                                  </a:pathLst>
                                </a:custGeom>
                                <a:solidFill>
                                  <a:srgbClr val="868686"/>
                                </a:solidFill>
                                <a:ln w="1270">
                                  <a:solidFill>
                                    <a:srgbClr val="868686"/>
                                  </a:solidFill>
                                  <a:bevel/>
                                  <a:headEnd/>
                                  <a:tailEnd/>
                                </a:ln>
                              </wps:spPr>
                              <wps:bodyPr rot="0" vert="horz" wrap="square" lIns="91440" tIns="45720" rIns="91440" bIns="45720" anchor="t" anchorCtr="0" upright="1">
                                <a:noAutofit/>
                              </wps:bodyPr>
                            </wps:wsp>
                            <wps:wsp>
                              <wps:cNvPr id="55" name="Rectangle 18"/>
                              <wps:cNvSpPr>
                                <a:spLocks noChangeArrowheads="1"/>
                              </wps:cNvSpPr>
                              <wps:spPr bwMode="auto">
                                <a:xfrm>
                                  <a:off x="380365" y="2506980"/>
                                  <a:ext cx="2727325" cy="6350"/>
                                </a:xfrm>
                                <a:prstGeom prst="rect">
                                  <a:avLst/>
                                </a:prstGeom>
                                <a:solidFill>
                                  <a:srgbClr val="868686"/>
                                </a:solidFill>
                                <a:ln w="1270">
                                  <a:solidFill>
                                    <a:srgbClr val="868686"/>
                                  </a:solidFill>
                                  <a:bevel/>
                                  <a:headEnd/>
                                  <a:tailEnd/>
                                </a:ln>
                              </wps:spPr>
                              <wps:bodyPr rot="0" vert="horz" wrap="square" lIns="91440" tIns="45720" rIns="91440" bIns="45720" anchor="t" anchorCtr="0" upright="1">
                                <a:noAutofit/>
                              </wps:bodyPr>
                            </wps:wsp>
                            <wps:wsp>
                              <wps:cNvPr id="56" name="Freeform 19"/>
                              <wps:cNvSpPr>
                                <a:spLocks noEditPoints="1"/>
                              </wps:cNvSpPr>
                              <wps:spPr bwMode="auto">
                                <a:xfrm>
                                  <a:off x="377190" y="2510155"/>
                                  <a:ext cx="2733040" cy="27940"/>
                                </a:xfrm>
                                <a:custGeom>
                                  <a:avLst/>
                                  <a:gdLst>
                                    <a:gd name="T0" fmla="*/ 10 w 4304"/>
                                    <a:gd name="T1" fmla="*/ 0 h 44"/>
                                    <a:gd name="T2" fmla="*/ 10 w 4304"/>
                                    <a:gd name="T3" fmla="*/ 44 h 44"/>
                                    <a:gd name="T4" fmla="*/ 0 w 4304"/>
                                    <a:gd name="T5" fmla="*/ 44 h 44"/>
                                    <a:gd name="T6" fmla="*/ 0 w 4304"/>
                                    <a:gd name="T7" fmla="*/ 0 h 44"/>
                                    <a:gd name="T8" fmla="*/ 10 w 4304"/>
                                    <a:gd name="T9" fmla="*/ 0 h 44"/>
                                    <a:gd name="T10" fmla="*/ 440 w 4304"/>
                                    <a:gd name="T11" fmla="*/ 0 h 44"/>
                                    <a:gd name="T12" fmla="*/ 440 w 4304"/>
                                    <a:gd name="T13" fmla="*/ 44 h 44"/>
                                    <a:gd name="T14" fmla="*/ 431 w 4304"/>
                                    <a:gd name="T15" fmla="*/ 44 h 44"/>
                                    <a:gd name="T16" fmla="*/ 431 w 4304"/>
                                    <a:gd name="T17" fmla="*/ 0 h 44"/>
                                    <a:gd name="T18" fmla="*/ 440 w 4304"/>
                                    <a:gd name="T19" fmla="*/ 0 h 44"/>
                                    <a:gd name="T20" fmla="*/ 869 w 4304"/>
                                    <a:gd name="T21" fmla="*/ 0 h 44"/>
                                    <a:gd name="T22" fmla="*/ 869 w 4304"/>
                                    <a:gd name="T23" fmla="*/ 44 h 44"/>
                                    <a:gd name="T24" fmla="*/ 860 w 4304"/>
                                    <a:gd name="T25" fmla="*/ 44 h 44"/>
                                    <a:gd name="T26" fmla="*/ 860 w 4304"/>
                                    <a:gd name="T27" fmla="*/ 0 h 44"/>
                                    <a:gd name="T28" fmla="*/ 869 w 4304"/>
                                    <a:gd name="T29" fmla="*/ 0 h 44"/>
                                    <a:gd name="T30" fmla="*/ 1298 w 4304"/>
                                    <a:gd name="T31" fmla="*/ 0 h 44"/>
                                    <a:gd name="T32" fmla="*/ 1298 w 4304"/>
                                    <a:gd name="T33" fmla="*/ 44 h 44"/>
                                    <a:gd name="T34" fmla="*/ 1288 w 4304"/>
                                    <a:gd name="T35" fmla="*/ 44 h 44"/>
                                    <a:gd name="T36" fmla="*/ 1288 w 4304"/>
                                    <a:gd name="T37" fmla="*/ 0 h 44"/>
                                    <a:gd name="T38" fmla="*/ 1298 w 4304"/>
                                    <a:gd name="T39" fmla="*/ 0 h 44"/>
                                    <a:gd name="T40" fmla="*/ 1728 w 4304"/>
                                    <a:gd name="T41" fmla="*/ 0 h 44"/>
                                    <a:gd name="T42" fmla="*/ 1728 w 4304"/>
                                    <a:gd name="T43" fmla="*/ 44 h 44"/>
                                    <a:gd name="T44" fmla="*/ 1719 w 4304"/>
                                    <a:gd name="T45" fmla="*/ 44 h 44"/>
                                    <a:gd name="T46" fmla="*/ 1719 w 4304"/>
                                    <a:gd name="T47" fmla="*/ 0 h 44"/>
                                    <a:gd name="T48" fmla="*/ 1728 w 4304"/>
                                    <a:gd name="T49" fmla="*/ 0 h 44"/>
                                    <a:gd name="T50" fmla="*/ 2157 w 4304"/>
                                    <a:gd name="T51" fmla="*/ 0 h 44"/>
                                    <a:gd name="T52" fmla="*/ 2157 w 4304"/>
                                    <a:gd name="T53" fmla="*/ 44 h 44"/>
                                    <a:gd name="T54" fmla="*/ 2148 w 4304"/>
                                    <a:gd name="T55" fmla="*/ 44 h 44"/>
                                    <a:gd name="T56" fmla="*/ 2148 w 4304"/>
                                    <a:gd name="T57" fmla="*/ 0 h 44"/>
                                    <a:gd name="T58" fmla="*/ 2157 w 4304"/>
                                    <a:gd name="T59" fmla="*/ 0 h 44"/>
                                    <a:gd name="T60" fmla="*/ 2587 w 4304"/>
                                    <a:gd name="T61" fmla="*/ 0 h 44"/>
                                    <a:gd name="T62" fmla="*/ 2587 w 4304"/>
                                    <a:gd name="T63" fmla="*/ 44 h 44"/>
                                    <a:gd name="T64" fmla="*/ 2578 w 4304"/>
                                    <a:gd name="T65" fmla="*/ 44 h 44"/>
                                    <a:gd name="T66" fmla="*/ 2578 w 4304"/>
                                    <a:gd name="T67" fmla="*/ 0 h 44"/>
                                    <a:gd name="T68" fmla="*/ 2587 w 4304"/>
                                    <a:gd name="T69" fmla="*/ 0 h 44"/>
                                    <a:gd name="T70" fmla="*/ 3016 w 4304"/>
                                    <a:gd name="T71" fmla="*/ 0 h 44"/>
                                    <a:gd name="T72" fmla="*/ 3016 w 4304"/>
                                    <a:gd name="T73" fmla="*/ 44 h 44"/>
                                    <a:gd name="T74" fmla="*/ 3007 w 4304"/>
                                    <a:gd name="T75" fmla="*/ 44 h 44"/>
                                    <a:gd name="T76" fmla="*/ 3007 w 4304"/>
                                    <a:gd name="T77" fmla="*/ 0 h 44"/>
                                    <a:gd name="T78" fmla="*/ 3016 w 4304"/>
                                    <a:gd name="T79" fmla="*/ 0 h 44"/>
                                    <a:gd name="T80" fmla="*/ 3445 w 4304"/>
                                    <a:gd name="T81" fmla="*/ 0 h 44"/>
                                    <a:gd name="T82" fmla="*/ 3445 w 4304"/>
                                    <a:gd name="T83" fmla="*/ 44 h 44"/>
                                    <a:gd name="T84" fmla="*/ 3436 w 4304"/>
                                    <a:gd name="T85" fmla="*/ 44 h 44"/>
                                    <a:gd name="T86" fmla="*/ 3436 w 4304"/>
                                    <a:gd name="T87" fmla="*/ 0 h 44"/>
                                    <a:gd name="T88" fmla="*/ 3445 w 4304"/>
                                    <a:gd name="T89" fmla="*/ 0 h 44"/>
                                    <a:gd name="T90" fmla="*/ 3876 w 4304"/>
                                    <a:gd name="T91" fmla="*/ 0 h 44"/>
                                    <a:gd name="T92" fmla="*/ 3876 w 4304"/>
                                    <a:gd name="T93" fmla="*/ 44 h 44"/>
                                    <a:gd name="T94" fmla="*/ 3866 w 4304"/>
                                    <a:gd name="T95" fmla="*/ 44 h 44"/>
                                    <a:gd name="T96" fmla="*/ 3866 w 4304"/>
                                    <a:gd name="T97" fmla="*/ 0 h 44"/>
                                    <a:gd name="T98" fmla="*/ 3876 w 4304"/>
                                    <a:gd name="T99" fmla="*/ 0 h 44"/>
                                    <a:gd name="T100" fmla="*/ 4304 w 4304"/>
                                    <a:gd name="T101" fmla="*/ 0 h 44"/>
                                    <a:gd name="T102" fmla="*/ 4304 w 4304"/>
                                    <a:gd name="T103" fmla="*/ 44 h 44"/>
                                    <a:gd name="T104" fmla="*/ 4295 w 4304"/>
                                    <a:gd name="T105" fmla="*/ 44 h 44"/>
                                    <a:gd name="T106" fmla="*/ 4295 w 4304"/>
                                    <a:gd name="T107" fmla="*/ 0 h 44"/>
                                    <a:gd name="T108" fmla="*/ 4304 w 4304"/>
                                    <a:gd name="T10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04" h="44">
                                      <a:moveTo>
                                        <a:pt x="10" y="0"/>
                                      </a:moveTo>
                                      <a:lnTo>
                                        <a:pt x="10" y="44"/>
                                      </a:lnTo>
                                      <a:lnTo>
                                        <a:pt x="0" y="44"/>
                                      </a:lnTo>
                                      <a:lnTo>
                                        <a:pt x="0" y="0"/>
                                      </a:lnTo>
                                      <a:lnTo>
                                        <a:pt x="10" y="0"/>
                                      </a:lnTo>
                                      <a:close/>
                                      <a:moveTo>
                                        <a:pt x="440" y="0"/>
                                      </a:moveTo>
                                      <a:lnTo>
                                        <a:pt x="440" y="44"/>
                                      </a:lnTo>
                                      <a:lnTo>
                                        <a:pt x="431" y="44"/>
                                      </a:lnTo>
                                      <a:lnTo>
                                        <a:pt x="431" y="0"/>
                                      </a:lnTo>
                                      <a:lnTo>
                                        <a:pt x="440" y="0"/>
                                      </a:lnTo>
                                      <a:close/>
                                      <a:moveTo>
                                        <a:pt x="869" y="0"/>
                                      </a:moveTo>
                                      <a:lnTo>
                                        <a:pt x="869" y="44"/>
                                      </a:lnTo>
                                      <a:lnTo>
                                        <a:pt x="860" y="44"/>
                                      </a:lnTo>
                                      <a:lnTo>
                                        <a:pt x="860" y="0"/>
                                      </a:lnTo>
                                      <a:lnTo>
                                        <a:pt x="869" y="0"/>
                                      </a:lnTo>
                                      <a:close/>
                                      <a:moveTo>
                                        <a:pt x="1298" y="0"/>
                                      </a:moveTo>
                                      <a:lnTo>
                                        <a:pt x="1298" y="44"/>
                                      </a:lnTo>
                                      <a:lnTo>
                                        <a:pt x="1288" y="44"/>
                                      </a:lnTo>
                                      <a:lnTo>
                                        <a:pt x="1288" y="0"/>
                                      </a:lnTo>
                                      <a:lnTo>
                                        <a:pt x="1298" y="0"/>
                                      </a:lnTo>
                                      <a:close/>
                                      <a:moveTo>
                                        <a:pt x="1728" y="0"/>
                                      </a:moveTo>
                                      <a:lnTo>
                                        <a:pt x="1728" y="44"/>
                                      </a:lnTo>
                                      <a:lnTo>
                                        <a:pt x="1719" y="44"/>
                                      </a:lnTo>
                                      <a:lnTo>
                                        <a:pt x="1719" y="0"/>
                                      </a:lnTo>
                                      <a:lnTo>
                                        <a:pt x="1728" y="0"/>
                                      </a:lnTo>
                                      <a:close/>
                                      <a:moveTo>
                                        <a:pt x="2157" y="0"/>
                                      </a:moveTo>
                                      <a:lnTo>
                                        <a:pt x="2157" y="44"/>
                                      </a:lnTo>
                                      <a:lnTo>
                                        <a:pt x="2148" y="44"/>
                                      </a:lnTo>
                                      <a:lnTo>
                                        <a:pt x="2148" y="0"/>
                                      </a:lnTo>
                                      <a:lnTo>
                                        <a:pt x="2157" y="0"/>
                                      </a:lnTo>
                                      <a:close/>
                                      <a:moveTo>
                                        <a:pt x="2587" y="0"/>
                                      </a:moveTo>
                                      <a:lnTo>
                                        <a:pt x="2587" y="44"/>
                                      </a:lnTo>
                                      <a:lnTo>
                                        <a:pt x="2578" y="44"/>
                                      </a:lnTo>
                                      <a:lnTo>
                                        <a:pt x="2578" y="0"/>
                                      </a:lnTo>
                                      <a:lnTo>
                                        <a:pt x="2587" y="0"/>
                                      </a:lnTo>
                                      <a:close/>
                                      <a:moveTo>
                                        <a:pt x="3016" y="0"/>
                                      </a:moveTo>
                                      <a:lnTo>
                                        <a:pt x="3016" y="44"/>
                                      </a:lnTo>
                                      <a:lnTo>
                                        <a:pt x="3007" y="44"/>
                                      </a:lnTo>
                                      <a:lnTo>
                                        <a:pt x="3007" y="0"/>
                                      </a:lnTo>
                                      <a:lnTo>
                                        <a:pt x="3016" y="0"/>
                                      </a:lnTo>
                                      <a:close/>
                                      <a:moveTo>
                                        <a:pt x="3445" y="0"/>
                                      </a:moveTo>
                                      <a:lnTo>
                                        <a:pt x="3445" y="44"/>
                                      </a:lnTo>
                                      <a:lnTo>
                                        <a:pt x="3436" y="44"/>
                                      </a:lnTo>
                                      <a:lnTo>
                                        <a:pt x="3436" y="0"/>
                                      </a:lnTo>
                                      <a:lnTo>
                                        <a:pt x="3445" y="0"/>
                                      </a:lnTo>
                                      <a:close/>
                                      <a:moveTo>
                                        <a:pt x="3876" y="0"/>
                                      </a:moveTo>
                                      <a:lnTo>
                                        <a:pt x="3876" y="44"/>
                                      </a:lnTo>
                                      <a:lnTo>
                                        <a:pt x="3866" y="44"/>
                                      </a:lnTo>
                                      <a:lnTo>
                                        <a:pt x="3866" y="0"/>
                                      </a:lnTo>
                                      <a:lnTo>
                                        <a:pt x="3876" y="0"/>
                                      </a:lnTo>
                                      <a:close/>
                                      <a:moveTo>
                                        <a:pt x="4304" y="0"/>
                                      </a:moveTo>
                                      <a:lnTo>
                                        <a:pt x="4304" y="44"/>
                                      </a:lnTo>
                                      <a:lnTo>
                                        <a:pt x="4295" y="44"/>
                                      </a:lnTo>
                                      <a:lnTo>
                                        <a:pt x="4295" y="0"/>
                                      </a:lnTo>
                                      <a:lnTo>
                                        <a:pt x="4304" y="0"/>
                                      </a:lnTo>
                                      <a:close/>
                                    </a:path>
                                  </a:pathLst>
                                </a:custGeom>
                                <a:solidFill>
                                  <a:srgbClr val="868686"/>
                                </a:solidFill>
                                <a:ln w="1270">
                                  <a:solidFill>
                                    <a:srgbClr val="868686"/>
                                  </a:solidFill>
                                  <a:bevel/>
                                  <a:headEnd/>
                                  <a:tailEnd/>
                                </a:ln>
                              </wps:spPr>
                              <wps:bodyPr rot="0" vert="horz" wrap="square" lIns="91440" tIns="45720" rIns="91440" bIns="45720" anchor="t" anchorCtr="0" upright="1">
                                <a:noAutofit/>
                              </wps:bodyPr>
                            </wps:wsp>
                            <wps:wsp>
                              <wps:cNvPr id="57" name="Freeform 20"/>
                              <wps:cNvSpPr>
                                <a:spLocks/>
                              </wps:cNvSpPr>
                              <wps:spPr bwMode="auto">
                                <a:xfrm>
                                  <a:off x="508000" y="265430"/>
                                  <a:ext cx="2472690" cy="2247900"/>
                                </a:xfrm>
                                <a:custGeom>
                                  <a:avLst/>
                                  <a:gdLst>
                                    <a:gd name="T0" fmla="*/ 71 w 19978"/>
                                    <a:gd name="T1" fmla="*/ 18009 h 18154"/>
                                    <a:gd name="T2" fmla="*/ 2271 w 19978"/>
                                    <a:gd name="T3" fmla="*/ 17937 h 18154"/>
                                    <a:gd name="T4" fmla="*/ 4475 w 19978"/>
                                    <a:gd name="T5" fmla="*/ 17753 h 18154"/>
                                    <a:gd name="T6" fmla="*/ 6667 w 19978"/>
                                    <a:gd name="T7" fmla="*/ 17298 h 18154"/>
                                    <a:gd name="T8" fmla="*/ 6649 w 19978"/>
                                    <a:gd name="T9" fmla="*/ 17304 h 18154"/>
                                    <a:gd name="T10" fmla="*/ 8849 w 19978"/>
                                    <a:gd name="T11" fmla="*/ 16200 h 18154"/>
                                    <a:gd name="T12" fmla="*/ 8829 w 19978"/>
                                    <a:gd name="T13" fmla="*/ 16215 h 18154"/>
                                    <a:gd name="T14" fmla="*/ 11037 w 19978"/>
                                    <a:gd name="T15" fmla="*/ 13879 h 18154"/>
                                    <a:gd name="T16" fmla="*/ 11027 w 19978"/>
                                    <a:gd name="T17" fmla="*/ 13893 h 18154"/>
                                    <a:gd name="T18" fmla="*/ 13227 w 19978"/>
                                    <a:gd name="T19" fmla="*/ 9989 h 18154"/>
                                    <a:gd name="T20" fmla="*/ 15433 w 19978"/>
                                    <a:gd name="T21" fmla="*/ 5449 h 18154"/>
                                    <a:gd name="T22" fmla="*/ 17637 w 19978"/>
                                    <a:gd name="T23" fmla="*/ 1954 h 18154"/>
                                    <a:gd name="T24" fmla="*/ 17650 w 19978"/>
                                    <a:gd name="T25" fmla="*/ 1938 h 18154"/>
                                    <a:gd name="T26" fmla="*/ 19850 w 19978"/>
                                    <a:gd name="T27" fmla="*/ 26 h 18154"/>
                                    <a:gd name="T28" fmla="*/ 19952 w 19978"/>
                                    <a:gd name="T29" fmla="*/ 33 h 18154"/>
                                    <a:gd name="T30" fmla="*/ 19945 w 19978"/>
                                    <a:gd name="T31" fmla="*/ 135 h 18154"/>
                                    <a:gd name="T32" fmla="*/ 17745 w 19978"/>
                                    <a:gd name="T33" fmla="*/ 2047 h 18154"/>
                                    <a:gd name="T34" fmla="*/ 17758 w 19978"/>
                                    <a:gd name="T35" fmla="*/ 2031 h 18154"/>
                                    <a:gd name="T36" fmla="*/ 15562 w 19978"/>
                                    <a:gd name="T37" fmla="*/ 5512 h 18154"/>
                                    <a:gd name="T38" fmla="*/ 13352 w 19978"/>
                                    <a:gd name="T39" fmla="*/ 10060 h 18154"/>
                                    <a:gd name="T40" fmla="*/ 11152 w 19978"/>
                                    <a:gd name="T41" fmla="*/ 13964 h 18154"/>
                                    <a:gd name="T42" fmla="*/ 11142 w 19978"/>
                                    <a:gd name="T43" fmla="*/ 13978 h 18154"/>
                                    <a:gd name="T44" fmla="*/ 8934 w 19978"/>
                                    <a:gd name="T45" fmla="*/ 16314 h 18154"/>
                                    <a:gd name="T46" fmla="*/ 8914 w 19978"/>
                                    <a:gd name="T47" fmla="*/ 16329 h 18154"/>
                                    <a:gd name="T48" fmla="*/ 6714 w 19978"/>
                                    <a:gd name="T49" fmla="*/ 17433 h 18154"/>
                                    <a:gd name="T50" fmla="*/ 6696 w 19978"/>
                                    <a:gd name="T51" fmla="*/ 17439 h 18154"/>
                                    <a:gd name="T52" fmla="*/ 4487 w 19978"/>
                                    <a:gd name="T53" fmla="*/ 17896 h 18154"/>
                                    <a:gd name="T54" fmla="*/ 2276 w 19978"/>
                                    <a:gd name="T55" fmla="*/ 18080 h 18154"/>
                                    <a:gd name="T56" fmla="*/ 76 w 19978"/>
                                    <a:gd name="T57" fmla="*/ 18152 h 18154"/>
                                    <a:gd name="T58" fmla="*/ 2 w 19978"/>
                                    <a:gd name="T59" fmla="*/ 18083 h 18154"/>
                                    <a:gd name="T60" fmla="*/ 71 w 19978"/>
                                    <a:gd name="T61" fmla="*/ 18009 h 18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9978" h="18154">
                                      <a:moveTo>
                                        <a:pt x="71" y="18009"/>
                                      </a:moveTo>
                                      <a:lnTo>
                                        <a:pt x="2271" y="17937"/>
                                      </a:lnTo>
                                      <a:lnTo>
                                        <a:pt x="4475" y="17753"/>
                                      </a:lnTo>
                                      <a:lnTo>
                                        <a:pt x="6667" y="17298"/>
                                      </a:lnTo>
                                      <a:lnTo>
                                        <a:pt x="6649" y="17304"/>
                                      </a:lnTo>
                                      <a:lnTo>
                                        <a:pt x="8849" y="16200"/>
                                      </a:lnTo>
                                      <a:lnTo>
                                        <a:pt x="8829" y="16215"/>
                                      </a:lnTo>
                                      <a:lnTo>
                                        <a:pt x="11037" y="13879"/>
                                      </a:lnTo>
                                      <a:lnTo>
                                        <a:pt x="11027" y="13893"/>
                                      </a:lnTo>
                                      <a:lnTo>
                                        <a:pt x="13227" y="9989"/>
                                      </a:lnTo>
                                      <a:lnTo>
                                        <a:pt x="15433" y="5449"/>
                                      </a:lnTo>
                                      <a:lnTo>
                                        <a:pt x="17637" y="1954"/>
                                      </a:lnTo>
                                      <a:cubicBezTo>
                                        <a:pt x="17640" y="1948"/>
                                        <a:pt x="17645" y="1943"/>
                                        <a:pt x="17650" y="1938"/>
                                      </a:cubicBezTo>
                                      <a:lnTo>
                                        <a:pt x="19850" y="26"/>
                                      </a:lnTo>
                                      <a:cubicBezTo>
                                        <a:pt x="19880" y="0"/>
                                        <a:pt x="19926" y="3"/>
                                        <a:pt x="19952" y="33"/>
                                      </a:cubicBezTo>
                                      <a:cubicBezTo>
                                        <a:pt x="19978" y="63"/>
                                        <a:pt x="19975" y="109"/>
                                        <a:pt x="19945" y="135"/>
                                      </a:cubicBezTo>
                                      <a:lnTo>
                                        <a:pt x="17745" y="2047"/>
                                      </a:lnTo>
                                      <a:lnTo>
                                        <a:pt x="17758" y="2031"/>
                                      </a:lnTo>
                                      <a:lnTo>
                                        <a:pt x="15562" y="5512"/>
                                      </a:lnTo>
                                      <a:lnTo>
                                        <a:pt x="13352" y="10060"/>
                                      </a:lnTo>
                                      <a:lnTo>
                                        <a:pt x="11152" y="13964"/>
                                      </a:lnTo>
                                      <a:cubicBezTo>
                                        <a:pt x="11149" y="13969"/>
                                        <a:pt x="11146" y="13974"/>
                                        <a:pt x="11142" y="13978"/>
                                      </a:cubicBezTo>
                                      <a:lnTo>
                                        <a:pt x="8934" y="16314"/>
                                      </a:lnTo>
                                      <a:cubicBezTo>
                                        <a:pt x="8928" y="16320"/>
                                        <a:pt x="8921" y="16325"/>
                                        <a:pt x="8914" y="16329"/>
                                      </a:cubicBezTo>
                                      <a:lnTo>
                                        <a:pt x="6714" y="17433"/>
                                      </a:lnTo>
                                      <a:cubicBezTo>
                                        <a:pt x="6708" y="17436"/>
                                        <a:pt x="6702" y="17438"/>
                                        <a:pt x="6696" y="17439"/>
                                      </a:cubicBezTo>
                                      <a:lnTo>
                                        <a:pt x="4487" y="17896"/>
                                      </a:lnTo>
                                      <a:lnTo>
                                        <a:pt x="2276" y="18080"/>
                                      </a:lnTo>
                                      <a:lnTo>
                                        <a:pt x="76" y="18152"/>
                                      </a:lnTo>
                                      <a:cubicBezTo>
                                        <a:pt x="36" y="18154"/>
                                        <a:pt x="3" y="18123"/>
                                        <a:pt x="2" y="18083"/>
                                      </a:cubicBezTo>
                                      <a:cubicBezTo>
                                        <a:pt x="0" y="18043"/>
                                        <a:pt x="31" y="18010"/>
                                        <a:pt x="71" y="18009"/>
                                      </a:cubicBezTo>
                                      <a:close/>
                                    </a:path>
                                  </a:pathLst>
                                </a:custGeom>
                                <a:solidFill>
                                  <a:srgbClr val="595959"/>
                                </a:solidFill>
                                <a:ln w="1270">
                                  <a:solidFill>
                                    <a:srgbClr val="595959"/>
                                  </a:solidFill>
                                  <a:bevel/>
                                  <a:headEnd/>
                                  <a:tailEnd/>
                                </a:ln>
                              </wps:spPr>
                              <wps:bodyPr rot="0" vert="horz" wrap="square" lIns="91440" tIns="45720" rIns="91440" bIns="45720" anchor="t" anchorCtr="0" upright="1">
                                <a:noAutofit/>
                              </wps:bodyPr>
                            </wps:wsp>
                            <wps:wsp>
                              <wps:cNvPr id="58" name="Freeform 21"/>
                              <wps:cNvSpPr>
                                <a:spLocks/>
                              </wps:cNvSpPr>
                              <wps:spPr bwMode="auto">
                                <a:xfrm>
                                  <a:off x="508000" y="84455"/>
                                  <a:ext cx="2472690" cy="2434590"/>
                                </a:xfrm>
                                <a:custGeom>
                                  <a:avLst/>
                                  <a:gdLst>
                                    <a:gd name="T0" fmla="*/ 72 w 19976"/>
                                    <a:gd name="T1" fmla="*/ 19519 h 19663"/>
                                    <a:gd name="T2" fmla="*/ 2272 w 19976"/>
                                    <a:gd name="T3" fmla="*/ 19519 h 19663"/>
                                    <a:gd name="T4" fmla="*/ 4480 w 19976"/>
                                    <a:gd name="T5" fmla="*/ 19519 h 19663"/>
                                    <a:gd name="T6" fmla="*/ 4459 w 19976"/>
                                    <a:gd name="T7" fmla="*/ 19523 h 19663"/>
                                    <a:gd name="T8" fmla="*/ 6659 w 19976"/>
                                    <a:gd name="T9" fmla="*/ 18827 h 19663"/>
                                    <a:gd name="T10" fmla="*/ 6647 w 19976"/>
                                    <a:gd name="T11" fmla="*/ 18832 h 19663"/>
                                    <a:gd name="T12" fmla="*/ 8847 w 19976"/>
                                    <a:gd name="T13" fmla="*/ 17672 h 19663"/>
                                    <a:gd name="T14" fmla="*/ 8829 w 19976"/>
                                    <a:gd name="T15" fmla="*/ 17685 h 19663"/>
                                    <a:gd name="T16" fmla="*/ 11037 w 19976"/>
                                    <a:gd name="T17" fmla="*/ 15405 h 19663"/>
                                    <a:gd name="T18" fmla="*/ 13232 w 19976"/>
                                    <a:gd name="T19" fmla="*/ 12690 h 19663"/>
                                    <a:gd name="T20" fmla="*/ 15446 w 19976"/>
                                    <a:gd name="T21" fmla="*/ 10500 h 19663"/>
                                    <a:gd name="T22" fmla="*/ 17645 w 19976"/>
                                    <a:gd name="T23" fmla="*/ 8214 h 19663"/>
                                    <a:gd name="T24" fmla="*/ 17627 w 19976"/>
                                    <a:gd name="T25" fmla="*/ 8245 h 19663"/>
                                    <a:gd name="T26" fmla="*/ 19827 w 19976"/>
                                    <a:gd name="T27" fmla="*/ 61 h 19663"/>
                                    <a:gd name="T28" fmla="*/ 19915 w 19976"/>
                                    <a:gd name="T29" fmla="*/ 10 h 19663"/>
                                    <a:gd name="T30" fmla="*/ 19966 w 19976"/>
                                    <a:gd name="T31" fmla="*/ 98 h 19663"/>
                                    <a:gd name="T32" fmla="*/ 17766 w 19976"/>
                                    <a:gd name="T33" fmla="*/ 8282 h 19663"/>
                                    <a:gd name="T34" fmla="*/ 17748 w 19976"/>
                                    <a:gd name="T35" fmla="*/ 8313 h 19663"/>
                                    <a:gd name="T36" fmla="*/ 15547 w 19976"/>
                                    <a:gd name="T37" fmla="*/ 10603 h 19663"/>
                                    <a:gd name="T38" fmla="*/ 13344 w 19976"/>
                                    <a:gd name="T39" fmla="*/ 12781 h 19663"/>
                                    <a:gd name="T40" fmla="*/ 11140 w 19976"/>
                                    <a:gd name="T41" fmla="*/ 15506 h 19663"/>
                                    <a:gd name="T42" fmla="*/ 8932 w 19976"/>
                                    <a:gd name="T43" fmla="*/ 17786 h 19663"/>
                                    <a:gd name="T44" fmla="*/ 8914 w 19976"/>
                                    <a:gd name="T45" fmla="*/ 17799 h 19663"/>
                                    <a:gd name="T46" fmla="*/ 6714 w 19976"/>
                                    <a:gd name="T47" fmla="*/ 18959 h 19663"/>
                                    <a:gd name="T48" fmla="*/ 6702 w 19976"/>
                                    <a:gd name="T49" fmla="*/ 18964 h 19663"/>
                                    <a:gd name="T50" fmla="*/ 4502 w 19976"/>
                                    <a:gd name="T51" fmla="*/ 19660 h 19663"/>
                                    <a:gd name="T52" fmla="*/ 4480 w 19976"/>
                                    <a:gd name="T53" fmla="*/ 19663 h 19663"/>
                                    <a:gd name="T54" fmla="*/ 2272 w 19976"/>
                                    <a:gd name="T55" fmla="*/ 19663 h 19663"/>
                                    <a:gd name="T56" fmla="*/ 72 w 19976"/>
                                    <a:gd name="T57" fmla="*/ 19663 h 19663"/>
                                    <a:gd name="T58" fmla="*/ 0 w 19976"/>
                                    <a:gd name="T59" fmla="*/ 19591 h 19663"/>
                                    <a:gd name="T60" fmla="*/ 72 w 19976"/>
                                    <a:gd name="T61" fmla="*/ 19519 h 196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9976" h="19663">
                                      <a:moveTo>
                                        <a:pt x="72" y="19519"/>
                                      </a:moveTo>
                                      <a:lnTo>
                                        <a:pt x="2272" y="19519"/>
                                      </a:lnTo>
                                      <a:lnTo>
                                        <a:pt x="4480" y="19519"/>
                                      </a:lnTo>
                                      <a:lnTo>
                                        <a:pt x="4459" y="19523"/>
                                      </a:lnTo>
                                      <a:lnTo>
                                        <a:pt x="6659" y="18827"/>
                                      </a:lnTo>
                                      <a:lnTo>
                                        <a:pt x="6647" y="18832"/>
                                      </a:lnTo>
                                      <a:lnTo>
                                        <a:pt x="8847" y="17672"/>
                                      </a:lnTo>
                                      <a:lnTo>
                                        <a:pt x="8829" y="17685"/>
                                      </a:lnTo>
                                      <a:lnTo>
                                        <a:pt x="11037" y="15405"/>
                                      </a:lnTo>
                                      <a:lnTo>
                                        <a:pt x="13232" y="12690"/>
                                      </a:lnTo>
                                      <a:lnTo>
                                        <a:pt x="15446" y="10500"/>
                                      </a:lnTo>
                                      <a:lnTo>
                                        <a:pt x="17645" y="8214"/>
                                      </a:lnTo>
                                      <a:lnTo>
                                        <a:pt x="17627" y="8245"/>
                                      </a:lnTo>
                                      <a:lnTo>
                                        <a:pt x="19827" y="61"/>
                                      </a:lnTo>
                                      <a:cubicBezTo>
                                        <a:pt x="19837" y="22"/>
                                        <a:pt x="19877" y="0"/>
                                        <a:pt x="19915" y="10"/>
                                      </a:cubicBezTo>
                                      <a:cubicBezTo>
                                        <a:pt x="19954" y="20"/>
                                        <a:pt x="19976" y="60"/>
                                        <a:pt x="19966" y="98"/>
                                      </a:cubicBezTo>
                                      <a:lnTo>
                                        <a:pt x="17766" y="8282"/>
                                      </a:lnTo>
                                      <a:cubicBezTo>
                                        <a:pt x="17763" y="8294"/>
                                        <a:pt x="17757" y="8305"/>
                                        <a:pt x="17748" y="8313"/>
                                      </a:cubicBezTo>
                                      <a:lnTo>
                                        <a:pt x="15547" y="10603"/>
                                      </a:lnTo>
                                      <a:lnTo>
                                        <a:pt x="13344" y="12781"/>
                                      </a:lnTo>
                                      <a:lnTo>
                                        <a:pt x="11140" y="15506"/>
                                      </a:lnTo>
                                      <a:lnTo>
                                        <a:pt x="8932" y="17786"/>
                                      </a:lnTo>
                                      <a:cubicBezTo>
                                        <a:pt x="8927" y="17791"/>
                                        <a:pt x="8921" y="17796"/>
                                        <a:pt x="8914" y="17799"/>
                                      </a:cubicBezTo>
                                      <a:lnTo>
                                        <a:pt x="6714" y="18959"/>
                                      </a:lnTo>
                                      <a:cubicBezTo>
                                        <a:pt x="6710" y="18961"/>
                                        <a:pt x="6706" y="18963"/>
                                        <a:pt x="6702" y="18964"/>
                                      </a:cubicBezTo>
                                      <a:lnTo>
                                        <a:pt x="4502" y="19660"/>
                                      </a:lnTo>
                                      <a:cubicBezTo>
                                        <a:pt x="4495" y="19662"/>
                                        <a:pt x="4488" y="19663"/>
                                        <a:pt x="4480" y="19663"/>
                                      </a:cubicBezTo>
                                      <a:lnTo>
                                        <a:pt x="2272" y="19663"/>
                                      </a:lnTo>
                                      <a:lnTo>
                                        <a:pt x="72" y="19663"/>
                                      </a:lnTo>
                                      <a:cubicBezTo>
                                        <a:pt x="33" y="19663"/>
                                        <a:pt x="0" y="19631"/>
                                        <a:pt x="0" y="19591"/>
                                      </a:cubicBezTo>
                                      <a:cubicBezTo>
                                        <a:pt x="0" y="19552"/>
                                        <a:pt x="33" y="19519"/>
                                        <a:pt x="72" y="19519"/>
                                      </a:cubicBezTo>
                                      <a:close/>
                                    </a:path>
                                  </a:pathLst>
                                </a:custGeom>
                                <a:solidFill>
                                  <a:srgbClr val="C0504D"/>
                                </a:solidFill>
                                <a:ln w="1270">
                                  <a:solidFill>
                                    <a:srgbClr val="C0504D"/>
                                  </a:solidFill>
                                  <a:bevel/>
                                  <a:headEnd/>
                                  <a:tailEnd/>
                                </a:ln>
                              </wps:spPr>
                              <wps:bodyPr rot="0" vert="horz" wrap="square" lIns="91440" tIns="45720" rIns="91440" bIns="45720" anchor="t" anchorCtr="0" upright="1">
                                <a:noAutofit/>
                              </wps:bodyPr>
                            </wps:wsp>
                            <wps:wsp>
                              <wps:cNvPr id="59" name="Rectangle 22"/>
                              <wps:cNvSpPr>
                                <a:spLocks noChangeArrowheads="1"/>
                              </wps:cNvSpPr>
                              <wps:spPr bwMode="auto">
                                <a:xfrm>
                                  <a:off x="162560" y="2457450"/>
                                  <a:ext cx="13081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12"/>
                                        <w:szCs w:val="12"/>
                                      </w:rPr>
                                      <w:t>0%</w:t>
                                    </w:r>
                                  </w:p>
                                </w:txbxContent>
                              </wps:txbx>
                              <wps:bodyPr rot="0" vert="horz" wrap="none" lIns="0" tIns="0" rIns="0" bIns="0" anchor="t" anchorCtr="0" upright="1">
                                <a:spAutoFit/>
                              </wps:bodyPr>
                            </wps:wsp>
                            <wps:wsp>
                              <wps:cNvPr id="60" name="Rectangle 23"/>
                              <wps:cNvSpPr>
                                <a:spLocks noChangeArrowheads="1"/>
                              </wps:cNvSpPr>
                              <wps:spPr bwMode="auto">
                                <a:xfrm>
                                  <a:off x="109855" y="2216150"/>
                                  <a:ext cx="1790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12"/>
                                        <w:szCs w:val="12"/>
                                      </w:rPr>
                                      <w:t>10%</w:t>
                                    </w:r>
                                  </w:p>
                                </w:txbxContent>
                              </wps:txbx>
                              <wps:bodyPr rot="0" vert="horz" wrap="none" lIns="0" tIns="0" rIns="0" bIns="0" anchor="t" anchorCtr="0" upright="1">
                                <a:spAutoFit/>
                              </wps:bodyPr>
                            </wps:wsp>
                            <wps:wsp>
                              <wps:cNvPr id="61" name="Rectangle 24"/>
                              <wps:cNvSpPr>
                                <a:spLocks noChangeArrowheads="1"/>
                              </wps:cNvSpPr>
                              <wps:spPr bwMode="auto">
                                <a:xfrm>
                                  <a:off x="109855" y="1973580"/>
                                  <a:ext cx="2089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14"/>
                                        <w:szCs w:val="14"/>
                                      </w:rPr>
                                      <w:t>20%</w:t>
                                    </w:r>
                                  </w:p>
                                </w:txbxContent>
                              </wps:txbx>
                              <wps:bodyPr rot="0" vert="horz" wrap="none" lIns="0" tIns="0" rIns="0" bIns="0" anchor="t" anchorCtr="0" upright="1">
                                <a:spAutoFit/>
                              </wps:bodyPr>
                            </wps:wsp>
                            <wps:wsp>
                              <wps:cNvPr id="62" name="Rectangle 25"/>
                              <wps:cNvSpPr>
                                <a:spLocks noChangeArrowheads="1"/>
                              </wps:cNvSpPr>
                              <wps:spPr bwMode="auto">
                                <a:xfrm>
                                  <a:off x="109855" y="1732915"/>
                                  <a:ext cx="1790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12"/>
                                        <w:szCs w:val="12"/>
                                      </w:rPr>
                                      <w:t>30%</w:t>
                                    </w:r>
                                  </w:p>
                                </w:txbxContent>
                              </wps:txbx>
                              <wps:bodyPr rot="0" vert="horz" wrap="none" lIns="0" tIns="0" rIns="0" bIns="0" anchor="t" anchorCtr="0" upright="1">
                                <a:spAutoFit/>
                              </wps:bodyPr>
                            </wps:wsp>
                            <wps:wsp>
                              <wps:cNvPr id="63" name="Rectangle 26"/>
                              <wps:cNvSpPr>
                                <a:spLocks noChangeArrowheads="1"/>
                              </wps:cNvSpPr>
                              <wps:spPr bwMode="auto">
                                <a:xfrm>
                                  <a:off x="109855" y="1490345"/>
                                  <a:ext cx="2089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14"/>
                                        <w:szCs w:val="14"/>
                                      </w:rPr>
                                      <w:t>40%</w:t>
                                    </w:r>
                                  </w:p>
                                </w:txbxContent>
                              </wps:txbx>
                              <wps:bodyPr rot="0" vert="horz" wrap="none" lIns="0" tIns="0" rIns="0" bIns="0" anchor="t" anchorCtr="0" upright="1">
                                <a:spAutoFit/>
                              </wps:bodyPr>
                            </wps:wsp>
                            <wps:wsp>
                              <wps:cNvPr id="352" name="Rectangle 27"/>
                              <wps:cNvSpPr>
                                <a:spLocks noChangeArrowheads="1"/>
                              </wps:cNvSpPr>
                              <wps:spPr bwMode="auto">
                                <a:xfrm>
                                  <a:off x="109855" y="1249680"/>
                                  <a:ext cx="1790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12"/>
                                        <w:szCs w:val="12"/>
                                      </w:rPr>
                                      <w:t>50%</w:t>
                                    </w:r>
                                  </w:p>
                                </w:txbxContent>
                              </wps:txbx>
                              <wps:bodyPr rot="0" vert="horz" wrap="none" lIns="0" tIns="0" rIns="0" bIns="0" anchor="t" anchorCtr="0" upright="1">
                                <a:spAutoFit/>
                              </wps:bodyPr>
                            </wps:wsp>
                            <wps:wsp>
                              <wps:cNvPr id="353" name="Rectangle 28"/>
                              <wps:cNvSpPr>
                                <a:spLocks noChangeArrowheads="1"/>
                              </wps:cNvSpPr>
                              <wps:spPr bwMode="auto">
                                <a:xfrm>
                                  <a:off x="109855" y="1007110"/>
                                  <a:ext cx="2089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14"/>
                                        <w:szCs w:val="14"/>
                                      </w:rPr>
                                      <w:t>60%</w:t>
                                    </w:r>
                                  </w:p>
                                </w:txbxContent>
                              </wps:txbx>
                              <wps:bodyPr rot="0" vert="horz" wrap="none" lIns="0" tIns="0" rIns="0" bIns="0" anchor="t" anchorCtr="0" upright="1">
                                <a:spAutoFit/>
                              </wps:bodyPr>
                            </wps:wsp>
                            <wps:wsp>
                              <wps:cNvPr id="354" name="Rectangle 29"/>
                              <wps:cNvSpPr>
                                <a:spLocks noChangeArrowheads="1"/>
                              </wps:cNvSpPr>
                              <wps:spPr bwMode="auto">
                                <a:xfrm>
                                  <a:off x="109855" y="766445"/>
                                  <a:ext cx="1790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12"/>
                                        <w:szCs w:val="12"/>
                                      </w:rPr>
                                      <w:t>70%</w:t>
                                    </w:r>
                                  </w:p>
                                </w:txbxContent>
                              </wps:txbx>
                              <wps:bodyPr rot="0" vert="horz" wrap="none" lIns="0" tIns="0" rIns="0" bIns="0" anchor="t" anchorCtr="0" upright="1">
                                <a:spAutoFit/>
                              </wps:bodyPr>
                            </wps:wsp>
                            <wps:wsp>
                              <wps:cNvPr id="355" name="Rectangle 30"/>
                              <wps:cNvSpPr>
                                <a:spLocks noChangeArrowheads="1"/>
                              </wps:cNvSpPr>
                              <wps:spPr bwMode="auto">
                                <a:xfrm>
                                  <a:off x="109855" y="525145"/>
                                  <a:ext cx="17907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12"/>
                                        <w:szCs w:val="12"/>
                                      </w:rPr>
                                      <w:t>80%</w:t>
                                    </w:r>
                                  </w:p>
                                </w:txbxContent>
                              </wps:txbx>
                              <wps:bodyPr rot="0" vert="horz" wrap="none" lIns="0" tIns="0" rIns="0" bIns="0" anchor="t" anchorCtr="0" upright="1">
                                <a:spAutoFit/>
                              </wps:bodyPr>
                            </wps:wsp>
                            <wps:wsp>
                              <wps:cNvPr id="356" name="Rectangle 31"/>
                              <wps:cNvSpPr>
                                <a:spLocks noChangeArrowheads="1"/>
                              </wps:cNvSpPr>
                              <wps:spPr bwMode="auto">
                                <a:xfrm>
                                  <a:off x="109855" y="282575"/>
                                  <a:ext cx="20891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14"/>
                                        <w:szCs w:val="14"/>
                                      </w:rPr>
                                      <w:t>90%</w:t>
                                    </w:r>
                                  </w:p>
                                </w:txbxContent>
                              </wps:txbx>
                              <wps:bodyPr rot="0" vert="horz" wrap="none" lIns="0" tIns="0" rIns="0" bIns="0" anchor="t" anchorCtr="0" upright="1">
                                <a:spAutoFit/>
                              </wps:bodyPr>
                            </wps:wsp>
                            <wps:wsp>
                              <wps:cNvPr id="357" name="Rectangle 32"/>
                              <wps:cNvSpPr>
                                <a:spLocks noChangeArrowheads="1"/>
                              </wps:cNvSpPr>
                              <wps:spPr bwMode="auto">
                                <a:xfrm>
                                  <a:off x="57785" y="41910"/>
                                  <a:ext cx="227965"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12"/>
                                        <w:szCs w:val="12"/>
                                      </w:rPr>
                                      <w:t>100%</w:t>
                                    </w:r>
                                  </w:p>
                                </w:txbxContent>
                              </wps:txbx>
                              <wps:bodyPr rot="0" vert="horz" wrap="none" lIns="0" tIns="0" rIns="0" bIns="0" anchor="t" anchorCtr="0" upright="1">
                                <a:spAutoFit/>
                              </wps:bodyPr>
                            </wps:wsp>
                            <wps:wsp>
                              <wps:cNvPr id="358" name="Rectangle 33"/>
                              <wps:cNvSpPr>
                                <a:spLocks noChangeArrowheads="1"/>
                              </wps:cNvSpPr>
                              <wps:spPr bwMode="auto">
                                <a:xfrm>
                                  <a:off x="550545" y="2776220"/>
                                  <a:ext cx="323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2"/>
                                        <w:szCs w:val="2"/>
                                      </w:rPr>
                                      <w:t>2014</w:t>
                                    </w:r>
                                  </w:p>
                                </w:txbxContent>
                              </wps:txbx>
                              <wps:bodyPr rot="0" vert="horz" wrap="none" lIns="0" tIns="0" rIns="0" bIns="0" anchor="t" anchorCtr="0" upright="1">
                                <a:spAutoFit/>
                              </wps:bodyPr>
                            </wps:wsp>
                            <wps:wsp>
                              <wps:cNvPr id="359" name="Rectangle 34"/>
                              <wps:cNvSpPr>
                                <a:spLocks noChangeArrowheads="1"/>
                              </wps:cNvSpPr>
                              <wps:spPr bwMode="auto">
                                <a:xfrm>
                                  <a:off x="823595" y="2776220"/>
                                  <a:ext cx="323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2"/>
                                        <w:szCs w:val="2"/>
                                      </w:rPr>
                                      <w:t>2015</w:t>
                                    </w:r>
                                  </w:p>
                                </w:txbxContent>
                              </wps:txbx>
                              <wps:bodyPr rot="0" vert="horz" wrap="none" lIns="0" tIns="0" rIns="0" bIns="0" anchor="t" anchorCtr="0" upright="1">
                                <a:spAutoFit/>
                              </wps:bodyPr>
                            </wps:wsp>
                            <wps:wsp>
                              <wps:cNvPr id="360" name="Rectangle 35"/>
                              <wps:cNvSpPr>
                                <a:spLocks noChangeArrowheads="1"/>
                              </wps:cNvSpPr>
                              <wps:spPr bwMode="auto">
                                <a:xfrm>
                                  <a:off x="1096010" y="2776220"/>
                                  <a:ext cx="323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2"/>
                                        <w:szCs w:val="2"/>
                                      </w:rPr>
                                      <w:t>2016</w:t>
                                    </w:r>
                                  </w:p>
                                </w:txbxContent>
                              </wps:txbx>
                              <wps:bodyPr rot="0" vert="horz" wrap="none" lIns="0" tIns="0" rIns="0" bIns="0" anchor="t" anchorCtr="0" upright="1">
                                <a:spAutoFit/>
                              </wps:bodyPr>
                            </wps:wsp>
                            <wps:wsp>
                              <wps:cNvPr id="361" name="Rectangle 36"/>
                              <wps:cNvSpPr>
                                <a:spLocks noChangeArrowheads="1"/>
                              </wps:cNvSpPr>
                              <wps:spPr bwMode="auto">
                                <a:xfrm>
                                  <a:off x="1369060" y="2776220"/>
                                  <a:ext cx="323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2"/>
                                        <w:szCs w:val="2"/>
                                      </w:rPr>
                                      <w:t>2017</w:t>
                                    </w:r>
                                  </w:p>
                                </w:txbxContent>
                              </wps:txbx>
                              <wps:bodyPr rot="0" vert="horz" wrap="none" lIns="0" tIns="0" rIns="0" bIns="0" anchor="t" anchorCtr="0" upright="1">
                                <a:spAutoFit/>
                              </wps:bodyPr>
                            </wps:wsp>
                            <wps:wsp>
                              <wps:cNvPr id="362" name="Rectangle 37"/>
                              <wps:cNvSpPr>
                                <a:spLocks noChangeArrowheads="1"/>
                              </wps:cNvSpPr>
                              <wps:spPr bwMode="auto">
                                <a:xfrm>
                                  <a:off x="1641475" y="2776220"/>
                                  <a:ext cx="323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2"/>
                                        <w:szCs w:val="2"/>
                                      </w:rPr>
                                      <w:t>2018</w:t>
                                    </w:r>
                                  </w:p>
                                </w:txbxContent>
                              </wps:txbx>
                              <wps:bodyPr rot="0" vert="horz" wrap="none" lIns="0" tIns="0" rIns="0" bIns="0" anchor="t" anchorCtr="0" upright="1">
                                <a:spAutoFit/>
                              </wps:bodyPr>
                            </wps:wsp>
                            <wps:wsp>
                              <wps:cNvPr id="363" name="Rectangle 38"/>
                              <wps:cNvSpPr>
                                <a:spLocks noChangeArrowheads="1"/>
                              </wps:cNvSpPr>
                              <wps:spPr bwMode="auto">
                                <a:xfrm>
                                  <a:off x="1914525" y="2776220"/>
                                  <a:ext cx="323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2"/>
                                        <w:szCs w:val="2"/>
                                      </w:rPr>
                                      <w:t>2019</w:t>
                                    </w:r>
                                  </w:p>
                                </w:txbxContent>
                              </wps:txbx>
                              <wps:bodyPr rot="0" vert="horz" wrap="none" lIns="0" tIns="0" rIns="0" bIns="0" anchor="t" anchorCtr="0" upright="1">
                                <a:spAutoFit/>
                              </wps:bodyPr>
                            </wps:wsp>
                            <wps:wsp>
                              <wps:cNvPr id="364" name="Rectangle 39"/>
                              <wps:cNvSpPr>
                                <a:spLocks noChangeArrowheads="1"/>
                              </wps:cNvSpPr>
                              <wps:spPr bwMode="auto">
                                <a:xfrm>
                                  <a:off x="2186940" y="2776220"/>
                                  <a:ext cx="323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2"/>
                                        <w:szCs w:val="2"/>
                                      </w:rPr>
                                      <w:t>2020</w:t>
                                    </w:r>
                                  </w:p>
                                </w:txbxContent>
                              </wps:txbx>
                              <wps:bodyPr rot="0" vert="horz" wrap="none" lIns="0" tIns="0" rIns="0" bIns="0" anchor="t" anchorCtr="0" upright="1">
                                <a:spAutoFit/>
                              </wps:bodyPr>
                            </wps:wsp>
                            <wps:wsp>
                              <wps:cNvPr id="365" name="Rectangle 40"/>
                              <wps:cNvSpPr>
                                <a:spLocks noChangeArrowheads="1"/>
                              </wps:cNvSpPr>
                              <wps:spPr bwMode="auto">
                                <a:xfrm>
                                  <a:off x="2459355" y="2776220"/>
                                  <a:ext cx="323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2"/>
                                        <w:szCs w:val="2"/>
                                      </w:rPr>
                                      <w:t>2021</w:t>
                                    </w:r>
                                  </w:p>
                                </w:txbxContent>
                              </wps:txbx>
                              <wps:bodyPr rot="0" vert="horz" wrap="none" lIns="0" tIns="0" rIns="0" bIns="0" anchor="t" anchorCtr="0" upright="1">
                                <a:spAutoFit/>
                              </wps:bodyPr>
                            </wps:wsp>
                            <wps:wsp>
                              <wps:cNvPr id="366" name="Rectangle 41"/>
                              <wps:cNvSpPr>
                                <a:spLocks noChangeArrowheads="1"/>
                              </wps:cNvSpPr>
                              <wps:spPr bwMode="auto">
                                <a:xfrm>
                                  <a:off x="2732405" y="2776220"/>
                                  <a:ext cx="323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2"/>
                                        <w:szCs w:val="2"/>
                                      </w:rPr>
                                      <w:t>2022</w:t>
                                    </w:r>
                                  </w:p>
                                </w:txbxContent>
                              </wps:txbx>
                              <wps:bodyPr rot="0" vert="horz" wrap="none" lIns="0" tIns="0" rIns="0" bIns="0" anchor="t" anchorCtr="0" upright="1">
                                <a:spAutoFit/>
                              </wps:bodyPr>
                            </wps:wsp>
                            <wps:wsp>
                              <wps:cNvPr id="367" name="Rectangle 42"/>
                              <wps:cNvSpPr>
                                <a:spLocks noChangeArrowheads="1"/>
                              </wps:cNvSpPr>
                              <wps:spPr bwMode="auto">
                                <a:xfrm>
                                  <a:off x="3004820" y="2776220"/>
                                  <a:ext cx="32385"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2"/>
                                        <w:szCs w:val="2"/>
                                      </w:rPr>
                                      <w:t>2023</w:t>
                                    </w:r>
                                  </w:p>
                                </w:txbxContent>
                              </wps:txbx>
                              <wps:bodyPr rot="0" vert="horz" wrap="none" lIns="0" tIns="0" rIns="0" bIns="0" anchor="t" anchorCtr="0" upright="1">
                                <a:spAutoFit/>
                              </wps:bodyPr>
                            </wps:wsp>
                            <wps:wsp>
                              <wps:cNvPr id="368" name="Freeform 43"/>
                              <wps:cNvSpPr>
                                <a:spLocks/>
                              </wps:cNvSpPr>
                              <wps:spPr bwMode="auto">
                                <a:xfrm>
                                  <a:off x="603885" y="2894330"/>
                                  <a:ext cx="176530" cy="17780"/>
                                </a:xfrm>
                                <a:custGeom>
                                  <a:avLst/>
                                  <a:gdLst>
                                    <a:gd name="T0" fmla="*/ 72 w 1424"/>
                                    <a:gd name="T1" fmla="*/ 0 h 144"/>
                                    <a:gd name="T2" fmla="*/ 1352 w 1424"/>
                                    <a:gd name="T3" fmla="*/ 0 h 144"/>
                                    <a:gd name="T4" fmla="*/ 1424 w 1424"/>
                                    <a:gd name="T5" fmla="*/ 72 h 144"/>
                                    <a:gd name="T6" fmla="*/ 1352 w 1424"/>
                                    <a:gd name="T7" fmla="*/ 144 h 144"/>
                                    <a:gd name="T8" fmla="*/ 72 w 1424"/>
                                    <a:gd name="T9" fmla="*/ 144 h 144"/>
                                    <a:gd name="T10" fmla="*/ 0 w 1424"/>
                                    <a:gd name="T11" fmla="*/ 72 h 144"/>
                                    <a:gd name="T12" fmla="*/ 72 w 1424"/>
                                    <a:gd name="T13" fmla="*/ 0 h 144"/>
                                  </a:gdLst>
                                  <a:ahLst/>
                                  <a:cxnLst>
                                    <a:cxn ang="0">
                                      <a:pos x="T0" y="T1"/>
                                    </a:cxn>
                                    <a:cxn ang="0">
                                      <a:pos x="T2" y="T3"/>
                                    </a:cxn>
                                    <a:cxn ang="0">
                                      <a:pos x="T4" y="T5"/>
                                    </a:cxn>
                                    <a:cxn ang="0">
                                      <a:pos x="T6" y="T7"/>
                                    </a:cxn>
                                    <a:cxn ang="0">
                                      <a:pos x="T8" y="T9"/>
                                    </a:cxn>
                                    <a:cxn ang="0">
                                      <a:pos x="T10" y="T11"/>
                                    </a:cxn>
                                    <a:cxn ang="0">
                                      <a:pos x="T12" y="T13"/>
                                    </a:cxn>
                                  </a:cxnLst>
                                  <a:rect l="0" t="0" r="r" b="b"/>
                                  <a:pathLst>
                                    <a:path w="1424" h="144">
                                      <a:moveTo>
                                        <a:pt x="72" y="0"/>
                                      </a:moveTo>
                                      <a:lnTo>
                                        <a:pt x="1352" y="0"/>
                                      </a:lnTo>
                                      <a:cubicBezTo>
                                        <a:pt x="1392" y="0"/>
                                        <a:pt x="1424" y="33"/>
                                        <a:pt x="1424" y="72"/>
                                      </a:cubicBezTo>
                                      <a:cubicBezTo>
                                        <a:pt x="1424" y="112"/>
                                        <a:pt x="1392" y="144"/>
                                        <a:pt x="1352" y="144"/>
                                      </a:cubicBezTo>
                                      <a:lnTo>
                                        <a:pt x="72" y="144"/>
                                      </a:lnTo>
                                      <a:cubicBezTo>
                                        <a:pt x="33" y="144"/>
                                        <a:pt x="0" y="112"/>
                                        <a:pt x="0" y="72"/>
                                      </a:cubicBezTo>
                                      <a:cubicBezTo>
                                        <a:pt x="0" y="33"/>
                                        <a:pt x="33" y="0"/>
                                        <a:pt x="72" y="0"/>
                                      </a:cubicBezTo>
                                      <a:close/>
                                    </a:path>
                                  </a:pathLst>
                                </a:custGeom>
                                <a:solidFill>
                                  <a:srgbClr val="595959"/>
                                </a:solidFill>
                                <a:ln w="1270">
                                  <a:solidFill>
                                    <a:srgbClr val="595959"/>
                                  </a:solidFill>
                                  <a:bevel/>
                                  <a:headEnd/>
                                  <a:tailEnd/>
                                </a:ln>
                              </wps:spPr>
                              <wps:bodyPr rot="0" vert="horz" wrap="square" lIns="91440" tIns="45720" rIns="91440" bIns="45720" anchor="t" anchorCtr="0" upright="1">
                                <a:noAutofit/>
                              </wps:bodyPr>
                            </wps:wsp>
                            <wps:wsp>
                              <wps:cNvPr id="369" name="Rectangle 44"/>
                              <wps:cNvSpPr>
                                <a:spLocks noChangeArrowheads="1"/>
                              </wps:cNvSpPr>
                              <wps:spPr bwMode="auto">
                                <a:xfrm>
                                  <a:off x="788670" y="2849880"/>
                                  <a:ext cx="53784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Pr="00FB7237" w:rsidRDefault="005A221F">
                                    <w:pPr>
                                      <w:rPr>
                                        <w:lang w:val="en-US"/>
                                      </w:rPr>
                                    </w:pPr>
                                    <w:r>
                                      <w:rPr>
                                        <w:rFonts w:ascii="Verdana" w:hAnsi="Verdana" w:cs="Verdana"/>
                                        <w:color w:val="000000"/>
                                        <w:sz w:val="14"/>
                                        <w:szCs w:val="14"/>
                                        <w:lang w:val="en-US"/>
                                      </w:rPr>
                                      <w:t>Certification</w:t>
                                    </w:r>
                                  </w:p>
                                </w:txbxContent>
                              </wps:txbx>
                              <wps:bodyPr rot="0" vert="horz" wrap="none" lIns="0" tIns="0" rIns="0" bIns="0" anchor="t" anchorCtr="0" upright="1">
                                <a:spAutoFit/>
                              </wps:bodyPr>
                            </wps:wsp>
                            <wps:wsp>
                              <wps:cNvPr id="370" name="Freeform 45"/>
                              <wps:cNvSpPr>
                                <a:spLocks/>
                              </wps:cNvSpPr>
                              <wps:spPr bwMode="auto">
                                <a:xfrm>
                                  <a:off x="1610995" y="2894330"/>
                                  <a:ext cx="176530" cy="17780"/>
                                </a:xfrm>
                                <a:custGeom>
                                  <a:avLst/>
                                  <a:gdLst>
                                    <a:gd name="T0" fmla="*/ 72 w 1424"/>
                                    <a:gd name="T1" fmla="*/ 0 h 144"/>
                                    <a:gd name="T2" fmla="*/ 1352 w 1424"/>
                                    <a:gd name="T3" fmla="*/ 0 h 144"/>
                                    <a:gd name="T4" fmla="*/ 1424 w 1424"/>
                                    <a:gd name="T5" fmla="*/ 72 h 144"/>
                                    <a:gd name="T6" fmla="*/ 1352 w 1424"/>
                                    <a:gd name="T7" fmla="*/ 144 h 144"/>
                                    <a:gd name="T8" fmla="*/ 72 w 1424"/>
                                    <a:gd name="T9" fmla="*/ 144 h 144"/>
                                    <a:gd name="T10" fmla="*/ 0 w 1424"/>
                                    <a:gd name="T11" fmla="*/ 72 h 144"/>
                                    <a:gd name="T12" fmla="*/ 72 w 1424"/>
                                    <a:gd name="T13" fmla="*/ 0 h 144"/>
                                  </a:gdLst>
                                  <a:ahLst/>
                                  <a:cxnLst>
                                    <a:cxn ang="0">
                                      <a:pos x="T0" y="T1"/>
                                    </a:cxn>
                                    <a:cxn ang="0">
                                      <a:pos x="T2" y="T3"/>
                                    </a:cxn>
                                    <a:cxn ang="0">
                                      <a:pos x="T4" y="T5"/>
                                    </a:cxn>
                                    <a:cxn ang="0">
                                      <a:pos x="T6" y="T7"/>
                                    </a:cxn>
                                    <a:cxn ang="0">
                                      <a:pos x="T8" y="T9"/>
                                    </a:cxn>
                                    <a:cxn ang="0">
                                      <a:pos x="T10" y="T11"/>
                                    </a:cxn>
                                    <a:cxn ang="0">
                                      <a:pos x="T12" y="T13"/>
                                    </a:cxn>
                                  </a:cxnLst>
                                  <a:rect l="0" t="0" r="r" b="b"/>
                                  <a:pathLst>
                                    <a:path w="1424" h="144">
                                      <a:moveTo>
                                        <a:pt x="72" y="0"/>
                                      </a:moveTo>
                                      <a:lnTo>
                                        <a:pt x="1352" y="0"/>
                                      </a:lnTo>
                                      <a:cubicBezTo>
                                        <a:pt x="1392" y="0"/>
                                        <a:pt x="1424" y="33"/>
                                        <a:pt x="1424" y="72"/>
                                      </a:cubicBezTo>
                                      <a:cubicBezTo>
                                        <a:pt x="1424" y="112"/>
                                        <a:pt x="1392" y="144"/>
                                        <a:pt x="1352" y="144"/>
                                      </a:cubicBezTo>
                                      <a:lnTo>
                                        <a:pt x="72" y="144"/>
                                      </a:lnTo>
                                      <a:cubicBezTo>
                                        <a:pt x="33" y="144"/>
                                        <a:pt x="0" y="112"/>
                                        <a:pt x="0" y="72"/>
                                      </a:cubicBezTo>
                                      <a:cubicBezTo>
                                        <a:pt x="0" y="33"/>
                                        <a:pt x="33" y="0"/>
                                        <a:pt x="72" y="0"/>
                                      </a:cubicBezTo>
                                      <a:close/>
                                    </a:path>
                                  </a:pathLst>
                                </a:custGeom>
                                <a:solidFill>
                                  <a:srgbClr val="C0504D"/>
                                </a:solidFill>
                                <a:ln w="1270">
                                  <a:solidFill>
                                    <a:srgbClr val="C0504D"/>
                                  </a:solidFill>
                                  <a:bevel/>
                                  <a:headEnd/>
                                  <a:tailEnd/>
                                </a:ln>
                              </wps:spPr>
                              <wps:bodyPr rot="0" vert="horz" wrap="square" lIns="91440" tIns="45720" rIns="91440" bIns="45720" anchor="t" anchorCtr="0" upright="1">
                                <a:noAutofit/>
                              </wps:bodyPr>
                            </wps:wsp>
                            <wps:wsp>
                              <wps:cNvPr id="371" name="Rectangle 46"/>
                              <wps:cNvSpPr>
                                <a:spLocks noChangeArrowheads="1"/>
                              </wps:cNvSpPr>
                              <wps:spPr bwMode="auto">
                                <a:xfrm>
                                  <a:off x="1796415" y="2849880"/>
                                  <a:ext cx="267970"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r>
                                      <w:rPr>
                                        <w:rFonts w:ascii="Verdana" w:hAnsi="Verdana" w:cs="Verdana"/>
                                        <w:color w:val="000000"/>
                                        <w:sz w:val="14"/>
                                        <w:szCs w:val="14"/>
                                      </w:rPr>
                                      <w:t>N+3 (</w:t>
                                    </w:r>
                                  </w:p>
                                </w:txbxContent>
                              </wps:txbx>
                              <wps:bodyPr rot="0" vert="horz" wrap="none" lIns="0" tIns="0" rIns="0" bIns="0" anchor="t" anchorCtr="0" upright="1">
                                <a:spAutoFit/>
                              </wps:bodyPr>
                            </wps:wsp>
                            <wps:wsp>
                              <wps:cNvPr id="372" name="Rectangle 47"/>
                              <wps:cNvSpPr>
                                <a:spLocks noChangeArrowheads="1"/>
                              </wps:cNvSpPr>
                              <wps:spPr bwMode="auto">
                                <a:xfrm>
                                  <a:off x="2044700" y="2849880"/>
                                  <a:ext cx="51879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A221F" w:rsidRDefault="005A221F">
                                    <w:proofErr w:type="gramStart"/>
                                    <w:r>
                                      <w:rPr>
                                        <w:rFonts w:ascii="Verdana" w:hAnsi="Verdana" w:cs="Verdana"/>
                                        <w:color w:val="000000"/>
                                        <w:sz w:val="14"/>
                                        <w:szCs w:val="14"/>
                                      </w:rPr>
                                      <w:t>alternative</w:t>
                                    </w:r>
                                    <w:proofErr w:type="gramEnd"/>
                                    <w:r>
                                      <w:rPr>
                                        <w:rFonts w:ascii="Verdana" w:hAnsi="Verdana" w:cs="Verdana"/>
                                        <w:color w:val="000000"/>
                                        <w:sz w:val="14"/>
                                        <w:szCs w:val="14"/>
                                      </w:rPr>
                                      <w:t>)</w:t>
                                    </w:r>
                                  </w:p>
                                </w:txbxContent>
                              </wps:txbx>
                              <wps:bodyPr rot="0" vert="horz" wrap="none" lIns="0" tIns="0" rIns="0" bIns="0" anchor="t" anchorCtr="0" upright="1">
                                <a:spAutoFit/>
                              </wps:bodyPr>
                            </wps:wsp>
                            <wps:wsp>
                              <wps:cNvPr id="373" name="Freeform 48"/>
                              <wps:cNvSpPr>
                                <a:spLocks noEditPoints="1"/>
                              </wps:cNvSpPr>
                              <wps:spPr bwMode="auto">
                                <a:xfrm>
                                  <a:off x="0" y="0"/>
                                  <a:ext cx="3201670" cy="3030220"/>
                                </a:xfrm>
                                <a:custGeom>
                                  <a:avLst/>
                                  <a:gdLst>
                                    <a:gd name="T0" fmla="*/ 0 w 25864"/>
                                    <a:gd name="T1" fmla="*/ 24 h 24472"/>
                                    <a:gd name="T2" fmla="*/ 24 w 25864"/>
                                    <a:gd name="T3" fmla="*/ 0 h 24472"/>
                                    <a:gd name="T4" fmla="*/ 25840 w 25864"/>
                                    <a:gd name="T5" fmla="*/ 0 h 24472"/>
                                    <a:gd name="T6" fmla="*/ 25864 w 25864"/>
                                    <a:gd name="T7" fmla="*/ 24 h 24472"/>
                                    <a:gd name="T8" fmla="*/ 25864 w 25864"/>
                                    <a:gd name="T9" fmla="*/ 24448 h 24472"/>
                                    <a:gd name="T10" fmla="*/ 25840 w 25864"/>
                                    <a:gd name="T11" fmla="*/ 24472 h 24472"/>
                                    <a:gd name="T12" fmla="*/ 24 w 25864"/>
                                    <a:gd name="T13" fmla="*/ 24472 h 24472"/>
                                    <a:gd name="T14" fmla="*/ 0 w 25864"/>
                                    <a:gd name="T15" fmla="*/ 24448 h 24472"/>
                                    <a:gd name="T16" fmla="*/ 0 w 25864"/>
                                    <a:gd name="T17" fmla="*/ 24 h 24472"/>
                                    <a:gd name="T18" fmla="*/ 48 w 25864"/>
                                    <a:gd name="T19" fmla="*/ 24448 h 24472"/>
                                    <a:gd name="T20" fmla="*/ 24 w 25864"/>
                                    <a:gd name="T21" fmla="*/ 24424 h 24472"/>
                                    <a:gd name="T22" fmla="*/ 25840 w 25864"/>
                                    <a:gd name="T23" fmla="*/ 24424 h 24472"/>
                                    <a:gd name="T24" fmla="*/ 25816 w 25864"/>
                                    <a:gd name="T25" fmla="*/ 24448 h 24472"/>
                                    <a:gd name="T26" fmla="*/ 25816 w 25864"/>
                                    <a:gd name="T27" fmla="*/ 24 h 24472"/>
                                    <a:gd name="T28" fmla="*/ 25840 w 25864"/>
                                    <a:gd name="T29" fmla="*/ 48 h 24472"/>
                                    <a:gd name="T30" fmla="*/ 24 w 25864"/>
                                    <a:gd name="T31" fmla="*/ 48 h 24472"/>
                                    <a:gd name="T32" fmla="*/ 48 w 25864"/>
                                    <a:gd name="T33" fmla="*/ 24 h 24472"/>
                                    <a:gd name="T34" fmla="*/ 48 w 25864"/>
                                    <a:gd name="T35" fmla="*/ 24448 h 24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864" h="24472">
                                      <a:moveTo>
                                        <a:pt x="0" y="24"/>
                                      </a:moveTo>
                                      <a:cubicBezTo>
                                        <a:pt x="0" y="11"/>
                                        <a:pt x="11" y="0"/>
                                        <a:pt x="24" y="0"/>
                                      </a:cubicBezTo>
                                      <a:lnTo>
                                        <a:pt x="25840" y="0"/>
                                      </a:lnTo>
                                      <a:cubicBezTo>
                                        <a:pt x="25854" y="0"/>
                                        <a:pt x="25864" y="11"/>
                                        <a:pt x="25864" y="24"/>
                                      </a:cubicBezTo>
                                      <a:lnTo>
                                        <a:pt x="25864" y="24448"/>
                                      </a:lnTo>
                                      <a:cubicBezTo>
                                        <a:pt x="25864" y="24462"/>
                                        <a:pt x="25854" y="24472"/>
                                        <a:pt x="25840" y="24472"/>
                                      </a:cubicBezTo>
                                      <a:lnTo>
                                        <a:pt x="24" y="24472"/>
                                      </a:lnTo>
                                      <a:cubicBezTo>
                                        <a:pt x="11" y="24472"/>
                                        <a:pt x="0" y="24462"/>
                                        <a:pt x="0" y="24448"/>
                                      </a:cubicBezTo>
                                      <a:lnTo>
                                        <a:pt x="0" y="24"/>
                                      </a:lnTo>
                                      <a:close/>
                                      <a:moveTo>
                                        <a:pt x="48" y="24448"/>
                                      </a:moveTo>
                                      <a:lnTo>
                                        <a:pt x="24" y="24424"/>
                                      </a:lnTo>
                                      <a:lnTo>
                                        <a:pt x="25840" y="24424"/>
                                      </a:lnTo>
                                      <a:lnTo>
                                        <a:pt x="25816" y="24448"/>
                                      </a:lnTo>
                                      <a:lnTo>
                                        <a:pt x="25816" y="24"/>
                                      </a:lnTo>
                                      <a:lnTo>
                                        <a:pt x="25840" y="48"/>
                                      </a:lnTo>
                                      <a:lnTo>
                                        <a:pt x="24" y="48"/>
                                      </a:lnTo>
                                      <a:lnTo>
                                        <a:pt x="48" y="24"/>
                                      </a:lnTo>
                                      <a:lnTo>
                                        <a:pt x="48" y="24448"/>
                                      </a:lnTo>
                                      <a:close/>
                                    </a:path>
                                  </a:pathLst>
                                </a:custGeom>
                                <a:solidFill>
                                  <a:srgbClr val="868686"/>
                                </a:solidFill>
                                <a:ln w="0">
                                  <a:solidFill>
                                    <a:srgbClr val="868686"/>
                                  </a:solidFill>
                                  <a:round/>
                                  <a:headEnd/>
                                  <a:tailEnd/>
                                </a:ln>
                              </wps:spPr>
                              <wps:bodyPr rot="0" vert="horz" wrap="square" lIns="91440" tIns="45720" rIns="91440" bIns="45720" anchor="t" anchorCtr="0" upright="1">
                                <a:noAutofit/>
                              </wps:bodyPr>
                            </wps:wsp>
                          </wpc:wpc>
                        </a:graphicData>
                      </a:graphic>
                    </wp:inline>
                  </w:drawing>
                </mc:Choice>
                <mc:Fallback>
                  <w:pict>
                    <v:group w14:anchorId="68BDD052" id="Canvas 12" o:spid="_x0000_s1035" editas="canvas" style="width:252.1pt;height:244.2pt;mso-position-horizontal-relative:char;mso-position-vertical-relative:line" coordsize="32016,31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">
                      <v:shape id="_x0000_s1036" type="#_x0000_t75" style="position:absolute;width:32016;height:31013;visibility:visible;mso-wrap-style:square">
                        <v:fill o:detectmouseclick="t"/>
                        <v:path o:connecttype="none"/>
                      </v:shape>
                      <v:rect id="Rectangle 13" o:spid="_x0000_s1037" style="position:absolute;left:31;top:31;width:31953;height:30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4PcEA&#10;AADbAAAADwAAAGRycy9kb3ducmV2LnhtbERPz2vCMBS+D/wfwht4W5Ntrmg1yhgIgttBK3h9NM+2&#10;2LzUJrb1v18Ogx0/vt+rzWgb0VPna8caXhMFgrhwpuZSwynfvsxB+IBssHFMGh7kYbOePK0wM27g&#10;A/XHUIoYwj5DDVUIbSalLyqy6BPXEkfu4jqLIcKulKbDIYbbRr4plUqLNceGClv6qqi4Hu9WA6Yz&#10;c/u5vH/n+3uKi3JU24+z0nr6PH4uQQQaw7/4z70zGmZxbPwSf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tuD3BAAAA2wAAAA8AAAAAAAAAAAAAAAAAmAIAAGRycy9kb3du&#10;cmV2LnhtbFBLBQYAAAAABAAEAPUAAACGAwAAAAA=&#10;" stroked="f"/>
                      <v:rect id="Rectangle 14" o:spid="_x0000_s1038" style="position:absolute;left:3803;top:939;width:27273;height:24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EdpsQA&#10;AADbAAAADwAAAGRycy9kb3ducmV2LnhtbESPQWvCQBSE7wX/w/IEb3XXakONbkIRBKHtoVro9ZF9&#10;JsHs25hdk/TfdwsFj8PMfMNs89E2oqfO1441LOYKBHHhTM2lhq/T/vEFhA/IBhvHpOGHPOTZ5GGL&#10;qXEDf1J/DKWIEPYpaqhCaFMpfVGRRT93LXH0zq6zGKLsSmk6HCLcNvJJqURarDkuVNjSrqLicrxZ&#10;DZiszPXjvHw/vd0SXJej2j9/K61n0/F1AyLQGO7h//bBaFit4e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hHabEAAAA2wAAAA8AAAAAAAAAAAAAAAAAmAIAAGRycy9k&#10;b3ducmV2LnhtbFBLBQYAAAAABAAEAPUAAACJAwAAAAA=&#10;" stroked="f"/>
                      <v:shape id="Freeform 15" o:spid="_x0000_s1039" style="position:absolute;left:3803;top:914;width:27273;height:21799;visibility:visible;mso-wrap-style:square;v-text-anchor:top" coordsize="4295,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RKsIA&#10;AADbAAAADwAAAGRycy9kb3ducmV2LnhtbERPyW7CMBC9V+IfrEHiVhwqiiBgUFvUllOlshy4jeIh&#10;CdjjKDZZ/h4fKvX49PbVprNGNFT70rGCyTgBQZw5XXKu4Hj4fJ6D8AFZo3FMCnrysFkPnlaYatfy&#10;LzX7kIsYwj5FBUUIVSqlzwqy6MeuIo7cxdUWQ4R1LnWNbQy3Rr4kyUxaLDk2FFjRR0HZbX+3Cmbv&#10;26n5bsrT5ezbq/lp+69u0Ss1GnZvSxCBuvAv/nPvtILXuD5+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tEqwgAAANsAAAAPAAAAAAAAAAAAAAAAAJgCAABkcnMvZG93&#10;bnJldi54bWxQSwUGAAAAAAQABAD1AAAAhwMAAAAA&#10;" path="m,3424r4295,l4295,3433,,3433r,-9xm,3043r4295,l4295,3052,,3052r,-9xm,2664r4295,l4295,2673,,2673r,-9xm,2283r4295,l4295,2293,,2293r,-10xm,1903r4295,l4295,1912,,1912r,-9xm,1522r4295,l4295,1532,,1532r,-10xm,1142r4295,l4295,1151,,1151r,-9xm,761r4295,l4295,770,,770r,-9xm,380r4295,l4295,390,,390,,380xm,l4295,r,9l,9,,xe" fillcolor="#868686" strokecolor="#868686" strokeweight=".1pt">
                        <v:stroke joinstyle="bevel"/>
                        <v:path arrowok="t" o:connecttype="custom" o:connectlocs="0,2174240;2727325,2174240;2727325,2179955;0,2179955;0,2174240;0,1932305;2727325,1932305;2727325,1938020;0,1938020;0,1932305;0,1691640;2727325,1691640;2727325,1697355;0,1697355;0,1691640;0,1449705;2727325,1449705;2727325,1456055;0,1456055;0,1449705;0,1208405;2727325,1208405;2727325,1214120;0,1214120;0,1208405;0,966470;2727325,966470;2727325,972820;0,972820;0,966470;0,725170;2727325,725170;2727325,730885;0,730885;0,725170;0,483235;2727325,483235;2727325,488950;0,488950;0,483235;0,241300;2727325,241300;2727325,247650;0,247650;0,241300;0,0;2727325,0;2727325,5715;0,5715;0,0" o:connectangles="0,0,0,0,0,0,0,0,0,0,0,0,0,0,0,0,0,0,0,0,0,0,0,0,0,0,0,0,0,0,0,0,0,0,0,0,0,0,0,0,0,0,0,0,0,0,0,0,0,0"/>
                        <o:lock v:ext="edit" verticies="t"/>
                      </v:shape>
                      <v:rect id="Rectangle 16" o:spid="_x0000_s1040" style="position:absolute;left:3771;top:939;width:64;height:24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q+l8MA&#10;AADbAAAADwAAAGRycy9kb3ducmV2LnhtbESPT4vCMBTE7wt+h/AW9ramuihajSJCoR79A+7eHs3b&#10;tti8dJOsrd/eCILHYWZ+wyzXvWnElZyvLSsYDRMQxIXVNZcKTsfscwbCB2SNjWVScCMP69XgbYmp&#10;th3v6XoIpYgQ9ikqqEJoUyl9UZFBP7QtcfR+rTMYonSl1A67CDeNHCfJVBqsOS5U2NK2ouJy+DcK&#10;xtnXrtzOE5fttMz/juf859J9K/Xx3m8WIAL14RV+tnOtYDKCx5f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q+l8MAAADbAAAADwAAAAAAAAAAAAAAAACYAgAAZHJzL2Rv&#10;d25yZXYueG1sUEsFBgAAAAAEAAQA9QAAAIgDAAAAAA==&#10;" fillcolor="#868686" strokecolor="#868686" strokeweight=".1pt">
                        <v:stroke joinstyle="bevel"/>
                      </v:rect>
                      <v:shape id="Freeform 17" o:spid="_x0000_s1041" style="position:absolute;left:3524;top:914;width:279;height:24219;visibility:visible;mso-wrap-style:square;v-text-anchor:top" coordsize="44,3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PzsQA&#10;AADbAAAADwAAAGRycy9kb3ducmV2LnhtbESPUUsDMRCE3wX/Q9hC32yurRY5mxYRpKIFbb0fsFy2&#10;l8PL7jVJ2/PfG0HwcZiZb5jlevCdOlOIrbCB6aQARVyLbbkxUH0+39yDignZYidMBr4pwnp1fbXE&#10;0sqFd3Tep0ZlCMcSDbiU+lLrWDvyGCfSE2fvIMFjyjI02ga8ZLjv9KwoFtpjy3nBYU9Pjuqv/ckb&#10;oNd3J91hVm2OH1U4vm1lXm3FmPFoeHwAlWhI/+G/9os1cHcLv1/yD9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j87EAAAA2wAAAA8AAAAAAAAAAAAAAAAAmAIAAGRycy9k&#10;b3ducmV2LnhtbFBLBQYAAAAABAAEAPUAAACJAwAAAAA=&#10;" path="m,3804r44,l44,3814r-44,l,3804xm,3424r44,l44,3433r-44,l,3424xm,3043r44,l44,3052r-44,l,3043xm,2664r44,l44,2673r-44,l,2664xm,2283r44,l44,2293r-44,l,2283xm,1903r44,l44,1912r-44,l,1903xm,1522r44,l44,1532r-44,l,1522xm,1142r44,l44,1151r-44,l,1142xm,761r44,l44,770,,770r,-9xm,380r44,l44,390,,390,,380xm,l44,r,9l,9,,xe" fillcolor="#868686" strokecolor="#868686" strokeweight=".1pt">
                        <v:stroke joinstyle="bevel"/>
                        <v:path arrowok="t" o:connecttype="custom" o:connectlocs="0,2415540;27940,2415540;27940,2421890;0,2421890;0,2415540;0,2174240;27940,2174240;27940,2179955;0,2179955;0,2174240;0,1932305;27940,1932305;27940,1938020;0,1938020;0,1932305;0,1691640;27940,1691640;27940,1697355;0,1697355;0,1691640;0,1449705;27940,1449705;27940,1456055;0,1456055;0,1449705;0,1208405;27940,1208405;27940,1214120;0,1214120;0,1208405;0,966470;27940,966470;27940,972820;0,972820;0,966470;0,725170;27940,725170;27940,730885;0,730885;0,725170;0,483235;27940,483235;27940,488950;0,488950;0,483235;0,241300;27940,241300;27940,247650;0,247650;0,241300;0,0;27940,0;27940,5715;0,5715;0,0" o:connectangles="0,0,0,0,0,0,0,0,0,0,0,0,0,0,0,0,0,0,0,0,0,0,0,0,0,0,0,0,0,0,0,0,0,0,0,0,0,0,0,0,0,0,0,0,0,0,0,0,0,0,0,0,0,0,0"/>
                        <o:lock v:ext="edit" verticies="t"/>
                      </v:shape>
                      <v:rect id="Rectangle 18" o:spid="_x0000_s1042" style="position:absolute;left:3803;top:25069;width:27273;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4lMMA&#10;AADbAAAADwAAAGRycy9kb3ducmV2LnhtbESPQWvCQBSE74L/YXmCN7OpRanRVYoQiMeqUL09sq9J&#10;MPs23d2a+O+7hYLHYWa+YTa7wbTiTs43lhW8JCkI4tLqhisF51M+ewPhA7LG1jIpeJCH3XY82mCm&#10;bc8fdD+GSkQI+wwV1CF0mZS+rMmgT2xHHL0v6wyGKF0ltcM+wk0r52m6lAYbjgs1drSvqbwdf4yC&#10;ef56qPar1OUHLYvv02dxvfUXpaaT4X0NItAQnuH/dqEVLBbw9yX+A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G4lMMAAADbAAAADwAAAAAAAAAAAAAAAACYAgAAZHJzL2Rv&#10;d25yZXYueG1sUEsFBgAAAAAEAAQA9QAAAIgDAAAAAA==&#10;" fillcolor="#868686" strokecolor="#868686" strokeweight=".1pt">
                        <v:stroke joinstyle="bevel"/>
                      </v:rect>
                      <v:shape id="Freeform 19" o:spid="_x0000_s1043" style="position:absolute;left:3771;top:25101;width:27331;height:279;visibility:visible;mso-wrap-style:square;v-text-anchor:top" coordsize="43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fU8QA&#10;AADbAAAADwAAAGRycy9kb3ducmV2LnhtbESPQWsCMRSE74X+h/AK3mq2otuyGkUEsRehrqVen5vX&#10;zbablyVJdf33piB4HGbmG2a26G0rTuRD41jByzADQVw53XCt4HO/fn4DESKyxtYxKbhQgMX88WGG&#10;hXZn3tGpjLVIEA4FKjAxdoWUoTJkMQxdR5y8b+ctxiR9LbXHc4LbVo6yLJcWG04LBjtaGap+yz+r&#10;4OvHy4/lejvOrXHH0YYPTfl6UGrw1C+nICL18R6+td+1gkkO/1/SD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Q31PEAAAA2wAAAA8AAAAAAAAAAAAAAAAAmAIAAGRycy9k&#10;b3ducmV2LnhtbFBLBQYAAAAABAAEAPUAAACJAwAAAAA=&#10;" path="m10,r,44l,44,,,10,xm440,r,44l431,44,431,r9,xm869,r,44l860,44,860,r9,xm1298,r,44l1288,44r,-44l1298,xm1728,r,44l1719,44r,-44l1728,xm2157,r,44l2148,44r,-44l2157,xm2587,r,44l2578,44r,-44l2587,xm3016,r,44l3007,44r,-44l3016,xm3445,r,44l3436,44r,-44l3445,xm3876,r,44l3866,44r,-44l3876,xm4304,r,44l4295,44r,-44l4304,xe" fillcolor="#868686" strokecolor="#868686" strokeweight=".1pt">
                        <v:stroke joinstyle="bevel"/>
                        <v:path arrowok="t" o:connecttype="custom" o:connectlocs="6350,0;6350,27940;0,27940;0,0;6350,0;279400,0;279400,27940;273685,27940;273685,0;279400,0;551815,0;551815,27940;546100,27940;546100,0;551815,0;824230,0;824230,27940;817880,27940;817880,0;824230,0;1097280,0;1097280,27940;1091565,27940;1091565,0;1097280,0;1369695,0;1369695,27940;1363980,27940;1363980,0;1369695,0;1642745,0;1642745,27940;1637030,27940;1637030,0;1642745,0;1915160,0;1915160,27940;1909445,27940;1909445,0;1915160,0;2187575,0;2187575,27940;2181860,27940;2181860,0;2187575,0;2461260,0;2461260,27940;2454910,27940;2454910,0;2461260,0;2733040,0;2733040,27940;2727325,27940;2727325,0;2733040,0" o:connectangles="0,0,0,0,0,0,0,0,0,0,0,0,0,0,0,0,0,0,0,0,0,0,0,0,0,0,0,0,0,0,0,0,0,0,0,0,0,0,0,0,0,0,0,0,0,0,0,0,0,0,0,0,0,0,0"/>
                        <o:lock v:ext="edit" verticies="t"/>
                      </v:shape>
                      <v:shape id="Freeform 20" o:spid="_x0000_s1044" style="position:absolute;left:5080;top:2654;width:24726;height:22479;visibility:visible;mso-wrap-style:square;v-text-anchor:top" coordsize="19978,18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8D68YA&#10;AADbAAAADwAAAGRycy9kb3ducmV2LnhtbESPT2vCQBTE74V+h+UVvDWbKmklukoRxIIeaqqCt9fs&#10;yx+afRuya0y/vVsoeBxm5jfMfDmYRvTUudqygpcoBkGcW11zqeDwtX6egnAeWWNjmRT8koPl4vFh&#10;jqm2V95Tn/lSBAi7FBVU3replC6vyKCLbEscvMJ2Bn2QXSl1h9cAN40cx/GrNFhzWKiwpVVF+U92&#10;MQqOPptu+8/vVTHZJc2psMnmtD0rNXoa3mcgPA3+Hv5vf2gFyRv8fQk/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8D68YAAADbAAAADwAAAAAAAAAAAAAAAACYAgAAZHJz&#10;L2Rvd25yZXYueG1sUEsFBgAAAAAEAAQA9QAAAIsDAAAAAA==&#10;" path="m71,18009r2200,-72l4475,17753r2192,-455l6649,17304,8849,16200r-20,15l11037,13879r-10,14l13227,9989,15433,5449,17637,1954v3,-6,8,-11,13,-16l19850,26v30,-26,76,-23,102,7c19978,63,19975,109,19945,135l17745,2047r13,-16l15562,5512r-2210,4548l11152,13964v-3,5,-6,10,-10,14l8934,16314v-6,6,-13,11,-20,15l6714,17433v-6,3,-12,5,-18,6l4487,17896r-2211,184l76,18152v-40,2,-73,-29,-74,-69c,18043,31,18010,71,18009xe" fillcolor="#595959" strokecolor="#595959" strokeweight=".1pt">
                        <v:stroke joinstyle="bevel"/>
                        <v:path arrowok="t" o:connecttype="custom" o:connectlocs="8788,2229946;281083,2221030;553874,2198247;825179,2141907;822951,2142650;1095246,2005948;1092771,2007805;1366057,1718553;1364819,1720286;1637114,1236877;1910152,674717;2182943,241952;2184552,239971;2456847,3219;2469472,4086;2468606,16716;2196310,253468;2197919,251486;1926119,682518;1652586,1245669;1380290,1729078;1379053,1730811;1105767,2020064;1103292,2021921;830996,2158623;828768,2159366;555359,2215953;281702,2238737;9407,2247652;248,2239108;8788,2229946" o:connectangles="0,0,0,0,0,0,0,0,0,0,0,0,0,0,0,0,0,0,0,0,0,0,0,0,0,0,0,0,0,0,0"/>
                      </v:shape>
                      <v:shape id="Freeform 21" o:spid="_x0000_s1045" style="position:absolute;left:5080;top:844;width:24726;height:24346;visibility:visible;mso-wrap-style:square;v-text-anchor:top" coordsize="19976,1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BPMIA&#10;AADbAAAADwAAAGRycy9kb3ducmV2LnhtbERPz2vCMBS+D/wfwhvstqazKFqNUsSxCbus3cHjs3m2&#10;3ZqXkmTa/ffmMPD48f1eb0fTiws531lW8JKkIIhrqztuFHxVr88LED4ga+wtk4I/8rDdTB7WmGt7&#10;5U+6lKERMYR9jgraEIZcSl+3ZNAndiCO3Nk6gyFC10jt8BrDTS+naTqXBjuODS0OtGup/il/jYJT&#10;1r+54mN//K5wMXfHbFj62UGpp8exWIEINIa7+N/9rhXM4tj4Jf4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cE8wgAAANsAAAAPAAAAAAAAAAAAAAAAAJgCAABkcnMvZG93&#10;bnJldi54bWxQSwUGAAAAAAQABAD1AAAAhwMAAAAA&#10;" path="m72,19519r2200,l4480,19519r-21,4l6659,18827r-12,5l8847,17672r-18,13l11037,15405r2195,-2715l15446,10500,17645,8214r-18,31l19827,61v10,-39,50,-61,88,-51c19954,20,19976,60,19966,98l17766,8282v-3,12,-9,23,-18,31l15547,10603r-2203,2178l11140,15506,8932,17786v-5,5,-11,10,-18,13l6714,18959v-4,2,-8,4,-12,5l4502,19660v-7,2,-14,3,-22,3l2272,19663r-2200,c33,19663,,19631,,19591v,-39,33,-72,72,-72xe" fillcolor="#c0504d" strokecolor="#c0504d" strokeweight=".1pt">
                        <v:stroke joinstyle="bevel"/>
                        <v:path arrowok="t" o:connecttype="custom" o:connectlocs="8912,2416761;281235,2416761;554548,2416761;551949,2417256;824271,2331080;822786,2331699;1095109,2188073;1092880,2189682;1366193,1907382;1637897,1571222;1911953,1300066;2184152,1017023;2181924,1020861;2454246,7553;2465139,1238;2471452,12134;2199129,1025442;2196901,1029281;1924455,1312819;1651761,1582490;1378943,1919888;1105630,2202188;1103402,2203797;831079,2347424;829594,2348043;557271,2434219;554548,2434590;281235,2434590;8912,2434590;0,2425675;8912,2416761" o:connectangles="0,0,0,0,0,0,0,0,0,0,0,0,0,0,0,0,0,0,0,0,0,0,0,0,0,0,0,0,0,0,0"/>
                      </v:shape>
                      <v:rect id="Rectangle 22" o:spid="_x0000_s1046" style="position:absolute;left:1625;top:24574;width:1308;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5A221F" w:rsidRDefault="005A221F">
                              <w:r>
                                <w:rPr>
                                  <w:rFonts w:ascii="Verdana" w:hAnsi="Verdana" w:cs="Verdana"/>
                                  <w:color w:val="000000"/>
                                  <w:sz w:val="12"/>
                                  <w:szCs w:val="12"/>
                                </w:rPr>
                                <w:t>0%</w:t>
                              </w:r>
                            </w:p>
                          </w:txbxContent>
                        </v:textbox>
                      </v:rect>
                      <v:rect id="Rectangle 23" o:spid="_x0000_s1047" style="position:absolute;left:1098;top:22161;width:1791;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5A221F" w:rsidRDefault="005A221F">
                              <w:r>
                                <w:rPr>
                                  <w:rFonts w:ascii="Verdana" w:hAnsi="Verdana" w:cs="Verdana"/>
                                  <w:color w:val="000000"/>
                                  <w:sz w:val="12"/>
                                  <w:szCs w:val="12"/>
                                </w:rPr>
                                <w:t>10%</w:t>
                              </w:r>
                            </w:p>
                          </w:txbxContent>
                        </v:textbox>
                      </v:rect>
                      <v:rect id="Rectangle 24" o:spid="_x0000_s1048" style="position:absolute;left:1098;top:19735;width:208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5A221F" w:rsidRDefault="005A221F">
                              <w:r>
                                <w:rPr>
                                  <w:rFonts w:ascii="Verdana" w:hAnsi="Verdana" w:cs="Verdana"/>
                                  <w:color w:val="000000"/>
                                  <w:sz w:val="14"/>
                                  <w:szCs w:val="14"/>
                                </w:rPr>
                                <w:t>20%</w:t>
                              </w:r>
                            </w:p>
                          </w:txbxContent>
                        </v:textbox>
                      </v:rect>
                      <v:rect id="Rectangle 25" o:spid="_x0000_s1049" style="position:absolute;left:1098;top:17329;width:1791;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5A221F" w:rsidRDefault="005A221F">
                              <w:r>
                                <w:rPr>
                                  <w:rFonts w:ascii="Verdana" w:hAnsi="Verdana" w:cs="Verdana"/>
                                  <w:color w:val="000000"/>
                                  <w:sz w:val="12"/>
                                  <w:szCs w:val="12"/>
                                </w:rPr>
                                <w:t>30%</w:t>
                              </w:r>
                            </w:p>
                          </w:txbxContent>
                        </v:textbox>
                      </v:rect>
                      <v:rect id="Rectangle 26" o:spid="_x0000_s1050" style="position:absolute;left:1098;top:14903;width:208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5A221F" w:rsidRDefault="005A221F">
                              <w:r>
                                <w:rPr>
                                  <w:rFonts w:ascii="Verdana" w:hAnsi="Verdana" w:cs="Verdana"/>
                                  <w:color w:val="000000"/>
                                  <w:sz w:val="14"/>
                                  <w:szCs w:val="14"/>
                                </w:rPr>
                                <w:t>40%</w:t>
                              </w:r>
                            </w:p>
                          </w:txbxContent>
                        </v:textbox>
                      </v:rect>
                      <v:rect id="Rectangle 27" o:spid="_x0000_s1051" style="position:absolute;left:1098;top:12496;width:1791;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5A221F" w:rsidRDefault="005A221F">
                              <w:r>
                                <w:rPr>
                                  <w:rFonts w:ascii="Verdana" w:hAnsi="Verdana" w:cs="Verdana"/>
                                  <w:color w:val="000000"/>
                                  <w:sz w:val="12"/>
                                  <w:szCs w:val="12"/>
                                </w:rPr>
                                <w:t>50%</w:t>
                              </w:r>
                            </w:p>
                          </w:txbxContent>
                        </v:textbox>
                      </v:rect>
                      <v:rect id="Rectangle 28" o:spid="_x0000_s1052" style="position:absolute;left:1098;top:10071;width:2089;height:25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5A221F" w:rsidRDefault="005A221F">
                              <w:r>
                                <w:rPr>
                                  <w:rFonts w:ascii="Verdana" w:hAnsi="Verdana" w:cs="Verdana"/>
                                  <w:color w:val="000000"/>
                                  <w:sz w:val="14"/>
                                  <w:szCs w:val="14"/>
                                </w:rPr>
                                <w:t>60%</w:t>
                              </w:r>
                            </w:p>
                          </w:txbxContent>
                        </v:textbox>
                      </v:rect>
                      <v:rect id="Rectangle 29" o:spid="_x0000_s1053" style="position:absolute;left:1098;top:7664;width:1791;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5A221F" w:rsidRDefault="005A221F">
                              <w:r>
                                <w:rPr>
                                  <w:rFonts w:ascii="Verdana" w:hAnsi="Verdana" w:cs="Verdana"/>
                                  <w:color w:val="000000"/>
                                  <w:sz w:val="12"/>
                                  <w:szCs w:val="12"/>
                                </w:rPr>
                                <w:t>70%</w:t>
                              </w:r>
                            </w:p>
                          </w:txbxContent>
                        </v:textbox>
                      </v:rect>
                      <v:rect id="Rectangle 30" o:spid="_x0000_s1054" style="position:absolute;left:1098;top:5251;width:1791;height:23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5A221F" w:rsidRDefault="005A221F">
                              <w:r>
                                <w:rPr>
                                  <w:rFonts w:ascii="Verdana" w:hAnsi="Verdana" w:cs="Verdana"/>
                                  <w:color w:val="000000"/>
                                  <w:sz w:val="12"/>
                                  <w:szCs w:val="12"/>
                                </w:rPr>
                                <w:t>80%</w:t>
                              </w:r>
                            </w:p>
                          </w:txbxContent>
                        </v:textbox>
                      </v:rect>
                      <v:rect id="Rectangle 31" o:spid="_x0000_s1055" style="position:absolute;left:1098;top:2825;width:208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5A221F" w:rsidRDefault="005A221F">
                              <w:r>
                                <w:rPr>
                                  <w:rFonts w:ascii="Verdana" w:hAnsi="Verdana" w:cs="Verdana"/>
                                  <w:color w:val="000000"/>
                                  <w:sz w:val="14"/>
                                  <w:szCs w:val="14"/>
                                </w:rPr>
                                <w:t>90%</w:t>
                              </w:r>
                            </w:p>
                          </w:txbxContent>
                        </v:textbox>
                      </v:rect>
                      <v:rect id="Rectangle 32" o:spid="_x0000_s1056" style="position:absolute;left:577;top:419;width:2280;height:23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5A221F" w:rsidRDefault="005A221F">
                              <w:r>
                                <w:rPr>
                                  <w:rFonts w:ascii="Verdana" w:hAnsi="Verdana" w:cs="Verdana"/>
                                  <w:color w:val="000000"/>
                                  <w:sz w:val="12"/>
                                  <w:szCs w:val="12"/>
                                </w:rPr>
                                <w:t>100%</w:t>
                              </w:r>
                            </w:p>
                          </w:txbxContent>
                        </v:textbox>
                      </v:rect>
                      <v:rect id="Rectangle 33" o:spid="_x0000_s1057" style="position:absolute;left:5505;top:27762;width:324;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5A221F" w:rsidRDefault="005A221F">
                              <w:r>
                                <w:rPr>
                                  <w:rFonts w:ascii="Verdana" w:hAnsi="Verdana" w:cs="Verdana"/>
                                  <w:color w:val="000000"/>
                                  <w:sz w:val="2"/>
                                  <w:szCs w:val="2"/>
                                </w:rPr>
                                <w:t>2014</w:t>
                              </w:r>
                            </w:p>
                          </w:txbxContent>
                        </v:textbox>
                      </v:rect>
                      <v:rect id="Rectangle 34" o:spid="_x0000_s1058" style="position:absolute;left:8235;top:27762;width:324;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5A221F" w:rsidRDefault="005A221F">
                              <w:r>
                                <w:rPr>
                                  <w:rFonts w:ascii="Verdana" w:hAnsi="Verdana" w:cs="Verdana"/>
                                  <w:color w:val="000000"/>
                                  <w:sz w:val="2"/>
                                  <w:szCs w:val="2"/>
                                </w:rPr>
                                <w:t>2015</w:t>
                              </w:r>
                            </w:p>
                          </w:txbxContent>
                        </v:textbox>
                      </v:rect>
                      <v:rect id="Rectangle 35" o:spid="_x0000_s1059" style="position:absolute;left:10960;top:27762;width:323;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5A221F" w:rsidRDefault="005A221F">
                              <w:r>
                                <w:rPr>
                                  <w:rFonts w:ascii="Verdana" w:hAnsi="Verdana" w:cs="Verdana"/>
                                  <w:color w:val="000000"/>
                                  <w:sz w:val="2"/>
                                  <w:szCs w:val="2"/>
                                </w:rPr>
                                <w:t>2016</w:t>
                              </w:r>
                            </w:p>
                          </w:txbxContent>
                        </v:textbox>
                      </v:rect>
                      <v:rect id="Rectangle 36" o:spid="_x0000_s1060" style="position:absolute;left:13690;top:27762;width:324;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5A221F" w:rsidRDefault="005A221F">
                              <w:r>
                                <w:rPr>
                                  <w:rFonts w:ascii="Verdana" w:hAnsi="Verdana" w:cs="Verdana"/>
                                  <w:color w:val="000000"/>
                                  <w:sz w:val="2"/>
                                  <w:szCs w:val="2"/>
                                </w:rPr>
                                <w:t>2017</w:t>
                              </w:r>
                            </w:p>
                          </w:txbxContent>
                        </v:textbox>
                      </v:rect>
                      <v:rect id="Rectangle 37" o:spid="_x0000_s1061" style="position:absolute;left:16414;top:27762;width:324;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4PQ8EA&#10;AADcAAAADwAAAGRycy9kb3ducmV2LnhtbESP3YrCMBSE7xd8h3AWvFvTrSBSjbIsCCp7Y/UBDs3p&#10;DyYnJYm2vr1ZELwcZuYbZr0drRF38qFzrOB7loEgrpzuuFFwOe++liBCRNZoHJOCBwXYbiYfayy0&#10;G/hE9zI2IkE4FKigjbEvpAxVSxbDzPXEyaudtxiT9I3UHocEt0bmWbaQFjtOCy329NtSdS1vVoE8&#10;l7thWRqfuWNe/5nD/lSTU2r6Of6sQEQa4zv8au+1gvki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eD0PBAAAA3AAAAA8AAAAAAAAAAAAAAAAAmAIAAGRycy9kb3du&#10;cmV2LnhtbFBLBQYAAAAABAAEAPUAAACGAwAAAAA=&#10;" filled="f" stroked="f">
                        <v:textbox style="mso-fit-shape-to-text:t" inset="0,0,0,0">
                          <w:txbxContent>
                            <w:p w:rsidR="005A221F" w:rsidRDefault="005A221F">
                              <w:r>
                                <w:rPr>
                                  <w:rFonts w:ascii="Verdana" w:hAnsi="Verdana" w:cs="Verdana"/>
                                  <w:color w:val="000000"/>
                                  <w:sz w:val="2"/>
                                  <w:szCs w:val="2"/>
                                </w:rPr>
                                <w:t>2018</w:t>
                              </w:r>
                            </w:p>
                          </w:txbxContent>
                        </v:textbox>
                      </v:rect>
                      <v:rect id="Rectangle 38" o:spid="_x0000_s1062" style="position:absolute;left:19145;top:27762;width:324;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q2MEA&#10;AADcAAAADwAAAGRycy9kb3ducmV2LnhtbESPzYoCMRCE7wu+Q2jB25pRQWTWKCIIKl4c9wGaSc8P&#10;Jp0hic749kZY2GNRVV9R6+1gjXiSD61jBbNpBoK4dLrlWsHv7fC9AhEiskbjmBS8KMB2M/paY65d&#10;z1d6FrEWCcIhRwVNjF0uZSgbshimriNOXuW8xZikr6X22Ce4NXKeZUtpseW00GBH+4bKe/GwCuSt&#10;OPSrwvjMnefVxZyO14qcUpPxsPsBEWmI/+G/9lErWCwX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SqtjBAAAA3AAAAA8AAAAAAAAAAAAAAAAAmAIAAGRycy9kb3du&#10;cmV2LnhtbFBLBQYAAAAABAAEAPUAAACGAwAAAAA=&#10;" filled="f" stroked="f">
                        <v:textbox style="mso-fit-shape-to-text:t" inset="0,0,0,0">
                          <w:txbxContent>
                            <w:p w:rsidR="005A221F" w:rsidRDefault="005A221F">
                              <w:r>
                                <w:rPr>
                                  <w:rFonts w:ascii="Verdana" w:hAnsi="Verdana" w:cs="Verdana"/>
                                  <w:color w:val="000000"/>
                                  <w:sz w:val="2"/>
                                  <w:szCs w:val="2"/>
                                </w:rPr>
                                <w:t>2019</w:t>
                              </w:r>
                            </w:p>
                          </w:txbxContent>
                        </v:textbox>
                      </v:rect>
                      <v:rect id="Rectangle 39" o:spid="_x0000_s1063" style="position:absolute;left:21869;top:27762;width:324;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yrMIA&#10;AADcAAAADwAAAGRycy9kb3ducmV2LnhtbESPzYoCMRCE74LvEFrwphl1E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zKswgAAANwAAAAPAAAAAAAAAAAAAAAAAJgCAABkcnMvZG93&#10;bnJldi54bWxQSwUGAAAAAAQABAD1AAAAhwMAAAAA&#10;" filled="f" stroked="f">
                        <v:textbox style="mso-fit-shape-to-text:t" inset="0,0,0,0">
                          <w:txbxContent>
                            <w:p w:rsidR="005A221F" w:rsidRDefault="005A221F">
                              <w:r>
                                <w:rPr>
                                  <w:rFonts w:ascii="Verdana" w:hAnsi="Verdana" w:cs="Verdana"/>
                                  <w:color w:val="000000"/>
                                  <w:sz w:val="2"/>
                                  <w:szCs w:val="2"/>
                                </w:rPr>
                                <w:t>2020</w:t>
                              </w:r>
                            </w:p>
                          </w:txbxContent>
                        </v:textbox>
                      </v:rect>
                      <v:rect id="Rectangle 40" o:spid="_x0000_s1064" style="position:absolute;left:24593;top:27762;width:324;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XN8IA&#10;AADcAAAADwAAAGRycy9kb3ducmV2LnhtbESPzYoCMRCE74LvEFrwphmVFZk1igiCLl4c9wGaSc8P&#10;Jp0hyTqzb28WhD0WVfUVtd0P1ogn+dA6VrCYZyCIS6dbrhV830+zDYgQkTUax6TglwLsd+PRFnPt&#10;er7Rs4i1SBAOOSpoYuxyKUPZkMUwdx1x8irnLcYkfS21xz7BrZHLLFtLiy2nhQY7OjZUPoofq0De&#10;i1O/KYzP3NeyuprL+VaRU2o6GQ6fICIN8T/8bp+1gtX6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5c3wgAAANwAAAAPAAAAAAAAAAAAAAAAAJgCAABkcnMvZG93&#10;bnJldi54bWxQSwUGAAAAAAQABAD1AAAAhwMAAAAA&#10;" filled="f" stroked="f">
                        <v:textbox style="mso-fit-shape-to-text:t" inset="0,0,0,0">
                          <w:txbxContent>
                            <w:p w:rsidR="005A221F" w:rsidRDefault="005A221F">
                              <w:r>
                                <w:rPr>
                                  <w:rFonts w:ascii="Verdana" w:hAnsi="Verdana" w:cs="Verdana"/>
                                  <w:color w:val="000000"/>
                                  <w:sz w:val="2"/>
                                  <w:szCs w:val="2"/>
                                </w:rPr>
                                <w:t>2021</w:t>
                              </w:r>
                            </w:p>
                          </w:txbxContent>
                        </v:textbox>
                      </v:rect>
                      <v:rect id="Rectangle 41" o:spid="_x0000_s1065" style="position:absolute;left:27324;top:27762;width:323;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QMEA&#10;AADcAAAADwAAAGRycy9kb3ducmV2LnhtbESP3YrCMBSE7xd8h3AE79ZUhSLVKMuCoMveWH2AQ3P6&#10;g8lJSaKtb79ZELwcZuYbZrsfrREP8qFzrGAxz0AQV0533Ci4Xg6faxAhIms0jknBkwLsd5OPLRba&#10;DXymRxkbkSAcClTQxtgXUoaqJYth7nri5NXOW4xJ+kZqj0OCWyOXWZZLix2nhRZ7+m6pupV3q0Be&#10;ysOwLo3P3M+y/jWn47kmp9RsOn5tQEQa4zv8ah+1glWe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lCUDBAAAA3AAAAA8AAAAAAAAAAAAAAAAAmAIAAGRycy9kb3du&#10;cmV2LnhtbFBLBQYAAAAABAAEAPUAAACGAwAAAAA=&#10;" filled="f" stroked="f">
                        <v:textbox style="mso-fit-shape-to-text:t" inset="0,0,0,0">
                          <w:txbxContent>
                            <w:p w:rsidR="005A221F" w:rsidRDefault="005A221F">
                              <w:r>
                                <w:rPr>
                                  <w:rFonts w:ascii="Verdana" w:hAnsi="Verdana" w:cs="Verdana"/>
                                  <w:color w:val="000000"/>
                                  <w:sz w:val="2"/>
                                  <w:szCs w:val="2"/>
                                </w:rPr>
                                <w:t>2022</w:t>
                              </w:r>
                            </w:p>
                          </w:txbxContent>
                        </v:textbox>
                      </v:rect>
                      <v:rect id="Rectangle 42" o:spid="_x0000_s1066" style="position:absolute;left:30048;top:27762;width:324;height:14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28IA&#10;AADcAAAADwAAAGRycy9kb3ducmV2LnhtbESPzYoCMRCE74LvEFrYm2ZUcGXWKCIIKl4c9wGaSc8P&#10;Jp0hyTqzb78RhD0WVfUVtdkN1ogn+dA6VjCfZSCIS6dbrhV834/TNYgQkTUax6TglwLstuPRBnPt&#10;er7Rs4i1SBAOOSpoYuxyKUPZkMUwcx1x8irnLcYkfS21xz7BrZGLLFtJiy2nhQY7OjRUPoofq0De&#10;i2O/LozP3GVRXc35dKvIKfUxGfZfICIN8T/8bp+0guXq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6azbwgAAANwAAAAPAAAAAAAAAAAAAAAAAJgCAABkcnMvZG93&#10;bnJldi54bWxQSwUGAAAAAAQABAD1AAAAhwMAAAAA&#10;" filled="f" stroked="f">
                        <v:textbox style="mso-fit-shape-to-text:t" inset="0,0,0,0">
                          <w:txbxContent>
                            <w:p w:rsidR="005A221F" w:rsidRDefault="005A221F">
                              <w:r>
                                <w:rPr>
                                  <w:rFonts w:ascii="Verdana" w:hAnsi="Verdana" w:cs="Verdana"/>
                                  <w:color w:val="000000"/>
                                  <w:sz w:val="2"/>
                                  <w:szCs w:val="2"/>
                                </w:rPr>
                                <w:t>2023</w:t>
                              </w:r>
                            </w:p>
                          </w:txbxContent>
                        </v:textbox>
                      </v:rect>
                      <v:shape id="Freeform 43" o:spid="_x0000_s1067" style="position:absolute;left:6038;top:28943;width:1766;height:178;visibility:visible;mso-wrap-style:square;v-text-anchor:top" coordsize="142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NeXsIA&#10;AADcAAAADwAAAGRycy9kb3ducmV2LnhtbERPXWvCMBR9H/gfwhV8GZrWgUg1igoDociYCr5em2tb&#10;bG5Kktnqr18eBns8nO/lujeNeJDztWUF6SQBQVxYXXOp4Hz6HM9B+ICssbFMCp7kYb0avC0x07bj&#10;b3ocQyliCPsMFVQhtJmUvqjIoJ/YljhyN+sMhghdKbXDLoabRk6TZCYN1hwbKmxpV1FxP/4YBflh&#10;mr/naX7fblN03fMqX1+Xm1KjYb9ZgAjUh3/xn3uvFXzM4tp4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I15ewgAAANwAAAAPAAAAAAAAAAAAAAAAAJgCAABkcnMvZG93&#10;bnJldi54bWxQSwUGAAAAAAQABAD1AAAAhwMAAAAA&#10;" path="m72,l1352,v40,,72,33,72,72c1424,112,1392,144,1352,144l72,144c33,144,,112,,72,,33,33,,72,xe" fillcolor="#595959" strokecolor="#595959" strokeweight=".1pt">
                        <v:stroke joinstyle="bevel"/>
                        <v:path arrowok="t" o:connecttype="custom" o:connectlocs="8926,0;167604,0;176530,8890;167604,17780;8926,17780;0,8890;8926,0" o:connectangles="0,0,0,0,0,0,0"/>
                      </v:shape>
                      <v:rect id="Rectangle 44" o:spid="_x0000_s1068" style="position:absolute;left:7886;top:28498;width:537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dMsIA&#10;AADcAAAADwAAAGRycy9kb3ducmV2LnhtbESPzYoCMRCE74LvEFrwphkVxB2NIoKgy14c9wGaSc8P&#10;Jp0hic749puFhT0WVfUVtTsM1ogX+dA6VrCYZyCIS6dbrhV838+zDYgQkTUax6TgTQEO+/Foh7l2&#10;Pd/oVcRaJAiHHBU0MXa5lKFsyGKYu444eZXzFmOSvpbaY5/g1shllq2lxZbTQoMdnRoqH8XTKpD3&#10;4txvCuMz97msvsz1cqvIKTWdDMctiEhD/A//tS9awWr9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Op0ywgAAANwAAAAPAAAAAAAAAAAAAAAAAJgCAABkcnMvZG93&#10;bnJldi54bWxQSwUGAAAAAAQABAD1AAAAhwMAAAAA&#10;" filled="f" stroked="f">
                        <v:textbox style="mso-fit-shape-to-text:t" inset="0,0,0,0">
                          <w:txbxContent>
                            <w:p w:rsidR="005A221F" w:rsidRPr="00FB7237" w:rsidRDefault="005A221F">
                              <w:pPr>
                                <w:rPr>
                                  <w:lang w:val="en-US"/>
                                </w:rPr>
                              </w:pPr>
                              <w:r>
                                <w:rPr>
                                  <w:rFonts w:ascii="Verdana" w:hAnsi="Verdana" w:cs="Verdana"/>
                                  <w:color w:val="000000"/>
                                  <w:sz w:val="14"/>
                                  <w:szCs w:val="14"/>
                                  <w:lang w:val="en-US"/>
                                </w:rPr>
                                <w:t>Certification</w:t>
                              </w:r>
                            </w:p>
                          </w:txbxContent>
                        </v:textbox>
                      </v:rect>
                      <v:shape id="Freeform 45" o:spid="_x0000_s1069" style="position:absolute;left:16109;top:28943;width:1766;height:178;visibility:visible;mso-wrap-style:square;v-text-anchor:top" coordsize="142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pSSMIA&#10;AADcAAAADwAAAGRycy9kb3ducmV2LnhtbERPz2vCMBS+D/Y/hDfwpummU+mMsimVIXioVc9vzVtb&#10;1ryUJmr23y8HYceP7/diFUwrrtS7xrKC51ECgri0uuFKwbHIhnMQziNrbC2Tgl9ysFo+Piww1fbG&#10;OV0PvhIxhF2KCmrvu1RKV9Zk0I1sRxy5b9sb9BH2ldQ93mK4aeVLkkylwYZjQ40drWsqfw4XowD3&#10;freeBNpsi+z8+pF1efF1CkoNnsL7GwhPwf+L7+5PrWA8i/Pj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lJIwgAAANwAAAAPAAAAAAAAAAAAAAAAAJgCAABkcnMvZG93&#10;bnJldi54bWxQSwUGAAAAAAQABAD1AAAAhwMAAAAA&#10;" path="m72,l1352,v40,,72,33,72,72c1424,112,1392,144,1352,144l72,144c33,144,,112,,72,,33,33,,72,xe" fillcolor="#c0504d" strokecolor="#c0504d" strokeweight=".1pt">
                        <v:stroke joinstyle="bevel"/>
                        <v:path arrowok="t" o:connecttype="custom" o:connectlocs="8926,0;167604,0;176530,8890;167604,17780;8926,17780;0,8890;8926,0" o:connectangles="0,0,0,0,0,0,0"/>
                      </v:shape>
                      <v:rect id="Rectangle 46" o:spid="_x0000_s1070" style="position:absolute;left:17964;top:28498;width:2679;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UH6cIA&#10;AADcAAAADwAAAGRycy9kb3ducmV2LnhtbESPzYoCMRCE74LvEFrwphkVXBmNIoLgLl4cfYBm0vOD&#10;SWdIojP79puFhT0WVfUVtTsM1og3+dA6VrCYZyCIS6dbrhU87ufZBkSIyBqNY1LwTQEO+/Foh7l2&#10;Pd/oXcRaJAiHHBU0MXa5lKFsyGKYu444eZXzFmOSvpbaY5/g1shllq2lxZbTQoMdnRoqn8XLKpD3&#10;4txvCuMz97WsrubzcqvIKTWdDMctiEhD/A//tS9awepj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QfpwgAAANwAAAAPAAAAAAAAAAAAAAAAAJgCAABkcnMvZG93&#10;bnJldi54bWxQSwUGAAAAAAQABAD1AAAAhwMAAAAA&#10;" filled="f" stroked="f">
                        <v:textbox style="mso-fit-shape-to-text:t" inset="0,0,0,0">
                          <w:txbxContent>
                            <w:p w:rsidR="005A221F" w:rsidRDefault="005A221F">
                              <w:r>
                                <w:rPr>
                                  <w:rFonts w:ascii="Verdana" w:hAnsi="Verdana" w:cs="Verdana"/>
                                  <w:color w:val="000000"/>
                                  <w:sz w:val="14"/>
                                  <w:szCs w:val="14"/>
                                </w:rPr>
                                <w:t>N+3 (</w:t>
                              </w:r>
                            </w:p>
                          </w:txbxContent>
                        </v:textbox>
                      </v:rect>
                      <v:rect id="Rectangle 47" o:spid="_x0000_s1071" style="position:absolute;left:20447;top:28498;width:5187;height:25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ZnsIA&#10;AADcAAAADwAAAGRycy9kb3ducmV2LnhtbESP3WoCMRSE7wXfIRzBO826QiurUUQQbOmNqw9w2Jz9&#10;weRkSaK7ffumUOjlMDPfMLvDaI14kQ+dYwWrZQaCuHK640bB/XZebECEiKzROCYF3xTgsJ9Odlho&#10;N/CVXmVsRIJwKFBBG2NfSBmqliyGpeuJk1c7bzEm6RupPQ4Jbo3Ms+xNWuw4LbTY06ml6lE+rQJ5&#10;K8/DpjQ+c595/WU+LteanFLz2Xjcgog0xv/wX/uiFazf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5mewgAAANwAAAAPAAAAAAAAAAAAAAAAAJgCAABkcnMvZG93&#10;bnJldi54bWxQSwUGAAAAAAQABAD1AAAAhwMAAAAA&#10;" filled="f" stroked="f">
                        <v:textbox style="mso-fit-shape-to-text:t" inset="0,0,0,0">
                          <w:txbxContent>
                            <w:p w:rsidR="005A221F" w:rsidRDefault="005A221F">
                              <w:proofErr w:type="gramStart"/>
                              <w:r>
                                <w:rPr>
                                  <w:rFonts w:ascii="Verdana" w:hAnsi="Verdana" w:cs="Verdana"/>
                                  <w:color w:val="000000"/>
                                  <w:sz w:val="14"/>
                                  <w:szCs w:val="14"/>
                                </w:rPr>
                                <w:t>alternative</w:t>
                              </w:r>
                              <w:proofErr w:type="gramEnd"/>
                              <w:r>
                                <w:rPr>
                                  <w:rFonts w:ascii="Verdana" w:hAnsi="Verdana" w:cs="Verdana"/>
                                  <w:color w:val="000000"/>
                                  <w:sz w:val="14"/>
                                  <w:szCs w:val="14"/>
                                </w:rPr>
                                <w:t>)</w:t>
                              </w:r>
                            </w:p>
                          </w:txbxContent>
                        </v:textbox>
                      </v:rect>
                      <v:shape id="Freeform 48" o:spid="_x0000_s1072" style="position:absolute;width:32016;height:30302;visibility:visible;mso-wrap-style:square;v-text-anchor:top" coordsize="25864,2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P4cMA&#10;AADcAAAADwAAAGRycy9kb3ducmV2LnhtbESP0YrCMBRE3xf8h3AFXxZNVVilGkVlF8TFB6sfcGmu&#10;bbG5KUm2dv/eCIKPw8ycYZbrztSiJecrywrGowQEcW51xYWCy/lnOAfhA7LG2jIp+CcP61XvY4mp&#10;tnc+UZuFQkQI+xQVlCE0qZQ+L8mgH9mGOHpX6wyGKF0htcN7hJtaTpLkSxqsOC6U2NCupPyW/RkF&#10;2fn4mZjdQdLWtfk2fP/6y8kpNeh3mwWIQF14h1/tvVYwnU3h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lP4cMAAADcAAAADwAAAAAAAAAAAAAAAACYAgAAZHJzL2Rv&#10;d25yZXYueG1sUEsFBgAAAAAEAAQA9QAAAIgDAAAAAA==&#10;" path="m,24c,11,11,,24,l25840,v14,,24,11,24,24l25864,24448v,14,-10,24,-24,24l24,24472v-13,,-24,-10,-24,-24l,24xm48,24448r-24,-24l25840,24424r-24,24l25816,24r24,24l24,48,48,24r,24424xe" fillcolor="#868686" strokecolor="#868686" strokeweight="0">
                        <v:path arrowok="t" o:connecttype="custom" o:connectlocs="0,2972;2971,0;3198699,0;3201670,2972;3201670,3027248;3198699,3030220;2971,3030220;0,3027248;0,2972;5942,3027248;2971,3024276;3198699,3024276;3195728,3027248;3195728,2972;3198699,5944;2971,5944;5942,2972;5942,3027248" o:connectangles="0,0,0,0,0,0,0,0,0,0,0,0,0,0,0,0,0,0"/>
                        <o:lock v:ext="edit" verticies="t"/>
                      </v:shape>
                      <w10:anchorlock/>
                    </v:group>
                  </w:pict>
                </mc:Fallback>
              </mc:AlternateContent>
            </w:r>
          </w:p>
        </w:tc>
      </w:tr>
      <w:tr w:rsidR="005A4639" w:rsidRPr="005B6074" w:rsidTr="00845752">
        <w:tc>
          <w:tcPr>
            <w:tcW w:w="5455" w:type="dxa"/>
          </w:tcPr>
          <w:p w:rsidR="00A511E7" w:rsidRPr="005B6074" w:rsidRDefault="00E93D76" w:rsidP="005B6074">
            <w:pPr>
              <w:pStyle w:val="Caption"/>
              <w:tabs>
                <w:tab w:val="left" w:pos="176"/>
              </w:tabs>
              <w:jc w:val="center"/>
              <w:rPr>
                <w:rFonts w:ascii="Verdana" w:eastAsia="Times New Roman" w:hAnsi="Verdana"/>
                <w:b w:val="0"/>
                <w:bCs w:val="0"/>
                <w:color w:val="548DD4" w:themeColor="text2" w:themeTint="99"/>
              </w:rPr>
            </w:pPr>
            <w:r w:rsidRPr="005B6074">
              <w:rPr>
                <w:rFonts w:ascii="Verdana" w:hAnsi="Verdana"/>
                <w:bCs w:val="0"/>
                <w:color w:val="006CB6"/>
                <w:lang w:eastAsia="en-US"/>
              </w:rPr>
              <w:t>Figure</w:t>
            </w:r>
            <w:r w:rsidR="005A4639" w:rsidRPr="005B6074">
              <w:rPr>
                <w:rFonts w:ascii="Verdana" w:hAnsi="Verdana"/>
                <w:bCs w:val="0"/>
                <w:color w:val="006CB6"/>
                <w:lang w:eastAsia="en-US"/>
              </w:rPr>
              <w:t xml:space="preserve"> </w:t>
            </w:r>
            <w:r w:rsidR="00A35E98" w:rsidRPr="005B6074">
              <w:rPr>
                <w:rFonts w:ascii="Verdana" w:hAnsi="Verdana"/>
                <w:bCs w:val="0"/>
                <w:color w:val="006CB6"/>
                <w:lang w:eastAsia="en-US"/>
              </w:rPr>
              <w:fldChar w:fldCharType="begin"/>
            </w:r>
            <w:r w:rsidR="005A4639" w:rsidRPr="005B6074">
              <w:rPr>
                <w:rFonts w:ascii="Verdana" w:hAnsi="Verdana"/>
                <w:bCs w:val="0"/>
                <w:color w:val="006CB6"/>
                <w:lang w:eastAsia="en-US"/>
              </w:rPr>
              <w:instrText xml:space="preserve"> SEQ </w:instrText>
            </w:r>
            <w:r w:rsidRPr="005B6074">
              <w:rPr>
                <w:rFonts w:ascii="Verdana" w:hAnsi="Verdana"/>
                <w:bCs w:val="0"/>
                <w:color w:val="006CB6"/>
                <w:lang w:eastAsia="en-US"/>
              </w:rPr>
              <w:instrText>Figure</w:instrText>
            </w:r>
            <w:r w:rsidR="005A4639" w:rsidRPr="005B6074">
              <w:rPr>
                <w:rFonts w:ascii="Verdana" w:hAnsi="Verdana"/>
                <w:bCs w:val="0"/>
                <w:color w:val="006CB6"/>
                <w:lang w:eastAsia="en-US"/>
              </w:rPr>
              <w:instrText xml:space="preserve"> \* ARABIC </w:instrText>
            </w:r>
            <w:r w:rsidR="00A35E98" w:rsidRPr="005B6074">
              <w:rPr>
                <w:rFonts w:ascii="Verdana" w:hAnsi="Verdana"/>
                <w:bCs w:val="0"/>
                <w:color w:val="006CB6"/>
                <w:lang w:eastAsia="en-US"/>
              </w:rPr>
              <w:fldChar w:fldCharType="separate"/>
            </w:r>
            <w:r w:rsidR="009330F5">
              <w:rPr>
                <w:rFonts w:ascii="Verdana" w:hAnsi="Verdana"/>
                <w:bCs w:val="0"/>
                <w:noProof/>
                <w:color w:val="006CB6"/>
                <w:lang w:eastAsia="en-US"/>
              </w:rPr>
              <w:t>1</w:t>
            </w:r>
            <w:r w:rsidR="00A35E98" w:rsidRPr="005B6074">
              <w:rPr>
                <w:rFonts w:ascii="Verdana" w:hAnsi="Verdana"/>
                <w:bCs w:val="0"/>
                <w:color w:val="006CB6"/>
                <w:lang w:eastAsia="en-US"/>
              </w:rPr>
              <w:fldChar w:fldCharType="end"/>
            </w:r>
            <w:r w:rsidR="005A4639" w:rsidRPr="005B6074">
              <w:rPr>
                <w:rFonts w:ascii="Verdana" w:hAnsi="Verdana"/>
                <w:bCs w:val="0"/>
                <w:color w:val="006CB6"/>
                <w:lang w:eastAsia="en-US"/>
              </w:rPr>
              <w:t xml:space="preserve">: </w:t>
            </w:r>
            <w:r w:rsidR="000B3E4D" w:rsidRPr="005B6074">
              <w:rPr>
                <w:rFonts w:ascii="Verdana" w:hAnsi="Verdana"/>
                <w:bCs w:val="0"/>
                <w:color w:val="006CB6"/>
                <w:lang w:eastAsia="en-US"/>
              </w:rPr>
              <w:t xml:space="preserve">Alternative distribution of annual budget allocations  of </w:t>
            </w:r>
            <w:r w:rsidR="005B35A7">
              <w:rPr>
                <w:rFonts w:ascii="Verdana" w:hAnsi="Verdana"/>
                <w:bCs w:val="0"/>
                <w:color w:val="006CB6"/>
                <w:lang w:eastAsia="en-US"/>
              </w:rPr>
              <w:t>OPSESG</w:t>
            </w:r>
            <w:r w:rsidR="005A4639" w:rsidRPr="005B6074">
              <w:rPr>
                <w:rFonts w:ascii="Verdana" w:hAnsi="Verdana"/>
                <w:bCs w:val="0"/>
                <w:color w:val="006CB6"/>
                <w:lang w:eastAsia="en-US"/>
              </w:rPr>
              <w:t xml:space="preserve"> 2014-2020</w:t>
            </w:r>
          </w:p>
        </w:tc>
        <w:tc>
          <w:tcPr>
            <w:tcW w:w="5259" w:type="dxa"/>
          </w:tcPr>
          <w:p w:rsidR="00A511E7" w:rsidRPr="005B6074" w:rsidRDefault="00E93D76" w:rsidP="005B6074">
            <w:pPr>
              <w:pStyle w:val="Caption"/>
              <w:jc w:val="center"/>
              <w:rPr>
                <w:rFonts w:ascii="Verdana" w:hAnsi="Verdana"/>
                <w:bCs w:val="0"/>
                <w:color w:val="006CB6"/>
                <w:lang w:eastAsia="en-US"/>
              </w:rPr>
            </w:pPr>
            <w:bookmarkStart w:id="204" w:name="_Toc396225646"/>
            <w:r w:rsidRPr="005B6074">
              <w:rPr>
                <w:rFonts w:ascii="Verdana" w:hAnsi="Verdana"/>
                <w:bCs w:val="0"/>
                <w:color w:val="006CB6"/>
                <w:lang w:eastAsia="en-US"/>
              </w:rPr>
              <w:t>Figure</w:t>
            </w:r>
            <w:r w:rsidR="005A4639" w:rsidRPr="005B6074">
              <w:rPr>
                <w:rFonts w:ascii="Verdana" w:hAnsi="Verdana"/>
                <w:bCs w:val="0"/>
                <w:color w:val="006CB6"/>
                <w:lang w:eastAsia="en-US"/>
              </w:rPr>
              <w:t xml:space="preserve"> </w:t>
            </w:r>
            <w:r w:rsidR="00A35E98" w:rsidRPr="005B6074">
              <w:rPr>
                <w:rFonts w:ascii="Verdana" w:hAnsi="Verdana"/>
                <w:bCs w:val="0"/>
                <w:color w:val="006CB6"/>
                <w:lang w:eastAsia="en-US"/>
              </w:rPr>
              <w:fldChar w:fldCharType="begin"/>
            </w:r>
            <w:r w:rsidR="005A4639" w:rsidRPr="005B6074">
              <w:rPr>
                <w:rFonts w:ascii="Verdana" w:hAnsi="Verdana"/>
                <w:bCs w:val="0"/>
                <w:color w:val="006CB6"/>
                <w:lang w:eastAsia="en-US"/>
              </w:rPr>
              <w:instrText xml:space="preserve"> SEQ фигура \* ARABIC </w:instrText>
            </w:r>
            <w:r w:rsidR="00A35E98" w:rsidRPr="005B6074">
              <w:rPr>
                <w:rFonts w:ascii="Verdana" w:hAnsi="Verdana"/>
                <w:bCs w:val="0"/>
                <w:color w:val="006CB6"/>
                <w:lang w:eastAsia="en-US"/>
              </w:rPr>
              <w:fldChar w:fldCharType="separate"/>
            </w:r>
            <w:r w:rsidR="009330F5">
              <w:rPr>
                <w:rFonts w:ascii="Verdana" w:hAnsi="Verdana"/>
                <w:bCs w:val="0"/>
                <w:noProof/>
                <w:color w:val="006CB6"/>
                <w:lang w:eastAsia="en-US"/>
              </w:rPr>
              <w:t>10</w:t>
            </w:r>
            <w:r w:rsidR="00A35E98" w:rsidRPr="005B6074">
              <w:rPr>
                <w:rFonts w:ascii="Verdana" w:hAnsi="Verdana"/>
                <w:bCs w:val="0"/>
                <w:color w:val="006CB6"/>
                <w:lang w:eastAsia="en-US"/>
              </w:rPr>
              <w:fldChar w:fldCharType="end"/>
            </w:r>
            <w:r w:rsidR="005A4639" w:rsidRPr="005B6074">
              <w:rPr>
                <w:rFonts w:ascii="Verdana" w:hAnsi="Verdana"/>
                <w:bCs w:val="0"/>
                <w:color w:val="006CB6"/>
                <w:lang w:eastAsia="en-US"/>
              </w:rPr>
              <w:t>:</w:t>
            </w:r>
            <w:r w:rsidR="007400AA" w:rsidRPr="005B6074">
              <w:rPr>
                <w:rFonts w:ascii="Verdana" w:hAnsi="Verdana"/>
                <w:bCs w:val="0"/>
                <w:color w:val="006CB6"/>
                <w:lang w:eastAsia="en-US"/>
              </w:rPr>
              <w:t xml:space="preserve"> Risk of automatic </w:t>
            </w:r>
            <w:proofErr w:type="spellStart"/>
            <w:r w:rsidR="007400AA" w:rsidRPr="005B6074">
              <w:rPr>
                <w:rFonts w:ascii="Verdana" w:hAnsi="Verdana"/>
                <w:bCs w:val="0"/>
                <w:color w:val="006CB6"/>
                <w:lang w:eastAsia="en-US"/>
              </w:rPr>
              <w:t>decommitment</w:t>
            </w:r>
            <w:proofErr w:type="spellEnd"/>
            <w:r w:rsidR="007400AA" w:rsidRPr="005B6074">
              <w:rPr>
                <w:rFonts w:ascii="Verdana" w:hAnsi="Verdana"/>
                <w:bCs w:val="0"/>
                <w:color w:val="006CB6"/>
                <w:lang w:eastAsia="en-US"/>
              </w:rPr>
              <w:t xml:space="preserve"> of </w:t>
            </w:r>
            <w:r w:rsidR="000B3E4D" w:rsidRPr="005B6074">
              <w:rPr>
                <w:rFonts w:ascii="Verdana" w:hAnsi="Verdana"/>
                <w:bCs w:val="0"/>
                <w:color w:val="006CB6"/>
                <w:lang w:eastAsia="en-US"/>
              </w:rPr>
              <w:t xml:space="preserve">funds under the alternative distribution of the budget of </w:t>
            </w:r>
            <w:r w:rsidR="005B35A7">
              <w:rPr>
                <w:rFonts w:ascii="Verdana" w:hAnsi="Verdana"/>
                <w:bCs w:val="0"/>
                <w:color w:val="006CB6"/>
                <w:lang w:eastAsia="en-US"/>
              </w:rPr>
              <w:t>OPSESG</w:t>
            </w:r>
            <w:r w:rsidR="000B3E4D" w:rsidRPr="005B6074">
              <w:rPr>
                <w:rFonts w:ascii="Verdana" w:hAnsi="Verdana"/>
                <w:bCs w:val="0"/>
                <w:color w:val="006CB6"/>
                <w:lang w:eastAsia="en-US"/>
              </w:rPr>
              <w:t xml:space="preserve"> 2014-2020, per year</w:t>
            </w:r>
            <w:bookmarkEnd w:id="204"/>
          </w:p>
        </w:tc>
      </w:tr>
    </w:tbl>
    <w:p w:rsidR="005A4639" w:rsidRPr="005B6074" w:rsidRDefault="005A4639" w:rsidP="005A4639">
      <w:pPr>
        <w:widowControl w:val="0"/>
        <w:tabs>
          <w:tab w:val="left" w:pos="0"/>
          <w:tab w:val="right" w:pos="9214"/>
        </w:tabs>
        <w:spacing w:before="120" w:after="120"/>
        <w:ind w:hanging="426"/>
        <w:jc w:val="center"/>
        <w:rPr>
          <w:rFonts w:ascii="Verdana" w:eastAsia="Times New Roman" w:hAnsi="Verdana"/>
          <w:bCs/>
          <w:color w:val="000000"/>
          <w:sz w:val="16"/>
          <w:szCs w:val="16"/>
          <w:lang w:eastAsia="bg-BG"/>
        </w:rPr>
      </w:pPr>
      <w:r w:rsidRPr="005B6074">
        <w:rPr>
          <w:rFonts w:ascii="Verdana" w:eastAsia="Times New Roman" w:hAnsi="Verdana"/>
          <w:bCs/>
          <w:color w:val="000000"/>
          <w:sz w:val="16"/>
          <w:szCs w:val="16"/>
          <w:lang w:eastAsia="bg-BG"/>
        </w:rPr>
        <w:t xml:space="preserve">Source: UMIS, Partnership </w:t>
      </w:r>
      <w:r w:rsidR="00E77CAC" w:rsidRPr="005B6074">
        <w:rPr>
          <w:rFonts w:ascii="Verdana" w:eastAsia="Times New Roman" w:hAnsi="Verdana"/>
          <w:bCs/>
          <w:color w:val="000000"/>
          <w:sz w:val="16"/>
          <w:szCs w:val="16"/>
          <w:lang w:eastAsia="bg-BG"/>
        </w:rPr>
        <w:t>A</w:t>
      </w:r>
      <w:r w:rsidRPr="005B6074">
        <w:rPr>
          <w:rFonts w:ascii="Verdana" w:eastAsia="Times New Roman" w:hAnsi="Verdana"/>
          <w:bCs/>
          <w:color w:val="000000"/>
          <w:sz w:val="16"/>
          <w:szCs w:val="16"/>
          <w:lang w:eastAsia="bg-BG"/>
        </w:rPr>
        <w:t>greement of the Republic of Bulgaria, own calculations</w:t>
      </w:r>
    </w:p>
    <w:p w:rsidR="005A4639" w:rsidRPr="005B6074" w:rsidRDefault="005A4639" w:rsidP="00C513B7">
      <w:pPr>
        <w:keepNext/>
        <w:widowControl w:val="0"/>
        <w:tabs>
          <w:tab w:val="left" w:pos="0"/>
          <w:tab w:val="right" w:pos="9214"/>
        </w:tabs>
        <w:spacing w:before="240" w:after="120"/>
        <w:jc w:val="both"/>
        <w:rPr>
          <w:rFonts w:ascii="Verdana" w:eastAsia="Times New Roman" w:hAnsi="Verdana"/>
          <w:bCs/>
          <w:color w:val="000000"/>
          <w:sz w:val="16"/>
          <w:szCs w:val="16"/>
          <w:lang w:eastAsia="bg-BG"/>
        </w:rPr>
      </w:pPr>
    </w:p>
    <w:p w:rsidR="00A511E7" w:rsidRPr="005B6074" w:rsidRDefault="00BB7EF4" w:rsidP="005B6074">
      <w:pPr>
        <w:widowControl w:val="0"/>
        <w:tabs>
          <w:tab w:val="left" w:pos="0"/>
          <w:tab w:val="right" w:pos="9214"/>
        </w:tabs>
        <w:spacing w:before="120" w:after="12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Through redistribution of the budget</w:t>
      </w:r>
      <w:r w:rsidR="00AE6B8D" w:rsidRPr="005B6074">
        <w:rPr>
          <w:rFonts w:ascii="Verdana" w:eastAsia="Times New Roman" w:hAnsi="Verdana"/>
          <w:bCs/>
          <w:color w:val="000000"/>
          <w:sz w:val="20"/>
          <w:szCs w:val="20"/>
          <w:lang w:eastAsia="bg-BG"/>
        </w:rPr>
        <w:t>ary</w:t>
      </w:r>
      <w:r w:rsidRPr="005B6074">
        <w:rPr>
          <w:rFonts w:ascii="Verdana" w:eastAsia="Times New Roman" w:hAnsi="Verdana"/>
          <w:bCs/>
          <w:color w:val="000000"/>
          <w:sz w:val="20"/>
          <w:szCs w:val="20"/>
          <w:lang w:eastAsia="bg-BG"/>
        </w:rPr>
        <w:t xml:space="preserve"> commitments from the initial years towards the following ones, and under the assumption that programme implementation </w:t>
      </w:r>
      <w:r w:rsidR="002D1548" w:rsidRPr="005B6074">
        <w:rPr>
          <w:rFonts w:ascii="Verdana" w:eastAsia="Times New Roman" w:hAnsi="Verdana"/>
          <w:bCs/>
          <w:color w:val="000000"/>
          <w:sz w:val="20"/>
          <w:szCs w:val="20"/>
          <w:lang w:eastAsia="bg-BG"/>
        </w:rPr>
        <w:t>will be similar to that of priority axes 3 and 4 of OP HRD 2007-2013, the risk of loss of funds will be present only at year 2023.</w:t>
      </w:r>
      <w:r w:rsidR="00D150FA" w:rsidRPr="005B6074">
        <w:rPr>
          <w:rFonts w:ascii="Verdana" w:eastAsia="Times New Roman" w:hAnsi="Verdana"/>
          <w:bCs/>
          <w:color w:val="000000"/>
          <w:sz w:val="20"/>
          <w:szCs w:val="20"/>
          <w:lang w:eastAsia="bg-BG"/>
        </w:rPr>
        <w:t xml:space="preserve"> As this risk cannot be eliminated by changing the profile of the budgetary commitments, but through more effective and efficient implementation of the programme, we can conclude that through the implementation of a more conservative approach towards the preparation of the annual financial allocations under </w:t>
      </w:r>
      <w:r w:rsidR="005B35A7">
        <w:rPr>
          <w:rFonts w:ascii="Verdana" w:eastAsia="Times New Roman" w:hAnsi="Verdana"/>
          <w:bCs/>
          <w:color w:val="000000"/>
          <w:sz w:val="20"/>
          <w:szCs w:val="20"/>
          <w:lang w:eastAsia="bg-BG"/>
        </w:rPr>
        <w:t>OPSESG</w:t>
      </w:r>
      <w:r w:rsidR="00D150FA" w:rsidRPr="005B6074">
        <w:rPr>
          <w:rFonts w:ascii="Verdana" w:eastAsia="Times New Roman" w:hAnsi="Verdana"/>
          <w:bCs/>
          <w:color w:val="000000"/>
          <w:sz w:val="20"/>
          <w:szCs w:val="20"/>
          <w:lang w:eastAsia="bg-BG"/>
        </w:rPr>
        <w:t xml:space="preserve"> 2014-2020</w:t>
      </w:r>
      <w:r w:rsidR="00F17B3D" w:rsidRPr="005B6074">
        <w:rPr>
          <w:rFonts w:ascii="Verdana" w:eastAsia="Times New Roman" w:hAnsi="Verdana"/>
          <w:bCs/>
          <w:color w:val="000000"/>
          <w:sz w:val="20"/>
          <w:szCs w:val="20"/>
          <w:lang w:eastAsia="bg-BG"/>
        </w:rPr>
        <w:t xml:space="preserve">, to the largest possible extent the risk of loss of funds should be </w:t>
      </w:r>
      <w:r w:rsidR="00AE6B8D" w:rsidRPr="005B6074">
        <w:rPr>
          <w:rFonts w:ascii="Verdana" w:eastAsia="Times New Roman" w:hAnsi="Verdana"/>
          <w:bCs/>
          <w:color w:val="000000"/>
          <w:sz w:val="20"/>
          <w:szCs w:val="20"/>
          <w:lang w:eastAsia="bg-BG"/>
        </w:rPr>
        <w:t>minimized</w:t>
      </w:r>
      <w:r w:rsidR="00F17B3D" w:rsidRPr="005B6074">
        <w:rPr>
          <w:rFonts w:ascii="Verdana" w:eastAsia="Times New Roman" w:hAnsi="Verdana"/>
          <w:bCs/>
          <w:color w:val="000000"/>
          <w:sz w:val="20"/>
          <w:szCs w:val="20"/>
          <w:lang w:eastAsia="bg-BG"/>
        </w:rPr>
        <w:t>.</w:t>
      </w:r>
    </w:p>
    <w:p w:rsidR="00C513B7" w:rsidRPr="005B6074" w:rsidRDefault="00A35E98" w:rsidP="00C513B7">
      <w:pPr>
        <w:keepNext/>
        <w:widowControl w:val="0"/>
        <w:tabs>
          <w:tab w:val="left" w:pos="0"/>
          <w:tab w:val="right" w:pos="9214"/>
        </w:tabs>
        <w:spacing w:before="240" w:after="120"/>
        <w:jc w:val="both"/>
        <w:rPr>
          <w:rFonts w:ascii="Verdana" w:eastAsia="Times New Roman" w:hAnsi="Verdana"/>
          <w:bCs/>
          <w:color w:val="0070C0"/>
          <w:sz w:val="20"/>
          <w:szCs w:val="20"/>
          <w:lang w:eastAsia="bg-BG"/>
        </w:rPr>
      </w:pPr>
      <w:r w:rsidRPr="005B6074">
        <w:rPr>
          <w:rFonts w:ascii="Verdana" w:eastAsia="Times New Roman" w:hAnsi="Verdana"/>
          <w:bCs/>
          <w:color w:val="0070C0"/>
          <w:sz w:val="20"/>
          <w:szCs w:val="20"/>
          <w:lang w:eastAsia="bg-BG"/>
        </w:rPr>
        <w:t>Responses to the online survey concerning the allocation of the budget of the Programme</w:t>
      </w:r>
    </w:p>
    <w:p w:rsidR="00C513B7" w:rsidRPr="005B6074" w:rsidRDefault="00A35E98" w:rsidP="00C513B7">
      <w:pPr>
        <w:widowControl w:val="0"/>
        <w:tabs>
          <w:tab w:val="left" w:pos="0"/>
          <w:tab w:val="right" w:pos="9214"/>
        </w:tabs>
        <w:spacing w:before="120" w:after="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The opinion of the potential beneficiaries, members of the working group for elaboration and the MA of </w:t>
      </w:r>
      <w:r w:rsidR="005B35A7">
        <w:rPr>
          <w:rFonts w:ascii="Verdana" w:eastAsia="Times New Roman" w:hAnsi="Verdana"/>
          <w:bCs/>
          <w:color w:val="000000"/>
          <w:sz w:val="20"/>
          <w:szCs w:val="20"/>
          <w:lang w:eastAsia="bg-BG"/>
        </w:rPr>
        <w:t>OPSESG</w:t>
      </w:r>
      <w:r w:rsidRPr="005B6074">
        <w:rPr>
          <w:rFonts w:ascii="Verdana" w:eastAsia="Times New Roman" w:hAnsi="Verdana"/>
          <w:bCs/>
          <w:color w:val="000000"/>
          <w:sz w:val="20"/>
          <w:szCs w:val="20"/>
          <w:lang w:eastAsia="bg-BG"/>
        </w:rPr>
        <w:t xml:space="preserve"> 2014-2020, on the allocation of resources was sought through an online survey. Given the broad range of respondents, their opinion on the financial allocation was recorded only by main investment priorities.</w:t>
      </w:r>
    </w:p>
    <w:p w:rsidR="00C513B7" w:rsidRPr="005B6074" w:rsidRDefault="00A35E98" w:rsidP="00C513B7">
      <w:pPr>
        <w:widowControl w:val="0"/>
        <w:tabs>
          <w:tab w:val="left" w:pos="0"/>
          <w:tab w:val="right" w:pos="9214"/>
        </w:tabs>
        <w:spacing w:before="120" w:after="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The distribution of responses on the financial importance of the main investment priorities is presented in the Figure below, where the responses of the MA and the ones of potential beneficiaries and members of the working groups have been differentiated in separate </w:t>
      </w:r>
      <w:r w:rsidRPr="005B6074">
        <w:rPr>
          <w:rFonts w:ascii="Verdana" w:eastAsia="Times New Roman" w:hAnsi="Verdana"/>
          <w:bCs/>
          <w:color w:val="000000"/>
          <w:sz w:val="20"/>
          <w:szCs w:val="20"/>
          <w:lang w:eastAsia="bg-BG"/>
        </w:rPr>
        <w:lastRenderedPageBreak/>
        <w:t>charts.</w:t>
      </w:r>
    </w:p>
    <w:p w:rsidR="00C513B7" w:rsidRPr="005B6074" w:rsidRDefault="00A35E98" w:rsidP="00C513B7">
      <w:pPr>
        <w:widowControl w:val="0"/>
        <w:tabs>
          <w:tab w:val="left" w:pos="0"/>
          <w:tab w:val="right" w:pos="9214"/>
        </w:tabs>
        <w:spacing w:before="120" w:after="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As a whole, the result shows a smaller share for science and technological development (PA1) and higher total share of funds for education and lifelong learning. In the programme document the ratio between PA1 and PA2 is 1:</w:t>
      </w:r>
      <w:r w:rsidR="00E77CAC" w:rsidRPr="005B6074">
        <w:rPr>
          <w:rFonts w:ascii="Verdana" w:eastAsia="Times New Roman" w:hAnsi="Verdana"/>
          <w:bCs/>
          <w:color w:val="000000"/>
          <w:sz w:val="20"/>
          <w:szCs w:val="20"/>
          <w:lang w:eastAsia="bg-BG"/>
        </w:rPr>
        <w:t>1</w:t>
      </w:r>
      <w:r w:rsidRPr="005B6074">
        <w:rPr>
          <w:rFonts w:ascii="Verdana" w:eastAsia="Times New Roman" w:hAnsi="Verdana"/>
          <w:bCs/>
          <w:color w:val="000000"/>
          <w:sz w:val="20"/>
          <w:szCs w:val="20"/>
          <w:lang w:eastAsia="bg-BG"/>
        </w:rPr>
        <w:t>, while the averaged results of the survey show a ratio of 1:3.</w:t>
      </w:r>
    </w:p>
    <w:p w:rsidR="00C513B7" w:rsidRPr="005B6074" w:rsidRDefault="001C0323" w:rsidP="00C513B7">
      <w:pPr>
        <w:widowControl w:val="0"/>
        <w:tabs>
          <w:tab w:val="left" w:pos="0"/>
          <w:tab w:val="right" w:pos="9214"/>
        </w:tabs>
        <w:spacing w:before="120" w:after="0"/>
        <w:jc w:val="center"/>
        <w:rPr>
          <w:rFonts w:ascii="Verdana" w:eastAsia="Times New Roman" w:hAnsi="Verdana"/>
          <w:bCs/>
          <w:color w:val="000000"/>
          <w:sz w:val="20"/>
          <w:szCs w:val="20"/>
          <w:highlight w:val="yellow"/>
          <w:lang w:eastAsia="bg-BG"/>
        </w:rPr>
      </w:pPr>
      <w:r w:rsidRPr="005B6074">
        <w:rPr>
          <w:rFonts w:ascii="Verdana" w:eastAsia="Times New Roman" w:hAnsi="Verdana"/>
          <w:bCs/>
          <w:noProof/>
          <w:color w:val="000000"/>
          <w:sz w:val="20"/>
          <w:szCs w:val="20"/>
          <w:highlight w:val="yellow"/>
          <w:lang w:val="bg-BG" w:eastAsia="bg-BG"/>
        </w:rPr>
        <w:drawing>
          <wp:inline distT="0" distB="0" distL="0" distR="0" wp14:anchorId="42B9E37D" wp14:editId="70591BE8">
            <wp:extent cx="5010150" cy="4924425"/>
            <wp:effectExtent l="0" t="0" r="0" b="9525"/>
            <wp:docPr id="36" name="Picture 6" descr="PO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_distributi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0150" cy="4924425"/>
                    </a:xfrm>
                    <a:prstGeom prst="rect">
                      <a:avLst/>
                    </a:prstGeom>
                    <a:noFill/>
                    <a:ln>
                      <a:noFill/>
                    </a:ln>
                  </pic:spPr>
                </pic:pic>
              </a:graphicData>
            </a:graphic>
          </wp:inline>
        </w:drawing>
      </w:r>
    </w:p>
    <w:p w:rsidR="00C513B7" w:rsidRPr="005B6074" w:rsidRDefault="00A35E98" w:rsidP="00C513B7">
      <w:pPr>
        <w:widowControl w:val="0"/>
        <w:tabs>
          <w:tab w:val="left" w:pos="0"/>
          <w:tab w:val="right" w:pos="9214"/>
        </w:tabs>
        <w:spacing w:before="120" w:after="0"/>
        <w:jc w:val="center"/>
        <w:rPr>
          <w:rFonts w:ascii="Verdana" w:eastAsia="Times New Roman" w:hAnsi="Verdana"/>
          <w:bCs/>
          <w:color w:val="000000"/>
          <w:sz w:val="16"/>
          <w:szCs w:val="16"/>
          <w:lang w:eastAsia="bg-BG"/>
        </w:rPr>
      </w:pPr>
      <w:r w:rsidRPr="005B6074">
        <w:rPr>
          <w:rFonts w:ascii="Verdana" w:eastAsia="Times New Roman" w:hAnsi="Verdana"/>
          <w:bCs/>
          <w:color w:val="000000"/>
          <w:sz w:val="16"/>
          <w:szCs w:val="16"/>
          <w:lang w:eastAsia="bg-BG"/>
        </w:rPr>
        <w:t xml:space="preserve">Source: On-line survey of potential beneficiaries, members of the working group and representatives of MA of </w:t>
      </w:r>
      <w:r w:rsidR="005B35A7">
        <w:rPr>
          <w:rFonts w:ascii="Verdana" w:eastAsia="Times New Roman" w:hAnsi="Verdana"/>
          <w:bCs/>
          <w:color w:val="000000"/>
          <w:sz w:val="16"/>
          <w:szCs w:val="16"/>
          <w:lang w:eastAsia="bg-BG"/>
        </w:rPr>
        <w:t>OPSESG</w:t>
      </w:r>
    </w:p>
    <w:p w:rsidR="00C513B7" w:rsidRPr="005B6074" w:rsidRDefault="00A35E98" w:rsidP="00C513B7">
      <w:pPr>
        <w:jc w:val="center"/>
        <w:rPr>
          <w:rFonts w:ascii="Verdana" w:hAnsi="Verdana"/>
          <w:b/>
          <w:color w:val="548DD4" w:themeColor="text2" w:themeTint="99"/>
          <w:sz w:val="20"/>
          <w:szCs w:val="20"/>
          <w:lang w:eastAsia="cs-CZ"/>
        </w:rPr>
      </w:pPr>
      <w:bookmarkStart w:id="205" w:name="_Toc390257337"/>
      <w:bookmarkStart w:id="206" w:name="_Toc396225647"/>
      <w:r w:rsidRPr="005B6074">
        <w:rPr>
          <w:rFonts w:ascii="Verdana" w:hAnsi="Verdana"/>
          <w:b/>
          <w:color w:val="006CB6"/>
          <w:sz w:val="20"/>
          <w:szCs w:val="20"/>
        </w:rPr>
        <w:t xml:space="preserve">Figure </w:t>
      </w:r>
      <w:r w:rsidRPr="005B6074">
        <w:rPr>
          <w:rFonts w:ascii="Verdana" w:hAnsi="Verdana"/>
          <w:b/>
          <w:color w:val="006CB6"/>
          <w:sz w:val="20"/>
          <w:szCs w:val="20"/>
        </w:rPr>
        <w:fldChar w:fldCharType="begin"/>
      </w:r>
      <w:r w:rsidRPr="005B6074">
        <w:rPr>
          <w:rFonts w:ascii="Verdana" w:hAnsi="Verdana"/>
          <w:b/>
          <w:color w:val="006CB6"/>
          <w:sz w:val="20"/>
          <w:szCs w:val="20"/>
        </w:rPr>
        <w:instrText>SEQ Фигура \* ARABIC</w:instrText>
      </w:r>
      <w:r w:rsidRPr="005B6074">
        <w:rPr>
          <w:rFonts w:ascii="Verdana" w:hAnsi="Verdana"/>
          <w:b/>
          <w:color w:val="006CB6"/>
          <w:sz w:val="20"/>
          <w:szCs w:val="20"/>
        </w:rPr>
        <w:fldChar w:fldCharType="separate"/>
      </w:r>
      <w:r w:rsidR="009330F5">
        <w:rPr>
          <w:rFonts w:ascii="Verdana" w:hAnsi="Verdana"/>
          <w:b/>
          <w:noProof/>
          <w:color w:val="006CB6"/>
          <w:sz w:val="20"/>
          <w:szCs w:val="20"/>
        </w:rPr>
        <w:t>11</w:t>
      </w:r>
      <w:r w:rsidRPr="005B6074">
        <w:rPr>
          <w:rFonts w:ascii="Verdana" w:hAnsi="Verdana"/>
          <w:b/>
          <w:color w:val="006CB6"/>
          <w:sz w:val="20"/>
          <w:szCs w:val="20"/>
        </w:rPr>
        <w:fldChar w:fldCharType="end"/>
      </w:r>
      <w:r w:rsidRPr="005B6074">
        <w:rPr>
          <w:rFonts w:ascii="Verdana" w:hAnsi="Verdana"/>
          <w:b/>
          <w:color w:val="006CB6"/>
          <w:sz w:val="20"/>
          <w:szCs w:val="20"/>
        </w:rPr>
        <w:t>: Distribution of responses on the share of financing under the PA</w:t>
      </w:r>
      <w:bookmarkEnd w:id="205"/>
      <w:r w:rsidRPr="005B6074">
        <w:rPr>
          <w:rFonts w:ascii="Verdana" w:hAnsi="Verdana"/>
          <w:b/>
          <w:color w:val="006CB6"/>
          <w:sz w:val="20"/>
          <w:szCs w:val="20"/>
        </w:rPr>
        <w:t>s</w:t>
      </w:r>
      <w:bookmarkEnd w:id="206"/>
    </w:p>
    <w:p w:rsidR="00C513B7" w:rsidRPr="005B6074" w:rsidRDefault="00C513B7" w:rsidP="00C513B7">
      <w:pPr>
        <w:widowControl w:val="0"/>
        <w:tabs>
          <w:tab w:val="left" w:pos="0"/>
          <w:tab w:val="right" w:pos="9214"/>
        </w:tabs>
        <w:spacing w:before="120" w:after="0"/>
        <w:jc w:val="center"/>
        <w:rPr>
          <w:rFonts w:ascii="Verdana" w:eastAsia="Times New Roman" w:hAnsi="Verdana"/>
          <w:bCs/>
          <w:color w:val="000000"/>
          <w:sz w:val="14"/>
          <w:szCs w:val="14"/>
          <w:lang w:eastAsia="bg-BG"/>
        </w:rPr>
      </w:pPr>
    </w:p>
    <w:p w:rsidR="00C513B7" w:rsidRPr="005B6074" w:rsidRDefault="00A35E98" w:rsidP="00C513B7">
      <w:pPr>
        <w:tabs>
          <w:tab w:val="left" w:pos="0"/>
          <w:tab w:val="right" w:pos="9214"/>
        </w:tabs>
        <w:spacing w:after="120"/>
        <w:jc w:val="both"/>
        <w:rPr>
          <w:rFonts w:ascii="Verdana" w:eastAsia="Calibri" w:hAnsi="Verdana"/>
          <w:sz w:val="20"/>
          <w:szCs w:val="20"/>
        </w:rPr>
      </w:pPr>
      <w:r w:rsidRPr="005B6074">
        <w:rPr>
          <w:rFonts w:ascii="Verdana" w:eastAsia="Calibri" w:hAnsi="Verdana"/>
          <w:sz w:val="20"/>
          <w:szCs w:val="20"/>
        </w:rPr>
        <w:t>The respondents have given relatively unanimous responses on the share of financing for higher and school education, assessing the necessity to allocate funds for these priorities respectively as 25% and 36% of the Programme budget.</w:t>
      </w:r>
    </w:p>
    <w:p w:rsidR="00C513B7" w:rsidRPr="005B6074" w:rsidRDefault="00A35E98" w:rsidP="00C513B7">
      <w:pPr>
        <w:tabs>
          <w:tab w:val="left" w:pos="0"/>
          <w:tab w:val="right" w:pos="9214"/>
        </w:tabs>
        <w:spacing w:after="120"/>
        <w:jc w:val="both"/>
        <w:rPr>
          <w:rFonts w:ascii="Verdana" w:eastAsia="Calibri" w:hAnsi="Verdana"/>
          <w:sz w:val="20"/>
          <w:szCs w:val="20"/>
        </w:rPr>
      </w:pPr>
      <w:r w:rsidRPr="005B6074">
        <w:rPr>
          <w:rFonts w:ascii="Verdana" w:eastAsia="Calibri" w:hAnsi="Verdana"/>
          <w:sz w:val="20"/>
          <w:szCs w:val="20"/>
        </w:rPr>
        <w:t xml:space="preserve">Regarding the assessment of the share of funds that have to be allocated to finance research and technological development, the responses vary in the range between 5% and 70% of the Programme budget. On the whole, the surveyed representatives of MA of </w:t>
      </w:r>
      <w:r w:rsidR="005B35A7">
        <w:rPr>
          <w:rFonts w:ascii="Verdana" w:eastAsia="Calibri" w:hAnsi="Verdana"/>
          <w:sz w:val="20"/>
          <w:szCs w:val="20"/>
        </w:rPr>
        <w:t>OPSESG</w:t>
      </w:r>
      <w:r w:rsidRPr="005B6074">
        <w:rPr>
          <w:rFonts w:ascii="Verdana" w:eastAsia="Calibri" w:hAnsi="Verdana"/>
          <w:sz w:val="20"/>
          <w:szCs w:val="20"/>
        </w:rPr>
        <w:t xml:space="preserve"> are of the opinion that the financing of this type of investment should be higher. </w:t>
      </w:r>
      <w:r w:rsidRPr="005B6074">
        <w:rPr>
          <w:rFonts w:ascii="Verdana" w:eastAsia="Calibri" w:hAnsi="Verdana"/>
          <w:sz w:val="20"/>
          <w:szCs w:val="20"/>
        </w:rPr>
        <w:lastRenderedPageBreak/>
        <w:t xml:space="preserve">Similarly, regarding lifelong learning the range of responses is between 2% and 50%, however in this case the potential beneficiaries and the members of the WG for </w:t>
      </w:r>
      <w:r w:rsidR="005B35A7">
        <w:rPr>
          <w:rFonts w:ascii="Verdana" w:eastAsia="Calibri" w:hAnsi="Verdana"/>
          <w:sz w:val="20"/>
          <w:szCs w:val="20"/>
        </w:rPr>
        <w:t>OPSESG</w:t>
      </w:r>
      <w:r w:rsidRPr="005B6074">
        <w:rPr>
          <w:rFonts w:ascii="Verdana" w:eastAsia="Calibri" w:hAnsi="Verdana"/>
          <w:sz w:val="20"/>
          <w:szCs w:val="20"/>
        </w:rPr>
        <w:t xml:space="preserve"> 2014-2020 give higher importance on the necessity of investment after the completion of formal education</w:t>
      </w:r>
      <w:r w:rsidR="006B0E0B" w:rsidRPr="005B6074">
        <w:rPr>
          <w:rFonts w:ascii="Verdana" w:eastAsia="Calibri" w:hAnsi="Verdana"/>
          <w:sz w:val="20"/>
          <w:szCs w:val="20"/>
        </w:rPr>
        <w:t>,</w:t>
      </w:r>
      <w:r w:rsidRPr="005B6074">
        <w:rPr>
          <w:rFonts w:ascii="Verdana" w:eastAsia="Calibri" w:hAnsi="Verdana"/>
          <w:sz w:val="20"/>
          <w:szCs w:val="20"/>
        </w:rPr>
        <w:t xml:space="preserve"> as well.</w:t>
      </w:r>
    </w:p>
    <w:p w:rsidR="00C513B7" w:rsidRPr="005B6074" w:rsidRDefault="00C513B7" w:rsidP="00C513B7">
      <w:pPr>
        <w:widowControl w:val="0"/>
        <w:tabs>
          <w:tab w:val="left" w:pos="0"/>
          <w:tab w:val="right" w:pos="9214"/>
        </w:tabs>
        <w:spacing w:before="120" w:after="0"/>
        <w:jc w:val="both"/>
        <w:rPr>
          <w:rFonts w:ascii="Verdana" w:eastAsia="Times New Roman" w:hAnsi="Verdana"/>
          <w:bCs/>
          <w:color w:val="000000"/>
          <w:sz w:val="20"/>
          <w:szCs w:val="20"/>
          <w:lang w:eastAsia="bg-BG"/>
        </w:rPr>
      </w:pPr>
    </w:p>
    <w:tbl>
      <w:tblPr>
        <w:tblW w:w="9090" w:type="dxa"/>
        <w:tblInd w:w="108" w:type="dxa"/>
        <w:tblBorders>
          <w:top w:val="single" w:sz="4" w:space="0" w:color="auto"/>
          <w:bottom w:val="single" w:sz="4" w:space="0" w:color="auto"/>
        </w:tblBorders>
        <w:tblLook w:val="04A0" w:firstRow="1" w:lastRow="0" w:firstColumn="1" w:lastColumn="0" w:noHBand="0" w:noVBand="1"/>
      </w:tblPr>
      <w:tblGrid>
        <w:gridCol w:w="567"/>
        <w:gridCol w:w="8523"/>
      </w:tblGrid>
      <w:tr w:rsidR="00C513B7" w:rsidRPr="005B6074" w:rsidTr="00F24971">
        <w:tc>
          <w:tcPr>
            <w:tcW w:w="567" w:type="dxa"/>
            <w:vAlign w:val="center"/>
          </w:tcPr>
          <w:p w:rsidR="00C513B7" w:rsidRPr="005B6074" w:rsidRDefault="00A35E98" w:rsidP="00F24971">
            <w:pPr>
              <w:spacing w:after="0"/>
              <w:jc w:val="center"/>
              <w:rPr>
                <w:rFonts w:ascii="Verdana" w:eastAsia="Times New Roman" w:hAnsi="Verdana"/>
                <w:color w:val="548DD4"/>
                <w:sz w:val="36"/>
                <w:szCs w:val="36"/>
                <w:lang w:eastAsia="bg-BG"/>
              </w:rPr>
            </w:pPr>
            <w:r w:rsidRPr="005B6074">
              <w:rPr>
                <w:rFonts w:ascii="Verdana" w:eastAsia="Times New Roman" w:hAnsi="Verdana"/>
                <w:color w:val="548DD4"/>
                <w:sz w:val="36"/>
                <w:szCs w:val="36"/>
                <w:lang w:eastAsia="bg-BG"/>
              </w:rPr>
              <w:t>?</w:t>
            </w:r>
          </w:p>
        </w:tc>
        <w:tc>
          <w:tcPr>
            <w:tcW w:w="8523" w:type="dxa"/>
            <w:shd w:val="clear" w:color="auto" w:fill="B8CCE4"/>
          </w:tcPr>
          <w:p w:rsidR="00C513B7" w:rsidRPr="005B6074" w:rsidRDefault="00A35E98" w:rsidP="008A0964">
            <w:pPr>
              <w:autoSpaceDE w:val="0"/>
              <w:autoSpaceDN w:val="0"/>
              <w:adjustRightInd w:val="0"/>
              <w:spacing w:before="120" w:after="120" w:line="240" w:lineRule="auto"/>
              <w:rPr>
                <w:rFonts w:ascii="Verdana" w:eastAsia="Times New Roman" w:hAnsi="Verdana" w:cs="TimesNewRomanPSMT"/>
                <w:sz w:val="20"/>
                <w:szCs w:val="20"/>
                <w:lang w:eastAsia="bg-BG"/>
              </w:rPr>
            </w:pPr>
            <w:r w:rsidRPr="005B6074">
              <w:rPr>
                <w:rFonts w:ascii="Verdana" w:eastAsia="Times New Roman" w:hAnsi="Verdana" w:cs="TimesNewRomanPSMT"/>
                <w:sz w:val="20"/>
                <w:szCs w:val="20"/>
                <w:lang w:eastAsia="bg-BG"/>
              </w:rPr>
              <w:t>Consistency and justification of the allocation of budget funds versus the requirements of the Regulations (integrated approach, focusing on interventions, financial engineering, etc.)</w:t>
            </w:r>
          </w:p>
        </w:tc>
      </w:tr>
    </w:tbl>
    <w:p w:rsidR="00C513B7" w:rsidRPr="005B6074" w:rsidRDefault="00A35E98" w:rsidP="00C513B7">
      <w:pPr>
        <w:keepNext/>
        <w:widowControl w:val="0"/>
        <w:tabs>
          <w:tab w:val="left" w:pos="0"/>
          <w:tab w:val="right" w:pos="9214"/>
        </w:tabs>
        <w:spacing w:before="240" w:after="120"/>
        <w:jc w:val="both"/>
        <w:rPr>
          <w:rFonts w:ascii="Verdana" w:eastAsia="Times New Roman" w:hAnsi="Verdana"/>
          <w:bCs/>
          <w:color w:val="0070C0"/>
          <w:sz w:val="20"/>
          <w:szCs w:val="20"/>
          <w:lang w:eastAsia="bg-BG"/>
        </w:rPr>
      </w:pPr>
      <w:r w:rsidRPr="005B6074">
        <w:rPr>
          <w:rFonts w:ascii="Verdana" w:eastAsia="Times New Roman" w:hAnsi="Verdana"/>
          <w:bCs/>
          <w:color w:val="0070C0"/>
          <w:sz w:val="20"/>
          <w:szCs w:val="20"/>
          <w:lang w:eastAsia="bg-BG"/>
        </w:rPr>
        <w:t>Extent to which the formal requirements have been observed in describing the financial framework in the Programme document and co-financing</w:t>
      </w:r>
    </w:p>
    <w:p w:rsidR="00C513B7" w:rsidRPr="005B6074" w:rsidRDefault="00A35E98" w:rsidP="00C513B7">
      <w:pPr>
        <w:widowControl w:val="0"/>
        <w:tabs>
          <w:tab w:val="left" w:pos="0"/>
          <w:tab w:val="right" w:pos="9214"/>
        </w:tabs>
        <w:spacing w:before="120" w:after="12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According to the EU Common Strategic Framework (Article 96(2</w:t>
      </w:r>
      <w:proofErr w:type="gramStart"/>
      <w:r w:rsidRPr="005B6074">
        <w:rPr>
          <w:rFonts w:ascii="Verdana" w:eastAsia="Times New Roman" w:hAnsi="Verdana"/>
          <w:bCs/>
          <w:color w:val="000000"/>
          <w:sz w:val="20"/>
          <w:szCs w:val="20"/>
          <w:lang w:eastAsia="bg-BG"/>
        </w:rPr>
        <w:t>)(</w:t>
      </w:r>
      <w:proofErr w:type="gramEnd"/>
      <w:r w:rsidRPr="005B6074">
        <w:rPr>
          <w:rFonts w:ascii="Verdana" w:eastAsia="Times New Roman" w:hAnsi="Verdana"/>
          <w:bCs/>
          <w:color w:val="000000"/>
          <w:sz w:val="20"/>
          <w:szCs w:val="20"/>
          <w:lang w:eastAsia="bg-BG"/>
        </w:rPr>
        <w:t>d), the financial plan for each operational programme must contain as a minimum two tables:</w:t>
      </w:r>
    </w:p>
    <w:p w:rsidR="00C513B7" w:rsidRPr="005B6074" w:rsidRDefault="00A35E98" w:rsidP="00C513B7">
      <w:pPr>
        <w:widowControl w:val="0"/>
        <w:tabs>
          <w:tab w:val="left" w:pos="0"/>
          <w:tab w:val="right" w:pos="9214"/>
        </w:tabs>
        <w:spacing w:before="120" w:after="120"/>
        <w:jc w:val="both"/>
        <w:rPr>
          <w:rFonts w:ascii="EUAlbertina" w:eastAsiaTheme="minorHAnsi" w:hAnsi="EUAlbertina" w:cs="EUAlbertina"/>
          <w:color w:val="000000"/>
          <w:sz w:val="24"/>
          <w:szCs w:val="24"/>
        </w:rPr>
      </w:pPr>
      <w:r w:rsidRPr="005B6074">
        <w:rPr>
          <w:rFonts w:ascii="Verdana" w:eastAsia="Times New Roman" w:hAnsi="Verdana"/>
          <w:bCs/>
          <w:color w:val="548DD4" w:themeColor="text2" w:themeTint="99"/>
          <w:sz w:val="20"/>
          <w:szCs w:val="20"/>
          <w:lang w:eastAsia="bg-BG"/>
        </w:rPr>
        <w:t xml:space="preserve">1. Table of financial commitments by years for each of the funds under which the operational programme is financed, </w:t>
      </w:r>
      <w:r w:rsidRPr="005B6074">
        <w:rPr>
          <w:rFonts w:ascii="Verdana" w:eastAsia="Times New Roman" w:hAnsi="Verdana"/>
          <w:bCs/>
          <w:color w:val="000000"/>
          <w:sz w:val="20"/>
          <w:szCs w:val="20"/>
          <w:lang w:eastAsia="bg-BG"/>
        </w:rPr>
        <w:t xml:space="preserve">in accordance with Article 60, 120 and 121 of the Common Provisions Regulation, taking into account the performance reserve as well. According to the Regulation, the rate of co-financing under the respective priority axes of the OPs is set by the European Commission. In the case of </w:t>
      </w:r>
      <w:r w:rsidR="005B35A7">
        <w:rPr>
          <w:rFonts w:ascii="Verdana" w:eastAsia="Times New Roman" w:hAnsi="Verdana"/>
          <w:bCs/>
          <w:color w:val="000000"/>
          <w:sz w:val="20"/>
          <w:szCs w:val="20"/>
          <w:lang w:eastAsia="bg-BG"/>
        </w:rPr>
        <w:t>OPSESG</w:t>
      </w:r>
      <w:r w:rsidRPr="005B6074">
        <w:rPr>
          <w:rFonts w:ascii="Verdana" w:eastAsia="Times New Roman" w:hAnsi="Verdana"/>
          <w:bCs/>
          <w:color w:val="000000"/>
          <w:sz w:val="20"/>
          <w:szCs w:val="20"/>
          <w:lang w:eastAsia="bg-BG"/>
        </w:rPr>
        <w:t xml:space="preserve"> it may not exceed 85% (for the less developed regions of the member-states which have GDP per capita for the period 2007-2009 lower than 85% of the EU-27 average for the same period, as well as for the outermost regions). In the case of </w:t>
      </w:r>
      <w:r w:rsidR="005B35A7">
        <w:rPr>
          <w:rFonts w:ascii="Verdana" w:eastAsia="Times New Roman" w:hAnsi="Verdana"/>
          <w:bCs/>
          <w:color w:val="000000"/>
          <w:sz w:val="20"/>
          <w:szCs w:val="20"/>
          <w:lang w:eastAsia="bg-BG"/>
        </w:rPr>
        <w:t>OPSESG</w:t>
      </w:r>
      <w:r w:rsidRPr="005B6074">
        <w:rPr>
          <w:rFonts w:ascii="Verdana" w:eastAsia="Times New Roman" w:hAnsi="Verdana"/>
          <w:bCs/>
          <w:color w:val="000000"/>
          <w:sz w:val="20"/>
          <w:szCs w:val="20"/>
          <w:lang w:eastAsia="bg-BG"/>
        </w:rPr>
        <w:t xml:space="preserve"> 2014-2020 however, provided that a decision is passed that the Programme may make use of the provided opportunity, the following derogation shall be applicable:</w:t>
      </w:r>
    </w:p>
    <w:p w:rsidR="00C513B7" w:rsidRPr="005B6074" w:rsidRDefault="00A35E98" w:rsidP="00181A22">
      <w:pPr>
        <w:pStyle w:val="ListParagraph1"/>
        <w:widowControl w:val="0"/>
        <w:numPr>
          <w:ilvl w:val="0"/>
          <w:numId w:val="54"/>
        </w:numPr>
        <w:tabs>
          <w:tab w:val="left" w:pos="0"/>
          <w:tab w:val="right" w:pos="9214"/>
        </w:tabs>
        <w:spacing w:before="120" w:after="120" w:line="276" w:lineRule="auto"/>
        <w:rPr>
          <w:rFonts w:ascii="Verdana" w:hAnsi="Verdana"/>
          <w:bCs/>
          <w:color w:val="000000"/>
          <w:sz w:val="20"/>
          <w:lang w:eastAsia="bg-BG"/>
        </w:rPr>
      </w:pPr>
      <w:r w:rsidRPr="005B6074">
        <w:rPr>
          <w:rFonts w:ascii="Verdana" w:eastAsiaTheme="minorHAnsi" w:hAnsi="Verdana" w:cs="EUAlbertina"/>
          <w:color w:val="000000"/>
          <w:sz w:val="20"/>
        </w:rPr>
        <w:t>According to Article 11 (2) of the ESF Regulation the maximum co-financing rate for a priority axis may be increased by ten percentage points, but lower than 100% where the whole of a priority axis is dedicated to social innovation or to transnational cooperation, or a combination of both.</w:t>
      </w:r>
    </w:p>
    <w:p w:rsidR="00C513B7" w:rsidRPr="005B6074" w:rsidRDefault="00A35E98" w:rsidP="00C513B7">
      <w:pPr>
        <w:widowControl w:val="0"/>
        <w:tabs>
          <w:tab w:val="left" w:pos="0"/>
          <w:tab w:val="right" w:pos="9214"/>
        </w:tabs>
        <w:spacing w:before="120" w:after="12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Such a table is already included in </w:t>
      </w:r>
      <w:r w:rsidR="005B35A7">
        <w:rPr>
          <w:rFonts w:ascii="Verdana" w:eastAsia="Times New Roman" w:hAnsi="Verdana"/>
          <w:bCs/>
          <w:color w:val="000000"/>
          <w:sz w:val="20"/>
          <w:szCs w:val="20"/>
          <w:lang w:eastAsia="bg-BG"/>
        </w:rPr>
        <w:t>OPSESG</w:t>
      </w:r>
      <w:r w:rsidRPr="005B6074">
        <w:rPr>
          <w:rFonts w:ascii="Verdana" w:eastAsia="Times New Roman" w:hAnsi="Verdana"/>
          <w:bCs/>
          <w:color w:val="000000"/>
          <w:sz w:val="20"/>
          <w:szCs w:val="20"/>
          <w:lang w:eastAsia="bg-BG"/>
        </w:rPr>
        <w:t xml:space="preserve"> 2014-2020. The </w:t>
      </w:r>
      <w:r w:rsidR="000D4E29" w:rsidRPr="005B6074">
        <w:rPr>
          <w:rFonts w:ascii="Verdana" w:eastAsia="Times New Roman" w:hAnsi="Verdana"/>
          <w:bCs/>
          <w:color w:val="000000"/>
          <w:sz w:val="20"/>
          <w:szCs w:val="20"/>
          <w:lang w:eastAsia="bg-BG"/>
        </w:rPr>
        <w:t xml:space="preserve">evaluator analysed the distribution of the </w:t>
      </w:r>
      <w:r w:rsidRPr="005B6074">
        <w:rPr>
          <w:rFonts w:ascii="Verdana" w:eastAsia="Times New Roman" w:hAnsi="Verdana"/>
          <w:bCs/>
          <w:color w:val="000000"/>
          <w:sz w:val="20"/>
          <w:szCs w:val="20"/>
          <w:lang w:eastAsia="bg-BG"/>
        </w:rPr>
        <w:t xml:space="preserve">budget commitments by years is </w:t>
      </w:r>
      <w:r w:rsidR="000D4E29" w:rsidRPr="005B6074">
        <w:rPr>
          <w:rFonts w:ascii="Verdana" w:eastAsia="Times New Roman" w:hAnsi="Verdana"/>
          <w:bCs/>
          <w:color w:val="000000"/>
          <w:sz w:val="20"/>
          <w:szCs w:val="20"/>
          <w:lang w:eastAsia="bg-BG"/>
        </w:rPr>
        <w:t xml:space="preserve">proposes alternative distribution to minimize </w:t>
      </w:r>
      <w:r w:rsidRPr="005B6074">
        <w:rPr>
          <w:rFonts w:ascii="Verdana" w:eastAsia="Times New Roman" w:hAnsi="Verdana"/>
          <w:bCs/>
          <w:color w:val="000000"/>
          <w:sz w:val="20"/>
          <w:szCs w:val="20"/>
          <w:lang w:eastAsia="bg-BG"/>
        </w:rPr>
        <w:t xml:space="preserve">the risk of automatic </w:t>
      </w:r>
      <w:proofErr w:type="spellStart"/>
      <w:r w:rsidRPr="005B6074">
        <w:rPr>
          <w:rFonts w:ascii="Verdana" w:eastAsia="Times New Roman" w:hAnsi="Verdana"/>
          <w:bCs/>
          <w:color w:val="000000"/>
          <w:sz w:val="20"/>
          <w:szCs w:val="20"/>
          <w:lang w:eastAsia="bg-BG"/>
        </w:rPr>
        <w:t>decommitment</w:t>
      </w:r>
      <w:proofErr w:type="spellEnd"/>
      <w:r w:rsidRPr="005B6074">
        <w:rPr>
          <w:rFonts w:ascii="Verdana" w:eastAsia="Times New Roman" w:hAnsi="Verdana"/>
          <w:bCs/>
          <w:color w:val="000000"/>
          <w:sz w:val="20"/>
          <w:szCs w:val="20"/>
          <w:lang w:eastAsia="bg-BG"/>
        </w:rPr>
        <w:t xml:space="preserve"> of funds.</w:t>
      </w:r>
    </w:p>
    <w:p w:rsidR="00E747A1" w:rsidRPr="005B6074" w:rsidRDefault="00A35E98" w:rsidP="00E747A1">
      <w:pPr>
        <w:widowControl w:val="0"/>
        <w:tabs>
          <w:tab w:val="left" w:pos="0"/>
          <w:tab w:val="right" w:pos="9214"/>
        </w:tabs>
        <w:spacing w:before="120" w:after="120"/>
        <w:jc w:val="both"/>
        <w:rPr>
          <w:rFonts w:ascii="Verdana" w:eastAsia="Times New Roman" w:hAnsi="Verdana"/>
          <w:bCs/>
          <w:sz w:val="20"/>
          <w:szCs w:val="20"/>
          <w:lang w:eastAsia="bg-BG"/>
        </w:rPr>
      </w:pPr>
      <w:r w:rsidRPr="005B6074">
        <w:rPr>
          <w:rFonts w:ascii="Verdana" w:eastAsia="Times New Roman" w:hAnsi="Verdana"/>
          <w:bCs/>
          <w:color w:val="548DD4" w:themeColor="text2" w:themeTint="99"/>
          <w:sz w:val="20"/>
          <w:szCs w:val="20"/>
          <w:lang w:eastAsia="bg-BG"/>
        </w:rPr>
        <w:t>2. Tables specifying, for the whole programming period, for the operational programme and for each priority axis, the amount of the total financial appropriation of the support from each of the Funds and the national co-financing</w:t>
      </w:r>
      <w:r w:rsidRPr="005B6074">
        <w:rPr>
          <w:rFonts w:ascii="Verdana" w:eastAsia="Times New Roman" w:hAnsi="Verdana"/>
          <w:bCs/>
          <w:sz w:val="20"/>
          <w:szCs w:val="20"/>
          <w:lang w:eastAsia="bg-BG"/>
        </w:rPr>
        <w:t>, identifying the amounts related to the performance reserve. For priority axes, which concern several categories of region, the tables shall specify the amount of total financial appropriation from the Funds and the national co-financing for each category of region.</w:t>
      </w:r>
    </w:p>
    <w:p w:rsidR="00E747A1" w:rsidRPr="005B6074" w:rsidRDefault="00A35E98" w:rsidP="00E747A1">
      <w:pPr>
        <w:widowControl w:val="0"/>
        <w:tabs>
          <w:tab w:val="left" w:pos="0"/>
          <w:tab w:val="right" w:pos="9214"/>
        </w:tabs>
        <w:spacing w:before="120" w:after="120"/>
        <w:jc w:val="both"/>
        <w:rPr>
          <w:rFonts w:ascii="Verdana" w:eastAsia="Times New Roman" w:hAnsi="Verdana"/>
          <w:bCs/>
          <w:sz w:val="20"/>
          <w:szCs w:val="20"/>
          <w:lang w:eastAsia="bg-BG"/>
        </w:rPr>
      </w:pPr>
      <w:r w:rsidRPr="005B6074">
        <w:rPr>
          <w:rFonts w:ascii="Verdana" w:eastAsia="Times New Roman" w:hAnsi="Verdana"/>
          <w:bCs/>
          <w:sz w:val="20"/>
          <w:szCs w:val="20"/>
          <w:lang w:eastAsia="bg-BG"/>
        </w:rPr>
        <w:t>For priority axes, which combine investment priorities from different thematic objectives, the table shall specify the amount of total financial appropriation from each of the Funds and the national co-financing for each of the corresponding thematic objectives.</w:t>
      </w:r>
    </w:p>
    <w:p w:rsidR="00C513B7" w:rsidRPr="005B6074" w:rsidRDefault="00A35E98" w:rsidP="00E747A1">
      <w:pPr>
        <w:widowControl w:val="0"/>
        <w:tabs>
          <w:tab w:val="left" w:pos="0"/>
          <w:tab w:val="right" w:pos="9214"/>
        </w:tabs>
        <w:spacing w:before="120" w:after="120"/>
        <w:jc w:val="both"/>
        <w:rPr>
          <w:rFonts w:ascii="Verdana" w:eastAsia="Times New Roman" w:hAnsi="Verdana"/>
          <w:bCs/>
          <w:sz w:val="20"/>
          <w:szCs w:val="20"/>
          <w:lang w:eastAsia="bg-BG"/>
        </w:rPr>
      </w:pPr>
      <w:r w:rsidRPr="005B6074">
        <w:rPr>
          <w:rFonts w:ascii="Verdana" w:eastAsia="Times New Roman" w:hAnsi="Verdana"/>
          <w:bCs/>
          <w:sz w:val="20"/>
          <w:szCs w:val="20"/>
          <w:lang w:eastAsia="bg-BG"/>
        </w:rPr>
        <w:t>Where the national co-financing is made up of public and private co-financing, the table shall give the indicative breakdown between the public and the private components. It shall show, for information purposes, the envisaged participation from the EIB.</w:t>
      </w:r>
    </w:p>
    <w:p w:rsidR="00C513B7" w:rsidRPr="005B6074" w:rsidRDefault="00A35E98" w:rsidP="00C513B7">
      <w:pPr>
        <w:widowControl w:val="0"/>
        <w:tabs>
          <w:tab w:val="left" w:pos="0"/>
          <w:tab w:val="right" w:pos="9214"/>
        </w:tabs>
        <w:spacing w:before="120" w:after="12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lastRenderedPageBreak/>
        <w:t>These tables are included in the current draft of the Programme.</w:t>
      </w:r>
    </w:p>
    <w:p w:rsidR="00C513B7" w:rsidRPr="005B6074" w:rsidRDefault="00A35E98" w:rsidP="00C513B7">
      <w:pPr>
        <w:keepNext/>
        <w:widowControl w:val="0"/>
        <w:tabs>
          <w:tab w:val="left" w:pos="0"/>
          <w:tab w:val="right" w:pos="9214"/>
        </w:tabs>
        <w:spacing w:before="240" w:after="120"/>
        <w:jc w:val="both"/>
        <w:rPr>
          <w:rFonts w:ascii="Verdana" w:eastAsia="Times New Roman" w:hAnsi="Verdana"/>
          <w:bCs/>
          <w:color w:val="0070C0"/>
          <w:sz w:val="20"/>
          <w:szCs w:val="20"/>
          <w:lang w:eastAsia="bg-BG"/>
        </w:rPr>
      </w:pPr>
      <w:r w:rsidRPr="005B6074">
        <w:rPr>
          <w:rFonts w:ascii="Verdana" w:eastAsia="Times New Roman" w:hAnsi="Verdana"/>
          <w:bCs/>
          <w:color w:val="0070C0"/>
          <w:sz w:val="20"/>
          <w:szCs w:val="20"/>
          <w:lang w:eastAsia="bg-BG"/>
        </w:rPr>
        <w:t xml:space="preserve">Assessment of the financial justification of </w:t>
      </w:r>
      <w:r w:rsidR="005B35A7">
        <w:rPr>
          <w:rFonts w:ascii="Verdana" w:eastAsia="Times New Roman" w:hAnsi="Verdana"/>
          <w:bCs/>
          <w:color w:val="0070C0"/>
          <w:sz w:val="20"/>
          <w:szCs w:val="20"/>
          <w:lang w:eastAsia="bg-BG"/>
        </w:rPr>
        <w:t>OPSESG</w:t>
      </w:r>
      <w:r w:rsidRPr="005B6074">
        <w:rPr>
          <w:rFonts w:ascii="Verdana" w:eastAsia="Times New Roman" w:hAnsi="Verdana"/>
          <w:bCs/>
          <w:color w:val="0070C0"/>
          <w:sz w:val="20"/>
          <w:szCs w:val="20"/>
          <w:lang w:eastAsia="bg-BG"/>
        </w:rPr>
        <w:t xml:space="preserve"> </w:t>
      </w:r>
    </w:p>
    <w:p w:rsidR="00C513B7" w:rsidRPr="005B6074" w:rsidRDefault="00A35E98" w:rsidP="00C513B7">
      <w:pPr>
        <w:tabs>
          <w:tab w:val="left" w:pos="0"/>
          <w:tab w:val="right" w:pos="9214"/>
        </w:tabs>
        <w:spacing w:after="120"/>
        <w:jc w:val="both"/>
        <w:rPr>
          <w:rFonts w:ascii="Verdana" w:eastAsia="Calibri" w:hAnsi="Verdana"/>
          <w:sz w:val="20"/>
          <w:szCs w:val="20"/>
        </w:rPr>
      </w:pPr>
      <w:r w:rsidRPr="005B6074">
        <w:rPr>
          <w:rFonts w:ascii="Verdana" w:eastAsia="Calibri" w:hAnsi="Verdana"/>
          <w:sz w:val="20"/>
          <w:szCs w:val="20"/>
        </w:rPr>
        <w:t xml:space="preserve">The programme document of </w:t>
      </w:r>
      <w:r w:rsidR="005B35A7">
        <w:rPr>
          <w:rFonts w:ascii="Verdana" w:eastAsia="Calibri" w:hAnsi="Verdana"/>
          <w:sz w:val="20"/>
          <w:szCs w:val="20"/>
        </w:rPr>
        <w:t>OPSESG</w:t>
      </w:r>
      <w:r w:rsidRPr="005B6074">
        <w:rPr>
          <w:rFonts w:ascii="Verdana" w:eastAsia="Calibri" w:hAnsi="Verdana"/>
          <w:sz w:val="20"/>
          <w:szCs w:val="20"/>
        </w:rPr>
        <w:t xml:space="preserve"> 2014-2020 </w:t>
      </w:r>
      <w:r w:rsidR="008C1D64" w:rsidRPr="005B6074">
        <w:rPr>
          <w:rFonts w:ascii="Verdana" w:eastAsia="Calibri" w:hAnsi="Verdana"/>
          <w:sz w:val="20"/>
          <w:szCs w:val="20"/>
        </w:rPr>
        <w:t xml:space="preserve">as of August 2014 </w:t>
      </w:r>
      <w:r w:rsidRPr="005B6074">
        <w:rPr>
          <w:rFonts w:ascii="Verdana" w:eastAsia="Calibri" w:hAnsi="Verdana"/>
          <w:sz w:val="20"/>
          <w:szCs w:val="20"/>
        </w:rPr>
        <w:t>does not contain a financial justification.</w:t>
      </w:r>
    </w:p>
    <w:p w:rsidR="00C513B7" w:rsidRPr="005B6074" w:rsidRDefault="00A35E98" w:rsidP="00C513B7">
      <w:pPr>
        <w:keepNext/>
        <w:widowControl w:val="0"/>
        <w:tabs>
          <w:tab w:val="left" w:pos="0"/>
          <w:tab w:val="right" w:pos="9214"/>
        </w:tabs>
        <w:spacing w:before="240" w:after="120"/>
        <w:jc w:val="both"/>
        <w:rPr>
          <w:rFonts w:ascii="Verdana" w:eastAsia="Times New Roman" w:hAnsi="Verdana"/>
          <w:bCs/>
          <w:color w:val="0070C0"/>
          <w:sz w:val="20"/>
          <w:szCs w:val="20"/>
          <w:lang w:eastAsia="bg-BG"/>
        </w:rPr>
      </w:pPr>
      <w:r w:rsidRPr="005B6074">
        <w:rPr>
          <w:rFonts w:ascii="Verdana" w:eastAsia="Times New Roman" w:hAnsi="Verdana"/>
          <w:bCs/>
          <w:color w:val="0070C0"/>
          <w:sz w:val="20"/>
          <w:szCs w:val="20"/>
          <w:lang w:eastAsia="bg-BG"/>
        </w:rPr>
        <w:t>Analysis of the share of the financial resource vis-à-vis the proposed thematic concentration</w:t>
      </w:r>
    </w:p>
    <w:p w:rsidR="00C513B7" w:rsidRPr="005B6074" w:rsidRDefault="00A35E98" w:rsidP="00C513B7">
      <w:pPr>
        <w:widowControl w:val="0"/>
        <w:tabs>
          <w:tab w:val="left" w:pos="0"/>
          <w:tab w:val="right" w:pos="9214"/>
        </w:tabs>
        <w:spacing w:before="120" w:after="12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With the changes in the financial </w:t>
      </w:r>
      <w:proofErr w:type="gramStart"/>
      <w:r w:rsidRPr="005B6074">
        <w:rPr>
          <w:rFonts w:ascii="Verdana" w:eastAsia="Times New Roman" w:hAnsi="Verdana"/>
          <w:bCs/>
          <w:color w:val="000000"/>
          <w:sz w:val="20"/>
          <w:szCs w:val="20"/>
          <w:lang w:eastAsia="bg-BG"/>
        </w:rPr>
        <w:t>framework  for</w:t>
      </w:r>
      <w:proofErr w:type="gramEnd"/>
      <w:r w:rsidRPr="005B6074">
        <w:rPr>
          <w:rFonts w:ascii="Verdana" w:eastAsia="Times New Roman" w:hAnsi="Verdana"/>
          <w:bCs/>
          <w:color w:val="000000"/>
          <w:sz w:val="20"/>
          <w:szCs w:val="20"/>
          <w:lang w:eastAsia="bg-BG"/>
        </w:rPr>
        <w:t xml:space="preserve"> the next programming period at Europe-wide level, more importance is attached to a number of thematic areas of intervention, associated with the objective of achieving smart and inclusive growth.</w:t>
      </w:r>
    </w:p>
    <w:p w:rsidR="00C513B7" w:rsidRPr="005B6074" w:rsidRDefault="00A35E98" w:rsidP="00C513B7">
      <w:pPr>
        <w:widowControl w:val="0"/>
        <w:tabs>
          <w:tab w:val="left" w:pos="0"/>
          <w:tab w:val="right" w:pos="9214"/>
        </w:tabs>
        <w:spacing w:before="120" w:after="12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A summary of the main texts of the European regulations (the Regulation on ESIF, ERDF and the ESF Regulation) is presented below, because the evaluator is of the opinion that these are the documents which have a bearing on the evaluation of the budget of </w:t>
      </w:r>
      <w:r w:rsidR="005B35A7">
        <w:rPr>
          <w:rFonts w:ascii="Verdana" w:eastAsia="Times New Roman" w:hAnsi="Verdana"/>
          <w:bCs/>
          <w:color w:val="000000"/>
          <w:sz w:val="20"/>
          <w:szCs w:val="20"/>
          <w:lang w:eastAsia="bg-BG"/>
        </w:rPr>
        <w:t>OPSESG</w:t>
      </w:r>
      <w:r w:rsidRPr="005B6074">
        <w:rPr>
          <w:rFonts w:ascii="Verdana" w:eastAsia="Times New Roman" w:hAnsi="Verdana"/>
          <w:bCs/>
          <w:color w:val="000000"/>
          <w:sz w:val="20"/>
          <w:szCs w:val="20"/>
          <w:lang w:eastAsia="bg-BG"/>
        </w:rPr>
        <w:t xml:space="preserve"> 2014-2020.</w:t>
      </w:r>
    </w:p>
    <w:tbl>
      <w:tblPr>
        <w:tblStyle w:val="IkaTable"/>
        <w:tblW w:w="0" w:type="auto"/>
        <w:tblInd w:w="0" w:type="dxa"/>
        <w:shd w:val="clear" w:color="auto" w:fill="EBEBEB"/>
        <w:tblLook w:val="04A0" w:firstRow="1" w:lastRow="0" w:firstColumn="1" w:lastColumn="0" w:noHBand="0" w:noVBand="1"/>
      </w:tblPr>
      <w:tblGrid>
        <w:gridCol w:w="9090"/>
      </w:tblGrid>
      <w:tr w:rsidR="00C513B7" w:rsidRPr="005B6074" w:rsidTr="003753FE">
        <w:tc>
          <w:tcPr>
            <w:tcW w:w="9100" w:type="dxa"/>
            <w:tcBorders>
              <w:top w:val="nil"/>
              <w:left w:val="nil"/>
              <w:bottom w:val="nil"/>
              <w:right w:val="nil"/>
            </w:tcBorders>
            <w:shd w:val="clear" w:color="auto" w:fill="EBEBEB"/>
          </w:tcPr>
          <w:p w:rsidR="00C513B7" w:rsidRPr="005B6074" w:rsidRDefault="00A35E98" w:rsidP="00013E93">
            <w:pPr>
              <w:widowControl w:val="0"/>
              <w:tabs>
                <w:tab w:val="left" w:pos="147"/>
                <w:tab w:val="right" w:pos="9214"/>
              </w:tabs>
              <w:spacing w:before="120" w:after="120"/>
              <w:ind w:left="147" w:right="164"/>
              <w:jc w:val="center"/>
              <w:rPr>
                <w:rFonts w:ascii="Verdana" w:eastAsia="Times New Roman" w:hAnsi="Verdana"/>
                <w:b/>
                <w:bCs/>
                <w:i/>
                <w:color w:val="000000"/>
                <w:sz w:val="18"/>
                <w:szCs w:val="18"/>
              </w:rPr>
            </w:pPr>
            <w:r w:rsidRPr="005B6074">
              <w:rPr>
                <w:rFonts w:ascii="Verdana" w:eastAsia="Times New Roman" w:hAnsi="Verdana"/>
                <w:b/>
                <w:bCs/>
                <w:i/>
                <w:color w:val="000000"/>
                <w:sz w:val="18"/>
                <w:szCs w:val="18"/>
              </w:rPr>
              <w:t xml:space="preserve">Short description of the most important European priorities and requirements relevant for </w:t>
            </w:r>
            <w:r w:rsidR="005B35A7">
              <w:rPr>
                <w:rFonts w:ascii="Verdana" w:eastAsia="Times New Roman" w:hAnsi="Verdana"/>
                <w:b/>
                <w:bCs/>
                <w:i/>
                <w:color w:val="000000"/>
                <w:sz w:val="18"/>
                <w:szCs w:val="18"/>
              </w:rPr>
              <w:t>OPSESG</w:t>
            </w:r>
            <w:r w:rsidRPr="005B6074">
              <w:rPr>
                <w:rFonts w:ascii="Verdana" w:eastAsia="Times New Roman" w:hAnsi="Verdana"/>
                <w:b/>
                <w:bCs/>
                <w:i/>
                <w:color w:val="000000"/>
                <w:sz w:val="18"/>
                <w:szCs w:val="18"/>
              </w:rPr>
              <w:t xml:space="preserve"> 2014-2020</w:t>
            </w:r>
          </w:p>
          <w:p w:rsidR="00C513B7" w:rsidRPr="005B6074" w:rsidRDefault="00A35E98" w:rsidP="00013E93">
            <w:pPr>
              <w:pStyle w:val="CM1"/>
              <w:spacing w:before="200" w:after="200" w:line="276" w:lineRule="auto"/>
              <w:ind w:left="147" w:right="164"/>
              <w:jc w:val="both"/>
              <w:rPr>
                <w:rFonts w:ascii="Verdana" w:eastAsia="Times New Roman" w:hAnsi="Verdana"/>
                <w:b/>
                <w:bCs/>
                <w:i/>
                <w:sz w:val="18"/>
                <w:szCs w:val="18"/>
              </w:rPr>
            </w:pPr>
            <w:r w:rsidRPr="005B6074">
              <w:rPr>
                <w:rFonts w:ascii="Verdana" w:eastAsia="Times New Roman" w:hAnsi="Verdana"/>
                <w:bCs/>
                <w:i/>
                <w:sz w:val="18"/>
                <w:szCs w:val="18"/>
              </w:rPr>
              <w:t xml:space="preserve">With a view to achieving the main goal of EU for growth and employment, the Common Provisions Regulation (CPR) for ESIF introduced requirements for thematic concentration with the aim of ensuring efficiency of the investment made with EU funds. Article 18 of the Common Regulation on ESIF requires concentration of EU-funded support on </w:t>
            </w:r>
            <w:r w:rsidRPr="005B6074">
              <w:rPr>
                <w:rFonts w:ascii="Verdana" w:eastAsiaTheme="minorHAnsi" w:hAnsi="Verdana" w:cs="EUAlbertina"/>
                <w:i/>
                <w:sz w:val="18"/>
                <w:szCs w:val="18"/>
                <w:lang w:eastAsia="en-US"/>
              </w:rPr>
              <w:t>interventions that bring the greatest added value for the achievement of the targets set in the Union strategy for smart, sustainable and inclusive growth taking into account the key territorial challenges of the various types of territories</w:t>
            </w:r>
            <w:r w:rsidRPr="005B6074">
              <w:rPr>
                <w:rFonts w:ascii="Verdana" w:eastAsia="Times New Roman" w:hAnsi="Verdana"/>
                <w:bCs/>
                <w:i/>
                <w:sz w:val="18"/>
                <w:szCs w:val="18"/>
              </w:rPr>
              <w:t xml:space="preserve"> and making efficient use of the potential of the regions taking into account the national and regional needs</w:t>
            </w:r>
          </w:p>
          <w:p w:rsidR="00C513B7" w:rsidRPr="005B6074" w:rsidRDefault="00A35E98" w:rsidP="00013E93">
            <w:pPr>
              <w:widowControl w:val="0"/>
              <w:tabs>
                <w:tab w:val="left" w:pos="0"/>
                <w:tab w:val="right" w:pos="9214"/>
              </w:tabs>
              <w:spacing w:before="120" w:after="120"/>
              <w:ind w:left="147" w:right="164"/>
              <w:jc w:val="both"/>
              <w:rPr>
                <w:rFonts w:ascii="Verdana" w:eastAsia="Times New Roman" w:hAnsi="Verdana"/>
                <w:b/>
                <w:bCs/>
                <w:i/>
                <w:color w:val="000000"/>
                <w:sz w:val="18"/>
                <w:szCs w:val="18"/>
              </w:rPr>
            </w:pPr>
            <w:r w:rsidRPr="005B6074">
              <w:rPr>
                <w:rFonts w:ascii="Verdana" w:eastAsia="Times New Roman" w:hAnsi="Verdana"/>
                <w:bCs/>
                <w:i/>
                <w:color w:val="000000"/>
                <w:sz w:val="18"/>
                <w:szCs w:val="18"/>
              </w:rPr>
              <w:t xml:space="preserve">Article 96, (2) (d) of the CPR also defines the </w:t>
            </w:r>
            <w:r w:rsidRPr="005B6074">
              <w:rPr>
                <w:rFonts w:ascii="Verdana" w:eastAsia="Times New Roman" w:hAnsi="Verdana"/>
                <w:b/>
                <w:bCs/>
                <w:i/>
                <w:color w:val="000000"/>
                <w:sz w:val="18"/>
                <w:szCs w:val="18"/>
              </w:rPr>
              <w:t>minimum content of the plans for financing the operational programmes</w:t>
            </w:r>
            <w:r w:rsidRPr="005B6074">
              <w:rPr>
                <w:rFonts w:ascii="Verdana" w:eastAsia="Times New Roman" w:hAnsi="Verdana"/>
                <w:bCs/>
                <w:i/>
                <w:color w:val="000000"/>
                <w:sz w:val="18"/>
                <w:szCs w:val="18"/>
              </w:rPr>
              <w:t xml:space="preserve">. These requirements are presented in summary above in the part concerning the formal requirements to the content of the tables for the financial allocation of the funds under </w:t>
            </w:r>
            <w:r w:rsidR="005B35A7">
              <w:rPr>
                <w:rFonts w:ascii="Verdana" w:eastAsia="Times New Roman" w:hAnsi="Verdana"/>
                <w:bCs/>
                <w:i/>
                <w:color w:val="000000"/>
                <w:sz w:val="18"/>
                <w:szCs w:val="18"/>
              </w:rPr>
              <w:t>OPSESG</w:t>
            </w:r>
            <w:r w:rsidRPr="005B6074">
              <w:rPr>
                <w:rFonts w:ascii="Verdana" w:eastAsia="Times New Roman" w:hAnsi="Verdana"/>
                <w:bCs/>
                <w:i/>
                <w:color w:val="000000"/>
                <w:sz w:val="18"/>
                <w:szCs w:val="18"/>
              </w:rPr>
              <w:t xml:space="preserve"> 2014-2020.</w:t>
            </w:r>
          </w:p>
          <w:p w:rsidR="00C513B7" w:rsidRPr="005B6074" w:rsidRDefault="00A35E98" w:rsidP="00013E93">
            <w:pPr>
              <w:widowControl w:val="0"/>
              <w:tabs>
                <w:tab w:val="left" w:pos="0"/>
                <w:tab w:val="right" w:pos="9214"/>
              </w:tabs>
              <w:spacing w:before="120" w:after="120"/>
              <w:ind w:left="147" w:right="164"/>
              <w:jc w:val="both"/>
              <w:rPr>
                <w:rFonts w:ascii="Verdana" w:eastAsia="Times New Roman" w:hAnsi="Verdana"/>
                <w:bCs/>
                <w:i/>
                <w:color w:val="000000"/>
                <w:sz w:val="18"/>
                <w:szCs w:val="18"/>
              </w:rPr>
            </w:pPr>
            <w:r w:rsidRPr="005B6074">
              <w:rPr>
                <w:rFonts w:ascii="Verdana" w:eastAsia="Times New Roman" w:hAnsi="Verdana"/>
                <w:bCs/>
                <w:i/>
                <w:color w:val="000000"/>
                <w:sz w:val="18"/>
                <w:szCs w:val="18"/>
              </w:rPr>
              <w:t xml:space="preserve">The CPR also introduces a limit for the maximum amount of appropriations for </w:t>
            </w:r>
            <w:r w:rsidRPr="005B6074">
              <w:rPr>
                <w:rFonts w:ascii="Verdana" w:eastAsia="Times New Roman" w:hAnsi="Verdana"/>
                <w:b/>
                <w:bCs/>
                <w:i/>
                <w:color w:val="000000"/>
                <w:sz w:val="18"/>
                <w:szCs w:val="18"/>
              </w:rPr>
              <w:t>technical assistance</w:t>
            </w:r>
            <w:r w:rsidRPr="005B6074">
              <w:rPr>
                <w:rFonts w:ascii="Verdana" w:eastAsia="Times New Roman" w:hAnsi="Verdana"/>
                <w:bCs/>
                <w:i/>
                <w:color w:val="000000"/>
                <w:sz w:val="18"/>
                <w:szCs w:val="18"/>
              </w:rPr>
              <w:t>, which, in accordance with Article 119 of the Regulation should not exceed 4% of total appropriations, allocated for the operational programmes by categories of regions for the objective of growth and employment.</w:t>
            </w:r>
          </w:p>
          <w:p w:rsidR="00013E93" w:rsidRPr="005B6074" w:rsidRDefault="00A35E98" w:rsidP="00013E93">
            <w:pPr>
              <w:widowControl w:val="0"/>
              <w:tabs>
                <w:tab w:val="left" w:pos="0"/>
                <w:tab w:val="right" w:pos="9214"/>
              </w:tabs>
              <w:spacing w:before="120" w:after="120"/>
              <w:ind w:left="147" w:right="164"/>
              <w:jc w:val="both"/>
              <w:rPr>
                <w:rFonts w:ascii="Verdana" w:eastAsia="Times New Roman" w:hAnsi="Verdana"/>
                <w:bCs/>
                <w:i/>
                <w:color w:val="000000"/>
                <w:sz w:val="18"/>
                <w:szCs w:val="18"/>
              </w:rPr>
            </w:pPr>
            <w:r w:rsidRPr="005B6074">
              <w:rPr>
                <w:rFonts w:ascii="Verdana" w:eastAsia="Times New Roman" w:hAnsi="Verdana"/>
                <w:bCs/>
                <w:i/>
                <w:color w:val="000000"/>
                <w:sz w:val="18"/>
                <w:szCs w:val="18"/>
              </w:rPr>
              <w:t xml:space="preserve">Article 22(1) of the CPR postulates the allocation of a </w:t>
            </w:r>
            <w:r w:rsidRPr="005B6074">
              <w:rPr>
                <w:rFonts w:ascii="Verdana" w:eastAsia="Times New Roman" w:hAnsi="Verdana"/>
                <w:b/>
                <w:bCs/>
                <w:i/>
                <w:color w:val="000000"/>
                <w:sz w:val="18"/>
                <w:szCs w:val="18"/>
              </w:rPr>
              <w:t>performance reserve</w:t>
            </w:r>
            <w:r w:rsidRPr="005B6074">
              <w:rPr>
                <w:rFonts w:ascii="Verdana" w:eastAsia="Times New Roman" w:hAnsi="Verdana"/>
                <w:bCs/>
                <w:i/>
                <w:color w:val="000000"/>
                <w:sz w:val="18"/>
                <w:szCs w:val="18"/>
              </w:rPr>
              <w:t>, amounting between 5% and 7% for each priority axis of the operational programmes, with the exception of those, related to technical assistance or the programmes that concern financial instruments under article 39. The total amount of the reserve should amount to 6% for each fund and category of region in the operational programme.</w:t>
            </w:r>
          </w:p>
          <w:p w:rsidR="00C513B7" w:rsidRPr="005B6074" w:rsidRDefault="00A35E98" w:rsidP="00013E93">
            <w:pPr>
              <w:widowControl w:val="0"/>
              <w:tabs>
                <w:tab w:val="left" w:pos="0"/>
                <w:tab w:val="right" w:pos="9214"/>
              </w:tabs>
              <w:spacing w:before="120" w:after="120"/>
              <w:ind w:left="147" w:right="164"/>
              <w:jc w:val="both"/>
              <w:rPr>
                <w:rFonts w:ascii="Verdana" w:eastAsia="Times New Roman" w:hAnsi="Verdana"/>
                <w:bCs/>
                <w:i/>
                <w:color w:val="000000"/>
                <w:sz w:val="18"/>
                <w:szCs w:val="18"/>
              </w:rPr>
            </w:pPr>
            <w:r w:rsidRPr="005B6074">
              <w:rPr>
                <w:rFonts w:ascii="Verdana" w:eastAsia="Times New Roman" w:hAnsi="Verdana"/>
                <w:b/>
                <w:bCs/>
                <w:i/>
                <w:color w:val="000000"/>
                <w:sz w:val="18"/>
                <w:szCs w:val="18"/>
              </w:rPr>
              <w:t>ESF</w:t>
            </w:r>
            <w:r w:rsidRPr="005B6074">
              <w:rPr>
                <w:rFonts w:ascii="Verdana" w:eastAsia="Times New Roman" w:hAnsi="Verdana"/>
                <w:bCs/>
                <w:i/>
                <w:color w:val="000000"/>
                <w:sz w:val="18"/>
                <w:szCs w:val="18"/>
              </w:rPr>
              <w:t xml:space="preserve"> </w:t>
            </w:r>
            <w:r w:rsidRPr="005B6074">
              <w:rPr>
                <w:rFonts w:ascii="Verdana" w:eastAsia="Times New Roman" w:hAnsi="Verdana"/>
                <w:b/>
                <w:bCs/>
                <w:i/>
                <w:color w:val="000000"/>
                <w:sz w:val="18"/>
                <w:szCs w:val="18"/>
              </w:rPr>
              <w:t xml:space="preserve">Regulation 1304/2013 </w:t>
            </w:r>
            <w:r w:rsidRPr="005B6074">
              <w:rPr>
                <w:rFonts w:ascii="Verdana" w:eastAsia="Times New Roman" w:hAnsi="Verdana"/>
                <w:bCs/>
                <w:i/>
                <w:color w:val="000000"/>
                <w:sz w:val="18"/>
                <w:szCs w:val="18"/>
              </w:rPr>
              <w:t>provides for further requirements referring to the thematic concentration of the assistance financed from the Fund. Article 4 of the Regulation sets out minimum threshold for the financing of certain thematic objectives, as well as requirements with respect to the concentration of funds on a small number of priorities, as defined in Article 3(1) of the ESF Regulation. More specifically, the Regulation contains the following requirements:</w:t>
            </w:r>
            <w:r w:rsidRPr="005B6074">
              <w:rPr>
                <w:rFonts w:ascii="Verdana" w:eastAsia="Times New Roman" w:hAnsi="Verdana"/>
                <w:bCs/>
                <w:i/>
                <w:color w:val="000000"/>
                <w:sz w:val="18"/>
                <w:szCs w:val="18"/>
              </w:rPr>
              <w:tab/>
            </w:r>
          </w:p>
          <w:p w:rsidR="00C513B7" w:rsidRPr="005B6074" w:rsidRDefault="00A35E98" w:rsidP="00181A22">
            <w:pPr>
              <w:pStyle w:val="CM1"/>
              <w:widowControl w:val="0"/>
              <w:numPr>
                <w:ilvl w:val="0"/>
                <w:numId w:val="54"/>
              </w:numPr>
              <w:tabs>
                <w:tab w:val="left" w:pos="0"/>
                <w:tab w:val="right" w:pos="8931"/>
              </w:tabs>
              <w:spacing w:before="120" w:after="120" w:line="276" w:lineRule="auto"/>
              <w:ind w:left="714" w:right="249" w:hanging="357"/>
              <w:rPr>
                <w:rFonts w:ascii="Verdana" w:hAnsi="Verdana"/>
                <w:bCs/>
                <w:i/>
                <w:sz w:val="18"/>
                <w:szCs w:val="18"/>
              </w:rPr>
            </w:pPr>
            <w:r w:rsidRPr="005B6074">
              <w:rPr>
                <w:rFonts w:ascii="Verdana" w:hAnsi="Verdana"/>
                <w:bCs/>
                <w:i/>
                <w:sz w:val="18"/>
                <w:szCs w:val="18"/>
              </w:rPr>
              <w:t xml:space="preserve">Article 4(2): </w:t>
            </w:r>
            <w:r w:rsidRPr="005B6074">
              <w:rPr>
                <w:rFonts w:ascii="Verdana" w:eastAsiaTheme="minorHAnsi" w:hAnsi="Verdana" w:cs="EUAlbertina"/>
                <w:i/>
                <w:sz w:val="18"/>
                <w:szCs w:val="18"/>
                <w:lang w:eastAsia="en-US"/>
              </w:rPr>
              <w:t xml:space="preserve">At least 20% of the total ESF resources in each Member State shall be </w:t>
            </w:r>
            <w:r w:rsidRPr="005B6074">
              <w:rPr>
                <w:rFonts w:ascii="Verdana" w:eastAsiaTheme="minorHAnsi" w:hAnsi="Verdana" w:cs="EUAlbertina"/>
                <w:i/>
                <w:sz w:val="18"/>
                <w:szCs w:val="18"/>
                <w:lang w:eastAsia="en-US"/>
              </w:rPr>
              <w:lastRenderedPageBreak/>
              <w:t xml:space="preserve">allocated to the thematic objective </w:t>
            </w:r>
            <w:r w:rsidRPr="005B6074">
              <w:rPr>
                <w:rFonts w:ascii="Verdana" w:eastAsiaTheme="minorHAnsi" w:hAnsi="Verdana" w:cs="Helvetica Linotype"/>
                <w:i/>
                <w:sz w:val="18"/>
                <w:szCs w:val="18"/>
                <w:lang w:eastAsia="en-US"/>
              </w:rPr>
              <w:t>"</w:t>
            </w:r>
            <w:r w:rsidRPr="005B6074">
              <w:rPr>
                <w:rFonts w:ascii="Verdana" w:eastAsiaTheme="minorHAnsi" w:hAnsi="Verdana" w:cs="EUAlbertina"/>
                <w:i/>
                <w:sz w:val="18"/>
                <w:szCs w:val="18"/>
                <w:lang w:eastAsia="en-US"/>
              </w:rPr>
              <w:t>promoting social inclusion, combating poverty and any discrimination</w:t>
            </w:r>
            <w:r w:rsidRPr="005B6074">
              <w:rPr>
                <w:rFonts w:ascii="Verdana" w:eastAsiaTheme="minorHAnsi" w:hAnsi="Verdana" w:cs="Helvetica Linotype"/>
                <w:i/>
                <w:sz w:val="18"/>
                <w:szCs w:val="18"/>
                <w:lang w:eastAsia="en-US"/>
              </w:rPr>
              <w:t xml:space="preserve">" </w:t>
            </w:r>
          </w:p>
          <w:p w:rsidR="00C513B7" w:rsidRPr="005B6074" w:rsidRDefault="00A35E98" w:rsidP="00181A22">
            <w:pPr>
              <w:pStyle w:val="CM1"/>
              <w:widowControl w:val="0"/>
              <w:numPr>
                <w:ilvl w:val="0"/>
                <w:numId w:val="54"/>
              </w:numPr>
              <w:tabs>
                <w:tab w:val="left" w:pos="0"/>
                <w:tab w:val="right" w:pos="8931"/>
              </w:tabs>
              <w:spacing w:before="120" w:after="120" w:line="276" w:lineRule="auto"/>
              <w:ind w:left="714" w:right="249" w:hanging="357"/>
              <w:rPr>
                <w:rFonts w:ascii="Verdana" w:hAnsi="Verdana"/>
                <w:bCs/>
                <w:i/>
                <w:sz w:val="18"/>
                <w:szCs w:val="18"/>
              </w:rPr>
            </w:pPr>
            <w:r w:rsidRPr="005B6074">
              <w:rPr>
                <w:rFonts w:ascii="Verdana" w:hAnsi="Verdana"/>
                <w:bCs/>
                <w:i/>
                <w:sz w:val="18"/>
                <w:szCs w:val="18"/>
              </w:rPr>
              <w:t xml:space="preserve">Art. 4(3)(в): </w:t>
            </w:r>
            <w:r w:rsidRPr="005B6074">
              <w:rPr>
                <w:rFonts w:ascii="Verdana" w:eastAsiaTheme="minorHAnsi" w:hAnsi="Verdana" w:cs="EUAlbertina"/>
                <w:i/>
                <w:sz w:val="18"/>
                <w:szCs w:val="18"/>
                <w:lang w:eastAsia="en-US"/>
              </w:rPr>
              <w:t>For less developed regions, Member States shall concentrate at least 60% of the ESF allocation to each operational programme on up to five of the investment priorities set out in Article 3(1).</w:t>
            </w:r>
            <w:r w:rsidRPr="005B6074">
              <w:rPr>
                <w:rFonts w:eastAsiaTheme="minorHAnsi" w:cs="EUAlbertina"/>
                <w:sz w:val="19"/>
                <w:szCs w:val="19"/>
                <w:lang w:eastAsia="en-US"/>
              </w:rPr>
              <w:t xml:space="preserve"> </w:t>
            </w:r>
          </w:p>
          <w:p w:rsidR="00C513B7" w:rsidRPr="005B6074" w:rsidRDefault="00A35E98" w:rsidP="00181A22">
            <w:pPr>
              <w:pStyle w:val="CM1"/>
              <w:widowControl w:val="0"/>
              <w:numPr>
                <w:ilvl w:val="0"/>
                <w:numId w:val="54"/>
              </w:numPr>
              <w:tabs>
                <w:tab w:val="left" w:pos="0"/>
                <w:tab w:val="right" w:pos="8931"/>
              </w:tabs>
              <w:spacing w:before="120" w:after="120" w:line="276" w:lineRule="auto"/>
              <w:ind w:left="714" w:right="249" w:hanging="357"/>
              <w:rPr>
                <w:rFonts w:ascii="Verdana" w:hAnsi="Verdana"/>
                <w:bCs/>
                <w:i/>
                <w:sz w:val="18"/>
                <w:szCs w:val="18"/>
              </w:rPr>
            </w:pPr>
            <w:r w:rsidRPr="005B6074">
              <w:rPr>
                <w:rFonts w:ascii="Verdana" w:hAnsi="Verdana"/>
                <w:bCs/>
                <w:i/>
                <w:sz w:val="18"/>
                <w:szCs w:val="18"/>
              </w:rPr>
              <w:t xml:space="preserve">Art. 4(4): </w:t>
            </w:r>
            <w:r w:rsidRPr="005B6074">
              <w:rPr>
                <w:rFonts w:ascii="Verdana" w:eastAsiaTheme="minorHAnsi" w:hAnsi="Verdana" w:cs="EUAlbertina"/>
                <w:i/>
                <w:sz w:val="18"/>
                <w:szCs w:val="18"/>
                <w:lang w:eastAsia="en-US"/>
              </w:rPr>
              <w:t>The priority axes referring to transnational cooperation and social innovations (Article 11(1) of the ESF Regulation) shall be excluded from the calculation of the percentages specified in paragraphs 2 and 3 of this Article</w:t>
            </w:r>
            <w:r w:rsidRPr="005B6074">
              <w:rPr>
                <w:rFonts w:eastAsiaTheme="minorHAnsi" w:cs="EUAlbertina"/>
                <w:sz w:val="19"/>
                <w:szCs w:val="19"/>
                <w:lang w:eastAsia="en-US"/>
              </w:rPr>
              <w:t>.</w:t>
            </w:r>
          </w:p>
          <w:p w:rsidR="00C513B7" w:rsidRPr="005B6074" w:rsidRDefault="00A35E98" w:rsidP="00181A22">
            <w:pPr>
              <w:pStyle w:val="CM1"/>
              <w:widowControl w:val="0"/>
              <w:numPr>
                <w:ilvl w:val="0"/>
                <w:numId w:val="54"/>
              </w:numPr>
              <w:tabs>
                <w:tab w:val="left" w:pos="0"/>
                <w:tab w:val="right" w:pos="8931"/>
              </w:tabs>
              <w:spacing w:before="120" w:after="120" w:line="276" w:lineRule="auto"/>
              <w:ind w:left="714" w:right="249" w:hanging="357"/>
              <w:rPr>
                <w:rFonts w:ascii="Verdana" w:hAnsi="Verdana"/>
                <w:bCs/>
                <w:i/>
                <w:sz w:val="18"/>
                <w:szCs w:val="18"/>
              </w:rPr>
            </w:pPr>
            <w:r w:rsidRPr="005B6074">
              <w:rPr>
                <w:rFonts w:ascii="Verdana" w:hAnsi="Verdana"/>
                <w:bCs/>
                <w:i/>
                <w:sz w:val="18"/>
                <w:szCs w:val="18"/>
              </w:rPr>
              <w:t xml:space="preserve">Art. 11(2): </w:t>
            </w:r>
            <w:r w:rsidRPr="005B6074">
              <w:rPr>
                <w:rFonts w:ascii="Verdana" w:eastAsiaTheme="minorHAnsi" w:hAnsi="Verdana" w:cs="EUAlbertina"/>
                <w:i/>
                <w:sz w:val="18"/>
                <w:szCs w:val="18"/>
                <w:lang w:eastAsia="en-US"/>
              </w:rPr>
              <w:t>The maximum co-financing rate for a priority axis shall be increased by ten percentage points, but shall not exceed 100% where the whole of a priority axis is dedicated to social innovation or to transnational cooperation, or a combination of both.</w:t>
            </w:r>
          </w:p>
          <w:p w:rsidR="00C513B7" w:rsidRPr="005B6074" w:rsidRDefault="00A35E98" w:rsidP="0014554F">
            <w:pPr>
              <w:spacing w:before="120" w:after="120"/>
              <w:ind w:left="147" w:right="164"/>
              <w:jc w:val="both"/>
              <w:textAlignment w:val="baseline"/>
              <w:rPr>
                <w:rFonts w:ascii="Verdana" w:eastAsia="Times New Roman" w:hAnsi="Verdana"/>
                <w:i/>
                <w:sz w:val="18"/>
                <w:szCs w:val="18"/>
              </w:rPr>
            </w:pPr>
            <w:r w:rsidRPr="005B6074">
              <w:rPr>
                <w:rFonts w:ascii="Verdana" w:hAnsi="Verdana"/>
                <w:b/>
                <w:bCs/>
                <w:i/>
                <w:color w:val="000000"/>
                <w:sz w:val="18"/>
                <w:szCs w:val="18"/>
              </w:rPr>
              <w:t>ERDF Regulation 1304/2013</w:t>
            </w:r>
            <w:r w:rsidRPr="005B6074">
              <w:rPr>
                <w:rFonts w:ascii="Verdana" w:hAnsi="Verdana"/>
                <w:bCs/>
                <w:i/>
                <w:color w:val="000000"/>
                <w:sz w:val="18"/>
                <w:szCs w:val="18"/>
              </w:rPr>
              <w:t xml:space="preserve"> sets out additional requirements for thematic concentration of the assistance financed under the fund. Article 4 of the Regulation sets out minimum threshold for financing of certain thematic objectives, which differ for the more developed regions and regions in transition of EU on one hand, and for the less developed regions, on the other hand. Since all regions in Bulgaria currently belong to the less developed regions, the requirements applicable to them are less restrictive in view of the fact that these regions are confronted with a number of challenges in their development and should have more freedom to determine their priorities for funding. The Regulation </w:t>
            </w:r>
            <w:r w:rsidRPr="005B6074">
              <w:rPr>
                <w:rFonts w:ascii="Verdana" w:hAnsi="Verdana"/>
                <w:bCs/>
                <w:i/>
                <w:sz w:val="18"/>
                <w:szCs w:val="18"/>
              </w:rPr>
              <w:t xml:space="preserve">requires </w:t>
            </w:r>
            <w:r w:rsidRPr="005B6074">
              <w:rPr>
                <w:rFonts w:ascii="Verdana" w:eastAsia="Times New Roman" w:hAnsi="Verdana"/>
                <w:i/>
                <w:sz w:val="18"/>
                <w:szCs w:val="18"/>
              </w:rPr>
              <w:t>in less developed regions: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318"/>
              <w:gridCol w:w="8756"/>
            </w:tblGrid>
            <w:tr w:rsidR="00C513B7" w:rsidRPr="005B6074" w:rsidTr="00F249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13B7" w:rsidRPr="005B6074" w:rsidRDefault="00A35E98" w:rsidP="00F24971">
                  <w:pPr>
                    <w:spacing w:before="120" w:after="0" w:line="312" w:lineRule="atLeast"/>
                    <w:jc w:val="both"/>
                    <w:textAlignment w:val="baseline"/>
                    <w:rPr>
                      <w:rFonts w:ascii="Verdana" w:eastAsia="Times New Roman" w:hAnsi="Verdana"/>
                      <w:i/>
                      <w:sz w:val="18"/>
                      <w:szCs w:val="18"/>
                      <w:lang w:eastAsia="bg-BG"/>
                    </w:rPr>
                  </w:pPr>
                  <w:r w:rsidRPr="005B6074">
                    <w:rPr>
                      <w:rFonts w:ascii="Verdana" w:eastAsia="Times New Roman" w:hAnsi="Verdana"/>
                      <w:i/>
                      <w:sz w:val="18"/>
                      <w:szCs w:val="18"/>
                      <w:lang w:eastAsia="bg-BG"/>
                    </w:rPr>
                    <w:t>(</w:t>
                  </w:r>
                  <w:proofErr w:type="spellStart"/>
                  <w:r w:rsidRPr="005B6074">
                    <w:rPr>
                      <w:rFonts w:ascii="Verdana" w:eastAsia="Times New Roman" w:hAnsi="Verdana"/>
                      <w:i/>
                      <w:sz w:val="18"/>
                      <w:szCs w:val="18"/>
                      <w:lang w:eastAsia="bg-BG"/>
                    </w:rPr>
                    <w:t>i</w:t>
                  </w:r>
                  <w:proofErr w:type="spellEnd"/>
                  <w:r w:rsidRPr="005B6074">
                    <w:rPr>
                      <w:rFonts w:ascii="Verdana" w:eastAsia="Times New Roman" w:hAnsi="Verdana"/>
                      <w:i/>
                      <w:sz w:val="18"/>
                      <w:szCs w:val="18"/>
                      <w:lang w:eastAsia="bg-BG"/>
                    </w:rPr>
                    <w:t>)</w:t>
                  </w: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rsidR="00C513B7" w:rsidRPr="005B6074" w:rsidRDefault="00A35E98" w:rsidP="00F24971">
                  <w:pPr>
                    <w:spacing w:before="120" w:after="0" w:line="312" w:lineRule="atLeast"/>
                    <w:jc w:val="both"/>
                    <w:textAlignment w:val="baseline"/>
                    <w:rPr>
                      <w:rFonts w:ascii="Verdana" w:eastAsia="Times New Roman" w:hAnsi="Verdana"/>
                      <w:i/>
                      <w:sz w:val="18"/>
                      <w:szCs w:val="18"/>
                      <w:lang w:eastAsia="bg-BG"/>
                    </w:rPr>
                  </w:pPr>
                  <w:r w:rsidRPr="005B6074">
                    <w:rPr>
                      <w:rFonts w:ascii="Verdana" w:eastAsia="Times New Roman" w:hAnsi="Verdana"/>
                      <w:i/>
                      <w:sz w:val="18"/>
                      <w:szCs w:val="18"/>
                      <w:lang w:eastAsia="bg-BG"/>
                    </w:rPr>
                    <w:t>at least 50 % of the total ERDF resources at national level to be allocated to one or more of the following thematic areas:</w:t>
                  </w:r>
                </w:p>
              </w:tc>
            </w:tr>
          </w:tbl>
          <w:p w:rsidR="00C513B7" w:rsidRPr="005B6074" w:rsidRDefault="00C513B7" w:rsidP="00F24971">
            <w:pPr>
              <w:spacing w:after="0" w:line="250" w:lineRule="atLeast"/>
              <w:rPr>
                <w:rFonts w:ascii="Verdana" w:eastAsia="Times New Roman" w:hAnsi="Verdana"/>
                <w:i/>
                <w:vanish/>
                <w:sz w:val="18"/>
                <w:szCs w:val="18"/>
              </w:rPr>
            </w:pPr>
          </w:p>
          <w:p w:rsidR="00C513B7" w:rsidRPr="005B6074" w:rsidRDefault="00A35E98" w:rsidP="00F24971">
            <w:pPr>
              <w:pStyle w:val="ListParagraph1"/>
              <w:widowControl w:val="0"/>
              <w:tabs>
                <w:tab w:val="left" w:pos="0"/>
                <w:tab w:val="right" w:pos="8931"/>
              </w:tabs>
              <w:spacing w:before="120" w:after="120"/>
              <w:ind w:left="851" w:right="249"/>
              <w:rPr>
                <w:rFonts w:ascii="Verdana" w:hAnsi="Verdana"/>
                <w:b/>
                <w:bCs/>
                <w:i/>
                <w:sz w:val="18"/>
                <w:szCs w:val="18"/>
              </w:rPr>
            </w:pPr>
            <w:r w:rsidRPr="005B6074">
              <w:rPr>
                <w:rFonts w:ascii="Verdana" w:hAnsi="Verdana"/>
                <w:bCs/>
                <w:i/>
                <w:sz w:val="18"/>
                <w:szCs w:val="18"/>
              </w:rPr>
              <w:t>(1)</w:t>
            </w:r>
            <w:r w:rsidRPr="005B6074">
              <w:rPr>
                <w:rFonts w:ascii="inherit" w:hAnsi="inherit"/>
                <w:sz w:val="27"/>
                <w:szCs w:val="27"/>
              </w:rPr>
              <w:t xml:space="preserve"> </w:t>
            </w:r>
            <w:r w:rsidRPr="005B6074">
              <w:rPr>
                <w:rFonts w:ascii="Verdana" w:hAnsi="Verdana"/>
                <w:i/>
                <w:sz w:val="18"/>
                <w:szCs w:val="18"/>
              </w:rPr>
              <w:t>Strengthening research, technological development and innovation</w:t>
            </w:r>
            <w:r w:rsidRPr="005B6074">
              <w:rPr>
                <w:rFonts w:ascii="Verdana" w:hAnsi="Verdana"/>
                <w:bCs/>
                <w:i/>
                <w:sz w:val="18"/>
                <w:szCs w:val="18"/>
              </w:rPr>
              <w:t>;</w:t>
            </w:r>
          </w:p>
          <w:p w:rsidR="00C513B7" w:rsidRPr="005B6074" w:rsidRDefault="00A35E98" w:rsidP="00F24971">
            <w:pPr>
              <w:pStyle w:val="ListParagraph1"/>
              <w:widowControl w:val="0"/>
              <w:tabs>
                <w:tab w:val="left" w:pos="0"/>
                <w:tab w:val="right" w:pos="8931"/>
              </w:tabs>
              <w:spacing w:before="120" w:after="120"/>
              <w:ind w:left="851" w:right="249"/>
              <w:rPr>
                <w:rFonts w:ascii="Verdana" w:hAnsi="Verdana"/>
                <w:b/>
                <w:bCs/>
                <w:i/>
                <w:sz w:val="18"/>
                <w:szCs w:val="18"/>
              </w:rPr>
            </w:pPr>
            <w:r w:rsidRPr="005B6074">
              <w:rPr>
                <w:rFonts w:ascii="Verdana" w:hAnsi="Verdana"/>
                <w:bCs/>
                <w:i/>
                <w:sz w:val="18"/>
                <w:szCs w:val="18"/>
              </w:rPr>
              <w:t>(2)</w:t>
            </w:r>
            <w:r w:rsidRPr="005B6074">
              <w:rPr>
                <w:rFonts w:ascii="inherit" w:hAnsi="inherit"/>
                <w:sz w:val="27"/>
                <w:szCs w:val="27"/>
              </w:rPr>
              <w:t xml:space="preserve"> </w:t>
            </w:r>
            <w:r w:rsidRPr="005B6074">
              <w:rPr>
                <w:rFonts w:ascii="Verdana" w:hAnsi="Verdana"/>
                <w:i/>
                <w:sz w:val="18"/>
                <w:szCs w:val="18"/>
              </w:rPr>
              <w:t>Enhancing access to, and use and quality of, ICT</w:t>
            </w:r>
            <w:r w:rsidRPr="005B6074">
              <w:rPr>
                <w:rFonts w:ascii="Verdana" w:hAnsi="Verdana"/>
                <w:bCs/>
                <w:i/>
                <w:sz w:val="18"/>
                <w:szCs w:val="18"/>
              </w:rPr>
              <w:t>;</w:t>
            </w:r>
          </w:p>
          <w:p w:rsidR="00C513B7" w:rsidRPr="005B6074" w:rsidRDefault="00A35E98" w:rsidP="00F24971">
            <w:pPr>
              <w:pStyle w:val="ListParagraph1"/>
              <w:widowControl w:val="0"/>
              <w:tabs>
                <w:tab w:val="left" w:pos="0"/>
                <w:tab w:val="right" w:pos="8931"/>
              </w:tabs>
              <w:spacing w:before="120" w:after="120"/>
              <w:ind w:left="851" w:right="249"/>
              <w:rPr>
                <w:rFonts w:ascii="Verdana" w:hAnsi="Verdana"/>
                <w:b/>
                <w:bCs/>
                <w:i/>
                <w:color w:val="000000"/>
                <w:sz w:val="18"/>
                <w:szCs w:val="18"/>
              </w:rPr>
            </w:pPr>
            <w:r w:rsidRPr="005B6074">
              <w:rPr>
                <w:rFonts w:ascii="Verdana" w:hAnsi="Verdana"/>
                <w:bCs/>
                <w:i/>
                <w:color w:val="000000"/>
                <w:sz w:val="18"/>
                <w:szCs w:val="18"/>
              </w:rPr>
              <w:t>(3)Enhancing the competitiveness of SMEs;</w:t>
            </w:r>
          </w:p>
          <w:p w:rsidR="00C513B7" w:rsidRPr="005B6074" w:rsidRDefault="00A35E98" w:rsidP="00F24971">
            <w:pPr>
              <w:pStyle w:val="ListParagraph1"/>
              <w:widowControl w:val="0"/>
              <w:tabs>
                <w:tab w:val="left" w:pos="0"/>
                <w:tab w:val="right" w:pos="8931"/>
              </w:tabs>
              <w:spacing w:before="120" w:after="120"/>
              <w:ind w:left="851" w:right="249"/>
              <w:rPr>
                <w:rFonts w:ascii="Verdana" w:hAnsi="Verdana"/>
                <w:b/>
                <w:bCs/>
                <w:i/>
                <w:color w:val="000000"/>
                <w:sz w:val="18"/>
                <w:szCs w:val="18"/>
              </w:rPr>
            </w:pPr>
            <w:r w:rsidRPr="005B6074">
              <w:rPr>
                <w:rFonts w:ascii="Verdana" w:hAnsi="Verdana"/>
                <w:bCs/>
                <w:i/>
                <w:color w:val="000000"/>
                <w:sz w:val="18"/>
                <w:szCs w:val="18"/>
              </w:rPr>
              <w:t>(4)Supporting the shift to a low-carbon economy in all sectors.</w:t>
            </w:r>
          </w:p>
          <w:p w:rsidR="00ED2E4D" w:rsidRPr="005B6074" w:rsidRDefault="00A35E98" w:rsidP="00181A22">
            <w:pPr>
              <w:pStyle w:val="ListParagraph1"/>
              <w:widowControl w:val="0"/>
              <w:numPr>
                <w:ilvl w:val="0"/>
                <w:numId w:val="54"/>
              </w:numPr>
              <w:tabs>
                <w:tab w:val="left" w:pos="0"/>
                <w:tab w:val="right" w:pos="8931"/>
              </w:tabs>
              <w:spacing w:before="120" w:after="120"/>
              <w:ind w:left="714" w:right="249" w:hanging="357"/>
              <w:rPr>
                <w:rFonts w:ascii="Verdana" w:hAnsi="Verdana"/>
                <w:b/>
                <w:bCs/>
                <w:i/>
                <w:color w:val="000000"/>
                <w:sz w:val="18"/>
                <w:szCs w:val="18"/>
              </w:rPr>
            </w:pPr>
            <w:r w:rsidRPr="005B6074">
              <w:rPr>
                <w:rFonts w:ascii="Verdana" w:hAnsi="Verdana"/>
                <w:bCs/>
                <w:i/>
                <w:color w:val="000000"/>
                <w:sz w:val="18"/>
                <w:szCs w:val="18"/>
              </w:rPr>
              <w:t>At least 10% of the total ERDF resources at national level shall be allocated to the fourth thematic objective, i.e. transition to a low-carbon economy.</w:t>
            </w:r>
          </w:p>
        </w:tc>
      </w:tr>
    </w:tbl>
    <w:p w:rsidR="00C513B7" w:rsidRPr="005B6074" w:rsidRDefault="00C513B7" w:rsidP="00C513B7">
      <w:pPr>
        <w:widowControl w:val="0"/>
        <w:tabs>
          <w:tab w:val="left" w:pos="0"/>
          <w:tab w:val="right" w:pos="9214"/>
        </w:tabs>
        <w:spacing w:before="120" w:after="120"/>
        <w:jc w:val="both"/>
        <w:rPr>
          <w:rFonts w:ascii="Verdana" w:eastAsia="Times New Roman" w:hAnsi="Verdana"/>
          <w:bCs/>
          <w:color w:val="000000"/>
          <w:sz w:val="20"/>
          <w:szCs w:val="20"/>
          <w:lang w:eastAsia="bg-BG"/>
        </w:rPr>
      </w:pPr>
    </w:p>
    <w:p w:rsidR="00C513B7" w:rsidRPr="005B6074" w:rsidRDefault="00A35E98" w:rsidP="00C513B7">
      <w:pPr>
        <w:widowControl w:val="0"/>
        <w:tabs>
          <w:tab w:val="left" w:pos="0"/>
          <w:tab w:val="right" w:pos="9214"/>
        </w:tabs>
        <w:spacing w:before="120" w:after="12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The above box describes the specific restrictions of the types of activities and the opportunities provided for ESF financing in every member state depending on the level of development of </w:t>
      </w:r>
      <w:r w:rsidR="006202AF" w:rsidRPr="005B6074">
        <w:rPr>
          <w:rFonts w:ascii="Verdana" w:eastAsia="Times New Roman" w:hAnsi="Verdana"/>
          <w:bCs/>
          <w:color w:val="000000"/>
          <w:sz w:val="20"/>
          <w:szCs w:val="20"/>
          <w:lang w:eastAsia="bg-BG"/>
        </w:rPr>
        <w:t>its regions</w:t>
      </w:r>
      <w:r w:rsidRPr="005B6074">
        <w:rPr>
          <w:rFonts w:ascii="Verdana" w:eastAsia="Times New Roman" w:hAnsi="Verdana"/>
          <w:bCs/>
          <w:color w:val="000000"/>
          <w:sz w:val="20"/>
          <w:szCs w:val="20"/>
          <w:lang w:eastAsia="bg-BG"/>
        </w:rPr>
        <w:t>. Since the budgets of the operational programmes and the allocations under the other OPs to be financed from ESF and ERDF are not known yet, the current evaluation of the observance of the specific thresholds and minimum values, set out in the Common Regulation and the ESF and ERDF Regulations, has only an indicative character.</w:t>
      </w:r>
    </w:p>
    <w:p w:rsidR="00C513B7" w:rsidRPr="005B6074" w:rsidRDefault="00A35E98" w:rsidP="00181A22">
      <w:pPr>
        <w:pStyle w:val="ListParagraph1"/>
        <w:widowControl w:val="0"/>
        <w:numPr>
          <w:ilvl w:val="0"/>
          <w:numId w:val="54"/>
        </w:numPr>
        <w:tabs>
          <w:tab w:val="left" w:pos="0"/>
          <w:tab w:val="right" w:pos="9214"/>
        </w:tabs>
        <w:spacing w:before="120" w:after="120" w:line="276" w:lineRule="auto"/>
        <w:rPr>
          <w:rFonts w:ascii="Verdana" w:hAnsi="Verdana"/>
          <w:bCs/>
          <w:color w:val="000000"/>
          <w:sz w:val="20"/>
          <w:lang w:eastAsia="bg-BG"/>
        </w:rPr>
      </w:pPr>
      <w:r w:rsidRPr="005B6074">
        <w:rPr>
          <w:rFonts w:ascii="Verdana" w:hAnsi="Verdana"/>
          <w:bCs/>
          <w:i/>
          <w:color w:val="000000"/>
          <w:sz w:val="20"/>
          <w:lang w:eastAsia="bg-BG"/>
        </w:rPr>
        <w:t>The maximum amount of funds for technical assistance must not exceed 4% of the total funds,</w:t>
      </w:r>
      <w:r w:rsidRPr="005B6074">
        <w:rPr>
          <w:rFonts w:ascii="Verdana" w:hAnsi="Verdana"/>
          <w:bCs/>
          <w:color w:val="000000"/>
          <w:sz w:val="20"/>
          <w:lang w:eastAsia="bg-BG"/>
        </w:rPr>
        <w:t xml:space="preserve"> allocated for the operational programmes for each category of regions of growth and employment. Within the framework of </w:t>
      </w:r>
      <w:r w:rsidR="005B35A7">
        <w:rPr>
          <w:rFonts w:ascii="Verdana" w:hAnsi="Verdana"/>
          <w:bCs/>
          <w:color w:val="000000"/>
          <w:sz w:val="20"/>
          <w:lang w:eastAsia="bg-BG"/>
        </w:rPr>
        <w:t>OPSESG</w:t>
      </w:r>
      <w:r w:rsidRPr="005B6074">
        <w:rPr>
          <w:rFonts w:ascii="Verdana" w:hAnsi="Verdana"/>
          <w:bCs/>
          <w:color w:val="000000"/>
          <w:sz w:val="20"/>
          <w:lang w:eastAsia="bg-BG"/>
        </w:rPr>
        <w:t xml:space="preserve"> 2014-2020, the financing of technical assistance accounts for 5.3% of the funds from ESF and 2.5% of the ERDF resource, or 4.1% of the programme budget in total. The evaluator considers that the resource for technical assistance, although slightly surpassing </w:t>
      </w:r>
      <w:r w:rsidRPr="005B6074">
        <w:rPr>
          <w:rFonts w:ascii="Verdana" w:hAnsi="Verdana"/>
          <w:bCs/>
          <w:color w:val="000000"/>
          <w:sz w:val="20"/>
          <w:lang w:eastAsia="bg-BG"/>
        </w:rPr>
        <w:lastRenderedPageBreak/>
        <w:t xml:space="preserve">the indicative 4% value, should be retained taking into account 2 factors: 1. </w:t>
      </w:r>
      <w:r w:rsidR="005B35A7">
        <w:rPr>
          <w:rFonts w:ascii="Verdana" w:hAnsi="Verdana"/>
          <w:bCs/>
          <w:color w:val="000000"/>
          <w:sz w:val="20"/>
          <w:lang w:eastAsia="bg-BG"/>
        </w:rPr>
        <w:t>OPSESG</w:t>
      </w:r>
      <w:r w:rsidRPr="005B6074">
        <w:rPr>
          <w:rFonts w:ascii="Verdana" w:hAnsi="Verdana"/>
          <w:bCs/>
          <w:color w:val="000000"/>
          <w:sz w:val="20"/>
          <w:lang w:eastAsia="bg-BG"/>
        </w:rPr>
        <w:t xml:space="preserve"> is a newly established programme and therefore it requires more resources for technical assistance and 2. The total budget of the Programme is not very high compared to most of the other operational programmes, which means that less funds in nominal terms remain for technical assistance. At the same time, the need for funds for technical assistance is not in direct proportion to the budget of the operational programmes, but is a fixed amount to a great extent.</w:t>
      </w:r>
    </w:p>
    <w:p w:rsidR="00ED66A1" w:rsidRPr="005B6074" w:rsidRDefault="00A35E98" w:rsidP="00181A22">
      <w:pPr>
        <w:pStyle w:val="ListParagraph1"/>
        <w:widowControl w:val="0"/>
        <w:numPr>
          <w:ilvl w:val="0"/>
          <w:numId w:val="54"/>
        </w:numPr>
        <w:tabs>
          <w:tab w:val="left" w:pos="0"/>
          <w:tab w:val="right" w:pos="9214"/>
        </w:tabs>
        <w:spacing w:before="120" w:after="120" w:line="276" w:lineRule="auto"/>
        <w:rPr>
          <w:rFonts w:ascii="Verdana" w:hAnsi="Verdana"/>
          <w:bCs/>
          <w:color w:val="000000"/>
          <w:sz w:val="20"/>
          <w:lang w:eastAsia="bg-BG"/>
        </w:rPr>
      </w:pPr>
      <w:r w:rsidRPr="005B6074">
        <w:rPr>
          <w:rFonts w:ascii="Verdana" w:hAnsi="Verdana"/>
          <w:bCs/>
          <w:i/>
          <w:color w:val="000000"/>
          <w:sz w:val="20"/>
          <w:lang w:eastAsia="bg-BG"/>
        </w:rPr>
        <w:t>Allocation of performance reserve at the amount of 6% for each fund and category of region</w:t>
      </w:r>
      <w:r w:rsidRPr="005B6074">
        <w:rPr>
          <w:rFonts w:ascii="Verdana" w:hAnsi="Verdana"/>
          <w:bCs/>
          <w:color w:val="000000"/>
          <w:sz w:val="20"/>
          <w:lang w:eastAsia="bg-BG"/>
        </w:rPr>
        <w:t xml:space="preserve">, where such a reserve is not set aside only for technical assistance and financial instruments. In the current version of the financial plan of the </w:t>
      </w:r>
      <w:proofErr w:type="gramStart"/>
      <w:r w:rsidR="005B35A7">
        <w:rPr>
          <w:rFonts w:ascii="Verdana" w:hAnsi="Verdana"/>
          <w:bCs/>
          <w:color w:val="000000"/>
          <w:sz w:val="20"/>
          <w:lang w:eastAsia="bg-BG"/>
        </w:rPr>
        <w:t>OPSESG</w:t>
      </w:r>
      <w:r w:rsidRPr="005B6074">
        <w:rPr>
          <w:rFonts w:ascii="Verdana" w:hAnsi="Verdana"/>
          <w:bCs/>
          <w:color w:val="000000"/>
          <w:sz w:val="20"/>
          <w:lang w:eastAsia="bg-BG"/>
        </w:rPr>
        <w:t xml:space="preserve">  performance</w:t>
      </w:r>
      <w:proofErr w:type="gramEnd"/>
      <w:r w:rsidRPr="005B6074">
        <w:rPr>
          <w:rFonts w:ascii="Verdana" w:hAnsi="Verdana"/>
          <w:bCs/>
          <w:color w:val="000000"/>
          <w:sz w:val="20"/>
          <w:lang w:eastAsia="bg-BG"/>
        </w:rPr>
        <w:t xml:space="preserve"> reserve is allocated also for the technical assistance, which should be dropped and the reserves for some of the other priority axes should be increased by the same amount, so that the total reserves by funds are exactly equal of 6%.</w:t>
      </w:r>
    </w:p>
    <w:p w:rsidR="00C513B7" w:rsidRPr="005B6074" w:rsidRDefault="00A35E98" w:rsidP="00181A22">
      <w:pPr>
        <w:pStyle w:val="ListParagraph1"/>
        <w:widowControl w:val="0"/>
        <w:numPr>
          <w:ilvl w:val="0"/>
          <w:numId w:val="54"/>
        </w:numPr>
        <w:tabs>
          <w:tab w:val="left" w:pos="0"/>
          <w:tab w:val="right" w:pos="9214"/>
        </w:tabs>
        <w:spacing w:before="120" w:after="120" w:line="276" w:lineRule="auto"/>
        <w:rPr>
          <w:rFonts w:ascii="Verdana" w:hAnsi="Verdana"/>
          <w:bCs/>
          <w:color w:val="000000"/>
          <w:sz w:val="20"/>
          <w:lang w:eastAsia="bg-BG"/>
        </w:rPr>
      </w:pPr>
      <w:r w:rsidRPr="005B6074">
        <w:rPr>
          <w:rFonts w:ascii="Verdana" w:hAnsi="Verdana"/>
          <w:bCs/>
          <w:i/>
          <w:color w:val="000000"/>
          <w:sz w:val="20"/>
          <w:lang w:eastAsia="bg-BG"/>
        </w:rPr>
        <w:t>At least 20% of the total amount of funds from ESF in each member</w:t>
      </w:r>
      <w:r w:rsidR="00551E3E" w:rsidRPr="005B6074">
        <w:rPr>
          <w:rFonts w:ascii="Verdana" w:hAnsi="Verdana"/>
          <w:bCs/>
          <w:i/>
          <w:color w:val="000000"/>
          <w:sz w:val="20"/>
          <w:lang w:eastAsia="bg-BG"/>
        </w:rPr>
        <w:t xml:space="preserve"> </w:t>
      </w:r>
      <w:r w:rsidRPr="005B6074">
        <w:rPr>
          <w:rFonts w:ascii="Verdana" w:hAnsi="Verdana"/>
          <w:bCs/>
          <w:i/>
          <w:color w:val="000000"/>
          <w:sz w:val="20"/>
          <w:lang w:eastAsia="bg-BG"/>
        </w:rPr>
        <w:t>state must be allocated to the achievement of thematic objective 9</w:t>
      </w:r>
      <w:r w:rsidRPr="005B6074">
        <w:rPr>
          <w:rFonts w:ascii="Verdana" w:hAnsi="Verdana"/>
          <w:bCs/>
          <w:color w:val="000000"/>
          <w:sz w:val="20"/>
          <w:lang w:eastAsia="bg-BG"/>
        </w:rPr>
        <w:t xml:space="preserve">. With respect to </w:t>
      </w:r>
      <w:r w:rsidR="005B35A7">
        <w:rPr>
          <w:rFonts w:ascii="Verdana" w:hAnsi="Verdana"/>
          <w:bCs/>
          <w:color w:val="000000"/>
          <w:sz w:val="20"/>
          <w:lang w:eastAsia="bg-BG"/>
        </w:rPr>
        <w:t>OPSESG</w:t>
      </w:r>
      <w:r w:rsidRPr="005B6074">
        <w:rPr>
          <w:rFonts w:ascii="Verdana" w:hAnsi="Verdana"/>
          <w:bCs/>
          <w:color w:val="000000"/>
          <w:sz w:val="20"/>
          <w:lang w:eastAsia="bg-BG"/>
        </w:rPr>
        <w:t xml:space="preserve"> 2014-2020 the allocation or thematic objective stands at 19%, while at the ESF level the satisfaction of this requirement should be ensured basically by OPHRD 2014-2020.</w:t>
      </w:r>
    </w:p>
    <w:p w:rsidR="00C513B7" w:rsidRPr="005B6074" w:rsidRDefault="00A35E98" w:rsidP="00181A22">
      <w:pPr>
        <w:pStyle w:val="ListParagraph1"/>
        <w:widowControl w:val="0"/>
        <w:numPr>
          <w:ilvl w:val="0"/>
          <w:numId w:val="54"/>
        </w:numPr>
        <w:tabs>
          <w:tab w:val="left" w:pos="0"/>
          <w:tab w:val="right" w:pos="9214"/>
        </w:tabs>
        <w:spacing w:before="120" w:after="120" w:line="276" w:lineRule="auto"/>
        <w:rPr>
          <w:rFonts w:ascii="Verdana" w:hAnsi="Verdana"/>
          <w:bCs/>
          <w:color w:val="000000"/>
          <w:sz w:val="20"/>
          <w:lang w:eastAsia="bg-BG"/>
        </w:rPr>
      </w:pPr>
      <w:r w:rsidRPr="005B6074">
        <w:rPr>
          <w:rFonts w:ascii="Verdana" w:hAnsi="Verdana"/>
          <w:bCs/>
          <w:i/>
          <w:color w:val="000000"/>
          <w:sz w:val="20"/>
          <w:lang w:eastAsia="bg-BG"/>
        </w:rPr>
        <w:t xml:space="preserve">At least 60% of the resources from ESF in each operational programme must be allocated to maximum 5 investment priorities, </w:t>
      </w:r>
      <w:r w:rsidRPr="005B6074">
        <w:rPr>
          <w:rFonts w:ascii="Verdana" w:hAnsi="Verdana"/>
          <w:bCs/>
          <w:color w:val="000000"/>
          <w:sz w:val="20"/>
          <w:lang w:eastAsia="bg-BG"/>
        </w:rPr>
        <w:t>defined in Article 3(1) of the ESF Regulation. Currently the Programme document contains no financial justification, which does not allow for an evaluation of the implementation of this requirement.</w:t>
      </w:r>
    </w:p>
    <w:p w:rsidR="00C513B7" w:rsidRPr="005B6074" w:rsidRDefault="00A35E98" w:rsidP="00181A22">
      <w:pPr>
        <w:pStyle w:val="ListParagraph1"/>
        <w:widowControl w:val="0"/>
        <w:numPr>
          <w:ilvl w:val="0"/>
          <w:numId w:val="54"/>
        </w:numPr>
        <w:tabs>
          <w:tab w:val="left" w:pos="0"/>
          <w:tab w:val="right" w:pos="9214"/>
        </w:tabs>
        <w:spacing w:before="120" w:after="120" w:line="276" w:lineRule="auto"/>
        <w:rPr>
          <w:rFonts w:ascii="Verdana" w:hAnsi="Verdana"/>
          <w:bCs/>
          <w:color w:val="000000"/>
          <w:sz w:val="20"/>
          <w:lang w:eastAsia="bg-BG"/>
        </w:rPr>
      </w:pPr>
      <w:r w:rsidRPr="005B6074">
        <w:rPr>
          <w:rFonts w:ascii="Verdana" w:hAnsi="Verdana"/>
          <w:bCs/>
          <w:i/>
          <w:color w:val="000000"/>
          <w:sz w:val="20"/>
          <w:lang w:eastAsia="bg-BG"/>
        </w:rPr>
        <w:t xml:space="preserve">The maximum amount of EU co-financing may be increased by 10 percentage points </w:t>
      </w:r>
      <w:r w:rsidRPr="005B6074">
        <w:rPr>
          <w:rFonts w:ascii="Verdana" w:hAnsi="Verdana"/>
          <w:bCs/>
          <w:color w:val="000000"/>
          <w:sz w:val="20"/>
          <w:lang w:eastAsia="bg-BG"/>
        </w:rPr>
        <w:t>(not exceeding 100% however)</w:t>
      </w:r>
      <w:r w:rsidRPr="005B6074">
        <w:rPr>
          <w:rFonts w:ascii="Verdana" w:hAnsi="Verdana"/>
          <w:bCs/>
          <w:i/>
          <w:color w:val="000000"/>
          <w:sz w:val="20"/>
          <w:lang w:eastAsia="bg-BG"/>
        </w:rPr>
        <w:t xml:space="preserve"> </w:t>
      </w:r>
      <w:r w:rsidRPr="005B6074">
        <w:rPr>
          <w:rFonts w:ascii="Verdana" w:hAnsi="Verdana"/>
          <w:bCs/>
          <w:color w:val="000000"/>
          <w:sz w:val="20"/>
          <w:lang w:eastAsia="bg-BG"/>
        </w:rPr>
        <w:t xml:space="preserve">where the entire priority axis is dedicated to social innovations, transnational cooperation or a combination of the two. This opportunity could be taken into account in developing </w:t>
      </w:r>
      <w:r w:rsidR="005B35A7">
        <w:rPr>
          <w:rFonts w:ascii="Verdana" w:hAnsi="Verdana"/>
          <w:bCs/>
          <w:color w:val="000000"/>
          <w:sz w:val="20"/>
          <w:lang w:eastAsia="bg-BG"/>
        </w:rPr>
        <w:t>OPSESG</w:t>
      </w:r>
      <w:r w:rsidRPr="005B6074">
        <w:rPr>
          <w:rFonts w:ascii="Verdana" w:hAnsi="Verdana"/>
          <w:bCs/>
          <w:color w:val="000000"/>
          <w:sz w:val="20"/>
          <w:lang w:eastAsia="bg-BG"/>
        </w:rPr>
        <w:t xml:space="preserve"> 2014-2020, by considering the possibility to define a separate priority axis for transnational cooperation.</w:t>
      </w:r>
    </w:p>
    <w:p w:rsidR="00C513B7" w:rsidRPr="005B6074" w:rsidRDefault="00A35E98" w:rsidP="00181A22">
      <w:pPr>
        <w:pStyle w:val="ListParagraph1"/>
        <w:widowControl w:val="0"/>
        <w:numPr>
          <w:ilvl w:val="0"/>
          <w:numId w:val="54"/>
        </w:numPr>
        <w:tabs>
          <w:tab w:val="left" w:pos="0"/>
          <w:tab w:val="right" w:pos="9214"/>
        </w:tabs>
        <w:spacing w:before="120" w:after="120"/>
        <w:rPr>
          <w:rFonts w:ascii="Verdana" w:hAnsi="Verdana"/>
          <w:bCs/>
          <w:color w:val="000000"/>
          <w:sz w:val="20"/>
          <w:lang w:eastAsia="bg-BG"/>
        </w:rPr>
      </w:pPr>
      <w:r w:rsidRPr="005B6074">
        <w:rPr>
          <w:rFonts w:ascii="Verdana" w:hAnsi="Verdana"/>
          <w:bCs/>
          <w:i/>
          <w:color w:val="000000"/>
          <w:sz w:val="20"/>
          <w:lang w:eastAsia="bg-BG"/>
        </w:rPr>
        <w:t>At least 50% of the overall amount of ERDF funds at the national level must be allocated to one or more of the first four thematic areas</w:t>
      </w:r>
      <w:r w:rsidRPr="005B6074">
        <w:rPr>
          <w:rFonts w:ascii="Verdana" w:hAnsi="Verdana"/>
          <w:bCs/>
          <w:color w:val="000000"/>
          <w:sz w:val="20"/>
          <w:lang w:eastAsia="bg-BG"/>
        </w:rPr>
        <w:t xml:space="preserve">. In this respect </w:t>
      </w:r>
      <w:r w:rsidR="005B35A7">
        <w:rPr>
          <w:rFonts w:ascii="Verdana" w:hAnsi="Verdana"/>
          <w:bCs/>
          <w:color w:val="000000"/>
          <w:sz w:val="20"/>
          <w:lang w:eastAsia="bg-BG"/>
        </w:rPr>
        <w:t>OPSESG</w:t>
      </w:r>
      <w:r w:rsidRPr="005B6074">
        <w:rPr>
          <w:rFonts w:ascii="Verdana" w:hAnsi="Verdana"/>
          <w:bCs/>
          <w:color w:val="000000"/>
          <w:sz w:val="20"/>
          <w:lang w:eastAsia="bg-BG"/>
        </w:rPr>
        <w:t xml:space="preserve"> 2014-2020 should have a high input in the achievement of the thematic objective for research and innovations.</w:t>
      </w:r>
    </w:p>
    <w:p w:rsidR="00C513B7" w:rsidRPr="005B6074" w:rsidRDefault="00A35E98" w:rsidP="00181A22">
      <w:pPr>
        <w:pStyle w:val="ListParagraph1"/>
        <w:widowControl w:val="0"/>
        <w:numPr>
          <w:ilvl w:val="0"/>
          <w:numId w:val="54"/>
        </w:numPr>
        <w:tabs>
          <w:tab w:val="left" w:pos="0"/>
          <w:tab w:val="right" w:pos="9214"/>
        </w:tabs>
        <w:spacing w:before="120" w:after="120" w:line="276" w:lineRule="auto"/>
        <w:rPr>
          <w:rFonts w:ascii="Verdana" w:hAnsi="Verdana"/>
          <w:bCs/>
          <w:color w:val="000000"/>
          <w:sz w:val="20"/>
          <w:lang w:eastAsia="bg-BG"/>
        </w:rPr>
      </w:pPr>
      <w:r w:rsidRPr="005B6074">
        <w:rPr>
          <w:rFonts w:ascii="Verdana" w:hAnsi="Verdana"/>
          <w:bCs/>
          <w:i/>
          <w:color w:val="000000"/>
          <w:sz w:val="20"/>
          <w:lang w:eastAsia="bg-BG"/>
        </w:rPr>
        <w:t>At least 10% of the overall amount of ERDF funds at the national level must be allocated to the fourth thematic area</w:t>
      </w:r>
      <w:r w:rsidRPr="005B6074">
        <w:rPr>
          <w:rFonts w:ascii="Verdana" w:hAnsi="Verdana"/>
          <w:bCs/>
          <w:color w:val="000000"/>
          <w:sz w:val="20"/>
          <w:lang w:eastAsia="bg-BG"/>
        </w:rPr>
        <w:t xml:space="preserve">. </w:t>
      </w:r>
      <w:r w:rsidR="005B35A7">
        <w:rPr>
          <w:rFonts w:ascii="Verdana" w:hAnsi="Verdana"/>
          <w:bCs/>
          <w:color w:val="000000"/>
          <w:sz w:val="20"/>
          <w:lang w:eastAsia="bg-BG"/>
        </w:rPr>
        <w:t>OPSESG</w:t>
      </w:r>
      <w:r w:rsidRPr="005B6074">
        <w:rPr>
          <w:rFonts w:ascii="Verdana" w:hAnsi="Verdana"/>
          <w:bCs/>
          <w:color w:val="000000"/>
          <w:sz w:val="20"/>
          <w:lang w:eastAsia="bg-BG"/>
        </w:rPr>
        <w:t xml:space="preserve"> is not directly related to the fulfilment of this objective.</w:t>
      </w:r>
    </w:p>
    <w:p w:rsidR="00C513B7" w:rsidRPr="005B6074" w:rsidRDefault="00C513B7" w:rsidP="00C513B7">
      <w:pPr>
        <w:widowControl w:val="0"/>
        <w:tabs>
          <w:tab w:val="left" w:pos="0"/>
          <w:tab w:val="right" w:pos="9214"/>
        </w:tabs>
        <w:spacing w:before="120" w:after="0"/>
        <w:jc w:val="both"/>
        <w:rPr>
          <w:rFonts w:ascii="Verdana" w:eastAsia="Times New Roman" w:hAnsi="Verdana"/>
          <w:bCs/>
          <w:color w:val="000000"/>
          <w:sz w:val="20"/>
          <w:szCs w:val="20"/>
          <w:lang w:eastAsia="bg-BG"/>
        </w:rPr>
      </w:pPr>
    </w:p>
    <w:tbl>
      <w:tblPr>
        <w:tblW w:w="9090" w:type="dxa"/>
        <w:tblInd w:w="108" w:type="dxa"/>
        <w:tblBorders>
          <w:top w:val="single" w:sz="4" w:space="0" w:color="auto"/>
          <w:bottom w:val="single" w:sz="4" w:space="0" w:color="auto"/>
        </w:tblBorders>
        <w:tblLook w:val="04A0" w:firstRow="1" w:lastRow="0" w:firstColumn="1" w:lastColumn="0" w:noHBand="0" w:noVBand="1"/>
      </w:tblPr>
      <w:tblGrid>
        <w:gridCol w:w="567"/>
        <w:gridCol w:w="8523"/>
      </w:tblGrid>
      <w:tr w:rsidR="00C513B7" w:rsidRPr="005B6074" w:rsidTr="00F24971">
        <w:tc>
          <w:tcPr>
            <w:tcW w:w="567" w:type="dxa"/>
            <w:vAlign w:val="center"/>
          </w:tcPr>
          <w:p w:rsidR="00C513B7" w:rsidRPr="005B6074" w:rsidRDefault="00A35E98" w:rsidP="00F24971">
            <w:pPr>
              <w:spacing w:after="0"/>
              <w:jc w:val="center"/>
              <w:rPr>
                <w:rFonts w:ascii="Verdana" w:eastAsia="Times New Roman" w:hAnsi="Verdana"/>
                <w:color w:val="548DD4"/>
                <w:sz w:val="36"/>
                <w:szCs w:val="36"/>
                <w:lang w:eastAsia="bg-BG"/>
              </w:rPr>
            </w:pPr>
            <w:r w:rsidRPr="005B6074">
              <w:rPr>
                <w:rFonts w:ascii="Verdana" w:eastAsia="Times New Roman" w:hAnsi="Verdana"/>
                <w:color w:val="548DD4"/>
                <w:sz w:val="36"/>
                <w:szCs w:val="36"/>
                <w:lang w:eastAsia="bg-BG"/>
              </w:rPr>
              <w:t>?</w:t>
            </w:r>
          </w:p>
        </w:tc>
        <w:tc>
          <w:tcPr>
            <w:tcW w:w="8523" w:type="dxa"/>
            <w:shd w:val="clear" w:color="auto" w:fill="B8CCE4"/>
          </w:tcPr>
          <w:p w:rsidR="00C513B7" w:rsidRPr="005B6074" w:rsidRDefault="00A35E98" w:rsidP="00F24971">
            <w:pPr>
              <w:autoSpaceDE w:val="0"/>
              <w:autoSpaceDN w:val="0"/>
              <w:adjustRightInd w:val="0"/>
              <w:spacing w:before="120" w:after="120" w:line="240" w:lineRule="auto"/>
              <w:ind w:left="135"/>
              <w:rPr>
                <w:rFonts w:ascii="Verdana" w:eastAsia="Times New Roman" w:hAnsi="Verdana" w:cs="TimesNewRomanPSMT"/>
                <w:sz w:val="20"/>
                <w:szCs w:val="20"/>
                <w:lang w:eastAsia="bg-BG"/>
              </w:rPr>
            </w:pPr>
            <w:r w:rsidRPr="005B6074">
              <w:rPr>
                <w:rFonts w:ascii="Verdana" w:eastAsia="Times New Roman" w:hAnsi="Verdana" w:cs="TimesNewRomanPSMT"/>
                <w:sz w:val="20"/>
                <w:szCs w:val="20"/>
                <w:lang w:eastAsia="bg-BG"/>
              </w:rPr>
              <w:t>Analysis of the share of the financial resource allocated to areas of strategic importance and of the extent to which the funds channelled directly to the needs and challenges identified in the socio-economic analysis</w:t>
            </w:r>
          </w:p>
        </w:tc>
      </w:tr>
    </w:tbl>
    <w:p w:rsidR="00C513B7" w:rsidRPr="005B6074" w:rsidRDefault="00A35E98" w:rsidP="003764DF">
      <w:pPr>
        <w:widowControl w:val="0"/>
        <w:tabs>
          <w:tab w:val="left" w:pos="0"/>
          <w:tab w:val="right" w:pos="9214"/>
        </w:tabs>
        <w:spacing w:before="240" w:after="12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The areas of strategic importance for Bulgaria, for which </w:t>
      </w:r>
      <w:r w:rsidR="005B35A7">
        <w:rPr>
          <w:rFonts w:ascii="Verdana" w:eastAsia="Times New Roman" w:hAnsi="Verdana"/>
          <w:bCs/>
          <w:color w:val="000000"/>
          <w:sz w:val="20"/>
          <w:szCs w:val="20"/>
          <w:lang w:eastAsia="bg-BG"/>
        </w:rPr>
        <w:t>OPSESG</w:t>
      </w:r>
      <w:r w:rsidRPr="005B6074">
        <w:rPr>
          <w:rFonts w:ascii="Verdana" w:eastAsia="Times New Roman" w:hAnsi="Verdana"/>
          <w:bCs/>
          <w:color w:val="000000"/>
          <w:sz w:val="20"/>
          <w:szCs w:val="20"/>
          <w:lang w:eastAsia="bg-BG"/>
        </w:rPr>
        <w:t xml:space="preserve"> could provide financing, are defined mainly in several strategic national and European documents:</w:t>
      </w:r>
    </w:p>
    <w:p w:rsidR="00C513B7" w:rsidRPr="005B6074" w:rsidRDefault="00A35E98" w:rsidP="00181A22">
      <w:pPr>
        <w:pStyle w:val="ListParagraph1"/>
        <w:widowControl w:val="0"/>
        <w:numPr>
          <w:ilvl w:val="0"/>
          <w:numId w:val="54"/>
        </w:numPr>
        <w:tabs>
          <w:tab w:val="left" w:pos="0"/>
          <w:tab w:val="right" w:pos="9214"/>
        </w:tabs>
        <w:spacing w:before="60" w:after="60" w:line="276" w:lineRule="auto"/>
        <w:ind w:left="714" w:hanging="357"/>
        <w:rPr>
          <w:rFonts w:ascii="Verdana" w:hAnsi="Verdana"/>
          <w:bCs/>
          <w:color w:val="000000"/>
          <w:sz w:val="20"/>
          <w:lang w:eastAsia="bg-BG"/>
        </w:rPr>
      </w:pPr>
      <w:r w:rsidRPr="005B6074">
        <w:rPr>
          <w:rFonts w:ascii="Verdana" w:hAnsi="Verdana"/>
          <w:bCs/>
          <w:color w:val="000000"/>
          <w:sz w:val="20"/>
          <w:lang w:eastAsia="bg-BG"/>
        </w:rPr>
        <w:t>Europe 2020 – EU Strategy for Smart, Sustainable and Inclusive Growth;</w:t>
      </w:r>
    </w:p>
    <w:p w:rsidR="00C513B7" w:rsidRPr="005B6074" w:rsidRDefault="00A35E98" w:rsidP="00181A22">
      <w:pPr>
        <w:pStyle w:val="ListParagraph1"/>
        <w:widowControl w:val="0"/>
        <w:numPr>
          <w:ilvl w:val="0"/>
          <w:numId w:val="54"/>
        </w:numPr>
        <w:tabs>
          <w:tab w:val="left" w:pos="0"/>
          <w:tab w:val="right" w:pos="9214"/>
        </w:tabs>
        <w:spacing w:before="60" w:after="60" w:line="276" w:lineRule="auto"/>
        <w:ind w:left="714" w:hanging="357"/>
        <w:rPr>
          <w:rFonts w:ascii="Verdana" w:hAnsi="Verdana"/>
          <w:bCs/>
          <w:color w:val="000000"/>
          <w:sz w:val="20"/>
          <w:lang w:eastAsia="bg-BG"/>
        </w:rPr>
      </w:pPr>
      <w:r w:rsidRPr="005B6074">
        <w:rPr>
          <w:rFonts w:ascii="Verdana" w:hAnsi="Verdana"/>
          <w:bCs/>
          <w:color w:val="000000"/>
          <w:sz w:val="20"/>
          <w:lang w:eastAsia="bg-BG"/>
        </w:rPr>
        <w:lastRenderedPageBreak/>
        <w:t>National Reform Programme of Bulgaria in implementation of Europe 2020 Strategy, updated in 2014;</w:t>
      </w:r>
    </w:p>
    <w:p w:rsidR="00C513B7" w:rsidRPr="005B6074" w:rsidRDefault="00A35E98" w:rsidP="00181A22">
      <w:pPr>
        <w:pStyle w:val="ListParagraph1"/>
        <w:widowControl w:val="0"/>
        <w:numPr>
          <w:ilvl w:val="0"/>
          <w:numId w:val="54"/>
        </w:numPr>
        <w:tabs>
          <w:tab w:val="left" w:pos="0"/>
          <w:tab w:val="right" w:pos="9214"/>
        </w:tabs>
        <w:spacing w:before="60" w:after="60" w:line="276" w:lineRule="auto"/>
        <w:ind w:left="714" w:hanging="357"/>
        <w:rPr>
          <w:rFonts w:ascii="Verdana" w:hAnsi="Verdana"/>
          <w:bCs/>
          <w:color w:val="000000"/>
          <w:sz w:val="20"/>
          <w:lang w:eastAsia="bg-BG"/>
        </w:rPr>
      </w:pPr>
      <w:r w:rsidRPr="005B6074">
        <w:rPr>
          <w:rFonts w:ascii="Verdana" w:hAnsi="Verdana"/>
          <w:bCs/>
          <w:color w:val="000000"/>
          <w:sz w:val="20"/>
          <w:lang w:eastAsia="bg-BG"/>
        </w:rPr>
        <w:t>Partnership Agreement of the Republic of Bulgaria outlining the assistance from the EU structural and investment funds for the period 2014-2020;</w:t>
      </w:r>
    </w:p>
    <w:p w:rsidR="00C513B7" w:rsidRPr="005B6074" w:rsidRDefault="00A35E98" w:rsidP="00181A22">
      <w:pPr>
        <w:pStyle w:val="ListParagraph1"/>
        <w:widowControl w:val="0"/>
        <w:numPr>
          <w:ilvl w:val="0"/>
          <w:numId w:val="54"/>
        </w:numPr>
        <w:tabs>
          <w:tab w:val="left" w:pos="0"/>
          <w:tab w:val="right" w:pos="9214"/>
        </w:tabs>
        <w:spacing w:before="60" w:after="60" w:line="276" w:lineRule="auto"/>
        <w:ind w:left="714" w:hanging="357"/>
        <w:rPr>
          <w:rFonts w:ascii="Verdana" w:hAnsi="Verdana"/>
          <w:bCs/>
          <w:color w:val="000000"/>
          <w:sz w:val="20"/>
          <w:lang w:eastAsia="bg-BG"/>
        </w:rPr>
      </w:pPr>
      <w:r w:rsidRPr="005B6074">
        <w:rPr>
          <w:rFonts w:ascii="Verdana" w:hAnsi="Verdana"/>
          <w:bCs/>
          <w:color w:val="000000"/>
          <w:sz w:val="20"/>
          <w:lang w:eastAsia="bg-BG"/>
        </w:rPr>
        <w:t>Opinion of the Commission services on the development of the Partnership Agreement and programmes in Bulgaria for the period 2014-2020;</w:t>
      </w:r>
    </w:p>
    <w:p w:rsidR="00C513B7" w:rsidRPr="005B6074" w:rsidRDefault="00A35E98" w:rsidP="00181A22">
      <w:pPr>
        <w:pStyle w:val="ListParagraph1"/>
        <w:widowControl w:val="0"/>
        <w:numPr>
          <w:ilvl w:val="0"/>
          <w:numId w:val="54"/>
        </w:numPr>
        <w:tabs>
          <w:tab w:val="left" w:pos="0"/>
          <w:tab w:val="right" w:pos="9214"/>
        </w:tabs>
        <w:autoSpaceDE w:val="0"/>
        <w:autoSpaceDN w:val="0"/>
        <w:adjustRightInd w:val="0"/>
        <w:spacing w:before="60" w:after="60" w:line="276" w:lineRule="auto"/>
        <w:ind w:left="714" w:hanging="357"/>
        <w:rPr>
          <w:rFonts w:ascii="Verdana" w:hAnsi="Verdana"/>
          <w:bCs/>
          <w:color w:val="000000"/>
          <w:sz w:val="20"/>
          <w:lang w:eastAsia="bg-BG"/>
        </w:rPr>
      </w:pPr>
      <w:r w:rsidRPr="005B6074">
        <w:rPr>
          <w:rFonts w:ascii="Verdana" w:hAnsi="Verdana"/>
          <w:bCs/>
          <w:color w:val="000000"/>
          <w:sz w:val="20"/>
          <w:lang w:eastAsia="bg-BG"/>
        </w:rPr>
        <w:t>National Development Programme: Bulgaria 2020;</w:t>
      </w:r>
      <w:r w:rsidRPr="005B6074">
        <w:rPr>
          <w:rFonts w:ascii="EUAlbertina" w:eastAsiaTheme="minorHAnsi" w:hAnsi="EUAlbertina" w:cstheme="minorBidi"/>
          <w:szCs w:val="24"/>
        </w:rPr>
        <w:t xml:space="preserve"> </w:t>
      </w:r>
    </w:p>
    <w:p w:rsidR="00C513B7" w:rsidRPr="005B6074" w:rsidRDefault="00A35E98" w:rsidP="00181A22">
      <w:pPr>
        <w:pStyle w:val="ListParagraph1"/>
        <w:widowControl w:val="0"/>
        <w:numPr>
          <w:ilvl w:val="0"/>
          <w:numId w:val="54"/>
        </w:numPr>
        <w:tabs>
          <w:tab w:val="left" w:pos="0"/>
          <w:tab w:val="right" w:pos="9214"/>
        </w:tabs>
        <w:autoSpaceDE w:val="0"/>
        <w:autoSpaceDN w:val="0"/>
        <w:adjustRightInd w:val="0"/>
        <w:spacing w:before="60" w:after="60" w:line="276" w:lineRule="auto"/>
        <w:ind w:left="714" w:hanging="357"/>
        <w:rPr>
          <w:rFonts w:ascii="Verdana" w:hAnsi="Verdana"/>
          <w:bCs/>
          <w:color w:val="000000"/>
          <w:sz w:val="20"/>
          <w:lang w:eastAsia="bg-BG"/>
        </w:rPr>
      </w:pPr>
      <w:r w:rsidRPr="005B6074">
        <w:rPr>
          <w:rFonts w:ascii="Verdana" w:eastAsiaTheme="minorHAnsi" w:hAnsi="Verdana" w:cs="EUAlbertina"/>
          <w:bCs/>
          <w:color w:val="000000"/>
          <w:sz w:val="20"/>
        </w:rPr>
        <w:t xml:space="preserve">Regulation (EU) No 1303/2013 of the European Parliament and of the Council,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w:t>
      </w:r>
    </w:p>
    <w:p w:rsidR="00C513B7" w:rsidRPr="005B6074" w:rsidRDefault="00A35E98" w:rsidP="00181A22">
      <w:pPr>
        <w:pStyle w:val="ListParagraph1"/>
        <w:widowControl w:val="0"/>
        <w:numPr>
          <w:ilvl w:val="0"/>
          <w:numId w:val="54"/>
        </w:numPr>
        <w:tabs>
          <w:tab w:val="left" w:pos="0"/>
          <w:tab w:val="right" w:pos="9214"/>
        </w:tabs>
        <w:autoSpaceDE w:val="0"/>
        <w:autoSpaceDN w:val="0"/>
        <w:adjustRightInd w:val="0"/>
        <w:spacing w:before="60" w:after="60" w:line="276" w:lineRule="auto"/>
        <w:ind w:left="714" w:hanging="357"/>
        <w:rPr>
          <w:rFonts w:ascii="Verdana" w:hAnsi="Verdana"/>
          <w:bCs/>
          <w:color w:val="000000"/>
          <w:sz w:val="20"/>
          <w:lang w:eastAsia="bg-BG"/>
        </w:rPr>
      </w:pPr>
      <w:r w:rsidRPr="005B6074">
        <w:rPr>
          <w:rFonts w:ascii="Verdana" w:eastAsiaTheme="minorHAnsi" w:hAnsi="Verdana" w:cs="EUAlbertina"/>
          <w:bCs/>
          <w:color w:val="000000"/>
          <w:sz w:val="20"/>
        </w:rPr>
        <w:t>Regulation (EU) No 1304/2013 of the European Parliament and of the Council, on the European Social Fund and repealing Council Regulation (EC) No 1081/2006</w:t>
      </w:r>
      <w:r w:rsidRPr="005B6074">
        <w:rPr>
          <w:rFonts w:ascii="EUAlbertina" w:eastAsiaTheme="minorHAnsi" w:hAnsi="EUAlbertina" w:cs="EUAlbertina"/>
          <w:bCs/>
          <w:color w:val="000000"/>
          <w:sz w:val="19"/>
          <w:szCs w:val="19"/>
        </w:rPr>
        <w:t xml:space="preserve"> </w:t>
      </w:r>
      <w:r w:rsidR="000D05AF" w:rsidRPr="005B6074">
        <w:rPr>
          <w:rFonts w:ascii="Verdana" w:eastAsia="SimSun" w:hAnsi="Verdana"/>
          <w:bCs/>
          <w:color w:val="000000"/>
          <w:sz w:val="18"/>
        </w:rPr>
        <w:t> of the European Parliament and of the Council</w:t>
      </w:r>
      <w:r w:rsidR="001466D4" w:rsidRPr="005B6074">
        <w:rPr>
          <w:rFonts w:ascii="Verdana" w:eastAsia="SimSun" w:hAnsi="Verdana"/>
          <w:bCs/>
          <w:color w:val="000000"/>
          <w:sz w:val="18"/>
        </w:rPr>
        <w:t>.</w:t>
      </w:r>
    </w:p>
    <w:p w:rsidR="00C513B7" w:rsidRPr="005B6074" w:rsidRDefault="000D05AF" w:rsidP="00C513B7">
      <w:pPr>
        <w:widowControl w:val="0"/>
        <w:tabs>
          <w:tab w:val="left" w:pos="0"/>
          <w:tab w:val="right" w:pos="9214"/>
        </w:tabs>
        <w:spacing w:before="120" w:after="12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In general</w:t>
      </w:r>
      <w:r w:rsidR="00A35E98" w:rsidRPr="005B6074">
        <w:rPr>
          <w:rFonts w:ascii="Verdana" w:eastAsia="Times New Roman" w:hAnsi="Verdana"/>
          <w:bCs/>
          <w:color w:val="000000"/>
          <w:sz w:val="20"/>
          <w:szCs w:val="20"/>
          <w:lang w:eastAsia="bg-BG"/>
        </w:rPr>
        <w:t xml:space="preserve">, only few of the strategic documents listed above contain evaluation of the financial value of the identified needs and proposed areas of intervention. The Partnership Agreement sets out the allocation of financial resources under ESIF by thematic objectives and operational programmes, which reduces significantly the possibility for reallocation of the budget under </w:t>
      </w:r>
      <w:r w:rsidR="005B35A7">
        <w:rPr>
          <w:rFonts w:ascii="Verdana" w:eastAsia="Times New Roman" w:hAnsi="Verdana"/>
          <w:bCs/>
          <w:color w:val="000000"/>
          <w:sz w:val="20"/>
          <w:szCs w:val="20"/>
          <w:lang w:eastAsia="bg-BG"/>
        </w:rPr>
        <w:t>OPSESG</w:t>
      </w:r>
      <w:r w:rsidR="00A35E98" w:rsidRPr="005B6074">
        <w:rPr>
          <w:rFonts w:ascii="Verdana" w:eastAsia="Times New Roman" w:hAnsi="Verdana"/>
          <w:bCs/>
          <w:color w:val="000000"/>
          <w:sz w:val="20"/>
          <w:szCs w:val="20"/>
          <w:lang w:eastAsia="bg-BG"/>
        </w:rPr>
        <w:t xml:space="preserve"> 2014-2020. The reason for this is the fact that each axis of </w:t>
      </w:r>
      <w:r w:rsidR="005B35A7">
        <w:rPr>
          <w:rFonts w:ascii="Verdana" w:eastAsia="Times New Roman" w:hAnsi="Verdana"/>
          <w:bCs/>
          <w:color w:val="000000"/>
          <w:sz w:val="20"/>
          <w:szCs w:val="20"/>
          <w:lang w:eastAsia="bg-BG"/>
        </w:rPr>
        <w:t>OPSESG</w:t>
      </w:r>
      <w:r w:rsidR="00A35E98" w:rsidRPr="005B6074">
        <w:rPr>
          <w:rFonts w:ascii="Verdana" w:eastAsia="Times New Roman" w:hAnsi="Verdana"/>
          <w:bCs/>
          <w:color w:val="000000"/>
          <w:sz w:val="20"/>
          <w:szCs w:val="20"/>
          <w:lang w:eastAsia="bg-BG"/>
        </w:rPr>
        <w:t xml:space="preserve"> 2014-2020 corresponds to one thematic objective, and in the case of PA1 – to a separate fund as well.</w:t>
      </w:r>
    </w:p>
    <w:p w:rsidR="00C513B7" w:rsidRPr="005B6074" w:rsidRDefault="00A35E98" w:rsidP="00C513B7">
      <w:pPr>
        <w:widowControl w:val="0"/>
        <w:tabs>
          <w:tab w:val="left" w:pos="0"/>
          <w:tab w:val="right" w:pos="9214"/>
        </w:tabs>
        <w:spacing w:before="120" w:after="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It is difficult to make a direct comparison of allocation by thematic objectives that has been laid down in the Programme document of </w:t>
      </w:r>
      <w:r w:rsidR="005B35A7">
        <w:rPr>
          <w:rFonts w:ascii="Verdana" w:eastAsia="Times New Roman" w:hAnsi="Verdana"/>
          <w:bCs/>
          <w:color w:val="000000"/>
          <w:sz w:val="20"/>
          <w:szCs w:val="20"/>
          <w:lang w:eastAsia="bg-BG"/>
        </w:rPr>
        <w:t>OPSESG</w:t>
      </w:r>
      <w:r w:rsidRPr="005B6074">
        <w:rPr>
          <w:rFonts w:ascii="Verdana" w:eastAsia="Times New Roman" w:hAnsi="Verdana"/>
          <w:bCs/>
          <w:color w:val="000000"/>
          <w:sz w:val="20"/>
          <w:szCs w:val="20"/>
          <w:lang w:eastAsia="bg-BG"/>
        </w:rPr>
        <w:t xml:space="preserve"> 2014-2020 and in the Partnership Agreement with the financial value of the priorities of the National Development Programme: Bulgaria 2020 (NDP: BG 2020). The reason for that is that under these priority areas for interventions, significant investments are planned also under other operational programmes, mainly under OPHRD and OP Innovations and Competitiveness.</w:t>
      </w:r>
    </w:p>
    <w:p w:rsidR="00C513B7" w:rsidRPr="005B6074" w:rsidRDefault="00A35E98" w:rsidP="00C513B7">
      <w:pPr>
        <w:widowControl w:val="0"/>
        <w:tabs>
          <w:tab w:val="left" w:pos="0"/>
          <w:tab w:val="right" w:pos="9214"/>
        </w:tabs>
        <w:spacing w:before="120" w:after="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Within the framework of NDP: BG 2020, </w:t>
      </w:r>
      <w:r w:rsidR="005B35A7">
        <w:rPr>
          <w:rFonts w:ascii="Verdana" w:eastAsia="Times New Roman" w:hAnsi="Verdana"/>
          <w:bCs/>
          <w:color w:val="000000"/>
          <w:sz w:val="20"/>
          <w:szCs w:val="20"/>
          <w:lang w:eastAsia="bg-BG"/>
        </w:rPr>
        <w:t>OPSESG</w:t>
      </w:r>
      <w:r w:rsidRPr="005B6074">
        <w:rPr>
          <w:rFonts w:ascii="Verdana" w:eastAsia="Times New Roman" w:hAnsi="Verdana"/>
          <w:bCs/>
          <w:color w:val="000000"/>
          <w:sz w:val="20"/>
          <w:szCs w:val="20"/>
          <w:lang w:eastAsia="bg-BG"/>
        </w:rPr>
        <w:t xml:space="preserve"> is related mainly to the achievement of the following priorities of NDP: BG 2020:</w:t>
      </w:r>
    </w:p>
    <w:p w:rsidR="00C513B7" w:rsidRPr="005B6074" w:rsidRDefault="00A35E98" w:rsidP="00C513B7">
      <w:pPr>
        <w:widowControl w:val="0"/>
        <w:tabs>
          <w:tab w:val="left" w:pos="360"/>
          <w:tab w:val="right" w:pos="9214"/>
        </w:tabs>
        <w:spacing w:before="120" w:after="0"/>
        <w:ind w:left="36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1. Improving the access to and raising the quality of education and training and of the quality characteristics of the labour force.</w:t>
      </w:r>
    </w:p>
    <w:p w:rsidR="00C513B7" w:rsidRPr="005B6074" w:rsidRDefault="00A35E98" w:rsidP="00C513B7">
      <w:pPr>
        <w:widowControl w:val="0"/>
        <w:tabs>
          <w:tab w:val="left" w:pos="360"/>
          <w:tab w:val="right" w:pos="9214"/>
        </w:tabs>
        <w:spacing w:before="120" w:after="0"/>
        <w:ind w:left="36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2. Reducing poverty and promoting social inclusion.</w:t>
      </w:r>
    </w:p>
    <w:p w:rsidR="00C513B7" w:rsidRPr="005B6074" w:rsidRDefault="00A35E98" w:rsidP="00C513B7">
      <w:pPr>
        <w:widowControl w:val="0"/>
        <w:tabs>
          <w:tab w:val="left" w:pos="360"/>
          <w:tab w:val="right" w:pos="9214"/>
        </w:tabs>
        <w:spacing w:before="120" w:after="0"/>
        <w:ind w:left="36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5. Supporting innovations and investment activities for raising the competitiveness of economy.</w:t>
      </w:r>
    </w:p>
    <w:p w:rsidR="00C513B7" w:rsidRPr="005B6074" w:rsidRDefault="00A35E98" w:rsidP="00C513B7">
      <w:pPr>
        <w:widowControl w:val="0"/>
        <w:tabs>
          <w:tab w:val="left" w:pos="0"/>
          <w:tab w:val="right" w:pos="9214"/>
        </w:tabs>
        <w:spacing w:before="120" w:after="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The financial allocation in the Partnership Agreement, which determines to a great extent the one in </w:t>
      </w:r>
      <w:r w:rsidR="005B35A7">
        <w:rPr>
          <w:rFonts w:ascii="Verdana" w:eastAsia="Times New Roman" w:hAnsi="Verdana"/>
          <w:bCs/>
          <w:color w:val="000000"/>
          <w:sz w:val="20"/>
          <w:szCs w:val="20"/>
          <w:lang w:eastAsia="bg-BG"/>
        </w:rPr>
        <w:t>OPSESG</w:t>
      </w:r>
      <w:r w:rsidRPr="005B6074">
        <w:rPr>
          <w:rFonts w:ascii="Verdana" w:eastAsia="Times New Roman" w:hAnsi="Verdana"/>
          <w:bCs/>
          <w:color w:val="000000"/>
          <w:sz w:val="20"/>
          <w:szCs w:val="20"/>
          <w:lang w:eastAsia="bg-BG"/>
        </w:rPr>
        <w:t xml:space="preserve"> (the funds allocated under OPIC should be also taken into account under TO1), envisages a total of 23% of all EU funds to be allocated to </w:t>
      </w:r>
      <w:proofErr w:type="spellStart"/>
      <w:r w:rsidRPr="005B6074">
        <w:rPr>
          <w:rFonts w:ascii="Verdana" w:eastAsia="Times New Roman" w:hAnsi="Verdana"/>
          <w:bCs/>
          <w:color w:val="000000"/>
          <w:sz w:val="20"/>
          <w:szCs w:val="20"/>
          <w:lang w:eastAsia="bg-BG"/>
        </w:rPr>
        <w:t>TO</w:t>
      </w:r>
      <w:proofErr w:type="spellEnd"/>
      <w:r w:rsidRPr="005B6074">
        <w:rPr>
          <w:rFonts w:ascii="Verdana" w:eastAsia="Times New Roman" w:hAnsi="Verdana"/>
          <w:bCs/>
          <w:color w:val="000000"/>
          <w:sz w:val="20"/>
          <w:szCs w:val="20"/>
          <w:lang w:eastAsia="bg-BG"/>
        </w:rPr>
        <w:t xml:space="preserve"> 1, 9 and 10, which is lower, but comparable with the total of 28% envisaged for the analogous priorities in NDP: BG 2020.</w:t>
      </w:r>
    </w:p>
    <w:p w:rsidR="00C513B7" w:rsidRPr="005B6074" w:rsidRDefault="00C513B7" w:rsidP="00C513B7">
      <w:pPr>
        <w:widowControl w:val="0"/>
        <w:tabs>
          <w:tab w:val="left" w:pos="0"/>
          <w:tab w:val="right" w:pos="9214"/>
        </w:tabs>
        <w:spacing w:after="0"/>
        <w:jc w:val="both"/>
        <w:rPr>
          <w:rFonts w:ascii="Verdana" w:eastAsia="Times New Roman" w:hAnsi="Verdana"/>
          <w:bCs/>
          <w:color w:val="000000"/>
          <w:sz w:val="20"/>
          <w:szCs w:val="20"/>
          <w:lang w:eastAsia="bg-BG"/>
        </w:rPr>
      </w:pPr>
    </w:p>
    <w:tbl>
      <w:tblPr>
        <w:tblStyle w:val="IkaTable"/>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42"/>
        <w:gridCol w:w="1985"/>
        <w:gridCol w:w="1994"/>
      </w:tblGrid>
      <w:tr w:rsidR="00C513B7" w:rsidRPr="005B6074" w:rsidTr="003753FE">
        <w:tc>
          <w:tcPr>
            <w:tcW w:w="3251" w:type="dxa"/>
            <w:shd w:val="clear" w:color="auto" w:fill="17365D" w:themeFill="text2" w:themeFillShade="BF"/>
          </w:tcPr>
          <w:p w:rsidR="00A511E7" w:rsidRPr="005B6074" w:rsidRDefault="00A35E98" w:rsidP="005B6074">
            <w:pPr>
              <w:widowControl w:val="0"/>
              <w:tabs>
                <w:tab w:val="left" w:pos="0"/>
                <w:tab w:val="right" w:pos="9214"/>
              </w:tabs>
              <w:spacing w:before="120" w:after="0"/>
              <w:jc w:val="center"/>
              <w:rPr>
                <w:rFonts w:ascii="Verdana" w:eastAsia="Times New Roman" w:hAnsi="Verdana"/>
                <w:bCs/>
                <w:sz w:val="18"/>
                <w:szCs w:val="18"/>
              </w:rPr>
            </w:pPr>
            <w:r w:rsidRPr="005B6074">
              <w:rPr>
                <w:rFonts w:ascii="Verdana" w:eastAsia="Times New Roman" w:hAnsi="Verdana"/>
                <w:bCs/>
                <w:sz w:val="18"/>
                <w:szCs w:val="18"/>
              </w:rPr>
              <w:t>Areas of intervention</w:t>
            </w:r>
          </w:p>
        </w:tc>
        <w:tc>
          <w:tcPr>
            <w:tcW w:w="1842" w:type="dxa"/>
            <w:shd w:val="clear" w:color="auto" w:fill="17365D" w:themeFill="text2" w:themeFillShade="BF"/>
          </w:tcPr>
          <w:p w:rsidR="00A511E7" w:rsidRPr="005B6074" w:rsidRDefault="005B35A7" w:rsidP="005B6074">
            <w:pPr>
              <w:widowControl w:val="0"/>
              <w:tabs>
                <w:tab w:val="left" w:pos="0"/>
                <w:tab w:val="right" w:pos="9214"/>
              </w:tabs>
              <w:spacing w:before="120" w:after="0"/>
              <w:jc w:val="center"/>
              <w:rPr>
                <w:rFonts w:ascii="Verdana" w:eastAsia="Times New Roman" w:hAnsi="Verdana"/>
                <w:bCs/>
                <w:sz w:val="18"/>
                <w:szCs w:val="18"/>
              </w:rPr>
            </w:pPr>
            <w:r>
              <w:rPr>
                <w:rFonts w:ascii="Verdana" w:eastAsia="Times New Roman" w:hAnsi="Verdana"/>
                <w:bCs/>
                <w:sz w:val="18"/>
                <w:szCs w:val="18"/>
              </w:rPr>
              <w:t>OPSESG</w:t>
            </w:r>
          </w:p>
          <w:p w:rsidR="00A511E7" w:rsidRPr="005B6074" w:rsidRDefault="00A35E98" w:rsidP="005B6074">
            <w:pPr>
              <w:widowControl w:val="0"/>
              <w:tabs>
                <w:tab w:val="left" w:pos="0"/>
                <w:tab w:val="right" w:pos="9214"/>
              </w:tabs>
              <w:spacing w:after="0"/>
              <w:jc w:val="center"/>
              <w:rPr>
                <w:rFonts w:ascii="Verdana" w:eastAsia="Times New Roman" w:hAnsi="Verdana"/>
                <w:bCs/>
                <w:sz w:val="18"/>
                <w:szCs w:val="18"/>
              </w:rPr>
            </w:pPr>
            <w:r w:rsidRPr="005B6074">
              <w:rPr>
                <w:rFonts w:ascii="Verdana" w:eastAsia="Times New Roman" w:hAnsi="Verdana"/>
                <w:bCs/>
                <w:sz w:val="18"/>
                <w:szCs w:val="18"/>
              </w:rPr>
              <w:t>2014-2020</w:t>
            </w:r>
          </w:p>
        </w:tc>
        <w:tc>
          <w:tcPr>
            <w:tcW w:w="1985" w:type="dxa"/>
            <w:shd w:val="clear" w:color="auto" w:fill="17365D" w:themeFill="text2" w:themeFillShade="BF"/>
          </w:tcPr>
          <w:p w:rsidR="00A511E7" w:rsidRPr="005B6074" w:rsidRDefault="00A35E98" w:rsidP="005B6074">
            <w:pPr>
              <w:widowControl w:val="0"/>
              <w:tabs>
                <w:tab w:val="left" w:pos="0"/>
                <w:tab w:val="right" w:pos="9214"/>
              </w:tabs>
              <w:spacing w:after="0"/>
              <w:jc w:val="center"/>
              <w:rPr>
                <w:rFonts w:ascii="Verdana" w:eastAsia="Times New Roman" w:hAnsi="Verdana"/>
                <w:bCs/>
                <w:sz w:val="18"/>
                <w:szCs w:val="18"/>
              </w:rPr>
            </w:pPr>
            <w:r w:rsidRPr="005B6074">
              <w:rPr>
                <w:rFonts w:ascii="Verdana" w:eastAsia="Times New Roman" w:hAnsi="Verdana"/>
                <w:bCs/>
                <w:sz w:val="18"/>
                <w:szCs w:val="18"/>
              </w:rPr>
              <w:t>Partnership Agreement</w:t>
            </w:r>
          </w:p>
        </w:tc>
        <w:tc>
          <w:tcPr>
            <w:tcW w:w="1994" w:type="dxa"/>
            <w:shd w:val="clear" w:color="auto" w:fill="17365D" w:themeFill="text2" w:themeFillShade="BF"/>
          </w:tcPr>
          <w:p w:rsidR="00A511E7" w:rsidRPr="005B6074" w:rsidRDefault="00A35E98" w:rsidP="005B6074">
            <w:pPr>
              <w:widowControl w:val="0"/>
              <w:tabs>
                <w:tab w:val="left" w:pos="0"/>
                <w:tab w:val="right" w:pos="9214"/>
              </w:tabs>
              <w:spacing w:before="120" w:after="0"/>
              <w:jc w:val="center"/>
              <w:rPr>
                <w:rFonts w:ascii="Verdana" w:eastAsia="Times New Roman" w:hAnsi="Verdana"/>
                <w:bCs/>
                <w:sz w:val="18"/>
                <w:szCs w:val="18"/>
              </w:rPr>
            </w:pPr>
            <w:r w:rsidRPr="005B6074">
              <w:rPr>
                <w:rFonts w:ascii="Verdana" w:eastAsia="Times New Roman" w:hAnsi="Verdana"/>
                <w:bCs/>
                <w:sz w:val="18"/>
                <w:szCs w:val="18"/>
              </w:rPr>
              <w:t>NDP: BG 2020</w:t>
            </w:r>
          </w:p>
        </w:tc>
      </w:tr>
      <w:tr w:rsidR="00C513B7" w:rsidRPr="005B6074" w:rsidTr="003753FE">
        <w:tc>
          <w:tcPr>
            <w:tcW w:w="3251" w:type="dxa"/>
            <w:vAlign w:val="top"/>
          </w:tcPr>
          <w:p w:rsidR="00A511E7" w:rsidRPr="005B6074" w:rsidRDefault="00454907" w:rsidP="005B6074">
            <w:pPr>
              <w:widowControl w:val="0"/>
              <w:tabs>
                <w:tab w:val="left" w:pos="103"/>
                <w:tab w:val="right" w:pos="9214"/>
              </w:tabs>
              <w:spacing w:before="120" w:after="0"/>
              <w:ind w:left="103"/>
              <w:rPr>
                <w:rFonts w:ascii="Verdana" w:eastAsia="Times New Roman" w:hAnsi="Verdana"/>
                <w:bCs/>
                <w:color w:val="000000"/>
                <w:sz w:val="20"/>
                <w:szCs w:val="20"/>
              </w:rPr>
            </w:pPr>
            <w:r w:rsidRPr="005B6074">
              <w:rPr>
                <w:rFonts w:ascii="Verdana" w:eastAsia="Times New Roman" w:hAnsi="Verdana"/>
                <w:bCs/>
                <w:color w:val="000000"/>
                <w:sz w:val="20"/>
                <w:szCs w:val="20"/>
              </w:rPr>
              <w:t xml:space="preserve">1. </w:t>
            </w:r>
            <w:r w:rsidR="00A35E98" w:rsidRPr="005B6074">
              <w:rPr>
                <w:rFonts w:ascii="Verdana" w:eastAsia="Times New Roman" w:hAnsi="Verdana"/>
                <w:bCs/>
                <w:color w:val="000000"/>
                <w:sz w:val="20"/>
                <w:szCs w:val="20"/>
              </w:rPr>
              <w:t>Enhancement research and technological development and innovations</w:t>
            </w:r>
          </w:p>
        </w:tc>
        <w:tc>
          <w:tcPr>
            <w:tcW w:w="1842" w:type="dxa"/>
          </w:tcPr>
          <w:p w:rsidR="00A511E7" w:rsidRPr="005B6074" w:rsidRDefault="00A35E98" w:rsidP="005B6074">
            <w:pPr>
              <w:widowControl w:val="0"/>
              <w:tabs>
                <w:tab w:val="left" w:pos="0"/>
                <w:tab w:val="right" w:pos="9214"/>
              </w:tabs>
              <w:spacing w:before="120" w:after="0"/>
              <w:jc w:val="center"/>
              <w:rPr>
                <w:rFonts w:ascii="Verdana" w:eastAsia="Times New Roman" w:hAnsi="Verdana"/>
                <w:bCs/>
                <w:color w:val="000000"/>
                <w:sz w:val="20"/>
                <w:szCs w:val="20"/>
              </w:rPr>
            </w:pPr>
            <w:r w:rsidRPr="005B6074">
              <w:rPr>
                <w:rFonts w:ascii="Verdana" w:eastAsia="Times New Roman" w:hAnsi="Verdana"/>
                <w:bCs/>
                <w:color w:val="000000"/>
                <w:sz w:val="20"/>
                <w:szCs w:val="20"/>
              </w:rPr>
              <w:t>41%</w:t>
            </w:r>
          </w:p>
        </w:tc>
        <w:tc>
          <w:tcPr>
            <w:tcW w:w="1985" w:type="dxa"/>
          </w:tcPr>
          <w:p w:rsidR="00A511E7" w:rsidRPr="005B6074" w:rsidRDefault="00A35E98" w:rsidP="005B6074">
            <w:pPr>
              <w:widowControl w:val="0"/>
              <w:tabs>
                <w:tab w:val="left" w:pos="0"/>
                <w:tab w:val="right" w:pos="9214"/>
              </w:tabs>
              <w:spacing w:before="120" w:after="0"/>
              <w:jc w:val="center"/>
              <w:rPr>
                <w:rFonts w:ascii="Verdana" w:eastAsia="Times New Roman" w:hAnsi="Verdana"/>
                <w:bCs/>
                <w:color w:val="000000"/>
                <w:sz w:val="20"/>
                <w:szCs w:val="20"/>
              </w:rPr>
            </w:pPr>
            <w:r w:rsidRPr="005B6074">
              <w:rPr>
                <w:rFonts w:ascii="Verdana" w:eastAsia="Times New Roman" w:hAnsi="Verdana"/>
                <w:bCs/>
                <w:color w:val="000000"/>
                <w:sz w:val="20"/>
                <w:szCs w:val="20"/>
              </w:rPr>
              <w:t>5.4%</w:t>
            </w:r>
          </w:p>
        </w:tc>
        <w:tc>
          <w:tcPr>
            <w:tcW w:w="1994" w:type="dxa"/>
          </w:tcPr>
          <w:p w:rsidR="00A511E7" w:rsidRPr="005B6074" w:rsidRDefault="00A35E98" w:rsidP="005B6074">
            <w:pPr>
              <w:widowControl w:val="0"/>
              <w:tabs>
                <w:tab w:val="left" w:pos="0"/>
                <w:tab w:val="right" w:pos="9214"/>
              </w:tabs>
              <w:spacing w:before="120" w:after="0"/>
              <w:jc w:val="center"/>
              <w:rPr>
                <w:rFonts w:ascii="Verdana" w:eastAsia="Times New Roman" w:hAnsi="Verdana"/>
                <w:bCs/>
                <w:color w:val="000000"/>
                <w:sz w:val="20"/>
                <w:szCs w:val="20"/>
              </w:rPr>
            </w:pPr>
            <w:r w:rsidRPr="005B6074">
              <w:rPr>
                <w:rFonts w:ascii="Verdana" w:eastAsia="Times New Roman" w:hAnsi="Verdana"/>
                <w:bCs/>
                <w:color w:val="000000"/>
                <w:sz w:val="20"/>
                <w:szCs w:val="20"/>
              </w:rPr>
              <w:t>5.5%</w:t>
            </w:r>
          </w:p>
        </w:tc>
      </w:tr>
      <w:tr w:rsidR="00C513B7" w:rsidRPr="005B6074" w:rsidTr="003753FE">
        <w:tc>
          <w:tcPr>
            <w:tcW w:w="3251" w:type="dxa"/>
            <w:shd w:val="clear" w:color="auto" w:fill="DBE5F1" w:themeFill="accent1" w:themeFillTint="33"/>
            <w:vAlign w:val="top"/>
          </w:tcPr>
          <w:p w:rsidR="00A511E7" w:rsidRPr="005B6074" w:rsidRDefault="00A35E98" w:rsidP="005B6074">
            <w:pPr>
              <w:widowControl w:val="0"/>
              <w:tabs>
                <w:tab w:val="left" w:pos="103"/>
                <w:tab w:val="right" w:pos="9214"/>
              </w:tabs>
              <w:spacing w:before="120" w:after="0"/>
              <w:ind w:left="103"/>
              <w:rPr>
                <w:rFonts w:ascii="Verdana" w:eastAsia="Times New Roman" w:hAnsi="Verdana"/>
                <w:bCs/>
                <w:color w:val="000000"/>
                <w:sz w:val="20"/>
                <w:szCs w:val="20"/>
              </w:rPr>
            </w:pPr>
            <w:r w:rsidRPr="005B6074">
              <w:rPr>
                <w:rFonts w:ascii="Verdana" w:eastAsia="Times New Roman" w:hAnsi="Verdana"/>
                <w:bCs/>
                <w:color w:val="000000"/>
                <w:sz w:val="20"/>
                <w:szCs w:val="20"/>
              </w:rPr>
              <w:t>9.</w:t>
            </w:r>
            <w:r w:rsidR="00454907" w:rsidRPr="005B6074">
              <w:rPr>
                <w:rFonts w:ascii="Verdana" w:eastAsia="Times New Roman" w:hAnsi="Verdana"/>
                <w:bCs/>
                <w:color w:val="000000"/>
                <w:sz w:val="20"/>
                <w:szCs w:val="20"/>
              </w:rPr>
              <w:t xml:space="preserve"> </w:t>
            </w:r>
            <w:r w:rsidRPr="005B6074">
              <w:rPr>
                <w:rFonts w:ascii="Verdana" w:eastAsia="Times New Roman" w:hAnsi="Verdana"/>
                <w:bCs/>
                <w:color w:val="000000"/>
                <w:sz w:val="20"/>
                <w:szCs w:val="20"/>
              </w:rPr>
              <w:t>Promotion of social inclusion and struggle against poverty</w:t>
            </w:r>
          </w:p>
        </w:tc>
        <w:tc>
          <w:tcPr>
            <w:tcW w:w="1842" w:type="dxa"/>
            <w:shd w:val="clear" w:color="auto" w:fill="DBE5F1" w:themeFill="accent1" w:themeFillTint="33"/>
          </w:tcPr>
          <w:p w:rsidR="00A511E7" w:rsidRPr="005B6074" w:rsidRDefault="00A35E98" w:rsidP="005B6074">
            <w:pPr>
              <w:widowControl w:val="0"/>
              <w:tabs>
                <w:tab w:val="left" w:pos="0"/>
                <w:tab w:val="right" w:pos="9214"/>
              </w:tabs>
              <w:spacing w:before="120" w:after="0"/>
              <w:jc w:val="center"/>
              <w:rPr>
                <w:rFonts w:ascii="Verdana" w:eastAsia="Times New Roman" w:hAnsi="Verdana"/>
                <w:bCs/>
                <w:color w:val="000000"/>
                <w:sz w:val="20"/>
                <w:szCs w:val="20"/>
              </w:rPr>
            </w:pPr>
            <w:r w:rsidRPr="005B6074">
              <w:rPr>
                <w:rFonts w:ascii="Verdana" w:eastAsia="Times New Roman" w:hAnsi="Verdana"/>
                <w:bCs/>
                <w:color w:val="000000"/>
                <w:sz w:val="20"/>
                <w:szCs w:val="20"/>
              </w:rPr>
              <w:t>18%</w:t>
            </w:r>
          </w:p>
        </w:tc>
        <w:tc>
          <w:tcPr>
            <w:tcW w:w="1985" w:type="dxa"/>
            <w:shd w:val="clear" w:color="auto" w:fill="DBE5F1" w:themeFill="accent1" w:themeFillTint="33"/>
          </w:tcPr>
          <w:p w:rsidR="00A511E7" w:rsidRPr="005B6074" w:rsidRDefault="00A35E98" w:rsidP="005B6074">
            <w:pPr>
              <w:widowControl w:val="0"/>
              <w:tabs>
                <w:tab w:val="left" w:pos="0"/>
                <w:tab w:val="right" w:pos="9214"/>
              </w:tabs>
              <w:spacing w:before="120" w:after="0"/>
              <w:jc w:val="center"/>
              <w:rPr>
                <w:rFonts w:ascii="Verdana" w:eastAsia="Times New Roman" w:hAnsi="Verdana"/>
                <w:bCs/>
                <w:color w:val="000000"/>
                <w:sz w:val="20"/>
                <w:szCs w:val="20"/>
              </w:rPr>
            </w:pPr>
            <w:r w:rsidRPr="005B6074">
              <w:rPr>
                <w:rFonts w:ascii="Verdana" w:eastAsia="Times New Roman" w:hAnsi="Verdana"/>
                <w:bCs/>
                <w:color w:val="000000"/>
                <w:sz w:val="20"/>
                <w:szCs w:val="20"/>
              </w:rPr>
              <w:t>12.7%</w:t>
            </w:r>
          </w:p>
        </w:tc>
        <w:tc>
          <w:tcPr>
            <w:tcW w:w="1994" w:type="dxa"/>
            <w:shd w:val="clear" w:color="auto" w:fill="DBE5F1" w:themeFill="accent1" w:themeFillTint="33"/>
          </w:tcPr>
          <w:p w:rsidR="00A511E7" w:rsidRPr="005B6074" w:rsidRDefault="00A35E98" w:rsidP="005B6074">
            <w:pPr>
              <w:widowControl w:val="0"/>
              <w:tabs>
                <w:tab w:val="left" w:pos="0"/>
                <w:tab w:val="right" w:pos="9214"/>
              </w:tabs>
              <w:spacing w:before="120" w:after="0"/>
              <w:jc w:val="center"/>
              <w:rPr>
                <w:rFonts w:ascii="Verdana" w:eastAsia="Times New Roman" w:hAnsi="Verdana"/>
                <w:bCs/>
                <w:color w:val="000000"/>
                <w:sz w:val="20"/>
                <w:szCs w:val="20"/>
              </w:rPr>
            </w:pPr>
            <w:r w:rsidRPr="005B6074">
              <w:rPr>
                <w:rFonts w:ascii="Verdana" w:eastAsia="Times New Roman" w:hAnsi="Verdana"/>
                <w:bCs/>
                <w:color w:val="000000"/>
                <w:sz w:val="20"/>
                <w:szCs w:val="20"/>
              </w:rPr>
              <w:t>7.9%</w:t>
            </w:r>
          </w:p>
        </w:tc>
      </w:tr>
      <w:tr w:rsidR="00C513B7" w:rsidRPr="005B6074" w:rsidTr="003753FE">
        <w:tc>
          <w:tcPr>
            <w:tcW w:w="3251" w:type="dxa"/>
            <w:vAlign w:val="top"/>
          </w:tcPr>
          <w:p w:rsidR="00A511E7" w:rsidRPr="005B6074" w:rsidRDefault="00A35E98" w:rsidP="005B6074">
            <w:pPr>
              <w:widowControl w:val="0"/>
              <w:tabs>
                <w:tab w:val="left" w:pos="103"/>
                <w:tab w:val="right" w:pos="9214"/>
              </w:tabs>
              <w:spacing w:before="120" w:after="0"/>
              <w:ind w:left="103"/>
              <w:rPr>
                <w:rFonts w:ascii="Verdana" w:eastAsia="Times New Roman" w:hAnsi="Verdana"/>
                <w:bCs/>
                <w:color w:val="000000"/>
                <w:sz w:val="20"/>
                <w:szCs w:val="20"/>
              </w:rPr>
            </w:pPr>
            <w:r w:rsidRPr="005B6074">
              <w:rPr>
                <w:rFonts w:ascii="Verdana" w:eastAsia="Times New Roman" w:hAnsi="Verdana"/>
                <w:bCs/>
                <w:color w:val="000000"/>
                <w:sz w:val="20"/>
                <w:szCs w:val="20"/>
              </w:rPr>
              <w:t>10.</w:t>
            </w:r>
            <w:r w:rsidR="00454907" w:rsidRPr="005B6074">
              <w:rPr>
                <w:rFonts w:ascii="Verdana" w:eastAsia="Times New Roman" w:hAnsi="Verdana"/>
                <w:bCs/>
                <w:color w:val="000000"/>
                <w:sz w:val="20"/>
                <w:szCs w:val="20"/>
              </w:rPr>
              <w:t xml:space="preserve"> </w:t>
            </w:r>
            <w:r w:rsidRPr="005B6074">
              <w:rPr>
                <w:rFonts w:ascii="Verdana" w:eastAsia="Times New Roman" w:hAnsi="Verdana"/>
                <w:bCs/>
                <w:color w:val="000000"/>
                <w:sz w:val="20"/>
                <w:szCs w:val="20"/>
              </w:rPr>
              <w:t>Investment in education, skills and lifelong learning</w:t>
            </w:r>
          </w:p>
        </w:tc>
        <w:tc>
          <w:tcPr>
            <w:tcW w:w="1842" w:type="dxa"/>
          </w:tcPr>
          <w:p w:rsidR="00A511E7" w:rsidRPr="005B6074" w:rsidRDefault="00A35E98" w:rsidP="005B6074">
            <w:pPr>
              <w:widowControl w:val="0"/>
              <w:tabs>
                <w:tab w:val="left" w:pos="0"/>
                <w:tab w:val="right" w:pos="9214"/>
              </w:tabs>
              <w:spacing w:before="120" w:after="0"/>
              <w:jc w:val="center"/>
              <w:rPr>
                <w:rFonts w:ascii="Verdana" w:eastAsia="Times New Roman" w:hAnsi="Verdana"/>
                <w:bCs/>
                <w:color w:val="000000"/>
                <w:sz w:val="20"/>
                <w:szCs w:val="20"/>
              </w:rPr>
            </w:pPr>
            <w:r w:rsidRPr="005B6074">
              <w:rPr>
                <w:rFonts w:ascii="Verdana" w:eastAsia="Times New Roman" w:hAnsi="Verdana"/>
                <w:bCs/>
                <w:color w:val="000000"/>
                <w:sz w:val="20"/>
                <w:szCs w:val="20"/>
              </w:rPr>
              <w:t>36%</w:t>
            </w:r>
          </w:p>
        </w:tc>
        <w:tc>
          <w:tcPr>
            <w:tcW w:w="1985" w:type="dxa"/>
          </w:tcPr>
          <w:p w:rsidR="00A511E7" w:rsidRPr="005B6074" w:rsidRDefault="00A35E98" w:rsidP="005B6074">
            <w:pPr>
              <w:widowControl w:val="0"/>
              <w:tabs>
                <w:tab w:val="left" w:pos="0"/>
                <w:tab w:val="right" w:pos="9214"/>
              </w:tabs>
              <w:spacing w:before="120" w:after="0"/>
              <w:jc w:val="center"/>
              <w:rPr>
                <w:rFonts w:ascii="Verdana" w:eastAsia="Times New Roman" w:hAnsi="Verdana"/>
                <w:bCs/>
                <w:color w:val="000000"/>
                <w:sz w:val="20"/>
                <w:szCs w:val="20"/>
              </w:rPr>
            </w:pPr>
            <w:r w:rsidRPr="005B6074">
              <w:rPr>
                <w:rFonts w:ascii="Verdana" w:eastAsia="Times New Roman" w:hAnsi="Verdana"/>
                <w:bCs/>
                <w:color w:val="000000"/>
                <w:sz w:val="20"/>
                <w:szCs w:val="20"/>
              </w:rPr>
              <w:t>5.1%</w:t>
            </w:r>
          </w:p>
        </w:tc>
        <w:tc>
          <w:tcPr>
            <w:tcW w:w="1994" w:type="dxa"/>
          </w:tcPr>
          <w:p w:rsidR="00A511E7" w:rsidRPr="005B6074" w:rsidRDefault="00A35E98" w:rsidP="005B6074">
            <w:pPr>
              <w:widowControl w:val="0"/>
              <w:tabs>
                <w:tab w:val="left" w:pos="0"/>
                <w:tab w:val="right" w:pos="9214"/>
              </w:tabs>
              <w:spacing w:before="120" w:after="0"/>
              <w:jc w:val="center"/>
              <w:rPr>
                <w:rFonts w:ascii="Verdana" w:eastAsia="Times New Roman" w:hAnsi="Verdana"/>
                <w:bCs/>
                <w:color w:val="000000"/>
                <w:sz w:val="20"/>
                <w:szCs w:val="20"/>
              </w:rPr>
            </w:pPr>
            <w:r w:rsidRPr="005B6074">
              <w:rPr>
                <w:rFonts w:ascii="Verdana" w:eastAsia="Times New Roman" w:hAnsi="Verdana"/>
                <w:bCs/>
                <w:color w:val="000000"/>
                <w:sz w:val="20"/>
                <w:szCs w:val="20"/>
              </w:rPr>
              <w:t>14.5%</w:t>
            </w:r>
          </w:p>
        </w:tc>
      </w:tr>
    </w:tbl>
    <w:p w:rsidR="00C513B7" w:rsidRPr="005B6074" w:rsidRDefault="00A35E98" w:rsidP="00C513B7">
      <w:pPr>
        <w:widowControl w:val="0"/>
        <w:tabs>
          <w:tab w:val="left" w:pos="0"/>
          <w:tab w:val="right" w:pos="9214"/>
        </w:tabs>
        <w:spacing w:before="120" w:after="0"/>
        <w:rPr>
          <w:rFonts w:ascii="Verdana" w:eastAsia="Times New Roman" w:hAnsi="Verdana"/>
          <w:bCs/>
          <w:color w:val="000000"/>
          <w:sz w:val="16"/>
          <w:szCs w:val="16"/>
          <w:lang w:eastAsia="bg-BG"/>
        </w:rPr>
      </w:pPr>
      <w:r w:rsidRPr="005B6074">
        <w:rPr>
          <w:rFonts w:ascii="Verdana" w:eastAsia="Times New Roman" w:hAnsi="Verdana"/>
          <w:bCs/>
          <w:color w:val="000000"/>
          <w:sz w:val="16"/>
          <w:szCs w:val="16"/>
          <w:lang w:eastAsia="bg-BG"/>
        </w:rPr>
        <w:t xml:space="preserve">Source: </w:t>
      </w:r>
      <w:r w:rsidR="005B35A7">
        <w:rPr>
          <w:rFonts w:ascii="Verdana" w:eastAsia="Times New Roman" w:hAnsi="Verdana"/>
          <w:bCs/>
          <w:color w:val="000000"/>
          <w:sz w:val="16"/>
          <w:szCs w:val="16"/>
          <w:lang w:eastAsia="bg-BG"/>
        </w:rPr>
        <w:t>OPSESG</w:t>
      </w:r>
      <w:r w:rsidRPr="005B6074">
        <w:rPr>
          <w:rFonts w:ascii="Verdana" w:eastAsia="Times New Roman" w:hAnsi="Verdana"/>
          <w:bCs/>
          <w:color w:val="000000"/>
          <w:sz w:val="16"/>
          <w:szCs w:val="16"/>
          <w:lang w:eastAsia="bg-BG"/>
        </w:rPr>
        <w:t xml:space="preserve"> </w:t>
      </w:r>
      <w:r w:rsidRPr="005B6074">
        <w:rPr>
          <w:rFonts w:ascii="Verdana" w:eastAsia="Calibri" w:hAnsi="Verdana"/>
          <w:sz w:val="16"/>
          <w:szCs w:val="16"/>
        </w:rPr>
        <w:t>2014-2020 г.</w:t>
      </w:r>
      <w:proofErr w:type="gramStart"/>
      <w:r w:rsidRPr="005B6074">
        <w:rPr>
          <w:rFonts w:ascii="Verdana" w:eastAsia="Calibri" w:hAnsi="Verdana"/>
          <w:sz w:val="16"/>
          <w:szCs w:val="16"/>
        </w:rPr>
        <w:t>”</w:t>
      </w:r>
      <w:r w:rsidRPr="005B6074">
        <w:rPr>
          <w:rFonts w:ascii="Verdana" w:eastAsia="Times New Roman" w:hAnsi="Verdana"/>
          <w:bCs/>
          <w:color w:val="000000"/>
          <w:sz w:val="16"/>
          <w:szCs w:val="16"/>
          <w:lang w:eastAsia="bg-BG"/>
        </w:rPr>
        <w:t>,</w:t>
      </w:r>
      <w:proofErr w:type="gramEnd"/>
      <w:r w:rsidRPr="005B6074">
        <w:rPr>
          <w:rFonts w:ascii="Verdana" w:eastAsia="Times New Roman" w:hAnsi="Verdana"/>
          <w:bCs/>
          <w:color w:val="000000"/>
          <w:sz w:val="16"/>
          <w:szCs w:val="16"/>
          <w:lang w:eastAsia="bg-BG"/>
        </w:rPr>
        <w:t xml:space="preserve"> Partnership Agreement of Bulgaria and NDP:</w:t>
      </w:r>
      <w:r w:rsidR="000D05AF" w:rsidRPr="005B6074">
        <w:rPr>
          <w:rFonts w:ascii="Verdana" w:eastAsia="Times New Roman" w:hAnsi="Verdana"/>
          <w:bCs/>
          <w:color w:val="000000"/>
          <w:sz w:val="16"/>
          <w:szCs w:val="16"/>
          <w:lang w:eastAsia="bg-BG"/>
        </w:rPr>
        <w:t xml:space="preserve"> </w:t>
      </w:r>
      <w:r w:rsidRPr="005B6074">
        <w:rPr>
          <w:rFonts w:ascii="Verdana" w:eastAsia="Times New Roman" w:hAnsi="Verdana"/>
          <w:bCs/>
          <w:color w:val="000000"/>
          <w:sz w:val="16"/>
          <w:szCs w:val="16"/>
          <w:lang w:eastAsia="bg-BG"/>
        </w:rPr>
        <w:t>BG 2020.</w:t>
      </w:r>
    </w:p>
    <w:p w:rsidR="00C513B7" w:rsidRPr="005B6074" w:rsidRDefault="00C513B7" w:rsidP="00C513B7">
      <w:pPr>
        <w:spacing w:after="0"/>
        <w:jc w:val="both"/>
        <w:rPr>
          <w:rFonts w:ascii="Verdana" w:eastAsia="Times New Roman" w:hAnsi="Verdana"/>
          <w:bCs/>
          <w:color w:val="000000"/>
          <w:sz w:val="20"/>
          <w:szCs w:val="20"/>
          <w:lang w:eastAsia="bg-BG"/>
        </w:rPr>
      </w:pPr>
    </w:p>
    <w:p w:rsidR="00C513B7" w:rsidRPr="005B6074" w:rsidRDefault="00A35E98" w:rsidP="00C513B7">
      <w:pPr>
        <w:spacing w:after="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With regard to the financial resource allocated for inclusion in education (PA3), it should be noted that it formally relates to thematic objective 9, but actually addresses problems pertaining to the inclusion of vulnerable groups and people with SEN in education and does not pursue social objectives, which are basically addressed in OPHRD 2014-2020. </w:t>
      </w:r>
    </w:p>
    <w:p w:rsidR="00C513B7" w:rsidRPr="005B6074" w:rsidRDefault="00A35E98" w:rsidP="00C513B7">
      <w:pPr>
        <w:pStyle w:val="ListParagraph1"/>
        <w:widowControl w:val="0"/>
        <w:tabs>
          <w:tab w:val="left" w:pos="0"/>
          <w:tab w:val="right" w:pos="9214"/>
        </w:tabs>
        <w:spacing w:before="120" w:after="120" w:line="276" w:lineRule="auto"/>
        <w:ind w:left="0"/>
        <w:rPr>
          <w:rFonts w:ascii="Verdana" w:hAnsi="Verdana"/>
          <w:bCs/>
          <w:color w:val="000000"/>
          <w:sz w:val="20"/>
          <w:lang w:eastAsia="bg-BG"/>
        </w:rPr>
      </w:pPr>
      <w:r w:rsidRPr="005B6074">
        <w:rPr>
          <w:rFonts w:ascii="Verdana" w:hAnsi="Verdana"/>
          <w:bCs/>
          <w:color w:val="000000"/>
          <w:sz w:val="20"/>
          <w:lang w:eastAsia="bg-BG"/>
        </w:rPr>
        <w:t xml:space="preserve">A number of </w:t>
      </w:r>
      <w:r w:rsidRPr="005B6074">
        <w:rPr>
          <w:rFonts w:ascii="Verdana" w:hAnsi="Verdana"/>
          <w:bCs/>
          <w:color w:val="548DD4" w:themeColor="text2" w:themeTint="99"/>
          <w:sz w:val="20"/>
          <w:lang w:eastAsia="bg-BG"/>
        </w:rPr>
        <w:t xml:space="preserve">other strategies </w:t>
      </w:r>
      <w:r w:rsidRPr="005B6074">
        <w:rPr>
          <w:rFonts w:ascii="Verdana" w:hAnsi="Verdana"/>
          <w:bCs/>
          <w:sz w:val="20"/>
          <w:lang w:eastAsia="bg-BG"/>
        </w:rPr>
        <w:t>also define</w:t>
      </w:r>
      <w:r w:rsidRPr="005B6074">
        <w:rPr>
          <w:rFonts w:ascii="Verdana" w:hAnsi="Verdana"/>
          <w:bCs/>
          <w:color w:val="000000"/>
          <w:sz w:val="20"/>
          <w:lang w:eastAsia="bg-BG"/>
        </w:rPr>
        <w:t xml:space="preserve"> the policy in the area of scientific research, innovations, education and social inclusion. Part of them includes information on the financing of the measures foreseen in the respective strategies as well. </w:t>
      </w:r>
      <w:r w:rsidRPr="005B6074">
        <w:rPr>
          <w:rFonts w:ascii="Verdana" w:hAnsi="Verdana"/>
          <w:b/>
          <w:bCs/>
          <w:color w:val="000000"/>
          <w:sz w:val="20"/>
          <w:lang w:eastAsia="bg-BG"/>
        </w:rPr>
        <w:t>Many of these strategies however contain only a general formulation that the funds for implementation will be provided from the state budget, the EU structural funds, financial resources from non-government organizations and other international (external) sources</w:t>
      </w:r>
      <w:r w:rsidRPr="005B6074">
        <w:rPr>
          <w:rFonts w:ascii="Verdana" w:hAnsi="Verdana"/>
          <w:bCs/>
          <w:color w:val="000000"/>
          <w:sz w:val="20"/>
          <w:lang w:eastAsia="bg-BG"/>
        </w:rPr>
        <w:t>. Listed below are the strategies and documents where information of their financing is contained.</w:t>
      </w:r>
    </w:p>
    <w:p w:rsidR="00C513B7" w:rsidRPr="005B6074" w:rsidRDefault="00A35E98" w:rsidP="00181A22">
      <w:pPr>
        <w:pStyle w:val="ListParagraph1"/>
        <w:widowControl w:val="0"/>
        <w:numPr>
          <w:ilvl w:val="0"/>
          <w:numId w:val="54"/>
        </w:numPr>
        <w:tabs>
          <w:tab w:val="left" w:pos="0"/>
          <w:tab w:val="right" w:pos="9214"/>
        </w:tabs>
        <w:spacing w:before="60" w:after="60" w:line="276" w:lineRule="auto"/>
        <w:ind w:left="714" w:hanging="357"/>
        <w:rPr>
          <w:rFonts w:ascii="Verdana" w:hAnsi="Verdana"/>
          <w:bCs/>
          <w:color w:val="000000"/>
          <w:sz w:val="20"/>
          <w:lang w:eastAsia="bg-BG"/>
        </w:rPr>
      </w:pPr>
      <w:r w:rsidRPr="005B6074">
        <w:rPr>
          <w:rFonts w:ascii="Verdana" w:hAnsi="Verdana"/>
          <w:b/>
          <w:bCs/>
          <w:i/>
          <w:color w:val="000000"/>
          <w:sz w:val="20"/>
          <w:lang w:eastAsia="bg-BG"/>
        </w:rPr>
        <w:t>Innovation Strategy for Intelligent Specialization of the Republic of Bulgaria 2014-2020</w:t>
      </w:r>
      <w:r w:rsidRPr="005B6074">
        <w:rPr>
          <w:rFonts w:ascii="Verdana" w:hAnsi="Verdana"/>
          <w:bCs/>
          <w:color w:val="000000"/>
          <w:sz w:val="20"/>
          <w:lang w:eastAsia="bg-BG"/>
        </w:rPr>
        <w:t>: The financing sources during the last five years have been analysed, but no financing sources for the next program</w:t>
      </w:r>
      <w:r w:rsidR="00EB5E2D" w:rsidRPr="005B6074">
        <w:rPr>
          <w:rFonts w:ascii="Verdana" w:hAnsi="Verdana"/>
          <w:bCs/>
          <w:color w:val="000000"/>
          <w:sz w:val="20"/>
          <w:lang w:eastAsia="bg-BG"/>
        </w:rPr>
        <w:t>ming period have been identified</w:t>
      </w:r>
      <w:r w:rsidRPr="005B6074">
        <w:rPr>
          <w:rFonts w:ascii="Verdana" w:hAnsi="Verdana"/>
          <w:bCs/>
          <w:color w:val="000000"/>
          <w:sz w:val="20"/>
          <w:lang w:eastAsia="bg-BG"/>
        </w:rPr>
        <w:t xml:space="preserve">. A financing model was developed with the aim of monitoring the degree of achievement of the national target for the share of R&amp;D in GDP of 1.5%.   </w:t>
      </w:r>
    </w:p>
    <w:p w:rsidR="00C513B7" w:rsidRPr="005B6074" w:rsidRDefault="00A35E98" w:rsidP="00181A22">
      <w:pPr>
        <w:pStyle w:val="ListParagraph1"/>
        <w:widowControl w:val="0"/>
        <w:numPr>
          <w:ilvl w:val="0"/>
          <w:numId w:val="54"/>
        </w:numPr>
        <w:tabs>
          <w:tab w:val="left" w:pos="0"/>
          <w:tab w:val="right" w:pos="9214"/>
        </w:tabs>
        <w:spacing w:before="60" w:after="60"/>
        <w:ind w:left="714" w:hanging="357"/>
        <w:rPr>
          <w:rFonts w:ascii="Verdana" w:hAnsi="Verdana"/>
          <w:bCs/>
          <w:color w:val="000000"/>
          <w:sz w:val="20"/>
          <w:lang w:eastAsia="bg-BG"/>
        </w:rPr>
      </w:pPr>
      <w:r w:rsidRPr="005B6074">
        <w:rPr>
          <w:rFonts w:ascii="Verdana" w:hAnsi="Verdana"/>
          <w:b/>
          <w:bCs/>
          <w:i/>
          <w:color w:val="000000"/>
          <w:sz w:val="20"/>
          <w:lang w:eastAsia="bg-BG"/>
        </w:rPr>
        <w:t>National Strategy for the Development of the Pedagogical Specialists</w:t>
      </w:r>
      <w:r w:rsidRPr="005B6074">
        <w:rPr>
          <w:rFonts w:ascii="Verdana" w:hAnsi="Verdana"/>
          <w:bCs/>
          <w:color w:val="000000"/>
          <w:sz w:val="20"/>
          <w:lang w:eastAsia="bg-BG"/>
        </w:rPr>
        <w:t xml:space="preserve">: The Strategy provides only a general framework of the financing sources and among them are: the state budget, municipal budgets, OPHRD and </w:t>
      </w:r>
      <w:r w:rsidR="005B35A7">
        <w:rPr>
          <w:rFonts w:ascii="Verdana" w:hAnsi="Verdana"/>
          <w:bCs/>
          <w:color w:val="000000"/>
          <w:sz w:val="20"/>
          <w:lang w:eastAsia="bg-BG"/>
        </w:rPr>
        <w:t>OPSESG</w:t>
      </w:r>
      <w:r w:rsidRPr="005B6074">
        <w:rPr>
          <w:rFonts w:ascii="Verdana" w:hAnsi="Verdana"/>
          <w:bCs/>
          <w:color w:val="000000"/>
          <w:sz w:val="20"/>
          <w:lang w:eastAsia="bg-BG"/>
        </w:rPr>
        <w:t>, own funds of MES, etc.</w:t>
      </w:r>
    </w:p>
    <w:p w:rsidR="00C513B7" w:rsidRPr="005B6074" w:rsidRDefault="00A35E98" w:rsidP="00181A22">
      <w:pPr>
        <w:pStyle w:val="ListParagraph1"/>
        <w:widowControl w:val="0"/>
        <w:numPr>
          <w:ilvl w:val="0"/>
          <w:numId w:val="54"/>
        </w:numPr>
        <w:tabs>
          <w:tab w:val="left" w:pos="0"/>
          <w:tab w:val="right" w:pos="9214"/>
        </w:tabs>
        <w:spacing w:before="60" w:after="60" w:line="276" w:lineRule="auto"/>
        <w:ind w:left="714" w:hanging="357"/>
        <w:rPr>
          <w:rFonts w:ascii="Verdana" w:hAnsi="Verdana"/>
          <w:bCs/>
          <w:color w:val="000000"/>
          <w:sz w:val="20"/>
          <w:lang w:eastAsia="bg-BG"/>
        </w:rPr>
      </w:pPr>
      <w:r w:rsidRPr="005B6074">
        <w:rPr>
          <w:rFonts w:ascii="Verdana" w:hAnsi="Verdana"/>
          <w:b/>
          <w:bCs/>
          <w:i/>
          <w:color w:val="000000"/>
          <w:sz w:val="20"/>
          <w:lang w:eastAsia="bg-BG"/>
        </w:rPr>
        <w:t>The draft of a strategy for prevention and reduction of the share of drop-outs and early school leavers (2013-2020)</w:t>
      </w:r>
      <w:r w:rsidRPr="005B6074">
        <w:rPr>
          <w:rFonts w:ascii="Verdana" w:hAnsi="Verdana"/>
          <w:bCs/>
          <w:color w:val="000000"/>
          <w:sz w:val="20"/>
          <w:lang w:eastAsia="bg-BG"/>
        </w:rPr>
        <w:t>: The strategy contains only most general information about the financing sources.</w:t>
      </w:r>
    </w:p>
    <w:p w:rsidR="00C513B7" w:rsidRPr="005B6074" w:rsidRDefault="00A35E98" w:rsidP="00181A22">
      <w:pPr>
        <w:pStyle w:val="ListParagraph1"/>
        <w:widowControl w:val="0"/>
        <w:numPr>
          <w:ilvl w:val="0"/>
          <w:numId w:val="54"/>
        </w:numPr>
        <w:tabs>
          <w:tab w:val="left" w:pos="0"/>
          <w:tab w:val="right" w:pos="9214"/>
        </w:tabs>
        <w:spacing w:before="60" w:after="60" w:line="276" w:lineRule="auto"/>
        <w:ind w:left="714" w:hanging="357"/>
        <w:rPr>
          <w:rFonts w:ascii="Verdana" w:hAnsi="Verdana"/>
          <w:bCs/>
          <w:color w:val="000000"/>
          <w:sz w:val="20"/>
          <w:lang w:eastAsia="bg-BG"/>
        </w:rPr>
      </w:pPr>
      <w:r w:rsidRPr="005B6074">
        <w:rPr>
          <w:rFonts w:ascii="Verdana" w:hAnsi="Verdana"/>
          <w:b/>
          <w:bCs/>
          <w:i/>
          <w:color w:val="000000"/>
          <w:sz w:val="20"/>
          <w:lang w:eastAsia="bg-BG"/>
        </w:rPr>
        <w:t>National Youth Strategy (2010-2020)</w:t>
      </w:r>
      <w:r w:rsidRPr="005B6074">
        <w:rPr>
          <w:rFonts w:ascii="Verdana" w:hAnsi="Verdana"/>
          <w:bCs/>
          <w:color w:val="000000"/>
          <w:sz w:val="20"/>
          <w:lang w:eastAsia="bg-BG"/>
        </w:rPr>
        <w:t xml:space="preserve">: The Strategy gives only most general information about the financing sources. </w:t>
      </w:r>
      <w:r w:rsidR="005B35A7">
        <w:rPr>
          <w:rFonts w:ascii="Verdana" w:hAnsi="Verdana"/>
          <w:bCs/>
          <w:color w:val="000000"/>
          <w:sz w:val="20"/>
          <w:lang w:eastAsia="bg-BG"/>
        </w:rPr>
        <w:t>OPSESG</w:t>
      </w:r>
      <w:r w:rsidRPr="005B6074">
        <w:rPr>
          <w:rFonts w:ascii="Verdana" w:hAnsi="Verdana"/>
          <w:bCs/>
          <w:color w:val="000000"/>
          <w:sz w:val="20"/>
          <w:lang w:eastAsia="bg-BG"/>
        </w:rPr>
        <w:t xml:space="preserve"> is not mentioned as a financing source.</w:t>
      </w:r>
    </w:p>
    <w:p w:rsidR="00C513B7" w:rsidRPr="005B6074" w:rsidRDefault="00A35E98" w:rsidP="00181A22">
      <w:pPr>
        <w:pStyle w:val="ListParagraph1"/>
        <w:widowControl w:val="0"/>
        <w:numPr>
          <w:ilvl w:val="0"/>
          <w:numId w:val="54"/>
        </w:numPr>
        <w:tabs>
          <w:tab w:val="left" w:pos="0"/>
          <w:tab w:val="right" w:pos="9214"/>
        </w:tabs>
        <w:spacing w:before="60" w:after="60" w:line="276" w:lineRule="auto"/>
        <w:ind w:left="714" w:hanging="357"/>
        <w:rPr>
          <w:rFonts w:ascii="Verdana" w:hAnsi="Verdana"/>
          <w:bCs/>
          <w:color w:val="000000"/>
          <w:sz w:val="20"/>
          <w:lang w:eastAsia="bg-BG"/>
        </w:rPr>
      </w:pPr>
      <w:r w:rsidRPr="005B6074">
        <w:rPr>
          <w:rFonts w:ascii="Verdana" w:hAnsi="Verdana"/>
          <w:b/>
          <w:bCs/>
          <w:i/>
          <w:color w:val="000000"/>
          <w:sz w:val="20"/>
          <w:lang w:eastAsia="bg-BG"/>
        </w:rPr>
        <w:t>National Strategy for Lifelong Learning for the Period 2014 – 2020</w:t>
      </w:r>
      <w:r w:rsidRPr="005B6074">
        <w:rPr>
          <w:rFonts w:ascii="Verdana" w:hAnsi="Verdana"/>
          <w:bCs/>
          <w:color w:val="000000"/>
          <w:sz w:val="20"/>
          <w:lang w:eastAsia="bg-BG"/>
        </w:rPr>
        <w:t xml:space="preserve">: </w:t>
      </w:r>
      <w:r w:rsidR="00EB5E2D" w:rsidRPr="005B6074">
        <w:rPr>
          <w:rFonts w:ascii="Verdana" w:hAnsi="Verdana"/>
          <w:bCs/>
          <w:color w:val="000000"/>
          <w:sz w:val="20"/>
          <w:lang w:eastAsia="bg-BG"/>
        </w:rPr>
        <w:t>Th</w:t>
      </w:r>
      <w:r w:rsidRPr="005B6074">
        <w:rPr>
          <w:rFonts w:ascii="Verdana" w:hAnsi="Verdana"/>
          <w:bCs/>
          <w:color w:val="000000"/>
          <w:sz w:val="20"/>
          <w:lang w:eastAsia="bg-BG"/>
        </w:rPr>
        <w:t xml:space="preserve">e Strategy provides only most general information that financial resources for it </w:t>
      </w:r>
      <w:r w:rsidR="00845752" w:rsidRPr="005B6074">
        <w:rPr>
          <w:rFonts w:ascii="Verdana" w:hAnsi="Verdana"/>
          <w:bCs/>
          <w:color w:val="000000"/>
          <w:sz w:val="20"/>
          <w:lang w:eastAsia="bg-BG"/>
        </w:rPr>
        <w:t>fulfilment</w:t>
      </w:r>
      <w:r w:rsidR="00EB5E2D" w:rsidRPr="005B6074">
        <w:rPr>
          <w:rFonts w:ascii="Verdana" w:hAnsi="Verdana"/>
          <w:bCs/>
          <w:color w:val="000000"/>
          <w:sz w:val="20"/>
          <w:lang w:eastAsia="bg-BG"/>
        </w:rPr>
        <w:t xml:space="preserve"> </w:t>
      </w:r>
      <w:r w:rsidRPr="005B6074">
        <w:rPr>
          <w:rFonts w:ascii="Verdana" w:hAnsi="Verdana"/>
          <w:bCs/>
          <w:color w:val="000000"/>
          <w:sz w:val="20"/>
          <w:lang w:eastAsia="bg-BG"/>
        </w:rPr>
        <w:t xml:space="preserve">will be provided from the state budget, the EU funds and Erasmus+ </w:t>
      </w:r>
      <w:r w:rsidRPr="005B6074">
        <w:rPr>
          <w:rFonts w:ascii="Verdana" w:hAnsi="Verdana"/>
          <w:bCs/>
          <w:color w:val="000000"/>
          <w:sz w:val="20"/>
          <w:lang w:eastAsia="bg-BG"/>
        </w:rPr>
        <w:lastRenderedPageBreak/>
        <w:t>Programme, as well as from donations, sponsorship and other sources. The budget and financing sources are to be identified in the Action Plan for implementation of the Strategy.</w:t>
      </w:r>
    </w:p>
    <w:p w:rsidR="00C513B7" w:rsidRPr="005B6074" w:rsidRDefault="00A35E98" w:rsidP="00181A22">
      <w:pPr>
        <w:pStyle w:val="ListParagraph1"/>
        <w:widowControl w:val="0"/>
        <w:numPr>
          <w:ilvl w:val="0"/>
          <w:numId w:val="54"/>
        </w:numPr>
        <w:tabs>
          <w:tab w:val="left" w:pos="0"/>
          <w:tab w:val="right" w:pos="9214"/>
        </w:tabs>
        <w:spacing w:before="60" w:after="60" w:line="276" w:lineRule="auto"/>
        <w:ind w:left="714" w:hanging="357"/>
        <w:rPr>
          <w:rFonts w:ascii="Verdana" w:hAnsi="Verdana"/>
          <w:bCs/>
          <w:color w:val="000000"/>
          <w:sz w:val="20"/>
          <w:lang w:eastAsia="bg-BG"/>
        </w:rPr>
      </w:pPr>
      <w:r w:rsidRPr="005B6074">
        <w:rPr>
          <w:rFonts w:ascii="Verdana" w:hAnsi="Verdana"/>
          <w:b/>
          <w:bCs/>
          <w:i/>
          <w:color w:val="000000"/>
          <w:sz w:val="20"/>
          <w:lang w:eastAsia="bg-BG"/>
        </w:rPr>
        <w:t>National Roadmap for Science Infrastructure</w:t>
      </w:r>
      <w:r w:rsidRPr="005B6074">
        <w:rPr>
          <w:rFonts w:ascii="Verdana" w:hAnsi="Verdana"/>
          <w:bCs/>
          <w:color w:val="000000"/>
          <w:sz w:val="20"/>
          <w:lang w:eastAsia="bg-BG"/>
        </w:rPr>
        <w:t>: It contains a detailed break-down of the financing sources.</w:t>
      </w:r>
    </w:p>
    <w:p w:rsidR="00C513B7" w:rsidRPr="005B6074" w:rsidRDefault="00A35E98" w:rsidP="00181A22">
      <w:pPr>
        <w:pStyle w:val="ListParagraph1"/>
        <w:widowControl w:val="0"/>
        <w:numPr>
          <w:ilvl w:val="0"/>
          <w:numId w:val="54"/>
        </w:numPr>
        <w:tabs>
          <w:tab w:val="left" w:pos="0"/>
          <w:tab w:val="right" w:pos="9214"/>
        </w:tabs>
        <w:spacing w:before="60" w:after="60" w:line="276" w:lineRule="auto"/>
        <w:ind w:left="714" w:hanging="357"/>
        <w:rPr>
          <w:rFonts w:ascii="Verdana" w:hAnsi="Verdana"/>
          <w:bCs/>
          <w:color w:val="000000"/>
          <w:sz w:val="20"/>
          <w:lang w:eastAsia="bg-BG"/>
        </w:rPr>
      </w:pPr>
      <w:r w:rsidRPr="005B6074">
        <w:rPr>
          <w:rFonts w:ascii="Verdana" w:hAnsi="Verdana"/>
          <w:b/>
          <w:bCs/>
          <w:i/>
          <w:color w:val="000000"/>
          <w:sz w:val="20"/>
          <w:lang w:eastAsia="bg-BG"/>
        </w:rPr>
        <w:t xml:space="preserve">National Strategy </w:t>
      </w:r>
      <w:r w:rsidR="00EB5E2D" w:rsidRPr="005B6074">
        <w:rPr>
          <w:rFonts w:ascii="Verdana" w:hAnsi="Verdana"/>
          <w:b/>
          <w:bCs/>
          <w:i/>
          <w:color w:val="000000"/>
          <w:sz w:val="20"/>
          <w:lang w:eastAsia="bg-BG"/>
        </w:rPr>
        <w:t>“</w:t>
      </w:r>
      <w:r w:rsidRPr="005B6074">
        <w:rPr>
          <w:rFonts w:ascii="Verdana" w:hAnsi="Verdana"/>
          <w:b/>
          <w:bCs/>
          <w:i/>
          <w:color w:val="000000"/>
          <w:sz w:val="20"/>
          <w:lang w:eastAsia="bg-BG"/>
        </w:rPr>
        <w:t xml:space="preserve">Vision for </w:t>
      </w:r>
      <w:proofErr w:type="spellStart"/>
      <w:r w:rsidRPr="005B6074">
        <w:rPr>
          <w:rFonts w:ascii="Verdana" w:hAnsi="Verdana"/>
          <w:b/>
          <w:bCs/>
          <w:i/>
          <w:color w:val="000000"/>
          <w:sz w:val="20"/>
          <w:lang w:eastAsia="bg-BG"/>
        </w:rPr>
        <w:t>Deinstitulization</w:t>
      </w:r>
      <w:proofErr w:type="spellEnd"/>
      <w:r w:rsidRPr="005B6074">
        <w:rPr>
          <w:rFonts w:ascii="Verdana" w:hAnsi="Verdana"/>
          <w:b/>
          <w:bCs/>
          <w:i/>
          <w:color w:val="000000"/>
          <w:sz w:val="20"/>
          <w:lang w:eastAsia="bg-BG"/>
        </w:rPr>
        <w:t xml:space="preserve"> of Children in the Republic of Bulgaria</w:t>
      </w:r>
      <w:r w:rsidR="00EB5E2D" w:rsidRPr="005B6074">
        <w:rPr>
          <w:rFonts w:ascii="Verdana" w:hAnsi="Verdana"/>
          <w:b/>
          <w:bCs/>
          <w:i/>
          <w:color w:val="000000"/>
          <w:sz w:val="20"/>
          <w:lang w:eastAsia="bg-BG"/>
        </w:rPr>
        <w:t>”</w:t>
      </w:r>
      <w:r w:rsidRPr="005B6074">
        <w:rPr>
          <w:rFonts w:ascii="Verdana" w:hAnsi="Verdana"/>
          <w:bCs/>
          <w:color w:val="000000"/>
          <w:sz w:val="20"/>
          <w:lang w:eastAsia="bg-BG"/>
        </w:rPr>
        <w:t xml:space="preserve">: The vision contains a more detailed quantitative break-down of the financing sources, but </w:t>
      </w:r>
      <w:r w:rsidR="005B35A7">
        <w:rPr>
          <w:rFonts w:ascii="Verdana" w:hAnsi="Verdana"/>
          <w:bCs/>
          <w:color w:val="000000"/>
          <w:sz w:val="20"/>
          <w:lang w:eastAsia="bg-BG"/>
        </w:rPr>
        <w:t>OPSESG</w:t>
      </w:r>
      <w:r w:rsidRPr="005B6074">
        <w:rPr>
          <w:rFonts w:ascii="Verdana" w:hAnsi="Verdana"/>
          <w:bCs/>
          <w:color w:val="000000"/>
          <w:sz w:val="20"/>
          <w:lang w:eastAsia="bg-BG"/>
        </w:rPr>
        <w:t xml:space="preserve"> is not among them.</w:t>
      </w:r>
    </w:p>
    <w:p w:rsidR="00C513B7" w:rsidRPr="005B6074" w:rsidRDefault="00A35E98" w:rsidP="00181A22">
      <w:pPr>
        <w:pStyle w:val="ListParagraph1"/>
        <w:widowControl w:val="0"/>
        <w:numPr>
          <w:ilvl w:val="0"/>
          <w:numId w:val="54"/>
        </w:numPr>
        <w:tabs>
          <w:tab w:val="left" w:pos="0"/>
          <w:tab w:val="right" w:pos="9214"/>
        </w:tabs>
        <w:spacing w:before="60" w:after="60" w:line="276" w:lineRule="auto"/>
        <w:ind w:left="714" w:hanging="357"/>
        <w:rPr>
          <w:rFonts w:ascii="Verdana" w:hAnsi="Verdana"/>
          <w:bCs/>
          <w:color w:val="000000"/>
          <w:sz w:val="20"/>
          <w:lang w:eastAsia="bg-BG"/>
        </w:rPr>
      </w:pPr>
      <w:r w:rsidRPr="005B6074">
        <w:rPr>
          <w:rFonts w:ascii="Verdana" w:hAnsi="Verdana"/>
          <w:b/>
          <w:bCs/>
          <w:i/>
          <w:color w:val="000000"/>
          <w:sz w:val="20"/>
          <w:lang w:eastAsia="bg-BG"/>
        </w:rPr>
        <w:t>Updated National Strategy for the Demographic Development of the Population in the Republic of Bulgaria (2012 - 2030)</w:t>
      </w:r>
      <w:r w:rsidRPr="005B6074">
        <w:rPr>
          <w:rFonts w:ascii="Verdana" w:hAnsi="Verdana"/>
          <w:bCs/>
          <w:color w:val="000000"/>
          <w:sz w:val="20"/>
          <w:lang w:eastAsia="bg-BG"/>
        </w:rPr>
        <w:t>: The financing sources are mentioned only most generally in the Strategy.</w:t>
      </w:r>
    </w:p>
    <w:p w:rsidR="00C513B7" w:rsidRPr="005B6074" w:rsidRDefault="00A35E98" w:rsidP="00C513B7">
      <w:pPr>
        <w:widowControl w:val="0"/>
        <w:tabs>
          <w:tab w:val="left" w:pos="1276"/>
        </w:tabs>
        <w:overflowPunct w:val="0"/>
        <w:autoSpaceDE w:val="0"/>
        <w:autoSpaceDN w:val="0"/>
        <w:adjustRightInd w:val="0"/>
        <w:spacing w:before="360" w:after="120"/>
        <w:jc w:val="both"/>
        <w:textAlignment w:val="baseline"/>
        <w:outlineLvl w:val="2"/>
        <w:rPr>
          <w:rFonts w:ascii="Verdana" w:eastAsia="Times New Roman" w:hAnsi="Verdana" w:cs="Calibri"/>
          <w:b/>
          <w:color w:val="365F91"/>
          <w:lang w:eastAsia="cs-CZ"/>
        </w:rPr>
      </w:pPr>
      <w:bookmarkStart w:id="207" w:name="_Toc396225565"/>
      <w:r w:rsidRPr="005B6074">
        <w:rPr>
          <w:rFonts w:ascii="Verdana" w:eastAsia="Times New Roman" w:hAnsi="Verdana" w:cs="Calibri"/>
          <w:b/>
          <w:color w:val="365F91"/>
          <w:lang w:eastAsia="cs-CZ"/>
        </w:rPr>
        <w:t>Conclusions and recommendations</w:t>
      </w:r>
      <w:bookmarkEnd w:id="207"/>
    </w:p>
    <w:p w:rsidR="00C513B7" w:rsidRPr="005B6074" w:rsidRDefault="00A35E98" w:rsidP="00C513B7">
      <w:pPr>
        <w:widowControl w:val="0"/>
        <w:tabs>
          <w:tab w:val="left" w:pos="0"/>
          <w:tab w:val="right" w:pos="9214"/>
        </w:tabs>
        <w:spacing w:after="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The allocation of the Programme budget needs further elaboration. Attention should be paid to the following:</w:t>
      </w:r>
    </w:p>
    <w:p w:rsidR="00C513B7" w:rsidRPr="005B6074" w:rsidRDefault="00A35E98" w:rsidP="00181A22">
      <w:pPr>
        <w:pStyle w:val="ListParagraph"/>
        <w:widowControl w:val="0"/>
        <w:numPr>
          <w:ilvl w:val="0"/>
          <w:numId w:val="62"/>
        </w:numPr>
        <w:tabs>
          <w:tab w:val="left" w:pos="0"/>
          <w:tab w:val="right" w:pos="9214"/>
        </w:tabs>
        <w:spacing w:after="0"/>
        <w:ind w:left="714" w:hanging="357"/>
        <w:jc w:val="both"/>
        <w:rPr>
          <w:rFonts w:ascii="Verdana" w:eastAsia="Times New Roman" w:hAnsi="Verdana"/>
          <w:bCs/>
          <w:color w:val="000000"/>
          <w:sz w:val="20"/>
          <w:szCs w:val="20"/>
          <w:lang w:eastAsia="bg-BG"/>
        </w:rPr>
      </w:pPr>
      <w:r w:rsidRPr="005B6074">
        <w:rPr>
          <w:rFonts w:ascii="Verdana" w:hAnsi="Verdana"/>
          <w:sz w:val="20"/>
          <w:szCs w:val="20"/>
        </w:rPr>
        <w:t xml:space="preserve">The amounts specified in </w:t>
      </w:r>
      <w:r w:rsidR="005B35A7">
        <w:rPr>
          <w:rFonts w:ascii="Verdana" w:hAnsi="Verdana"/>
          <w:sz w:val="20"/>
          <w:szCs w:val="20"/>
        </w:rPr>
        <w:t>OPSESG</w:t>
      </w:r>
      <w:r w:rsidRPr="005B6074">
        <w:rPr>
          <w:rFonts w:ascii="Verdana" w:hAnsi="Verdana"/>
          <w:sz w:val="20"/>
          <w:szCs w:val="20"/>
        </w:rPr>
        <w:t xml:space="preserve"> and in the Partnership Agreement should be made consistent;</w:t>
      </w:r>
    </w:p>
    <w:p w:rsidR="00596DB3" w:rsidRPr="005B6074" w:rsidRDefault="00596DB3" w:rsidP="00181A22">
      <w:pPr>
        <w:pStyle w:val="ListParagraph"/>
        <w:widowControl w:val="0"/>
        <w:numPr>
          <w:ilvl w:val="0"/>
          <w:numId w:val="62"/>
        </w:numPr>
        <w:tabs>
          <w:tab w:val="left" w:pos="0"/>
          <w:tab w:val="right" w:pos="9214"/>
        </w:tabs>
        <w:spacing w:after="0"/>
        <w:ind w:left="714" w:hanging="357"/>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A more conservative approach towards the annual budgets allocations should be </w:t>
      </w:r>
      <w:r w:rsidR="003A06C6" w:rsidRPr="005B6074">
        <w:rPr>
          <w:rFonts w:ascii="Verdana" w:eastAsia="Times New Roman" w:hAnsi="Verdana"/>
          <w:bCs/>
          <w:color w:val="000000"/>
          <w:sz w:val="20"/>
          <w:szCs w:val="20"/>
          <w:lang w:eastAsia="bg-BG"/>
        </w:rPr>
        <w:t xml:space="preserve">applied, so that the risk of automatic </w:t>
      </w:r>
      <w:proofErr w:type="spellStart"/>
      <w:r w:rsidR="003A06C6" w:rsidRPr="005B6074">
        <w:rPr>
          <w:rFonts w:ascii="Verdana" w:eastAsia="Times New Roman" w:hAnsi="Verdana"/>
          <w:bCs/>
          <w:color w:val="000000"/>
          <w:sz w:val="20"/>
          <w:szCs w:val="20"/>
          <w:lang w:eastAsia="bg-BG"/>
        </w:rPr>
        <w:t>decommitment</w:t>
      </w:r>
      <w:proofErr w:type="spellEnd"/>
      <w:r w:rsidR="003A06C6" w:rsidRPr="005B6074">
        <w:rPr>
          <w:rFonts w:ascii="Verdana" w:eastAsia="Times New Roman" w:hAnsi="Verdana"/>
          <w:bCs/>
          <w:color w:val="000000"/>
          <w:sz w:val="20"/>
          <w:szCs w:val="20"/>
          <w:lang w:eastAsia="bg-BG"/>
        </w:rPr>
        <w:t xml:space="preserve"> of funds in the next programming period is minimized;</w:t>
      </w:r>
      <w:r w:rsidRPr="005B6074">
        <w:rPr>
          <w:rFonts w:ascii="Verdana" w:eastAsia="Times New Roman" w:hAnsi="Verdana"/>
          <w:bCs/>
          <w:color w:val="000000"/>
          <w:sz w:val="20"/>
          <w:szCs w:val="20"/>
          <w:lang w:eastAsia="bg-BG"/>
        </w:rPr>
        <w:tab/>
      </w:r>
    </w:p>
    <w:p w:rsidR="00C513B7" w:rsidRPr="005B6074" w:rsidRDefault="00A35E98" w:rsidP="00181A22">
      <w:pPr>
        <w:pStyle w:val="ListParagraph"/>
        <w:widowControl w:val="0"/>
        <w:numPr>
          <w:ilvl w:val="0"/>
          <w:numId w:val="62"/>
        </w:numPr>
        <w:tabs>
          <w:tab w:val="left" w:pos="0"/>
          <w:tab w:val="right" w:pos="9214"/>
        </w:tabs>
        <w:spacing w:after="0"/>
        <w:ind w:left="714" w:hanging="357"/>
        <w:jc w:val="both"/>
        <w:rPr>
          <w:rFonts w:ascii="Verdana" w:eastAsia="Times New Roman" w:hAnsi="Verdana"/>
          <w:bCs/>
          <w:color w:val="000000"/>
          <w:sz w:val="20"/>
          <w:szCs w:val="20"/>
          <w:lang w:eastAsia="bg-BG"/>
        </w:rPr>
      </w:pPr>
      <w:r w:rsidRPr="005B6074">
        <w:rPr>
          <w:rFonts w:ascii="Verdana" w:hAnsi="Verdana"/>
          <w:sz w:val="20"/>
          <w:szCs w:val="20"/>
        </w:rPr>
        <w:t>Information on the satisfaction of the requirement for allocation of at least 60% of the Programme budget to maximum 5 investment priorities needs to be added;</w:t>
      </w:r>
    </w:p>
    <w:p w:rsidR="00920E23" w:rsidRPr="005B6074" w:rsidRDefault="00A35E98" w:rsidP="00181A22">
      <w:pPr>
        <w:pStyle w:val="ListParagraph"/>
        <w:widowControl w:val="0"/>
        <w:numPr>
          <w:ilvl w:val="0"/>
          <w:numId w:val="62"/>
        </w:numPr>
        <w:tabs>
          <w:tab w:val="left" w:pos="0"/>
          <w:tab w:val="right" w:pos="9214"/>
        </w:tabs>
        <w:spacing w:after="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The performance reserve, allocated for technical assistance, should be dropped and redistributed to the other priority axes of the programme to avoid conflict with Art. 22 (1) of the CPR.</w:t>
      </w:r>
    </w:p>
    <w:p w:rsidR="003A06C6" w:rsidRPr="005B6074" w:rsidRDefault="003A06C6" w:rsidP="00181A22">
      <w:pPr>
        <w:pStyle w:val="ListParagraph"/>
        <w:widowControl w:val="0"/>
        <w:numPr>
          <w:ilvl w:val="0"/>
          <w:numId w:val="62"/>
        </w:numPr>
        <w:tabs>
          <w:tab w:val="left" w:pos="0"/>
          <w:tab w:val="right" w:pos="9214"/>
        </w:tabs>
        <w:spacing w:after="0"/>
        <w:ind w:left="714" w:hanging="357"/>
        <w:jc w:val="both"/>
        <w:rPr>
          <w:rFonts w:ascii="Verdana" w:eastAsia="Times New Roman" w:hAnsi="Verdana"/>
          <w:bCs/>
          <w:color w:val="000000"/>
          <w:sz w:val="20"/>
          <w:szCs w:val="20"/>
          <w:lang w:eastAsia="bg-BG"/>
        </w:rPr>
      </w:pPr>
      <w:r w:rsidRPr="005B6074">
        <w:rPr>
          <w:rFonts w:ascii="Verdana" w:hAnsi="Verdana"/>
          <w:sz w:val="20"/>
          <w:szCs w:val="20"/>
        </w:rPr>
        <w:t>The MA should consider the possibility of defining a separate priority axis for the activities under ESF relating to transnational cooperation, if there is interest and sufficient amount of financing allocated for them.</w:t>
      </w:r>
    </w:p>
    <w:p w:rsidR="00C513B7" w:rsidRPr="005B6074" w:rsidRDefault="00C513B7" w:rsidP="00C513B7">
      <w:pPr>
        <w:pStyle w:val="BodyText"/>
        <w:widowControl w:val="0"/>
        <w:tabs>
          <w:tab w:val="left" w:pos="0"/>
          <w:tab w:val="right" w:pos="9214"/>
        </w:tabs>
        <w:spacing w:before="120" w:line="276" w:lineRule="auto"/>
        <w:jc w:val="both"/>
        <w:rPr>
          <w:rFonts w:ascii="Verdana" w:hAnsi="Verdana"/>
          <w:bCs/>
          <w:color w:val="000000"/>
          <w:sz w:val="20"/>
          <w:szCs w:val="20"/>
        </w:rPr>
        <w:sectPr w:rsidR="00C513B7" w:rsidRPr="005B6074" w:rsidSect="00F24971">
          <w:headerReference w:type="default" r:id="rId54"/>
          <w:footerReference w:type="default" r:id="rId55"/>
          <w:pgSz w:w="11907" w:h="16839" w:code="9"/>
          <w:pgMar w:top="2085" w:right="1377" w:bottom="1440" w:left="1440" w:header="720" w:footer="726" w:gutter="0"/>
          <w:cols w:space="720"/>
          <w:docGrid w:linePitch="360"/>
        </w:sectPr>
      </w:pPr>
    </w:p>
    <w:p w:rsidR="00C513B7" w:rsidRPr="005B6074" w:rsidRDefault="00A35E98" w:rsidP="00C513B7">
      <w:pPr>
        <w:pStyle w:val="Heading2"/>
        <w:shd w:val="clear" w:color="auto" w:fill="FFCC99"/>
        <w:spacing w:line="276" w:lineRule="auto"/>
        <w:rPr>
          <w:rFonts w:ascii="Verdana" w:hAnsi="Verdana"/>
          <w:i w:val="0"/>
          <w:iCs/>
          <w:color w:val="0063B8"/>
          <w:sz w:val="26"/>
          <w:szCs w:val="26"/>
        </w:rPr>
      </w:pPr>
      <w:bookmarkStart w:id="208" w:name="_Toc390262451"/>
      <w:bookmarkStart w:id="209" w:name="_Toc396225566"/>
      <w:r w:rsidRPr="005B6074">
        <w:rPr>
          <w:rFonts w:ascii="Verdana" w:hAnsi="Verdana"/>
          <w:i w:val="0"/>
          <w:iCs/>
          <w:color w:val="0063B8"/>
          <w:sz w:val="26"/>
          <w:szCs w:val="26"/>
        </w:rPr>
        <w:lastRenderedPageBreak/>
        <w:t xml:space="preserve">Evaluation of the Administrative Capacity, Management Monitoring and Evaluation of </w:t>
      </w:r>
      <w:r w:rsidR="005B35A7">
        <w:rPr>
          <w:rFonts w:ascii="Verdana" w:hAnsi="Verdana"/>
          <w:i w:val="0"/>
          <w:iCs/>
          <w:color w:val="0063B8"/>
          <w:sz w:val="26"/>
          <w:szCs w:val="26"/>
        </w:rPr>
        <w:t>OPSESG</w:t>
      </w:r>
      <w:bookmarkEnd w:id="209"/>
      <w:r w:rsidRPr="005B6074">
        <w:rPr>
          <w:rFonts w:ascii="Verdana" w:hAnsi="Verdana"/>
          <w:i w:val="0"/>
          <w:iCs/>
          <w:color w:val="0063B8"/>
          <w:sz w:val="26"/>
          <w:szCs w:val="26"/>
        </w:rPr>
        <w:t xml:space="preserve"> </w:t>
      </w:r>
      <w:bookmarkEnd w:id="208"/>
    </w:p>
    <w:p w:rsidR="00C513B7" w:rsidRDefault="00C513B7" w:rsidP="007A2B7B">
      <w:pPr>
        <w:pStyle w:val="BodyText"/>
        <w:widowControl w:val="0"/>
        <w:tabs>
          <w:tab w:val="left" w:pos="0"/>
          <w:tab w:val="left" w:pos="6990"/>
        </w:tabs>
        <w:spacing w:before="120" w:line="276" w:lineRule="auto"/>
        <w:ind w:left="720"/>
        <w:jc w:val="both"/>
        <w:rPr>
          <w:rFonts w:ascii="Verdana" w:eastAsia="Malgun Gothic" w:hAnsi="Verdana"/>
          <w:bCs/>
          <w:color w:val="000000"/>
          <w:sz w:val="20"/>
          <w:szCs w:val="20"/>
          <w:lang w:eastAsia="ko-KR"/>
        </w:rPr>
      </w:pPr>
    </w:p>
    <w:tbl>
      <w:tblPr>
        <w:tblW w:w="9090" w:type="dxa"/>
        <w:tblInd w:w="108" w:type="dxa"/>
        <w:tblBorders>
          <w:top w:val="single" w:sz="4" w:space="0" w:color="auto"/>
          <w:bottom w:val="single" w:sz="4" w:space="0" w:color="auto"/>
        </w:tblBorders>
        <w:tblLook w:val="04A0" w:firstRow="1" w:lastRow="0" w:firstColumn="1" w:lastColumn="0" w:noHBand="0" w:noVBand="1"/>
      </w:tblPr>
      <w:tblGrid>
        <w:gridCol w:w="531"/>
        <w:gridCol w:w="8559"/>
      </w:tblGrid>
      <w:tr w:rsidR="007A2B7B" w:rsidRPr="00A81B24" w:rsidTr="007A2B7B">
        <w:trPr>
          <w:trHeight w:val="452"/>
        </w:trPr>
        <w:tc>
          <w:tcPr>
            <w:tcW w:w="531" w:type="dxa"/>
            <w:vAlign w:val="center"/>
          </w:tcPr>
          <w:p w:rsidR="007A2B7B" w:rsidRPr="00A81B24" w:rsidRDefault="007A2B7B" w:rsidP="007A2B7B">
            <w:pPr>
              <w:pStyle w:val="BodyText"/>
              <w:spacing w:before="120"/>
              <w:jc w:val="center"/>
              <w:rPr>
                <w:rFonts w:ascii="Verdana" w:hAnsi="Verdana"/>
                <w:color w:val="548DD4"/>
                <w:sz w:val="36"/>
                <w:szCs w:val="36"/>
              </w:rPr>
            </w:pPr>
            <w:r w:rsidRPr="0099675A">
              <w:rPr>
                <w:rFonts w:ascii="Verdana" w:hAnsi="Verdana"/>
                <w:color w:val="548DD4"/>
                <w:sz w:val="36"/>
                <w:szCs w:val="36"/>
              </w:rPr>
              <w:t>?</w:t>
            </w:r>
          </w:p>
        </w:tc>
        <w:tc>
          <w:tcPr>
            <w:tcW w:w="8559" w:type="dxa"/>
            <w:shd w:val="clear" w:color="auto" w:fill="B8CCE4"/>
            <w:vAlign w:val="center"/>
          </w:tcPr>
          <w:p w:rsidR="007A2B7B" w:rsidRPr="00A81B24" w:rsidRDefault="007A2B7B" w:rsidP="007A2B7B">
            <w:pPr>
              <w:autoSpaceDE w:val="0"/>
              <w:autoSpaceDN w:val="0"/>
              <w:adjustRightInd w:val="0"/>
              <w:spacing w:before="120" w:after="120"/>
              <w:rPr>
                <w:rFonts w:ascii="Verdana" w:hAnsi="Verdana"/>
                <w:sz w:val="20"/>
                <w:szCs w:val="20"/>
              </w:rPr>
            </w:pPr>
            <w:r w:rsidRPr="0099675A">
              <w:rPr>
                <w:rFonts w:ascii="Verdana" w:hAnsi="Verdana"/>
                <w:sz w:val="20"/>
                <w:szCs w:val="20"/>
              </w:rPr>
              <w:t>Adequacy of the management structure</w:t>
            </w:r>
          </w:p>
        </w:tc>
      </w:tr>
    </w:tbl>
    <w:p w:rsidR="007A2B7B" w:rsidRPr="00A81B24" w:rsidRDefault="007A2B7B" w:rsidP="007A2B7B">
      <w:pPr>
        <w:autoSpaceDE w:val="0"/>
        <w:autoSpaceDN w:val="0"/>
        <w:adjustRightInd w:val="0"/>
        <w:spacing w:before="120" w:after="120"/>
        <w:jc w:val="both"/>
        <w:rPr>
          <w:rFonts w:ascii="Verdana" w:hAnsi="Verdana"/>
          <w:bCs/>
          <w:color w:val="000000"/>
          <w:sz w:val="20"/>
          <w:szCs w:val="20"/>
        </w:rPr>
      </w:pPr>
      <w:r w:rsidRPr="0099675A">
        <w:rPr>
          <w:rFonts w:ascii="Verdana" w:hAnsi="Verdana" w:cs="TimesNewRomanPSMT"/>
          <w:sz w:val="20"/>
          <w:szCs w:val="20"/>
          <w:lang w:eastAsia="bg-BG"/>
        </w:rPr>
        <w:t>During the programming period 2007 – 2013, DG Structural Funds and International Educational Programmes (SFIEP) performed the functions of Intermediate Body under OPHRD 2007-2014, and DG European Funds, International Programmes and Projects of MLSP – was the Managing Authority of OPHRD</w:t>
      </w:r>
      <w:r w:rsidRPr="0099675A">
        <w:rPr>
          <w:rFonts w:ascii="Verdana" w:hAnsi="Verdana"/>
          <w:bCs/>
          <w:color w:val="000000"/>
          <w:sz w:val="20"/>
          <w:szCs w:val="20"/>
        </w:rPr>
        <w:t xml:space="preserve">. With CMD No 792/17.12.2013 the directorate was assigned with the functions of Managing Authority of OPSESG </w:t>
      </w:r>
      <w:r w:rsidRPr="0099675A">
        <w:rPr>
          <w:rFonts w:ascii="Verdana" w:hAnsi="Verdana" w:cs="TimesNewRomanPSMT"/>
          <w:sz w:val="20"/>
          <w:szCs w:val="20"/>
          <w:lang w:eastAsia="bg-BG"/>
        </w:rPr>
        <w:t xml:space="preserve">2014-2020. The new functions and responsibilities of the directorate necessitated changes in its structure, in order have the additional tasks, pertaining to the new functions, introduced and </w:t>
      </w:r>
      <w:r>
        <w:rPr>
          <w:rFonts w:ascii="Verdana" w:hAnsi="Verdana" w:cs="TimesNewRomanPSMT"/>
          <w:sz w:val="20"/>
          <w:szCs w:val="20"/>
          <w:lang w:eastAsia="bg-BG"/>
        </w:rPr>
        <w:t>distributed</w:t>
      </w:r>
      <w:r w:rsidRPr="0099675A">
        <w:rPr>
          <w:rFonts w:ascii="Verdana" w:hAnsi="Verdana" w:cs="TimesNewRomanPSMT"/>
          <w:sz w:val="20"/>
          <w:szCs w:val="20"/>
          <w:lang w:eastAsia="bg-BG"/>
        </w:rPr>
        <w:t>.</w:t>
      </w:r>
      <w:r w:rsidRPr="00A81B24">
        <w:rPr>
          <w:rFonts w:ascii="Verdana" w:hAnsi="Verdana"/>
          <w:bCs/>
          <w:color w:val="000000"/>
          <w:sz w:val="20"/>
          <w:szCs w:val="20"/>
          <w:vertAlign w:val="superscript"/>
        </w:rPr>
        <w:t xml:space="preserve">  </w:t>
      </w:r>
      <w:r w:rsidRPr="0099675A">
        <w:rPr>
          <w:rFonts w:ascii="Verdana" w:hAnsi="Verdana"/>
          <w:bCs/>
          <w:color w:val="000000"/>
          <w:sz w:val="20"/>
          <w:szCs w:val="20"/>
        </w:rPr>
        <w:t>The adequacy and management structure is one of the three major elements of the evaluation of the administrative capacity</w:t>
      </w:r>
      <w:r w:rsidRPr="00A81B24">
        <w:rPr>
          <w:rStyle w:val="FootnoteReference"/>
          <w:rFonts w:ascii="Verdana" w:hAnsi="Verdana"/>
          <w:bCs/>
          <w:color w:val="000000"/>
          <w:sz w:val="20"/>
          <w:szCs w:val="20"/>
        </w:rPr>
        <w:footnoteReference w:id="8"/>
      </w:r>
      <w:r w:rsidRPr="0099675A">
        <w:rPr>
          <w:rFonts w:ascii="Verdana" w:hAnsi="Verdana"/>
          <w:bCs/>
          <w:color w:val="000000"/>
          <w:sz w:val="20"/>
          <w:szCs w:val="20"/>
        </w:rPr>
        <w:t xml:space="preserve">, which also include adequacy of human resources, availability of systems, instruments, guidelines, manuals and procedures which guarantee the efficient and </w:t>
      </w:r>
      <w:r>
        <w:rPr>
          <w:rFonts w:ascii="Verdana" w:hAnsi="Verdana"/>
          <w:bCs/>
          <w:color w:val="000000"/>
          <w:sz w:val="20"/>
          <w:szCs w:val="20"/>
        </w:rPr>
        <w:t>proper</w:t>
      </w:r>
      <w:r w:rsidRPr="0099675A">
        <w:rPr>
          <w:rFonts w:ascii="Verdana" w:hAnsi="Verdana"/>
          <w:bCs/>
          <w:color w:val="000000"/>
          <w:sz w:val="20"/>
          <w:szCs w:val="20"/>
        </w:rPr>
        <w:t xml:space="preserve"> implementation of the programme</w:t>
      </w:r>
      <w:r w:rsidRPr="0099675A">
        <w:rPr>
          <w:rFonts w:ascii="Verdana" w:eastAsia="Malgun Gothic" w:hAnsi="Verdana" w:cs="TimesNewRomanPSMT"/>
          <w:sz w:val="20"/>
          <w:szCs w:val="20"/>
          <w:lang w:eastAsia="ko-KR"/>
        </w:rPr>
        <w:t>. The human resources</w:t>
      </w:r>
      <w:r>
        <w:rPr>
          <w:rFonts w:ascii="Verdana" w:eastAsia="Malgun Gothic" w:hAnsi="Verdana" w:cs="TimesNewRomanPSMT"/>
          <w:sz w:val="20"/>
          <w:szCs w:val="20"/>
          <w:lang w:eastAsia="ko-KR"/>
        </w:rPr>
        <w:t xml:space="preserve">, </w:t>
      </w:r>
      <w:r w:rsidRPr="0099675A">
        <w:rPr>
          <w:rFonts w:ascii="Verdana" w:eastAsia="Malgun Gothic" w:hAnsi="Verdana" w:cs="TimesNewRomanPSMT"/>
          <w:sz w:val="20"/>
          <w:szCs w:val="20"/>
          <w:lang w:eastAsia="ko-KR"/>
        </w:rPr>
        <w:t>systems and procedures are discussed in the next sub-point of this analysis.</w:t>
      </w:r>
    </w:p>
    <w:p w:rsidR="007A2B7B" w:rsidRPr="00A81B24" w:rsidRDefault="007A2B7B" w:rsidP="007A2B7B">
      <w:pPr>
        <w:autoSpaceDE w:val="0"/>
        <w:autoSpaceDN w:val="0"/>
        <w:adjustRightInd w:val="0"/>
        <w:spacing w:before="120" w:after="120"/>
        <w:jc w:val="both"/>
        <w:rPr>
          <w:rFonts w:ascii="Verdana" w:hAnsi="Verdana" w:cs="TimesNewRomanPSMT"/>
          <w:sz w:val="20"/>
          <w:szCs w:val="20"/>
          <w:lang w:eastAsia="bg-BG"/>
        </w:rPr>
      </w:pPr>
      <w:r w:rsidRPr="0099675A">
        <w:rPr>
          <w:rFonts w:ascii="Verdana" w:hAnsi="Verdana"/>
          <w:bCs/>
          <w:color w:val="000000"/>
          <w:sz w:val="20"/>
          <w:szCs w:val="20"/>
        </w:rPr>
        <w:t xml:space="preserve">The following new structure of SFIEP as a MA of OPSESG was introduced in </w:t>
      </w:r>
      <w:r>
        <w:rPr>
          <w:rFonts w:ascii="Verdana" w:hAnsi="Verdana"/>
          <w:bCs/>
          <w:color w:val="000000"/>
          <w:sz w:val="20"/>
          <w:szCs w:val="20"/>
        </w:rPr>
        <w:t xml:space="preserve">May </w:t>
      </w:r>
      <w:r w:rsidRPr="0099675A">
        <w:rPr>
          <w:rFonts w:ascii="Verdana" w:hAnsi="Verdana"/>
          <w:bCs/>
          <w:color w:val="000000"/>
          <w:sz w:val="20"/>
          <w:szCs w:val="20"/>
        </w:rPr>
        <w:t>2014</w:t>
      </w:r>
      <w:r w:rsidRPr="0099675A">
        <w:rPr>
          <w:rFonts w:ascii="Verdana" w:hAnsi="Verdana" w:cs="TimesNewRomanPSMT"/>
          <w:sz w:val="20"/>
          <w:szCs w:val="20"/>
          <w:lang w:eastAsia="bg-BG"/>
        </w:rPr>
        <w:t>:</w:t>
      </w:r>
    </w:p>
    <w:p w:rsidR="007A2B7B" w:rsidRPr="00A81B24" w:rsidRDefault="007A2B7B" w:rsidP="007A2B7B">
      <w:pPr>
        <w:autoSpaceDE w:val="0"/>
        <w:autoSpaceDN w:val="0"/>
        <w:adjustRightInd w:val="0"/>
        <w:spacing w:before="120" w:after="120"/>
        <w:jc w:val="both"/>
        <w:rPr>
          <w:rFonts w:ascii="Verdana" w:hAnsi="Verdana" w:cs="TimesNewRomanPSMT"/>
          <w:sz w:val="20"/>
          <w:szCs w:val="20"/>
          <w:lang w:eastAsia="bg-BG"/>
        </w:rPr>
      </w:pPr>
      <w:r w:rsidRPr="0099675A">
        <w:rPr>
          <w:rFonts w:ascii="Verdana" w:hAnsi="Verdana" w:cs="TimesNewRomanPSMT"/>
          <w:sz w:val="20"/>
          <w:szCs w:val="20"/>
          <w:lang w:eastAsia="bg-BG"/>
        </w:rPr>
        <w:t>1 Director General, 2 Deputy Directors General and 6 departments, one of which is divided into two sectors:</w:t>
      </w:r>
    </w:p>
    <w:p w:rsidR="007A2B7B" w:rsidRPr="00A81B24" w:rsidRDefault="007A2B7B" w:rsidP="007A2B7B">
      <w:pPr>
        <w:pStyle w:val="ListParagraph"/>
        <w:numPr>
          <w:ilvl w:val="0"/>
          <w:numId w:val="63"/>
        </w:numPr>
        <w:autoSpaceDE w:val="0"/>
        <w:autoSpaceDN w:val="0"/>
        <w:adjustRightInd w:val="0"/>
        <w:spacing w:before="120" w:after="120"/>
        <w:jc w:val="both"/>
        <w:rPr>
          <w:rFonts w:ascii="Verdana" w:hAnsi="Verdana" w:cs="TimesNewRomanPSMT"/>
          <w:sz w:val="20"/>
          <w:szCs w:val="20"/>
          <w:lang w:eastAsia="bg-BG"/>
        </w:rPr>
      </w:pPr>
      <w:r w:rsidRPr="0099675A">
        <w:rPr>
          <w:rFonts w:ascii="Verdana" w:hAnsi="Verdana" w:cs="TimesNewRomanPSMT"/>
          <w:sz w:val="20"/>
          <w:szCs w:val="20"/>
          <w:lang w:eastAsia="bg-BG"/>
        </w:rPr>
        <w:t>Programming and Contracting Department;</w:t>
      </w:r>
    </w:p>
    <w:p w:rsidR="007A2B7B" w:rsidRPr="00A81B24" w:rsidRDefault="007A2B7B" w:rsidP="007A2B7B">
      <w:pPr>
        <w:pStyle w:val="ListParagraph"/>
        <w:numPr>
          <w:ilvl w:val="0"/>
          <w:numId w:val="63"/>
        </w:numPr>
        <w:autoSpaceDE w:val="0"/>
        <w:autoSpaceDN w:val="0"/>
        <w:adjustRightInd w:val="0"/>
        <w:spacing w:before="120" w:after="120"/>
        <w:jc w:val="both"/>
        <w:rPr>
          <w:rFonts w:ascii="Verdana" w:hAnsi="Verdana" w:cs="TimesNewRomanPSMT"/>
          <w:sz w:val="20"/>
          <w:szCs w:val="20"/>
          <w:lang w:eastAsia="bg-BG"/>
        </w:rPr>
      </w:pPr>
      <w:r w:rsidRPr="0099675A">
        <w:rPr>
          <w:rFonts w:ascii="Verdana" w:hAnsi="Verdana" w:cs="TimesNewRomanPSMT"/>
          <w:sz w:val="20"/>
          <w:szCs w:val="20"/>
          <w:lang w:eastAsia="bg-BG"/>
        </w:rPr>
        <w:t>Monitoring and Evaluation Department;</w:t>
      </w:r>
    </w:p>
    <w:p w:rsidR="007A2B7B" w:rsidRPr="00A81B24" w:rsidRDefault="007A2B7B" w:rsidP="007A2B7B">
      <w:pPr>
        <w:pStyle w:val="ListParagraph"/>
        <w:numPr>
          <w:ilvl w:val="0"/>
          <w:numId w:val="63"/>
        </w:numPr>
        <w:autoSpaceDE w:val="0"/>
        <w:autoSpaceDN w:val="0"/>
        <w:adjustRightInd w:val="0"/>
        <w:spacing w:before="120" w:after="120"/>
        <w:jc w:val="both"/>
        <w:rPr>
          <w:rFonts w:ascii="Verdana" w:hAnsi="Verdana" w:cs="TimesNewRomanPSMT"/>
          <w:sz w:val="20"/>
          <w:szCs w:val="20"/>
          <w:lang w:eastAsia="bg-BG"/>
        </w:rPr>
      </w:pPr>
      <w:r w:rsidRPr="0099675A">
        <w:rPr>
          <w:rFonts w:ascii="Verdana" w:hAnsi="Verdana" w:cs="TimesNewRomanPSMT"/>
          <w:sz w:val="20"/>
          <w:szCs w:val="20"/>
          <w:lang w:eastAsia="bg-BG"/>
        </w:rPr>
        <w:t>Verification Department;</w:t>
      </w:r>
    </w:p>
    <w:p w:rsidR="007A2B7B" w:rsidRPr="00A81B24" w:rsidRDefault="007A2B7B" w:rsidP="007A2B7B">
      <w:pPr>
        <w:pStyle w:val="ListParagraph"/>
        <w:numPr>
          <w:ilvl w:val="0"/>
          <w:numId w:val="63"/>
        </w:numPr>
        <w:autoSpaceDE w:val="0"/>
        <w:autoSpaceDN w:val="0"/>
        <w:adjustRightInd w:val="0"/>
        <w:spacing w:before="120" w:after="120"/>
        <w:jc w:val="both"/>
        <w:rPr>
          <w:rFonts w:ascii="Verdana" w:hAnsi="Verdana" w:cs="TimesNewRomanPSMT"/>
          <w:sz w:val="20"/>
          <w:szCs w:val="20"/>
          <w:lang w:eastAsia="bg-BG"/>
        </w:rPr>
      </w:pPr>
      <w:r w:rsidRPr="0099675A">
        <w:rPr>
          <w:rFonts w:ascii="Verdana" w:hAnsi="Verdana" w:cs="TimesNewRomanPSMT"/>
          <w:sz w:val="20"/>
          <w:szCs w:val="20"/>
          <w:lang w:eastAsia="bg-BG"/>
        </w:rPr>
        <w:t>Risk Management and control Department;</w:t>
      </w:r>
    </w:p>
    <w:p w:rsidR="007A2B7B" w:rsidRPr="00A81B24" w:rsidRDefault="007A2B7B" w:rsidP="007A2B7B">
      <w:pPr>
        <w:pStyle w:val="ListParagraph"/>
        <w:numPr>
          <w:ilvl w:val="0"/>
          <w:numId w:val="63"/>
        </w:numPr>
        <w:autoSpaceDE w:val="0"/>
        <w:autoSpaceDN w:val="0"/>
        <w:adjustRightInd w:val="0"/>
        <w:spacing w:before="120" w:after="120"/>
        <w:jc w:val="both"/>
        <w:rPr>
          <w:rFonts w:ascii="Verdana" w:hAnsi="Verdana" w:cs="TimesNewRomanPSMT"/>
          <w:sz w:val="20"/>
          <w:szCs w:val="20"/>
          <w:lang w:eastAsia="bg-BG"/>
        </w:rPr>
      </w:pPr>
      <w:r w:rsidRPr="0099675A">
        <w:rPr>
          <w:rFonts w:ascii="Verdana" w:hAnsi="Verdana" w:cs="TimesNewRomanPSMT"/>
          <w:sz w:val="20"/>
          <w:szCs w:val="20"/>
          <w:lang w:eastAsia="bg-BG"/>
        </w:rPr>
        <w:t>Financial Planning, Accounting and Payments Department;</w:t>
      </w:r>
    </w:p>
    <w:p w:rsidR="007A2B7B" w:rsidRPr="00A81B24" w:rsidRDefault="007A2B7B" w:rsidP="007A2B7B">
      <w:pPr>
        <w:pStyle w:val="ListParagraph"/>
        <w:numPr>
          <w:ilvl w:val="0"/>
          <w:numId w:val="63"/>
        </w:numPr>
        <w:autoSpaceDE w:val="0"/>
        <w:autoSpaceDN w:val="0"/>
        <w:adjustRightInd w:val="0"/>
        <w:spacing w:before="120" w:after="120"/>
        <w:jc w:val="both"/>
        <w:rPr>
          <w:rFonts w:ascii="Verdana" w:hAnsi="Verdana"/>
          <w:sz w:val="20"/>
          <w:szCs w:val="20"/>
        </w:rPr>
      </w:pPr>
      <w:r w:rsidRPr="0099675A">
        <w:rPr>
          <w:rFonts w:ascii="Verdana" w:hAnsi="Verdana" w:cs="TimesNewRomanPSMT"/>
          <w:sz w:val="20"/>
          <w:szCs w:val="20"/>
          <w:lang w:eastAsia="bg-BG"/>
        </w:rPr>
        <w:t>External European Programmes Department.</w:t>
      </w:r>
    </w:p>
    <w:p w:rsidR="007A2B7B" w:rsidRPr="00A81B24" w:rsidRDefault="00B641E0" w:rsidP="007A2B7B">
      <w:pPr>
        <w:autoSpaceDE w:val="0"/>
        <w:autoSpaceDN w:val="0"/>
        <w:adjustRightInd w:val="0"/>
        <w:spacing w:after="0" w:line="240" w:lineRule="auto"/>
        <w:jc w:val="both"/>
        <w:rPr>
          <w:rFonts w:ascii="Verdana" w:hAnsi="Verdana" w:cs="TimesNewRomanPSMT"/>
          <w:sz w:val="20"/>
          <w:szCs w:val="20"/>
          <w:lang w:eastAsia="bg-BG"/>
        </w:rPr>
      </w:pPr>
      <w:r w:rsidRPr="00EF2942">
        <w:object w:dxaOrig="11819" w:dyaOrig="7071">
          <v:shape id="_x0000_i1115" type="#_x0000_t75" style="width:468pt;height:280.5pt" o:ole="">
            <v:imagedata r:id="rId56" o:title=""/>
          </v:shape>
          <o:OLEObject Type="Embed" ProgID="Visio.Drawing.11" ShapeID="_x0000_i1115" DrawAspect="Content" ObjectID="_1469971868" r:id="rId57"/>
        </w:object>
      </w:r>
    </w:p>
    <w:p w:rsidR="007A2B7B" w:rsidRPr="00A81B24" w:rsidRDefault="007A2B7B" w:rsidP="007A2B7B">
      <w:pPr>
        <w:spacing w:after="0" w:line="240" w:lineRule="auto"/>
        <w:jc w:val="center"/>
        <w:rPr>
          <w:rFonts w:ascii="Verdana" w:hAnsi="Verdana"/>
          <w:b/>
          <w:color w:val="006CB6"/>
          <w:sz w:val="20"/>
          <w:szCs w:val="20"/>
        </w:rPr>
      </w:pPr>
      <w:bookmarkStart w:id="210" w:name="_Toc388432009"/>
      <w:bookmarkStart w:id="211" w:name="_Toc390257338"/>
      <w:bookmarkStart w:id="212" w:name="_Toc394505810"/>
      <w:bookmarkStart w:id="213" w:name="_Toc396225648"/>
      <w:r w:rsidRPr="0099675A">
        <w:rPr>
          <w:rFonts w:ascii="Verdana" w:hAnsi="Verdana"/>
          <w:b/>
          <w:color w:val="006CB6"/>
          <w:sz w:val="20"/>
          <w:szCs w:val="20"/>
        </w:rPr>
        <w:t xml:space="preserve">Figure </w:t>
      </w:r>
      <w:r w:rsidRPr="0099675A">
        <w:rPr>
          <w:rFonts w:ascii="Verdana" w:hAnsi="Verdana"/>
          <w:b/>
          <w:color w:val="006CB6"/>
          <w:sz w:val="20"/>
          <w:szCs w:val="20"/>
        </w:rPr>
        <w:fldChar w:fldCharType="begin"/>
      </w:r>
      <w:r w:rsidRPr="0099675A">
        <w:rPr>
          <w:rFonts w:ascii="Verdana" w:hAnsi="Verdana"/>
          <w:b/>
          <w:color w:val="006CB6"/>
          <w:sz w:val="20"/>
          <w:szCs w:val="20"/>
        </w:rPr>
        <w:instrText>SEQ фигура \* ARABIC</w:instrText>
      </w:r>
      <w:r w:rsidRPr="0099675A">
        <w:rPr>
          <w:rFonts w:ascii="Verdana" w:hAnsi="Verdana"/>
          <w:b/>
          <w:color w:val="006CB6"/>
          <w:sz w:val="20"/>
          <w:szCs w:val="20"/>
        </w:rPr>
        <w:fldChar w:fldCharType="separate"/>
      </w:r>
      <w:r w:rsidR="009330F5">
        <w:rPr>
          <w:rFonts w:ascii="Verdana" w:hAnsi="Verdana"/>
          <w:b/>
          <w:noProof/>
          <w:color w:val="006CB6"/>
          <w:sz w:val="20"/>
          <w:szCs w:val="20"/>
        </w:rPr>
        <w:t>12</w:t>
      </w:r>
      <w:r w:rsidRPr="0099675A">
        <w:rPr>
          <w:rFonts w:ascii="Verdana" w:hAnsi="Verdana"/>
          <w:b/>
          <w:color w:val="006CB6"/>
          <w:sz w:val="20"/>
          <w:szCs w:val="20"/>
        </w:rPr>
        <w:fldChar w:fldCharType="end"/>
      </w:r>
      <w:r w:rsidRPr="0099675A">
        <w:rPr>
          <w:rFonts w:ascii="Verdana" w:hAnsi="Verdana"/>
          <w:b/>
          <w:color w:val="006CB6"/>
          <w:sz w:val="20"/>
          <w:szCs w:val="20"/>
        </w:rPr>
        <w:t>: Organizational chart of DG SFIEP</w:t>
      </w:r>
      <w:bookmarkEnd w:id="210"/>
      <w:bookmarkEnd w:id="211"/>
      <w:bookmarkEnd w:id="212"/>
      <w:bookmarkEnd w:id="213"/>
    </w:p>
    <w:p w:rsidR="007A2B7B" w:rsidRPr="00A81B24" w:rsidRDefault="007A2B7B" w:rsidP="007A2B7B">
      <w:pPr>
        <w:pStyle w:val="Caption"/>
        <w:jc w:val="center"/>
        <w:rPr>
          <w:rFonts w:ascii="Verdana" w:hAnsi="Verdana" w:cs="TimesNewRomanPSMT"/>
          <w:b w:val="0"/>
          <w:sz w:val="16"/>
          <w:szCs w:val="16"/>
        </w:rPr>
      </w:pPr>
      <w:r w:rsidRPr="0099675A">
        <w:rPr>
          <w:rFonts w:ascii="Verdana" w:eastAsia="Times New Roman" w:hAnsi="Verdana"/>
          <w:b w:val="0"/>
          <w:color w:val="000000"/>
          <w:sz w:val="16"/>
          <w:szCs w:val="16"/>
        </w:rPr>
        <w:t xml:space="preserve">Source: </w:t>
      </w:r>
      <w:r w:rsidRPr="0099675A">
        <w:rPr>
          <w:rFonts w:ascii="Verdana" w:hAnsi="Verdana" w:cs="TimesNewRomanPSMT"/>
          <w:b w:val="0"/>
          <w:sz w:val="16"/>
          <w:szCs w:val="16"/>
        </w:rPr>
        <w:t>DG SFIEP</w:t>
      </w:r>
    </w:p>
    <w:p w:rsidR="007A2B7B" w:rsidRPr="00A81B24" w:rsidRDefault="007A2B7B" w:rsidP="007A2B7B">
      <w:pPr>
        <w:jc w:val="both"/>
        <w:rPr>
          <w:rFonts w:ascii="Verdana" w:hAnsi="Verdana"/>
          <w:sz w:val="20"/>
          <w:szCs w:val="20"/>
          <w:lang w:eastAsia="bg-BG"/>
        </w:rPr>
      </w:pPr>
    </w:p>
    <w:p w:rsidR="007A2B7B" w:rsidRPr="00A81B24" w:rsidRDefault="007A2B7B" w:rsidP="007A2B7B">
      <w:pPr>
        <w:jc w:val="both"/>
        <w:rPr>
          <w:rFonts w:ascii="Verdana" w:hAnsi="Verdana"/>
          <w:sz w:val="20"/>
          <w:szCs w:val="20"/>
          <w:lang w:eastAsia="bg-BG"/>
        </w:rPr>
      </w:pPr>
      <w:r w:rsidRPr="0099675A">
        <w:rPr>
          <w:rFonts w:ascii="Verdana" w:hAnsi="Verdana"/>
          <w:sz w:val="20"/>
          <w:szCs w:val="20"/>
          <w:lang w:eastAsia="bg-BG"/>
        </w:rPr>
        <w:t xml:space="preserve">The </w:t>
      </w:r>
      <w:r w:rsidRPr="005A19EC">
        <w:rPr>
          <w:rFonts w:ascii="Verdana" w:hAnsi="Verdana"/>
          <w:sz w:val="20"/>
          <w:szCs w:val="20"/>
          <w:lang w:eastAsia="bg-BG"/>
        </w:rPr>
        <w:t xml:space="preserve">structure </w:t>
      </w:r>
      <w:r w:rsidRPr="0099675A">
        <w:rPr>
          <w:rFonts w:ascii="Verdana" w:hAnsi="Verdana"/>
          <w:sz w:val="20"/>
          <w:szCs w:val="20"/>
          <w:lang w:eastAsia="bg-BG"/>
        </w:rPr>
        <w:t xml:space="preserve">presented reflects the functions of the Directorate as MA and </w:t>
      </w:r>
      <w:r>
        <w:rPr>
          <w:rFonts w:ascii="Verdana" w:hAnsi="Verdana"/>
          <w:sz w:val="20"/>
          <w:szCs w:val="20"/>
          <w:lang w:eastAsia="bg-BG"/>
        </w:rPr>
        <w:t xml:space="preserve">shows </w:t>
      </w:r>
      <w:r w:rsidRPr="0099675A">
        <w:rPr>
          <w:rFonts w:ascii="Verdana" w:hAnsi="Verdana"/>
          <w:sz w:val="20"/>
          <w:szCs w:val="20"/>
          <w:lang w:eastAsia="bg-BG"/>
        </w:rPr>
        <w:t>the new units, which will assume the additional responsibilities, part of the functions of the MA</w:t>
      </w:r>
      <w:proofErr w:type="gramStart"/>
      <w:r>
        <w:rPr>
          <w:rFonts w:ascii="Verdana" w:hAnsi="Verdana"/>
          <w:sz w:val="20"/>
          <w:szCs w:val="20"/>
          <w:lang w:eastAsia="bg-BG"/>
        </w:rPr>
        <w:t>.</w:t>
      </w:r>
      <w:r w:rsidRPr="0099675A">
        <w:rPr>
          <w:rFonts w:ascii="Verdana" w:hAnsi="Verdana"/>
          <w:sz w:val="20"/>
          <w:szCs w:val="20"/>
          <w:lang w:eastAsia="bg-BG"/>
        </w:rPr>
        <w:t>.</w:t>
      </w:r>
      <w:proofErr w:type="gramEnd"/>
      <w:r w:rsidRPr="0099675A">
        <w:rPr>
          <w:rFonts w:ascii="Verdana" w:hAnsi="Verdana"/>
          <w:sz w:val="20"/>
          <w:szCs w:val="20"/>
          <w:lang w:eastAsia="bg-BG"/>
        </w:rPr>
        <w:t xml:space="preserve"> </w:t>
      </w:r>
    </w:p>
    <w:p w:rsidR="007A2B7B" w:rsidRPr="00A81B24" w:rsidRDefault="007A2B7B" w:rsidP="007A2B7B">
      <w:pPr>
        <w:jc w:val="both"/>
        <w:rPr>
          <w:rFonts w:ascii="Verdana" w:hAnsi="Verdana"/>
          <w:sz w:val="20"/>
          <w:szCs w:val="20"/>
          <w:lang w:eastAsia="bg-BG"/>
        </w:rPr>
      </w:pPr>
      <w:r w:rsidRPr="0099675A">
        <w:rPr>
          <w:rFonts w:ascii="Verdana" w:hAnsi="Verdana"/>
          <w:sz w:val="20"/>
          <w:szCs w:val="20"/>
          <w:lang w:eastAsia="bg-BG"/>
        </w:rPr>
        <w:t xml:space="preserve">A Programming and Contracting </w:t>
      </w:r>
      <w:r>
        <w:rPr>
          <w:rFonts w:ascii="Verdana" w:hAnsi="Verdana"/>
          <w:sz w:val="20"/>
          <w:szCs w:val="20"/>
          <w:lang w:eastAsia="bg-BG"/>
        </w:rPr>
        <w:t>D</w:t>
      </w:r>
      <w:r w:rsidRPr="0099675A">
        <w:rPr>
          <w:rFonts w:ascii="Verdana" w:hAnsi="Verdana"/>
          <w:sz w:val="20"/>
          <w:szCs w:val="20"/>
          <w:lang w:eastAsia="bg-BG"/>
        </w:rPr>
        <w:t xml:space="preserve">epartment is created to </w:t>
      </w:r>
      <w:r>
        <w:rPr>
          <w:rFonts w:ascii="Verdana" w:hAnsi="Verdana"/>
          <w:sz w:val="20"/>
          <w:szCs w:val="20"/>
          <w:lang w:eastAsia="bg-BG"/>
        </w:rPr>
        <w:t>cover</w:t>
      </w:r>
      <w:r w:rsidRPr="0099675A">
        <w:rPr>
          <w:rFonts w:ascii="Verdana" w:hAnsi="Verdana"/>
          <w:sz w:val="20"/>
          <w:szCs w:val="20"/>
          <w:lang w:eastAsia="bg-BG"/>
        </w:rPr>
        <w:t xml:space="preserve"> the functions of preparation of the Programme, </w:t>
      </w:r>
      <w:r>
        <w:rPr>
          <w:rFonts w:ascii="Verdana" w:hAnsi="Verdana"/>
          <w:sz w:val="20"/>
          <w:szCs w:val="20"/>
          <w:lang w:eastAsia="bg-BG"/>
        </w:rPr>
        <w:t xml:space="preserve">the development and </w:t>
      </w:r>
      <w:r w:rsidRPr="0099675A">
        <w:rPr>
          <w:rFonts w:ascii="Verdana" w:hAnsi="Verdana"/>
          <w:sz w:val="20"/>
          <w:szCs w:val="20"/>
          <w:lang w:eastAsia="bg-BG"/>
        </w:rPr>
        <w:t xml:space="preserve">conduct </w:t>
      </w:r>
      <w:r>
        <w:rPr>
          <w:rFonts w:ascii="Verdana" w:hAnsi="Verdana"/>
          <w:sz w:val="20"/>
          <w:szCs w:val="20"/>
          <w:lang w:eastAsia="bg-BG"/>
        </w:rPr>
        <w:t xml:space="preserve">of </w:t>
      </w:r>
      <w:r w:rsidRPr="0099675A">
        <w:rPr>
          <w:rFonts w:ascii="Verdana" w:hAnsi="Verdana"/>
          <w:sz w:val="20"/>
          <w:szCs w:val="20"/>
          <w:lang w:eastAsia="bg-BG"/>
        </w:rPr>
        <w:t xml:space="preserve">the grant </w:t>
      </w:r>
      <w:proofErr w:type="gramStart"/>
      <w:r w:rsidRPr="0099675A">
        <w:rPr>
          <w:rFonts w:ascii="Verdana" w:hAnsi="Verdana"/>
          <w:sz w:val="20"/>
          <w:szCs w:val="20"/>
          <w:lang w:eastAsia="bg-BG"/>
        </w:rPr>
        <w:t xml:space="preserve">awarding </w:t>
      </w:r>
      <w:r>
        <w:rPr>
          <w:rFonts w:ascii="Verdana" w:hAnsi="Verdana"/>
          <w:sz w:val="20"/>
          <w:szCs w:val="20"/>
          <w:lang w:eastAsia="bg-BG"/>
        </w:rPr>
        <w:t xml:space="preserve"> and</w:t>
      </w:r>
      <w:proofErr w:type="gramEnd"/>
      <w:r>
        <w:rPr>
          <w:rFonts w:ascii="Verdana" w:hAnsi="Verdana"/>
          <w:sz w:val="20"/>
          <w:szCs w:val="20"/>
          <w:lang w:eastAsia="bg-BG"/>
        </w:rPr>
        <w:t xml:space="preserve"> </w:t>
      </w:r>
      <w:r w:rsidRPr="0099675A">
        <w:rPr>
          <w:rFonts w:ascii="Verdana" w:hAnsi="Verdana"/>
          <w:sz w:val="20"/>
          <w:szCs w:val="20"/>
          <w:lang w:eastAsia="bg-BG"/>
        </w:rPr>
        <w:t xml:space="preserve">contractor selection procedures. This department will also </w:t>
      </w:r>
      <w:r>
        <w:rPr>
          <w:rFonts w:ascii="Verdana" w:hAnsi="Verdana"/>
          <w:sz w:val="20"/>
          <w:szCs w:val="20"/>
          <w:lang w:eastAsia="bg-BG"/>
        </w:rPr>
        <w:t>implement</w:t>
      </w:r>
      <w:r w:rsidRPr="0099675A">
        <w:rPr>
          <w:rFonts w:ascii="Verdana" w:hAnsi="Verdana"/>
          <w:sz w:val="20"/>
          <w:szCs w:val="20"/>
          <w:lang w:eastAsia="bg-BG"/>
        </w:rPr>
        <w:t xml:space="preserve"> tasks relating to publicity and communication activities under the Operational Programme.</w:t>
      </w:r>
    </w:p>
    <w:p w:rsidR="007A2B7B" w:rsidRPr="00A81B24" w:rsidRDefault="007A2B7B" w:rsidP="007A2B7B">
      <w:pPr>
        <w:jc w:val="both"/>
        <w:rPr>
          <w:rFonts w:ascii="Verdana" w:hAnsi="Verdana"/>
          <w:sz w:val="20"/>
          <w:szCs w:val="20"/>
          <w:lang w:eastAsia="bg-BG"/>
        </w:rPr>
      </w:pPr>
      <w:r w:rsidRPr="0099675A">
        <w:rPr>
          <w:rFonts w:ascii="Verdana" w:hAnsi="Verdana"/>
          <w:sz w:val="20"/>
          <w:szCs w:val="20"/>
          <w:lang w:eastAsia="bg-BG"/>
        </w:rPr>
        <w:t>The Programme monitoring, the preparation of annual reports and the evaluation at the Programme level will be performed by a new department for Monitoring and Evaluation.</w:t>
      </w:r>
    </w:p>
    <w:p w:rsidR="007A2B7B" w:rsidRPr="00A81B24" w:rsidRDefault="007A2B7B" w:rsidP="007A2B7B">
      <w:pPr>
        <w:jc w:val="both"/>
        <w:rPr>
          <w:rFonts w:ascii="Verdana" w:hAnsi="Verdana"/>
          <w:sz w:val="20"/>
          <w:szCs w:val="20"/>
          <w:lang w:eastAsia="bg-BG"/>
        </w:rPr>
      </w:pPr>
      <w:r w:rsidRPr="0099675A">
        <w:rPr>
          <w:rFonts w:ascii="Verdana" w:hAnsi="Verdana"/>
          <w:sz w:val="20"/>
          <w:szCs w:val="20"/>
          <w:lang w:eastAsia="bg-BG"/>
        </w:rPr>
        <w:t>With a view to optimising the structure and functions, the departments responsible for technical and financial verification, as well as the regional coordinators are united in one department Verification with two sectors – Technical Verification and Financial Verification.</w:t>
      </w:r>
    </w:p>
    <w:p w:rsidR="007A2B7B" w:rsidRPr="00A81B24" w:rsidRDefault="007A2B7B" w:rsidP="007A2B7B">
      <w:pPr>
        <w:jc w:val="both"/>
        <w:rPr>
          <w:rFonts w:ascii="Verdana" w:hAnsi="Verdana"/>
          <w:sz w:val="20"/>
          <w:szCs w:val="20"/>
          <w:lang w:eastAsia="bg-BG"/>
        </w:rPr>
      </w:pPr>
      <w:r>
        <w:rPr>
          <w:rFonts w:ascii="Verdana" w:hAnsi="Verdana"/>
          <w:sz w:val="20"/>
          <w:szCs w:val="20"/>
          <w:lang w:eastAsia="bg-BG"/>
        </w:rPr>
        <w:t xml:space="preserve">The </w:t>
      </w:r>
      <w:r w:rsidRPr="0099675A">
        <w:rPr>
          <w:rFonts w:ascii="Verdana" w:hAnsi="Verdana" w:cs="TimesNewRomanPSMT"/>
          <w:sz w:val="20"/>
          <w:szCs w:val="20"/>
          <w:lang w:eastAsia="bg-BG"/>
        </w:rPr>
        <w:t>Financial Planning, Accounting and Payments Department</w:t>
      </w:r>
      <w:r w:rsidRPr="0099675A">
        <w:rPr>
          <w:rFonts w:ascii="Verdana" w:hAnsi="Verdana"/>
          <w:sz w:val="20"/>
          <w:szCs w:val="20"/>
          <w:lang w:eastAsia="bg-BG"/>
        </w:rPr>
        <w:t xml:space="preserve"> </w:t>
      </w:r>
      <w:r>
        <w:rPr>
          <w:rFonts w:ascii="Verdana" w:hAnsi="Verdana"/>
          <w:sz w:val="20"/>
          <w:szCs w:val="20"/>
          <w:lang w:eastAsia="bg-BG"/>
        </w:rPr>
        <w:t xml:space="preserve">as well </w:t>
      </w:r>
      <w:proofErr w:type="gramStart"/>
      <w:r>
        <w:rPr>
          <w:rFonts w:ascii="Verdana" w:hAnsi="Verdana"/>
          <w:sz w:val="20"/>
          <w:szCs w:val="20"/>
          <w:lang w:eastAsia="bg-BG"/>
        </w:rPr>
        <w:t xml:space="preserve">as </w:t>
      </w:r>
      <w:r w:rsidRPr="0099675A">
        <w:rPr>
          <w:rFonts w:ascii="Verdana" w:hAnsi="Verdana"/>
          <w:sz w:val="20"/>
          <w:szCs w:val="20"/>
          <w:lang w:eastAsia="bg-BG"/>
        </w:rPr>
        <w:t xml:space="preserve"> </w:t>
      </w:r>
      <w:r>
        <w:rPr>
          <w:rFonts w:ascii="Verdana" w:hAnsi="Verdana"/>
          <w:sz w:val="20"/>
          <w:szCs w:val="20"/>
          <w:lang w:eastAsia="bg-BG"/>
        </w:rPr>
        <w:t>the</w:t>
      </w:r>
      <w:proofErr w:type="gramEnd"/>
      <w:r>
        <w:rPr>
          <w:rFonts w:ascii="Verdana" w:hAnsi="Verdana"/>
          <w:sz w:val="20"/>
          <w:szCs w:val="20"/>
          <w:lang w:eastAsia="bg-BG"/>
        </w:rPr>
        <w:t xml:space="preserve"> </w:t>
      </w:r>
      <w:r w:rsidRPr="0099675A">
        <w:rPr>
          <w:rFonts w:ascii="Verdana" w:hAnsi="Verdana"/>
          <w:sz w:val="20"/>
          <w:szCs w:val="20"/>
          <w:lang w:eastAsia="bg-BG"/>
        </w:rPr>
        <w:t>External European Programmes</w:t>
      </w:r>
      <w:r>
        <w:rPr>
          <w:rFonts w:ascii="Verdana" w:hAnsi="Verdana"/>
          <w:sz w:val="20"/>
          <w:szCs w:val="20"/>
          <w:lang w:eastAsia="bg-BG"/>
        </w:rPr>
        <w:t xml:space="preserve"> Department</w:t>
      </w:r>
      <w:r w:rsidRPr="0099675A">
        <w:rPr>
          <w:rFonts w:ascii="Verdana" w:hAnsi="Verdana"/>
          <w:sz w:val="20"/>
          <w:szCs w:val="20"/>
          <w:lang w:eastAsia="bg-BG"/>
        </w:rPr>
        <w:t xml:space="preserve"> report directly to the Director General of the Directorate, and the management of the other 4 departments is </w:t>
      </w:r>
      <w:r>
        <w:rPr>
          <w:rFonts w:ascii="Verdana" w:hAnsi="Verdana"/>
          <w:sz w:val="20"/>
          <w:szCs w:val="20"/>
          <w:lang w:eastAsia="bg-BG"/>
        </w:rPr>
        <w:t>divided</w:t>
      </w:r>
      <w:r w:rsidRPr="0099675A">
        <w:rPr>
          <w:rFonts w:ascii="Verdana" w:hAnsi="Verdana"/>
          <w:sz w:val="20"/>
          <w:szCs w:val="20"/>
          <w:lang w:eastAsia="bg-BG"/>
        </w:rPr>
        <w:t xml:space="preserve"> between the two Deputy Directors General.</w:t>
      </w:r>
    </w:p>
    <w:p w:rsidR="007A2B7B" w:rsidRPr="00A81B24" w:rsidRDefault="007A2B7B" w:rsidP="007A2B7B">
      <w:pPr>
        <w:jc w:val="both"/>
        <w:rPr>
          <w:rFonts w:ascii="Verdana" w:hAnsi="Verdana"/>
          <w:sz w:val="20"/>
          <w:szCs w:val="20"/>
        </w:rPr>
      </w:pPr>
      <w:r w:rsidRPr="0099675A">
        <w:rPr>
          <w:rFonts w:ascii="Verdana" w:hAnsi="Verdana"/>
          <w:sz w:val="20"/>
          <w:szCs w:val="20"/>
          <w:lang w:eastAsia="bg-BG"/>
        </w:rPr>
        <w:t xml:space="preserve">The structure presented above covers the implementation of all functions and responsibilities of the </w:t>
      </w:r>
      <w:r>
        <w:rPr>
          <w:rFonts w:ascii="Verdana" w:hAnsi="Verdana"/>
          <w:sz w:val="20"/>
          <w:szCs w:val="20"/>
          <w:lang w:eastAsia="bg-BG"/>
        </w:rPr>
        <w:t>M</w:t>
      </w:r>
      <w:r w:rsidRPr="0099675A">
        <w:rPr>
          <w:rFonts w:ascii="Verdana" w:hAnsi="Verdana"/>
          <w:sz w:val="20"/>
          <w:szCs w:val="20"/>
          <w:lang w:eastAsia="bg-BG"/>
        </w:rPr>
        <w:t xml:space="preserve">A and meets the requirements for the delineation of functions. </w:t>
      </w:r>
      <w:r>
        <w:rPr>
          <w:rFonts w:ascii="Verdana" w:hAnsi="Verdana"/>
          <w:sz w:val="20"/>
          <w:szCs w:val="20"/>
          <w:lang w:eastAsia="bg-BG"/>
        </w:rPr>
        <w:t>The</w:t>
      </w:r>
      <w:r>
        <w:rPr>
          <w:rFonts w:ascii="Verdana" w:hAnsi="Verdana"/>
          <w:sz w:val="20"/>
          <w:szCs w:val="20"/>
          <w:lang w:val="en-US" w:eastAsia="bg-BG"/>
        </w:rPr>
        <w:t>risk management and control</w:t>
      </w:r>
      <w:r>
        <w:rPr>
          <w:rFonts w:ascii="Verdana" w:hAnsi="Verdana"/>
          <w:sz w:val="20"/>
          <w:szCs w:val="20"/>
          <w:lang w:eastAsia="bg-BG"/>
        </w:rPr>
        <w:t xml:space="preserve"> department</w:t>
      </w:r>
      <w:r w:rsidRPr="0099675A">
        <w:rPr>
          <w:rFonts w:ascii="Verdana" w:hAnsi="Verdana"/>
          <w:sz w:val="20"/>
          <w:szCs w:val="20"/>
          <w:lang w:eastAsia="bg-BG"/>
        </w:rPr>
        <w:t xml:space="preserve">, which includes the irregularities officer, </w:t>
      </w:r>
      <w:proofErr w:type="gramStart"/>
      <w:r>
        <w:rPr>
          <w:rFonts w:ascii="Verdana" w:hAnsi="Verdana"/>
          <w:sz w:val="20"/>
          <w:szCs w:val="20"/>
          <w:lang w:eastAsia="bg-BG"/>
        </w:rPr>
        <w:lastRenderedPageBreak/>
        <w:t xml:space="preserve">should </w:t>
      </w:r>
      <w:r w:rsidRPr="0099675A">
        <w:rPr>
          <w:rFonts w:ascii="Verdana" w:hAnsi="Verdana"/>
          <w:sz w:val="20"/>
          <w:szCs w:val="20"/>
          <w:lang w:eastAsia="bg-BG"/>
        </w:rPr>
        <w:t xml:space="preserve"> report</w:t>
      </w:r>
      <w:proofErr w:type="gramEnd"/>
      <w:r w:rsidRPr="0099675A">
        <w:rPr>
          <w:rFonts w:ascii="Verdana" w:hAnsi="Verdana"/>
          <w:sz w:val="20"/>
          <w:szCs w:val="20"/>
          <w:lang w:eastAsia="bg-BG"/>
        </w:rPr>
        <w:t xml:space="preserve"> directly to the Director General of DG SFIEP, not to the Deputy Director General in order to guarantee the independence of the officer in charge of irregularities</w:t>
      </w:r>
      <w:r w:rsidRPr="0099675A">
        <w:rPr>
          <w:rFonts w:ascii="Verdana" w:hAnsi="Verdana"/>
          <w:sz w:val="20"/>
          <w:szCs w:val="20"/>
        </w:rPr>
        <w:t>.</w:t>
      </w:r>
    </w:p>
    <w:p w:rsidR="007A2B7B" w:rsidRPr="00A81B24" w:rsidRDefault="007A2B7B" w:rsidP="007A2B7B">
      <w:pPr>
        <w:jc w:val="both"/>
        <w:rPr>
          <w:rFonts w:ascii="Verdana" w:hAnsi="Verdana"/>
          <w:sz w:val="20"/>
          <w:szCs w:val="20"/>
          <w:lang w:eastAsia="bg-BG"/>
        </w:rPr>
      </w:pPr>
      <w:r w:rsidRPr="0099675A">
        <w:rPr>
          <w:rFonts w:ascii="Verdana" w:hAnsi="Verdana"/>
          <w:sz w:val="20"/>
          <w:szCs w:val="20"/>
        </w:rPr>
        <w:t>Currently</w:t>
      </w:r>
      <w:r>
        <w:rPr>
          <w:rFonts w:ascii="Verdana" w:hAnsi="Verdana"/>
          <w:sz w:val="20"/>
          <w:szCs w:val="20"/>
        </w:rPr>
        <w:t>,</w:t>
      </w:r>
      <w:r w:rsidRPr="0099675A">
        <w:rPr>
          <w:rFonts w:ascii="Verdana" w:hAnsi="Verdana"/>
          <w:sz w:val="20"/>
          <w:szCs w:val="20"/>
        </w:rPr>
        <w:t xml:space="preserve"> the Directorate is preparing the Programme </w:t>
      </w:r>
      <w:r>
        <w:rPr>
          <w:rFonts w:ascii="Verdana" w:hAnsi="Verdana"/>
          <w:sz w:val="20"/>
          <w:szCs w:val="20"/>
        </w:rPr>
        <w:t>I</w:t>
      </w:r>
      <w:r w:rsidRPr="0099675A">
        <w:rPr>
          <w:rFonts w:ascii="Verdana" w:hAnsi="Verdana"/>
          <w:sz w:val="20"/>
          <w:szCs w:val="20"/>
        </w:rPr>
        <w:t xml:space="preserve">mplementation </w:t>
      </w:r>
      <w:r>
        <w:rPr>
          <w:rFonts w:ascii="Verdana" w:hAnsi="Verdana"/>
          <w:sz w:val="20"/>
          <w:szCs w:val="20"/>
        </w:rPr>
        <w:t>M</w:t>
      </w:r>
      <w:r w:rsidRPr="0099675A">
        <w:rPr>
          <w:rFonts w:ascii="Verdana" w:hAnsi="Verdana"/>
          <w:sz w:val="20"/>
          <w:szCs w:val="20"/>
        </w:rPr>
        <w:t>anual, where the tasks and responsibilities of each department will be specified</w:t>
      </w:r>
      <w:proofErr w:type="gramStart"/>
      <w:r>
        <w:rPr>
          <w:rFonts w:ascii="Verdana" w:hAnsi="Verdana"/>
          <w:sz w:val="20"/>
          <w:szCs w:val="20"/>
        </w:rPr>
        <w:t>.</w:t>
      </w:r>
      <w:r w:rsidRPr="0099675A">
        <w:rPr>
          <w:rFonts w:ascii="Verdana" w:hAnsi="Verdana"/>
          <w:sz w:val="20"/>
          <w:szCs w:val="20"/>
        </w:rPr>
        <w:t>.</w:t>
      </w:r>
      <w:proofErr w:type="gramEnd"/>
      <w:r w:rsidRPr="0099675A">
        <w:rPr>
          <w:rFonts w:ascii="Verdana" w:hAnsi="Verdana"/>
          <w:sz w:val="20"/>
          <w:szCs w:val="20"/>
        </w:rPr>
        <w:t xml:space="preserve"> </w:t>
      </w:r>
    </w:p>
    <w:p w:rsidR="007A2B7B" w:rsidRPr="00A81B24" w:rsidRDefault="007A2B7B" w:rsidP="007A2B7B">
      <w:pPr>
        <w:pStyle w:val="broodtekst"/>
        <w:spacing w:before="120" w:after="120" w:line="276" w:lineRule="auto"/>
        <w:jc w:val="both"/>
        <w:rPr>
          <w:rFonts w:ascii="Verdana" w:hAnsi="Verdana" w:cs="Times New Roman"/>
          <w:sz w:val="20"/>
          <w:szCs w:val="20"/>
          <w:lang w:eastAsia="en-US"/>
        </w:rPr>
      </w:pPr>
      <w:r w:rsidRPr="0099675A">
        <w:rPr>
          <w:rFonts w:ascii="Verdana" w:hAnsi="Verdana"/>
          <w:sz w:val="20"/>
          <w:szCs w:val="20"/>
        </w:rPr>
        <w:t xml:space="preserve">The main comments on the strengthening and improvement of the structure of MA, made by the </w:t>
      </w:r>
      <w:r>
        <w:rPr>
          <w:rFonts w:ascii="Verdana" w:hAnsi="Verdana"/>
          <w:sz w:val="20"/>
          <w:szCs w:val="20"/>
        </w:rPr>
        <w:t>employees</w:t>
      </w:r>
      <w:r w:rsidRPr="0099675A">
        <w:rPr>
          <w:rFonts w:ascii="Verdana" w:hAnsi="Verdana"/>
          <w:sz w:val="20"/>
          <w:szCs w:val="20"/>
        </w:rPr>
        <w:t xml:space="preserve"> of the Directorate at the interviews and in the on-line </w:t>
      </w:r>
      <w:r>
        <w:rPr>
          <w:rFonts w:ascii="Verdana" w:hAnsi="Verdana"/>
          <w:sz w:val="20"/>
          <w:szCs w:val="20"/>
        </w:rPr>
        <w:t>questionnaire</w:t>
      </w:r>
      <w:r w:rsidRPr="0099675A">
        <w:rPr>
          <w:rFonts w:ascii="Verdana" w:hAnsi="Verdana"/>
          <w:sz w:val="20"/>
          <w:szCs w:val="20"/>
        </w:rPr>
        <w:t xml:space="preserve">, concerned mainly the improvement of the coordination between the departments.   </w:t>
      </w:r>
      <w:r w:rsidRPr="0099675A">
        <w:rPr>
          <w:rFonts w:ascii="Verdana" w:hAnsi="Verdana" w:cs="Times New Roman"/>
          <w:sz w:val="20"/>
          <w:szCs w:val="20"/>
          <w:lang w:eastAsia="en-US"/>
        </w:rPr>
        <w:t xml:space="preserve">62 % of the respondents in the on-line </w:t>
      </w:r>
      <w:r>
        <w:rPr>
          <w:rFonts w:ascii="Verdana" w:hAnsi="Verdana" w:cs="Times New Roman"/>
          <w:sz w:val="20"/>
          <w:szCs w:val="20"/>
          <w:lang w:eastAsia="en-US"/>
        </w:rPr>
        <w:t>questionnaire</w:t>
      </w:r>
      <w:r w:rsidRPr="0099675A">
        <w:rPr>
          <w:rFonts w:ascii="Verdana" w:hAnsi="Verdana" w:cs="Times New Roman"/>
          <w:sz w:val="20"/>
          <w:szCs w:val="20"/>
          <w:lang w:eastAsia="en-US"/>
        </w:rPr>
        <w:t xml:space="preserve"> pointed out that one of the main areas where strengthening is necessary</w:t>
      </w:r>
      <w:r>
        <w:rPr>
          <w:rFonts w:ascii="Verdana" w:hAnsi="Verdana" w:cs="Times New Roman"/>
          <w:sz w:val="20"/>
          <w:szCs w:val="20"/>
          <w:lang w:eastAsia="en-US"/>
        </w:rPr>
        <w:t>,</w:t>
      </w:r>
      <w:r w:rsidRPr="0099675A">
        <w:rPr>
          <w:rFonts w:ascii="Verdana" w:hAnsi="Verdana" w:cs="Times New Roman"/>
          <w:sz w:val="20"/>
          <w:szCs w:val="20"/>
          <w:lang w:eastAsia="en-US"/>
        </w:rPr>
        <w:t xml:space="preserve"> if more efficient management and implementation of OPSESG is to be achieved, is the better structuring of the Programme management at the central level – directorates/units/departments. 56% noted that a better allocation of the work between the central and the regional levels would contribute to strengthening the administrative capacity of the MA. The experts from the directorate are of the opinion that the monitoring (86% of respondents) and the verification (50 % of respondents) of projects can be fully delegated to the regional offices of the Directorate, because they are in the closest contacts with the beneficiaries and this is the reason why such structures are maintained</w:t>
      </w:r>
      <w:r>
        <w:rPr>
          <w:rFonts w:ascii="Verdana" w:hAnsi="Verdana" w:cs="Times New Roman"/>
          <w:sz w:val="20"/>
          <w:szCs w:val="20"/>
          <w:lang w:eastAsia="en-US"/>
        </w:rPr>
        <w:t xml:space="preserve"> in the first place</w:t>
      </w:r>
      <w:r w:rsidRPr="0099675A">
        <w:rPr>
          <w:rFonts w:ascii="Verdana" w:hAnsi="Verdana" w:cs="Times New Roman"/>
          <w:sz w:val="20"/>
          <w:szCs w:val="20"/>
          <w:lang w:eastAsia="en-US"/>
        </w:rPr>
        <w:t xml:space="preserve">. The functions which should not be delegated to the regional structures according to the respondents are the </w:t>
      </w:r>
      <w:r>
        <w:rPr>
          <w:rFonts w:ascii="Verdana" w:hAnsi="Verdana" w:cs="Times New Roman"/>
          <w:sz w:val="20"/>
          <w:szCs w:val="20"/>
          <w:lang w:eastAsia="en-US"/>
        </w:rPr>
        <w:t>grant awarding procedures</w:t>
      </w:r>
      <w:r w:rsidRPr="0099675A">
        <w:rPr>
          <w:rFonts w:ascii="Verdana" w:hAnsi="Verdana" w:cs="Times New Roman"/>
          <w:sz w:val="20"/>
          <w:szCs w:val="20"/>
          <w:lang w:eastAsia="en-US"/>
        </w:rPr>
        <w:t xml:space="preserve"> (76%) and the ex-ante control of the </w:t>
      </w:r>
      <w:r w:rsidRPr="00EA3150">
        <w:rPr>
          <w:rFonts w:ascii="Verdana" w:hAnsi="Verdana" w:cs="Times New Roman"/>
          <w:sz w:val="20"/>
          <w:szCs w:val="20"/>
          <w:lang w:eastAsia="en-US"/>
        </w:rPr>
        <w:t>sub-contracting</w:t>
      </w:r>
      <w:r w:rsidRPr="00A81B24">
        <w:rPr>
          <w:rFonts w:ascii="Verdana" w:hAnsi="Verdana" w:cs="Times New Roman"/>
          <w:sz w:val="20"/>
          <w:szCs w:val="20"/>
          <w:lang w:eastAsia="en-US"/>
        </w:rPr>
        <w:t xml:space="preserve"> </w:t>
      </w:r>
      <w:r w:rsidRPr="0099675A">
        <w:rPr>
          <w:rFonts w:ascii="Verdana" w:hAnsi="Verdana" w:cs="Times New Roman"/>
          <w:sz w:val="20"/>
          <w:szCs w:val="20"/>
          <w:lang w:eastAsia="en-US"/>
        </w:rPr>
        <w:t>procedures (50%) because the main capacity for performing these activities is concentrated at the central level. The opinion of the employees of the MA is that if the regional structures are to take on new tasks, their capacity must be enhanced through intensive training, and they have to be technically equipped for the purpose.</w:t>
      </w:r>
    </w:p>
    <w:p w:rsidR="007A2B7B" w:rsidRPr="00A81B24" w:rsidRDefault="007A2B7B" w:rsidP="007A2B7B">
      <w:pPr>
        <w:pStyle w:val="broodtekst"/>
        <w:spacing w:before="120" w:after="120" w:line="276" w:lineRule="auto"/>
        <w:jc w:val="both"/>
        <w:rPr>
          <w:rFonts w:ascii="Verdana" w:hAnsi="Verdana"/>
          <w:sz w:val="20"/>
          <w:szCs w:val="20"/>
        </w:rPr>
      </w:pPr>
      <w:r w:rsidRPr="0099675A">
        <w:rPr>
          <w:rFonts w:ascii="Verdana" w:hAnsi="Verdana"/>
          <w:sz w:val="20"/>
          <w:szCs w:val="20"/>
        </w:rPr>
        <w:t xml:space="preserve">Based on the above, it </w:t>
      </w:r>
      <w:r>
        <w:rPr>
          <w:rFonts w:ascii="Verdana" w:hAnsi="Verdana"/>
          <w:sz w:val="20"/>
          <w:szCs w:val="20"/>
        </w:rPr>
        <w:t>may</w:t>
      </w:r>
      <w:r w:rsidRPr="0099675A">
        <w:rPr>
          <w:rFonts w:ascii="Verdana" w:hAnsi="Verdana"/>
          <w:sz w:val="20"/>
          <w:szCs w:val="20"/>
        </w:rPr>
        <w:t xml:space="preserve"> be concluded that the following should be taken into account when developing the management and control systems of OPSESG 2014-2020:</w:t>
      </w:r>
    </w:p>
    <w:p w:rsidR="007A2B7B" w:rsidRPr="00A81B24" w:rsidRDefault="007A2B7B" w:rsidP="007A2B7B">
      <w:pPr>
        <w:pStyle w:val="broodtekst"/>
        <w:numPr>
          <w:ilvl w:val="0"/>
          <w:numId w:val="64"/>
        </w:numPr>
        <w:spacing w:before="120" w:after="120" w:line="276" w:lineRule="auto"/>
        <w:jc w:val="both"/>
        <w:rPr>
          <w:rFonts w:ascii="Verdana" w:hAnsi="Verdana"/>
          <w:sz w:val="20"/>
          <w:szCs w:val="20"/>
        </w:rPr>
      </w:pPr>
      <w:r w:rsidRPr="0099675A">
        <w:rPr>
          <w:rFonts w:ascii="Verdana" w:hAnsi="Verdana"/>
          <w:sz w:val="20"/>
          <w:szCs w:val="20"/>
        </w:rPr>
        <w:t>There must be clearer delineation of the tasks and responsibilities between the departments of the MA to avoid possible duplication of functions;</w:t>
      </w:r>
    </w:p>
    <w:p w:rsidR="007A2B7B" w:rsidRPr="00A81B24" w:rsidRDefault="007A2B7B" w:rsidP="007A2B7B">
      <w:pPr>
        <w:pStyle w:val="broodtekst"/>
        <w:numPr>
          <w:ilvl w:val="0"/>
          <w:numId w:val="64"/>
        </w:numPr>
        <w:spacing w:before="120" w:after="120" w:line="276" w:lineRule="auto"/>
        <w:jc w:val="both"/>
        <w:rPr>
          <w:rFonts w:ascii="Verdana" w:hAnsi="Verdana"/>
          <w:sz w:val="20"/>
          <w:szCs w:val="20"/>
        </w:rPr>
      </w:pPr>
      <w:r w:rsidRPr="0099675A">
        <w:rPr>
          <w:rFonts w:ascii="Verdana" w:hAnsi="Verdana"/>
          <w:sz w:val="20"/>
          <w:szCs w:val="20"/>
        </w:rPr>
        <w:t>The obligations and workload must be evenly distributed among the departments and experts;</w:t>
      </w:r>
    </w:p>
    <w:p w:rsidR="007A2B7B" w:rsidRPr="00A81B24" w:rsidRDefault="007A2B7B" w:rsidP="007A2B7B">
      <w:pPr>
        <w:pStyle w:val="broodtekst"/>
        <w:numPr>
          <w:ilvl w:val="0"/>
          <w:numId w:val="64"/>
        </w:numPr>
        <w:spacing w:before="120" w:after="120" w:line="276" w:lineRule="auto"/>
        <w:jc w:val="both"/>
        <w:rPr>
          <w:rFonts w:ascii="Verdana" w:hAnsi="Verdana"/>
          <w:sz w:val="20"/>
          <w:szCs w:val="20"/>
        </w:rPr>
      </w:pPr>
      <w:r w:rsidRPr="0099675A">
        <w:rPr>
          <w:rFonts w:ascii="Verdana" w:hAnsi="Verdana"/>
          <w:sz w:val="20"/>
          <w:szCs w:val="20"/>
        </w:rPr>
        <w:t xml:space="preserve">Better coordination of the tasks fulfilled by different departments in order to prevent </w:t>
      </w:r>
      <w:r>
        <w:rPr>
          <w:rFonts w:ascii="Verdana" w:hAnsi="Verdana"/>
          <w:sz w:val="20"/>
          <w:szCs w:val="20"/>
        </w:rPr>
        <w:t>accumulation</w:t>
      </w:r>
      <w:r w:rsidRPr="0099675A">
        <w:rPr>
          <w:rFonts w:ascii="Verdana" w:hAnsi="Verdana"/>
          <w:sz w:val="20"/>
          <w:szCs w:val="20"/>
        </w:rPr>
        <w:t xml:space="preserve"> of work; </w:t>
      </w:r>
    </w:p>
    <w:p w:rsidR="007A2B7B" w:rsidRPr="00A81B24" w:rsidRDefault="007A2B7B" w:rsidP="007A2B7B">
      <w:pPr>
        <w:pStyle w:val="broodtekst"/>
        <w:numPr>
          <w:ilvl w:val="0"/>
          <w:numId w:val="64"/>
        </w:numPr>
        <w:spacing w:before="120" w:after="120" w:line="276" w:lineRule="auto"/>
        <w:jc w:val="both"/>
        <w:rPr>
          <w:rFonts w:ascii="Verdana" w:hAnsi="Verdana"/>
          <w:sz w:val="20"/>
          <w:szCs w:val="20"/>
        </w:rPr>
      </w:pPr>
      <w:r w:rsidRPr="0099675A">
        <w:rPr>
          <w:rFonts w:ascii="Verdana" w:hAnsi="Verdana"/>
          <w:sz w:val="20"/>
          <w:szCs w:val="20"/>
        </w:rPr>
        <w:t>Building team work and better communication within the departments and between them.</w:t>
      </w:r>
    </w:p>
    <w:p w:rsidR="007A2B7B" w:rsidRPr="00A81B24" w:rsidRDefault="007A2B7B" w:rsidP="007A2B7B">
      <w:pPr>
        <w:pStyle w:val="broodtekst"/>
        <w:numPr>
          <w:ilvl w:val="0"/>
          <w:numId w:val="64"/>
        </w:numPr>
        <w:spacing w:before="120" w:after="120" w:line="276" w:lineRule="auto"/>
        <w:jc w:val="both"/>
        <w:rPr>
          <w:rFonts w:ascii="Verdana" w:hAnsi="Verdana"/>
          <w:sz w:val="20"/>
          <w:szCs w:val="20"/>
        </w:rPr>
      </w:pPr>
      <w:r w:rsidRPr="0099675A">
        <w:rPr>
          <w:rFonts w:ascii="Verdana" w:hAnsi="Verdana"/>
          <w:sz w:val="20"/>
          <w:szCs w:val="20"/>
        </w:rPr>
        <w:t>Delegat</w:t>
      </w:r>
      <w:r>
        <w:rPr>
          <w:rFonts w:ascii="Verdana" w:hAnsi="Verdana"/>
          <w:sz w:val="20"/>
          <w:szCs w:val="20"/>
        </w:rPr>
        <w:t>ing</w:t>
      </w:r>
      <w:r w:rsidRPr="0099675A">
        <w:rPr>
          <w:rFonts w:ascii="Verdana" w:hAnsi="Verdana"/>
          <w:sz w:val="20"/>
          <w:szCs w:val="20"/>
        </w:rPr>
        <w:t xml:space="preserve"> </w:t>
      </w:r>
      <w:r>
        <w:rPr>
          <w:rFonts w:ascii="Verdana" w:hAnsi="Verdana"/>
          <w:sz w:val="20"/>
          <w:szCs w:val="20"/>
        </w:rPr>
        <w:t xml:space="preserve"> to a large extent</w:t>
      </w:r>
      <w:r w:rsidRPr="0099675A">
        <w:rPr>
          <w:rFonts w:ascii="Verdana" w:hAnsi="Verdana"/>
          <w:sz w:val="20"/>
          <w:szCs w:val="20"/>
        </w:rPr>
        <w:t xml:space="preserve"> the functions of monitoring and verification to the regional level structures in order to facilitate the work at the central level and </w:t>
      </w:r>
      <w:r>
        <w:rPr>
          <w:rFonts w:ascii="Verdana" w:hAnsi="Verdana"/>
          <w:sz w:val="20"/>
          <w:szCs w:val="20"/>
        </w:rPr>
        <w:t xml:space="preserve">to </w:t>
      </w:r>
      <w:r w:rsidRPr="0099675A">
        <w:rPr>
          <w:rFonts w:ascii="Verdana" w:hAnsi="Verdana"/>
          <w:sz w:val="20"/>
          <w:szCs w:val="20"/>
        </w:rPr>
        <w:t>achieve better efficiency, but for this purpose the capacity of the regional offices must be strengthened.</w:t>
      </w:r>
    </w:p>
    <w:p w:rsidR="007A2B7B" w:rsidRPr="00A81B24" w:rsidRDefault="007A2B7B" w:rsidP="007A2B7B">
      <w:pPr>
        <w:pStyle w:val="BodyText"/>
        <w:widowControl w:val="0"/>
        <w:tabs>
          <w:tab w:val="left" w:pos="0"/>
          <w:tab w:val="right" w:pos="9214"/>
        </w:tabs>
        <w:spacing w:before="120" w:line="276" w:lineRule="auto"/>
        <w:jc w:val="both"/>
        <w:rPr>
          <w:rFonts w:ascii="Verdana" w:hAnsi="Verdana"/>
          <w:bCs/>
          <w:color w:val="000000"/>
          <w:sz w:val="20"/>
          <w:szCs w:val="20"/>
        </w:rPr>
      </w:pPr>
    </w:p>
    <w:tbl>
      <w:tblPr>
        <w:tblW w:w="9090" w:type="dxa"/>
        <w:tblInd w:w="108" w:type="dxa"/>
        <w:tblBorders>
          <w:top w:val="single" w:sz="4" w:space="0" w:color="auto"/>
          <w:bottom w:val="single" w:sz="4" w:space="0" w:color="auto"/>
        </w:tblBorders>
        <w:tblLook w:val="04A0" w:firstRow="1" w:lastRow="0" w:firstColumn="1" w:lastColumn="0" w:noHBand="0" w:noVBand="1"/>
      </w:tblPr>
      <w:tblGrid>
        <w:gridCol w:w="531"/>
        <w:gridCol w:w="8559"/>
      </w:tblGrid>
      <w:tr w:rsidR="007A2B7B" w:rsidRPr="00A81B24" w:rsidTr="007A2B7B">
        <w:tc>
          <w:tcPr>
            <w:tcW w:w="531" w:type="dxa"/>
            <w:vAlign w:val="center"/>
          </w:tcPr>
          <w:p w:rsidR="007A2B7B" w:rsidRPr="00A81B24" w:rsidRDefault="007A2B7B" w:rsidP="007A2B7B">
            <w:pPr>
              <w:pStyle w:val="BodyText"/>
              <w:spacing w:before="120" w:line="276" w:lineRule="auto"/>
              <w:jc w:val="center"/>
              <w:rPr>
                <w:rFonts w:ascii="Verdana" w:hAnsi="Verdana"/>
                <w:color w:val="548DD4"/>
                <w:sz w:val="36"/>
                <w:szCs w:val="36"/>
              </w:rPr>
            </w:pPr>
            <w:r w:rsidRPr="0099675A">
              <w:rPr>
                <w:rFonts w:ascii="Verdana" w:hAnsi="Verdana"/>
                <w:color w:val="548DD4"/>
                <w:sz w:val="36"/>
                <w:szCs w:val="36"/>
              </w:rPr>
              <w:t>?</w:t>
            </w:r>
          </w:p>
        </w:tc>
        <w:tc>
          <w:tcPr>
            <w:tcW w:w="8559" w:type="dxa"/>
            <w:shd w:val="clear" w:color="auto" w:fill="B8CCE4"/>
          </w:tcPr>
          <w:p w:rsidR="007A2B7B" w:rsidRPr="00A81B24" w:rsidRDefault="007A2B7B" w:rsidP="007A2B7B">
            <w:pPr>
              <w:autoSpaceDE w:val="0"/>
              <w:autoSpaceDN w:val="0"/>
              <w:adjustRightInd w:val="0"/>
              <w:spacing w:before="120" w:after="120"/>
              <w:rPr>
                <w:rFonts w:ascii="Verdana" w:hAnsi="Verdana"/>
                <w:sz w:val="20"/>
                <w:szCs w:val="20"/>
              </w:rPr>
            </w:pPr>
            <w:r w:rsidRPr="0099675A">
              <w:rPr>
                <w:rFonts w:ascii="Verdana" w:hAnsi="Verdana"/>
                <w:sz w:val="20"/>
                <w:szCs w:val="20"/>
              </w:rPr>
              <w:t>Adequacy of human resources and administrative capacity for programme management</w:t>
            </w:r>
          </w:p>
        </w:tc>
      </w:tr>
    </w:tbl>
    <w:p w:rsidR="007A2B7B" w:rsidRPr="00A81B24" w:rsidRDefault="007A2B7B" w:rsidP="007A2B7B">
      <w:pPr>
        <w:keepNext/>
        <w:pBdr>
          <w:bottom w:val="single" w:sz="12" w:space="1" w:color="0070C0"/>
        </w:pBdr>
        <w:autoSpaceDE w:val="0"/>
        <w:autoSpaceDN w:val="0"/>
        <w:adjustRightInd w:val="0"/>
        <w:spacing w:before="360" w:after="120" w:line="240" w:lineRule="auto"/>
        <w:rPr>
          <w:rFonts w:ascii="Verdana" w:eastAsia="Times New Roman" w:hAnsi="Verdana" w:cs="TimesNewRomanPSMT"/>
          <w:i/>
          <w:color w:val="548DD4" w:themeColor="text2" w:themeTint="99"/>
          <w:sz w:val="20"/>
          <w:szCs w:val="20"/>
          <w:lang w:eastAsia="bg-BG"/>
        </w:rPr>
      </w:pPr>
      <w:r w:rsidRPr="0099675A">
        <w:rPr>
          <w:rFonts w:ascii="Verdana" w:eastAsia="Times New Roman" w:hAnsi="Verdana" w:cs="TimesNewRomanPSMT"/>
          <w:i/>
          <w:color w:val="548DD4" w:themeColor="text2" w:themeTint="99"/>
          <w:sz w:val="20"/>
          <w:szCs w:val="20"/>
          <w:lang w:eastAsia="bg-BG"/>
        </w:rPr>
        <w:lastRenderedPageBreak/>
        <w:t>Human resources</w:t>
      </w:r>
    </w:p>
    <w:p w:rsidR="007A2B7B" w:rsidRPr="00A81B24" w:rsidRDefault="007A2B7B" w:rsidP="007A2B7B">
      <w:pPr>
        <w:autoSpaceDE w:val="0"/>
        <w:autoSpaceDN w:val="0"/>
        <w:adjustRightInd w:val="0"/>
        <w:spacing w:before="120" w:after="120"/>
        <w:jc w:val="both"/>
        <w:rPr>
          <w:rFonts w:ascii="Verdana" w:hAnsi="Verdana"/>
          <w:sz w:val="20"/>
          <w:szCs w:val="20"/>
        </w:rPr>
      </w:pPr>
      <w:r>
        <w:rPr>
          <w:rFonts w:ascii="Verdana" w:hAnsi="Verdana"/>
          <w:sz w:val="20"/>
          <w:szCs w:val="20"/>
        </w:rPr>
        <w:t>The</w:t>
      </w:r>
      <w:r w:rsidRPr="0099675A">
        <w:rPr>
          <w:rFonts w:ascii="Verdana" w:hAnsi="Verdana"/>
          <w:sz w:val="20"/>
          <w:szCs w:val="20"/>
        </w:rPr>
        <w:t xml:space="preserve"> number of </w:t>
      </w:r>
      <w:r>
        <w:rPr>
          <w:rFonts w:ascii="Verdana" w:hAnsi="Verdana"/>
          <w:sz w:val="20"/>
          <w:szCs w:val="20"/>
        </w:rPr>
        <w:t>employees</w:t>
      </w:r>
      <w:r w:rsidRPr="0099675A">
        <w:rPr>
          <w:rFonts w:ascii="Verdana" w:hAnsi="Verdana"/>
          <w:sz w:val="20"/>
          <w:szCs w:val="20"/>
        </w:rPr>
        <w:t xml:space="preserve"> of DG SFIEP is 8</w:t>
      </w:r>
      <w:r w:rsidR="00B641E0">
        <w:rPr>
          <w:rFonts w:ascii="Verdana" w:hAnsi="Verdana"/>
          <w:sz w:val="20"/>
          <w:szCs w:val="20"/>
        </w:rPr>
        <w:t>8</w:t>
      </w:r>
      <w:r w:rsidRPr="0099675A">
        <w:rPr>
          <w:rFonts w:ascii="Verdana" w:hAnsi="Verdana"/>
          <w:sz w:val="20"/>
          <w:szCs w:val="20"/>
        </w:rPr>
        <w:t xml:space="preserve"> persons, and the distribution of occupied positions</w:t>
      </w:r>
      <w:r w:rsidRPr="00A81B24">
        <w:rPr>
          <w:rStyle w:val="FootnoteReference"/>
          <w:rFonts w:ascii="Verdana" w:hAnsi="Verdana"/>
          <w:sz w:val="20"/>
          <w:szCs w:val="20"/>
        </w:rPr>
        <w:footnoteReference w:id="9"/>
      </w:r>
      <w:r w:rsidRPr="0099675A">
        <w:rPr>
          <w:rFonts w:ascii="Verdana" w:hAnsi="Verdana"/>
          <w:sz w:val="20"/>
          <w:szCs w:val="20"/>
        </w:rPr>
        <w:t xml:space="preserve"> is as follows:</w:t>
      </w:r>
    </w:p>
    <w:p w:rsidR="007A2B7B" w:rsidRPr="00A81B24" w:rsidRDefault="007A2B7B" w:rsidP="007A2B7B">
      <w:pPr>
        <w:pStyle w:val="ListParagraph"/>
        <w:numPr>
          <w:ilvl w:val="0"/>
          <w:numId w:val="65"/>
        </w:numPr>
        <w:autoSpaceDE w:val="0"/>
        <w:autoSpaceDN w:val="0"/>
        <w:adjustRightInd w:val="0"/>
        <w:spacing w:before="120" w:after="120"/>
        <w:jc w:val="both"/>
        <w:rPr>
          <w:rFonts w:ascii="Verdana" w:hAnsi="Verdana"/>
          <w:sz w:val="20"/>
          <w:szCs w:val="20"/>
        </w:rPr>
      </w:pPr>
      <w:r w:rsidRPr="0099675A">
        <w:rPr>
          <w:rFonts w:ascii="Verdana" w:hAnsi="Verdana"/>
          <w:sz w:val="20"/>
          <w:szCs w:val="20"/>
        </w:rPr>
        <w:t>11 managerial positions – Director General of Directorate and two Deputy Director General and 6 Heads of departments and two Heads of Sectors (12.6%)</w:t>
      </w:r>
    </w:p>
    <w:p w:rsidR="007A2B7B" w:rsidRPr="00A81B24" w:rsidRDefault="007A2B7B" w:rsidP="007A2B7B">
      <w:pPr>
        <w:pStyle w:val="ListParagraph"/>
        <w:numPr>
          <w:ilvl w:val="0"/>
          <w:numId w:val="65"/>
        </w:numPr>
        <w:autoSpaceDE w:val="0"/>
        <w:autoSpaceDN w:val="0"/>
        <w:adjustRightInd w:val="0"/>
        <w:spacing w:before="120" w:after="120"/>
        <w:jc w:val="both"/>
        <w:rPr>
          <w:rFonts w:ascii="Verdana" w:hAnsi="Verdana"/>
          <w:sz w:val="20"/>
          <w:szCs w:val="20"/>
        </w:rPr>
      </w:pPr>
      <w:r w:rsidRPr="0099675A">
        <w:rPr>
          <w:rFonts w:ascii="Verdana" w:hAnsi="Verdana"/>
          <w:sz w:val="20"/>
          <w:szCs w:val="20"/>
        </w:rPr>
        <w:t>7 state experts (8%)</w:t>
      </w:r>
    </w:p>
    <w:p w:rsidR="007A2B7B" w:rsidRPr="00A81B24" w:rsidRDefault="007A2B7B" w:rsidP="007A2B7B">
      <w:pPr>
        <w:pStyle w:val="ListParagraph"/>
        <w:numPr>
          <w:ilvl w:val="0"/>
          <w:numId w:val="65"/>
        </w:numPr>
        <w:autoSpaceDE w:val="0"/>
        <w:autoSpaceDN w:val="0"/>
        <w:adjustRightInd w:val="0"/>
        <w:spacing w:before="120" w:after="120"/>
        <w:jc w:val="both"/>
        <w:rPr>
          <w:rFonts w:ascii="Verdana" w:hAnsi="Verdana"/>
          <w:sz w:val="20"/>
          <w:szCs w:val="20"/>
        </w:rPr>
      </w:pPr>
      <w:r w:rsidRPr="0099675A">
        <w:rPr>
          <w:rFonts w:ascii="Verdana" w:hAnsi="Verdana"/>
          <w:sz w:val="20"/>
          <w:szCs w:val="20"/>
        </w:rPr>
        <w:t>8 chief experts (9%)</w:t>
      </w:r>
    </w:p>
    <w:p w:rsidR="007A2B7B" w:rsidRPr="00A81B24" w:rsidRDefault="007A2B7B" w:rsidP="007A2B7B">
      <w:pPr>
        <w:pStyle w:val="ListParagraph"/>
        <w:numPr>
          <w:ilvl w:val="0"/>
          <w:numId w:val="65"/>
        </w:numPr>
        <w:autoSpaceDE w:val="0"/>
        <w:autoSpaceDN w:val="0"/>
        <w:adjustRightInd w:val="0"/>
        <w:spacing w:before="120" w:after="120"/>
        <w:jc w:val="both"/>
        <w:rPr>
          <w:rFonts w:ascii="Verdana" w:hAnsi="Verdana"/>
          <w:sz w:val="20"/>
          <w:szCs w:val="20"/>
        </w:rPr>
      </w:pPr>
      <w:r w:rsidRPr="0099675A">
        <w:rPr>
          <w:rFonts w:ascii="Verdana" w:hAnsi="Verdana"/>
          <w:sz w:val="20"/>
          <w:szCs w:val="20"/>
        </w:rPr>
        <w:t>30 senior experts (34.5%)</w:t>
      </w:r>
    </w:p>
    <w:p w:rsidR="007A2B7B" w:rsidRPr="00A81B24" w:rsidRDefault="007A2B7B" w:rsidP="007A2B7B">
      <w:pPr>
        <w:pStyle w:val="ListParagraph"/>
        <w:numPr>
          <w:ilvl w:val="0"/>
          <w:numId w:val="65"/>
        </w:numPr>
        <w:autoSpaceDE w:val="0"/>
        <w:autoSpaceDN w:val="0"/>
        <w:adjustRightInd w:val="0"/>
        <w:spacing w:before="120" w:after="120"/>
        <w:jc w:val="both"/>
        <w:rPr>
          <w:rFonts w:ascii="Verdana" w:hAnsi="Verdana"/>
          <w:sz w:val="20"/>
          <w:szCs w:val="20"/>
        </w:rPr>
      </w:pPr>
      <w:r w:rsidRPr="0099675A">
        <w:rPr>
          <w:rFonts w:ascii="Verdana" w:hAnsi="Verdana"/>
          <w:sz w:val="20"/>
          <w:szCs w:val="20"/>
        </w:rPr>
        <w:t>8 junior experts (9%)</w:t>
      </w:r>
    </w:p>
    <w:p w:rsidR="007A2B7B" w:rsidRPr="00A81B24" w:rsidRDefault="007A2B7B" w:rsidP="007A2B7B">
      <w:pPr>
        <w:pStyle w:val="ListParagraph"/>
        <w:numPr>
          <w:ilvl w:val="0"/>
          <w:numId w:val="65"/>
        </w:numPr>
        <w:autoSpaceDE w:val="0"/>
        <w:autoSpaceDN w:val="0"/>
        <w:adjustRightInd w:val="0"/>
        <w:spacing w:before="120" w:after="120"/>
        <w:jc w:val="both"/>
        <w:rPr>
          <w:rFonts w:ascii="Verdana" w:hAnsi="Verdana"/>
          <w:sz w:val="20"/>
          <w:szCs w:val="20"/>
        </w:rPr>
      </w:pPr>
      <w:r w:rsidRPr="0099675A">
        <w:rPr>
          <w:rFonts w:ascii="Verdana" w:hAnsi="Verdana"/>
          <w:sz w:val="20"/>
          <w:szCs w:val="20"/>
        </w:rPr>
        <w:t>3 chief assistants (3.4%)</w:t>
      </w:r>
    </w:p>
    <w:p w:rsidR="007A2B7B" w:rsidRPr="00A81B24" w:rsidRDefault="007A2B7B" w:rsidP="007A2B7B">
      <w:pPr>
        <w:pStyle w:val="ListParagraph"/>
        <w:numPr>
          <w:ilvl w:val="0"/>
          <w:numId w:val="65"/>
        </w:numPr>
        <w:autoSpaceDE w:val="0"/>
        <w:autoSpaceDN w:val="0"/>
        <w:adjustRightInd w:val="0"/>
        <w:spacing w:before="120" w:after="120"/>
        <w:jc w:val="both"/>
        <w:rPr>
          <w:rFonts w:ascii="Verdana" w:hAnsi="Verdana"/>
          <w:sz w:val="20"/>
          <w:szCs w:val="20"/>
        </w:rPr>
      </w:pPr>
      <w:r w:rsidRPr="0099675A">
        <w:rPr>
          <w:rFonts w:ascii="Verdana" w:hAnsi="Verdana"/>
          <w:sz w:val="20"/>
          <w:szCs w:val="20"/>
        </w:rPr>
        <w:t>17 senior assistants (19.5%)</w:t>
      </w:r>
    </w:p>
    <w:p w:rsidR="007A2B7B" w:rsidRDefault="007A2B7B" w:rsidP="007A2B7B">
      <w:pPr>
        <w:pStyle w:val="ListParagraph"/>
        <w:numPr>
          <w:ilvl w:val="0"/>
          <w:numId w:val="65"/>
        </w:numPr>
        <w:autoSpaceDE w:val="0"/>
        <w:autoSpaceDN w:val="0"/>
        <w:adjustRightInd w:val="0"/>
        <w:spacing w:before="120" w:after="120"/>
        <w:jc w:val="both"/>
        <w:rPr>
          <w:rFonts w:ascii="Verdana" w:hAnsi="Verdana"/>
          <w:sz w:val="20"/>
          <w:szCs w:val="20"/>
        </w:rPr>
      </w:pPr>
      <w:r w:rsidRPr="0099675A">
        <w:rPr>
          <w:rFonts w:ascii="Verdana" w:hAnsi="Verdana"/>
          <w:sz w:val="20"/>
          <w:szCs w:val="20"/>
        </w:rPr>
        <w:t>2 chief specialists (2.3%)</w:t>
      </w:r>
    </w:p>
    <w:p w:rsidR="00303BE1" w:rsidRPr="00A81B24" w:rsidRDefault="00303BE1" w:rsidP="007A2B7B">
      <w:pPr>
        <w:pStyle w:val="ListParagraph"/>
        <w:numPr>
          <w:ilvl w:val="0"/>
          <w:numId w:val="65"/>
        </w:numPr>
        <w:autoSpaceDE w:val="0"/>
        <w:autoSpaceDN w:val="0"/>
        <w:adjustRightInd w:val="0"/>
        <w:spacing w:before="120" w:after="120"/>
        <w:jc w:val="both"/>
        <w:rPr>
          <w:rFonts w:ascii="Verdana" w:hAnsi="Verdana"/>
          <w:sz w:val="20"/>
          <w:szCs w:val="20"/>
        </w:rPr>
      </w:pPr>
      <w:r>
        <w:rPr>
          <w:rFonts w:ascii="Verdana" w:hAnsi="Verdana"/>
          <w:sz w:val="20"/>
          <w:szCs w:val="20"/>
        </w:rPr>
        <w:t>1 vacant position of deputy director</w:t>
      </w:r>
    </w:p>
    <w:p w:rsidR="007A2B7B" w:rsidRPr="00A81B24" w:rsidRDefault="007A2B7B" w:rsidP="007A2B7B">
      <w:pPr>
        <w:autoSpaceDE w:val="0"/>
        <w:autoSpaceDN w:val="0"/>
        <w:adjustRightInd w:val="0"/>
        <w:spacing w:before="120" w:after="120"/>
        <w:jc w:val="both"/>
        <w:rPr>
          <w:rFonts w:ascii="Verdana" w:hAnsi="Verdana"/>
          <w:sz w:val="20"/>
          <w:szCs w:val="20"/>
        </w:rPr>
      </w:pPr>
      <w:r w:rsidRPr="0099675A">
        <w:rPr>
          <w:rFonts w:ascii="Verdana" w:hAnsi="Verdana"/>
          <w:sz w:val="20"/>
          <w:szCs w:val="20"/>
        </w:rPr>
        <w:t xml:space="preserve">The distribution of the experts provides the </w:t>
      </w:r>
      <w:proofErr w:type="gramStart"/>
      <w:r w:rsidRPr="0099675A">
        <w:rPr>
          <w:rFonts w:ascii="Verdana" w:hAnsi="Verdana"/>
          <w:sz w:val="20"/>
          <w:szCs w:val="20"/>
        </w:rPr>
        <w:t xml:space="preserve">necessary </w:t>
      </w:r>
      <w:r>
        <w:rPr>
          <w:rFonts w:ascii="Verdana" w:hAnsi="Verdana"/>
          <w:sz w:val="20"/>
          <w:szCs w:val="20"/>
        </w:rPr>
        <w:t>”</w:t>
      </w:r>
      <w:proofErr w:type="gramEnd"/>
      <w:r>
        <w:rPr>
          <w:rFonts w:ascii="Verdana" w:hAnsi="Verdana"/>
          <w:sz w:val="20"/>
          <w:szCs w:val="20"/>
        </w:rPr>
        <w:t>backbone” of</w:t>
      </w:r>
      <w:r w:rsidRPr="0099675A">
        <w:rPr>
          <w:rFonts w:ascii="Verdana" w:hAnsi="Verdana"/>
          <w:sz w:val="20"/>
          <w:szCs w:val="20"/>
        </w:rPr>
        <w:t xml:space="preserve"> experts with significant experience (state, chief, senior). </w:t>
      </w:r>
      <w:r>
        <w:rPr>
          <w:rFonts w:ascii="Verdana" w:hAnsi="Verdana"/>
          <w:sz w:val="20"/>
          <w:szCs w:val="20"/>
        </w:rPr>
        <w:t>Those with less</w:t>
      </w:r>
      <w:r w:rsidRPr="0099675A">
        <w:rPr>
          <w:rFonts w:ascii="Verdana" w:hAnsi="Verdana"/>
          <w:sz w:val="20"/>
          <w:szCs w:val="20"/>
        </w:rPr>
        <w:t xml:space="preserve"> experience </w:t>
      </w:r>
      <w:r>
        <w:rPr>
          <w:rFonts w:ascii="Verdana" w:hAnsi="Verdana"/>
          <w:sz w:val="20"/>
          <w:szCs w:val="20"/>
        </w:rPr>
        <w:t>are</w:t>
      </w:r>
      <w:r w:rsidRPr="0099675A">
        <w:rPr>
          <w:rFonts w:ascii="Verdana" w:hAnsi="Verdana"/>
          <w:sz w:val="20"/>
          <w:szCs w:val="20"/>
        </w:rPr>
        <w:t xml:space="preserve"> less numerous and most of the departments actually have no junior experts.</w:t>
      </w:r>
    </w:p>
    <w:p w:rsidR="007A2B7B" w:rsidRPr="00A81B24" w:rsidRDefault="007A2B7B" w:rsidP="007A2B7B">
      <w:pPr>
        <w:pStyle w:val="broodtekst"/>
        <w:spacing w:before="120" w:after="120" w:line="276" w:lineRule="auto"/>
        <w:jc w:val="both"/>
        <w:rPr>
          <w:rFonts w:ascii="Verdana" w:hAnsi="Verdana"/>
          <w:sz w:val="20"/>
          <w:szCs w:val="20"/>
        </w:rPr>
      </w:pPr>
      <w:r w:rsidRPr="0099675A">
        <w:rPr>
          <w:rFonts w:ascii="Verdana" w:hAnsi="Verdana"/>
          <w:sz w:val="20"/>
          <w:szCs w:val="20"/>
        </w:rPr>
        <w:t>The number of experts in the directorates is presented in the table below.</w:t>
      </w:r>
    </w:p>
    <w:p w:rsidR="007A2B7B" w:rsidRPr="00A81B24" w:rsidRDefault="007A2B7B" w:rsidP="007A2B7B">
      <w:pPr>
        <w:pStyle w:val="Caption"/>
        <w:rPr>
          <w:rFonts w:ascii="Verdana" w:hAnsi="Verdana"/>
          <w:color w:val="548DD4" w:themeColor="text2" w:themeTint="99"/>
        </w:rPr>
      </w:pPr>
      <w:bookmarkStart w:id="214" w:name="_Toc373747282"/>
      <w:bookmarkStart w:id="215" w:name="_Toc381712221"/>
      <w:bookmarkStart w:id="216" w:name="_Toc388431971"/>
      <w:bookmarkStart w:id="217" w:name="_Toc390257093"/>
      <w:bookmarkStart w:id="218" w:name="_Toc394505736"/>
      <w:bookmarkStart w:id="219" w:name="_Toc396225634"/>
      <w:r w:rsidRPr="0099675A">
        <w:rPr>
          <w:rFonts w:ascii="Verdana" w:hAnsi="Verdana"/>
          <w:color w:val="548DD4" w:themeColor="text2" w:themeTint="99"/>
        </w:rPr>
        <w:t xml:space="preserve">Table </w:t>
      </w:r>
      <w:r w:rsidRPr="0099675A">
        <w:rPr>
          <w:rFonts w:ascii="Verdana" w:hAnsi="Verdana"/>
          <w:color w:val="548DD4" w:themeColor="text2" w:themeTint="99"/>
        </w:rPr>
        <w:fldChar w:fldCharType="begin"/>
      </w:r>
      <w:r w:rsidRPr="0099675A">
        <w:rPr>
          <w:rFonts w:ascii="Verdana" w:hAnsi="Verdana"/>
          <w:color w:val="548DD4" w:themeColor="text2" w:themeTint="99"/>
        </w:rPr>
        <w:instrText xml:space="preserve"> SEQ Таблица \* ARABIC </w:instrText>
      </w:r>
      <w:r w:rsidRPr="0099675A">
        <w:rPr>
          <w:rFonts w:ascii="Verdana" w:hAnsi="Verdana"/>
          <w:color w:val="548DD4" w:themeColor="text2" w:themeTint="99"/>
        </w:rPr>
        <w:fldChar w:fldCharType="separate"/>
      </w:r>
      <w:r w:rsidR="009330F5">
        <w:rPr>
          <w:rFonts w:ascii="Verdana" w:hAnsi="Verdana"/>
          <w:noProof/>
          <w:color w:val="548DD4" w:themeColor="text2" w:themeTint="99"/>
        </w:rPr>
        <w:t>39</w:t>
      </w:r>
      <w:r w:rsidRPr="0099675A">
        <w:rPr>
          <w:rFonts w:ascii="Verdana" w:hAnsi="Verdana"/>
          <w:color w:val="548DD4" w:themeColor="text2" w:themeTint="99"/>
        </w:rPr>
        <w:fldChar w:fldCharType="end"/>
      </w:r>
      <w:r w:rsidRPr="0099675A">
        <w:rPr>
          <w:rFonts w:ascii="Verdana" w:hAnsi="Verdana"/>
          <w:color w:val="548DD4" w:themeColor="text2" w:themeTint="99"/>
        </w:rPr>
        <w:t>. Distribution of the experts by departments of SFIEP</w:t>
      </w:r>
      <w:bookmarkEnd w:id="214"/>
      <w:bookmarkEnd w:id="215"/>
      <w:bookmarkEnd w:id="216"/>
      <w:bookmarkEnd w:id="217"/>
      <w:bookmarkEnd w:id="218"/>
      <w:bookmarkEnd w:id="219"/>
    </w:p>
    <w:tbl>
      <w:tblPr>
        <w:tblStyle w:val="TableGrid"/>
        <w:tblW w:w="0" w:type="auto"/>
        <w:tblInd w:w="108" w:type="dxa"/>
        <w:tblLook w:val="04A0" w:firstRow="1" w:lastRow="0" w:firstColumn="1" w:lastColumn="0" w:noHBand="0" w:noVBand="1"/>
      </w:tblPr>
      <w:tblGrid>
        <w:gridCol w:w="5317"/>
        <w:gridCol w:w="1415"/>
        <w:gridCol w:w="2240"/>
      </w:tblGrid>
      <w:tr w:rsidR="007A2B7B" w:rsidRPr="007A2B7B" w:rsidTr="00303BE1">
        <w:tc>
          <w:tcPr>
            <w:tcW w:w="5317" w:type="dxa"/>
            <w:shd w:val="clear" w:color="auto" w:fill="17365D" w:themeFill="text2" w:themeFillShade="BF"/>
          </w:tcPr>
          <w:p w:rsidR="007A2B7B" w:rsidRPr="007A2B7B" w:rsidRDefault="007A2B7B" w:rsidP="007A2B7B">
            <w:pPr>
              <w:spacing w:before="60" w:after="60"/>
              <w:rPr>
                <w:rFonts w:ascii="Verdana" w:hAnsi="Verdana"/>
                <w:sz w:val="20"/>
                <w:szCs w:val="20"/>
              </w:rPr>
            </w:pPr>
            <w:r w:rsidRPr="007A2B7B">
              <w:rPr>
                <w:rFonts w:ascii="Verdana" w:hAnsi="Verdana"/>
                <w:sz w:val="20"/>
                <w:szCs w:val="20"/>
              </w:rPr>
              <w:t>Department</w:t>
            </w:r>
          </w:p>
        </w:tc>
        <w:tc>
          <w:tcPr>
            <w:tcW w:w="1415" w:type="dxa"/>
            <w:shd w:val="clear" w:color="auto" w:fill="17365D" w:themeFill="text2" w:themeFillShade="BF"/>
          </w:tcPr>
          <w:p w:rsidR="007A2B7B" w:rsidRPr="007A2B7B" w:rsidRDefault="007A2B7B" w:rsidP="007A2B7B">
            <w:pPr>
              <w:spacing w:before="60" w:after="60"/>
              <w:rPr>
                <w:rFonts w:ascii="Verdana" w:hAnsi="Verdana"/>
                <w:sz w:val="20"/>
                <w:szCs w:val="20"/>
              </w:rPr>
            </w:pPr>
            <w:r w:rsidRPr="007A2B7B">
              <w:rPr>
                <w:rFonts w:ascii="Verdana" w:hAnsi="Verdana"/>
                <w:sz w:val="20"/>
                <w:szCs w:val="20"/>
              </w:rPr>
              <w:t>Number of employees</w:t>
            </w:r>
          </w:p>
        </w:tc>
        <w:tc>
          <w:tcPr>
            <w:tcW w:w="2240" w:type="dxa"/>
            <w:shd w:val="clear" w:color="auto" w:fill="17365D" w:themeFill="text2" w:themeFillShade="BF"/>
          </w:tcPr>
          <w:p w:rsidR="007A2B7B" w:rsidRPr="007A2B7B" w:rsidRDefault="007A2B7B" w:rsidP="007A2B7B">
            <w:pPr>
              <w:spacing w:before="60" w:after="60"/>
              <w:rPr>
                <w:rFonts w:ascii="Verdana" w:hAnsi="Verdana"/>
                <w:sz w:val="20"/>
                <w:szCs w:val="20"/>
              </w:rPr>
            </w:pPr>
            <w:r w:rsidRPr="007A2B7B">
              <w:rPr>
                <w:rFonts w:ascii="Verdana" w:hAnsi="Verdana"/>
                <w:sz w:val="20"/>
                <w:szCs w:val="20"/>
              </w:rPr>
              <w:t>% of the total number of employees</w:t>
            </w:r>
          </w:p>
        </w:tc>
      </w:tr>
      <w:tr w:rsidR="00C062E0" w:rsidRPr="007A2B7B" w:rsidTr="005A221F">
        <w:tc>
          <w:tcPr>
            <w:tcW w:w="5317" w:type="dxa"/>
          </w:tcPr>
          <w:p w:rsidR="00C062E0" w:rsidRPr="007A2B7B" w:rsidRDefault="00C062E0" w:rsidP="00C062E0">
            <w:pPr>
              <w:spacing w:before="60" w:after="60"/>
              <w:rPr>
                <w:rFonts w:ascii="Verdana" w:hAnsi="Verdana"/>
                <w:sz w:val="20"/>
                <w:szCs w:val="20"/>
              </w:rPr>
            </w:pPr>
            <w:r w:rsidRPr="007A2B7B">
              <w:rPr>
                <w:rFonts w:ascii="Verdana" w:hAnsi="Verdana" w:cs="TimesNewRomanPSMT"/>
                <w:sz w:val="20"/>
                <w:szCs w:val="20"/>
                <w:lang w:eastAsia="bg-BG"/>
              </w:rPr>
              <w:t xml:space="preserve">Programming and Contracting </w:t>
            </w:r>
          </w:p>
        </w:tc>
        <w:tc>
          <w:tcPr>
            <w:tcW w:w="1415" w:type="dxa"/>
            <w:vAlign w:val="center"/>
          </w:tcPr>
          <w:p w:rsidR="00C062E0" w:rsidRPr="00C062E0" w:rsidRDefault="00C062E0" w:rsidP="00C062E0">
            <w:pPr>
              <w:spacing w:before="60" w:after="60"/>
              <w:rPr>
                <w:rFonts w:ascii="Verdana" w:hAnsi="Verdana" w:cs="TimesNewRomanPSMT"/>
                <w:sz w:val="20"/>
                <w:szCs w:val="20"/>
                <w:lang w:eastAsia="bg-BG"/>
              </w:rPr>
            </w:pPr>
            <w:r w:rsidRPr="00C062E0">
              <w:rPr>
                <w:rFonts w:ascii="Verdana" w:hAnsi="Verdana" w:cs="TimesNewRomanPSMT"/>
                <w:sz w:val="20"/>
                <w:szCs w:val="20"/>
                <w:lang w:eastAsia="bg-BG"/>
              </w:rPr>
              <w:t>6</w:t>
            </w:r>
          </w:p>
        </w:tc>
        <w:tc>
          <w:tcPr>
            <w:tcW w:w="2240" w:type="dxa"/>
            <w:vAlign w:val="bottom"/>
          </w:tcPr>
          <w:p w:rsidR="00C062E0" w:rsidRPr="00C062E0" w:rsidRDefault="00C062E0" w:rsidP="00C062E0">
            <w:pPr>
              <w:spacing w:before="60" w:after="60"/>
              <w:rPr>
                <w:rFonts w:ascii="Verdana" w:hAnsi="Verdana" w:cs="TimesNewRomanPSMT"/>
                <w:sz w:val="20"/>
                <w:szCs w:val="20"/>
                <w:lang w:eastAsia="bg-BG"/>
              </w:rPr>
            </w:pPr>
            <w:r w:rsidRPr="00C062E0">
              <w:rPr>
                <w:rFonts w:ascii="Verdana" w:hAnsi="Verdana" w:cs="TimesNewRomanPSMT"/>
                <w:sz w:val="20"/>
                <w:szCs w:val="20"/>
                <w:lang w:eastAsia="bg-BG"/>
              </w:rPr>
              <w:t>7,0</w:t>
            </w:r>
          </w:p>
        </w:tc>
      </w:tr>
      <w:tr w:rsidR="00C062E0" w:rsidRPr="007A2B7B" w:rsidTr="005A221F">
        <w:tc>
          <w:tcPr>
            <w:tcW w:w="5317" w:type="dxa"/>
          </w:tcPr>
          <w:p w:rsidR="00C062E0" w:rsidRPr="007A2B7B" w:rsidRDefault="00C062E0" w:rsidP="00C062E0">
            <w:pPr>
              <w:spacing w:before="60" w:after="60"/>
              <w:rPr>
                <w:rFonts w:ascii="Verdana" w:hAnsi="Verdana" w:cs="TimesNewRomanPSMT"/>
                <w:sz w:val="20"/>
                <w:szCs w:val="20"/>
                <w:lang w:eastAsia="bg-BG"/>
              </w:rPr>
            </w:pPr>
            <w:r w:rsidRPr="007A2B7B">
              <w:rPr>
                <w:rFonts w:ascii="Verdana" w:hAnsi="Verdana" w:cs="TimesNewRomanPSMT"/>
                <w:sz w:val="20"/>
                <w:szCs w:val="20"/>
                <w:lang w:eastAsia="bg-BG"/>
              </w:rPr>
              <w:t xml:space="preserve">Monitoring and Evaluation </w:t>
            </w:r>
          </w:p>
        </w:tc>
        <w:tc>
          <w:tcPr>
            <w:tcW w:w="1415" w:type="dxa"/>
            <w:vAlign w:val="center"/>
          </w:tcPr>
          <w:p w:rsidR="00C062E0" w:rsidRPr="00C062E0" w:rsidRDefault="00C062E0" w:rsidP="00C062E0">
            <w:pPr>
              <w:spacing w:before="60" w:after="60"/>
              <w:rPr>
                <w:rFonts w:ascii="Verdana" w:hAnsi="Verdana" w:cs="TimesNewRomanPSMT"/>
                <w:sz w:val="20"/>
                <w:szCs w:val="20"/>
                <w:lang w:eastAsia="bg-BG"/>
              </w:rPr>
            </w:pPr>
            <w:r w:rsidRPr="00C062E0">
              <w:rPr>
                <w:rFonts w:ascii="Verdana" w:hAnsi="Verdana" w:cs="TimesNewRomanPSMT"/>
                <w:sz w:val="20"/>
                <w:szCs w:val="20"/>
                <w:lang w:eastAsia="bg-BG"/>
              </w:rPr>
              <w:t>5</w:t>
            </w:r>
          </w:p>
        </w:tc>
        <w:tc>
          <w:tcPr>
            <w:tcW w:w="2240" w:type="dxa"/>
            <w:vAlign w:val="bottom"/>
          </w:tcPr>
          <w:p w:rsidR="00C062E0" w:rsidRPr="00C062E0" w:rsidRDefault="00C062E0" w:rsidP="00C062E0">
            <w:pPr>
              <w:spacing w:before="60" w:after="60"/>
              <w:rPr>
                <w:rFonts w:ascii="Verdana" w:hAnsi="Verdana" w:cs="TimesNewRomanPSMT"/>
                <w:sz w:val="20"/>
                <w:szCs w:val="20"/>
                <w:lang w:eastAsia="bg-BG"/>
              </w:rPr>
            </w:pPr>
            <w:r w:rsidRPr="00C062E0">
              <w:rPr>
                <w:rFonts w:ascii="Verdana" w:hAnsi="Verdana" w:cs="TimesNewRomanPSMT"/>
                <w:sz w:val="20"/>
                <w:szCs w:val="20"/>
                <w:lang w:eastAsia="bg-BG"/>
              </w:rPr>
              <w:t>5,8</w:t>
            </w:r>
          </w:p>
        </w:tc>
      </w:tr>
      <w:tr w:rsidR="00C062E0" w:rsidRPr="007A2B7B" w:rsidTr="005A221F">
        <w:tc>
          <w:tcPr>
            <w:tcW w:w="5317" w:type="dxa"/>
          </w:tcPr>
          <w:p w:rsidR="00C062E0" w:rsidRPr="007A2B7B" w:rsidRDefault="00C062E0" w:rsidP="00C062E0">
            <w:pPr>
              <w:spacing w:before="60" w:after="60"/>
              <w:rPr>
                <w:rFonts w:ascii="Verdana" w:hAnsi="Verdana" w:cs="TimesNewRomanPSMT"/>
                <w:sz w:val="20"/>
                <w:szCs w:val="20"/>
              </w:rPr>
            </w:pPr>
            <w:r w:rsidRPr="007A2B7B">
              <w:rPr>
                <w:rFonts w:ascii="Verdana" w:hAnsi="Verdana" w:cs="TimesNewRomanPSMT"/>
                <w:sz w:val="20"/>
                <w:szCs w:val="20"/>
              </w:rPr>
              <w:t xml:space="preserve">Verification </w:t>
            </w:r>
          </w:p>
        </w:tc>
        <w:tc>
          <w:tcPr>
            <w:tcW w:w="1415" w:type="dxa"/>
            <w:vAlign w:val="center"/>
          </w:tcPr>
          <w:p w:rsidR="00C062E0" w:rsidRPr="00C062E0" w:rsidRDefault="00C062E0" w:rsidP="00C062E0">
            <w:pPr>
              <w:spacing w:before="60" w:after="60"/>
              <w:rPr>
                <w:rFonts w:ascii="Verdana" w:hAnsi="Verdana" w:cs="TimesNewRomanPSMT"/>
                <w:sz w:val="20"/>
                <w:szCs w:val="20"/>
                <w:lang w:eastAsia="bg-BG"/>
              </w:rPr>
            </w:pPr>
            <w:r w:rsidRPr="00C062E0">
              <w:rPr>
                <w:rFonts w:ascii="Verdana" w:hAnsi="Verdana" w:cs="TimesNewRomanPSMT"/>
                <w:sz w:val="20"/>
                <w:szCs w:val="20"/>
                <w:lang w:eastAsia="bg-BG"/>
              </w:rPr>
              <w:t>52</w:t>
            </w:r>
          </w:p>
        </w:tc>
        <w:tc>
          <w:tcPr>
            <w:tcW w:w="2240" w:type="dxa"/>
            <w:vAlign w:val="bottom"/>
          </w:tcPr>
          <w:p w:rsidR="00C062E0" w:rsidRPr="00C062E0" w:rsidRDefault="00C062E0" w:rsidP="00C062E0">
            <w:pPr>
              <w:spacing w:before="60" w:after="60"/>
              <w:rPr>
                <w:rFonts w:ascii="Verdana" w:hAnsi="Verdana" w:cs="TimesNewRomanPSMT"/>
                <w:sz w:val="20"/>
                <w:szCs w:val="20"/>
                <w:lang w:eastAsia="bg-BG"/>
              </w:rPr>
            </w:pPr>
            <w:r w:rsidRPr="00C062E0">
              <w:rPr>
                <w:rFonts w:ascii="Verdana" w:hAnsi="Verdana" w:cs="TimesNewRomanPSMT"/>
                <w:sz w:val="20"/>
                <w:szCs w:val="20"/>
                <w:lang w:eastAsia="bg-BG"/>
              </w:rPr>
              <w:t>60,5</w:t>
            </w:r>
          </w:p>
        </w:tc>
      </w:tr>
      <w:tr w:rsidR="00C062E0" w:rsidRPr="007A2B7B" w:rsidTr="005A221F">
        <w:tc>
          <w:tcPr>
            <w:tcW w:w="5317" w:type="dxa"/>
          </w:tcPr>
          <w:p w:rsidR="00C062E0" w:rsidRPr="007A2B7B" w:rsidRDefault="00C062E0" w:rsidP="00C062E0">
            <w:pPr>
              <w:spacing w:before="60" w:after="60"/>
              <w:rPr>
                <w:rFonts w:ascii="Verdana" w:hAnsi="Verdana" w:cs="TimesNewRomanPSMT"/>
                <w:sz w:val="20"/>
                <w:szCs w:val="20"/>
              </w:rPr>
            </w:pPr>
            <w:r w:rsidRPr="007A2B7B">
              <w:rPr>
                <w:rFonts w:ascii="Verdana" w:hAnsi="Verdana" w:cs="TimesNewRomanPSMT"/>
                <w:sz w:val="20"/>
                <w:szCs w:val="20"/>
              </w:rPr>
              <w:t xml:space="preserve">Risk Management and Control </w:t>
            </w:r>
          </w:p>
        </w:tc>
        <w:tc>
          <w:tcPr>
            <w:tcW w:w="1415" w:type="dxa"/>
            <w:vAlign w:val="center"/>
          </w:tcPr>
          <w:p w:rsidR="00C062E0" w:rsidRPr="00C062E0" w:rsidRDefault="00C062E0" w:rsidP="00C062E0">
            <w:pPr>
              <w:spacing w:before="60" w:after="60"/>
              <w:rPr>
                <w:rFonts w:ascii="Verdana" w:hAnsi="Verdana" w:cs="TimesNewRomanPSMT"/>
                <w:sz w:val="20"/>
                <w:szCs w:val="20"/>
                <w:lang w:eastAsia="bg-BG"/>
              </w:rPr>
            </w:pPr>
            <w:r w:rsidRPr="00C062E0">
              <w:rPr>
                <w:rFonts w:ascii="Verdana" w:hAnsi="Verdana" w:cs="TimesNewRomanPSMT"/>
                <w:sz w:val="20"/>
                <w:szCs w:val="20"/>
                <w:lang w:eastAsia="bg-BG"/>
              </w:rPr>
              <w:t>10</w:t>
            </w:r>
          </w:p>
        </w:tc>
        <w:tc>
          <w:tcPr>
            <w:tcW w:w="2240" w:type="dxa"/>
            <w:vAlign w:val="bottom"/>
          </w:tcPr>
          <w:p w:rsidR="00C062E0" w:rsidRPr="00C062E0" w:rsidRDefault="00C062E0" w:rsidP="00C062E0">
            <w:pPr>
              <w:spacing w:before="60" w:after="60"/>
              <w:rPr>
                <w:rFonts w:ascii="Verdana" w:hAnsi="Verdana" w:cs="TimesNewRomanPSMT"/>
                <w:sz w:val="20"/>
                <w:szCs w:val="20"/>
                <w:lang w:eastAsia="bg-BG"/>
              </w:rPr>
            </w:pPr>
            <w:r w:rsidRPr="00C062E0">
              <w:rPr>
                <w:rFonts w:ascii="Verdana" w:hAnsi="Verdana" w:cs="TimesNewRomanPSMT"/>
                <w:sz w:val="20"/>
                <w:szCs w:val="20"/>
                <w:lang w:eastAsia="bg-BG"/>
              </w:rPr>
              <w:t>11,6</w:t>
            </w:r>
          </w:p>
        </w:tc>
      </w:tr>
      <w:tr w:rsidR="00C062E0" w:rsidRPr="007A2B7B" w:rsidTr="005A221F">
        <w:tc>
          <w:tcPr>
            <w:tcW w:w="5317" w:type="dxa"/>
          </w:tcPr>
          <w:p w:rsidR="00C062E0" w:rsidRPr="007A2B7B" w:rsidRDefault="00C062E0" w:rsidP="00C062E0">
            <w:pPr>
              <w:spacing w:before="60" w:after="60"/>
              <w:rPr>
                <w:rFonts w:ascii="Verdana" w:hAnsi="Verdana" w:cs="TimesNewRomanPSMT"/>
                <w:sz w:val="20"/>
                <w:szCs w:val="20"/>
              </w:rPr>
            </w:pPr>
            <w:r w:rsidRPr="007A2B7B">
              <w:rPr>
                <w:rFonts w:ascii="Verdana" w:hAnsi="Verdana" w:cs="TimesNewRomanPSMT"/>
                <w:sz w:val="20"/>
                <w:szCs w:val="20"/>
              </w:rPr>
              <w:t xml:space="preserve">Financial Planning, Accounting and Payments </w:t>
            </w:r>
          </w:p>
        </w:tc>
        <w:tc>
          <w:tcPr>
            <w:tcW w:w="1415" w:type="dxa"/>
            <w:vAlign w:val="center"/>
          </w:tcPr>
          <w:p w:rsidR="00C062E0" w:rsidRPr="00C062E0" w:rsidRDefault="00C062E0" w:rsidP="00C062E0">
            <w:pPr>
              <w:spacing w:before="60" w:after="60"/>
              <w:rPr>
                <w:rFonts w:ascii="Verdana" w:hAnsi="Verdana" w:cs="TimesNewRomanPSMT"/>
                <w:sz w:val="20"/>
                <w:szCs w:val="20"/>
                <w:lang w:eastAsia="bg-BG"/>
              </w:rPr>
            </w:pPr>
            <w:r w:rsidRPr="00C062E0">
              <w:rPr>
                <w:rFonts w:ascii="Verdana" w:hAnsi="Verdana" w:cs="TimesNewRomanPSMT"/>
                <w:sz w:val="20"/>
                <w:szCs w:val="20"/>
                <w:lang w:eastAsia="bg-BG"/>
              </w:rPr>
              <w:t>6</w:t>
            </w:r>
          </w:p>
        </w:tc>
        <w:tc>
          <w:tcPr>
            <w:tcW w:w="2240" w:type="dxa"/>
            <w:vAlign w:val="bottom"/>
          </w:tcPr>
          <w:p w:rsidR="00C062E0" w:rsidRPr="00C062E0" w:rsidRDefault="00C062E0" w:rsidP="00C062E0">
            <w:pPr>
              <w:spacing w:before="60" w:after="60"/>
              <w:rPr>
                <w:rFonts w:ascii="Verdana" w:hAnsi="Verdana" w:cs="TimesNewRomanPSMT"/>
                <w:sz w:val="20"/>
                <w:szCs w:val="20"/>
                <w:lang w:eastAsia="bg-BG"/>
              </w:rPr>
            </w:pPr>
            <w:r w:rsidRPr="00C062E0">
              <w:rPr>
                <w:rFonts w:ascii="Verdana" w:hAnsi="Verdana" w:cs="TimesNewRomanPSMT"/>
                <w:sz w:val="20"/>
                <w:szCs w:val="20"/>
                <w:lang w:eastAsia="bg-BG"/>
              </w:rPr>
              <w:t>7,0</w:t>
            </w:r>
          </w:p>
        </w:tc>
      </w:tr>
      <w:tr w:rsidR="00C062E0" w:rsidRPr="007A2B7B" w:rsidTr="005A221F">
        <w:tc>
          <w:tcPr>
            <w:tcW w:w="5317" w:type="dxa"/>
          </w:tcPr>
          <w:p w:rsidR="00C062E0" w:rsidRPr="007A2B7B" w:rsidRDefault="00C062E0" w:rsidP="00C062E0">
            <w:pPr>
              <w:spacing w:before="60" w:after="60"/>
              <w:rPr>
                <w:rFonts w:ascii="Verdana" w:hAnsi="Verdana"/>
                <w:sz w:val="20"/>
                <w:szCs w:val="20"/>
              </w:rPr>
            </w:pPr>
            <w:r w:rsidRPr="007A2B7B">
              <w:rPr>
                <w:rFonts w:ascii="Verdana" w:hAnsi="Verdana" w:cs="TimesNewRomanPSMT"/>
                <w:sz w:val="20"/>
                <w:szCs w:val="20"/>
              </w:rPr>
              <w:t xml:space="preserve">External European Programmes </w:t>
            </w:r>
          </w:p>
        </w:tc>
        <w:tc>
          <w:tcPr>
            <w:tcW w:w="1415" w:type="dxa"/>
            <w:vAlign w:val="center"/>
          </w:tcPr>
          <w:p w:rsidR="00C062E0" w:rsidRPr="00C062E0" w:rsidRDefault="00C062E0" w:rsidP="00C062E0">
            <w:pPr>
              <w:spacing w:before="60" w:after="60"/>
              <w:rPr>
                <w:rFonts w:ascii="Verdana" w:hAnsi="Verdana" w:cs="TimesNewRomanPSMT"/>
                <w:sz w:val="20"/>
                <w:szCs w:val="20"/>
                <w:lang w:eastAsia="bg-BG"/>
              </w:rPr>
            </w:pPr>
            <w:r w:rsidRPr="00C062E0">
              <w:rPr>
                <w:rFonts w:ascii="Verdana" w:hAnsi="Verdana" w:cs="TimesNewRomanPSMT"/>
                <w:sz w:val="20"/>
                <w:szCs w:val="20"/>
                <w:lang w:eastAsia="bg-BG"/>
              </w:rPr>
              <w:t>7</w:t>
            </w:r>
          </w:p>
        </w:tc>
        <w:tc>
          <w:tcPr>
            <w:tcW w:w="2240" w:type="dxa"/>
            <w:vAlign w:val="bottom"/>
          </w:tcPr>
          <w:p w:rsidR="00C062E0" w:rsidRPr="00C062E0" w:rsidRDefault="00C062E0" w:rsidP="00C062E0">
            <w:pPr>
              <w:spacing w:before="60" w:after="60"/>
              <w:rPr>
                <w:rFonts w:ascii="Verdana" w:hAnsi="Verdana" w:cs="TimesNewRomanPSMT"/>
                <w:sz w:val="20"/>
                <w:szCs w:val="20"/>
                <w:lang w:eastAsia="bg-BG"/>
              </w:rPr>
            </w:pPr>
            <w:r w:rsidRPr="00C062E0">
              <w:rPr>
                <w:rFonts w:ascii="Verdana" w:hAnsi="Verdana" w:cs="TimesNewRomanPSMT"/>
                <w:sz w:val="20"/>
                <w:szCs w:val="20"/>
                <w:lang w:eastAsia="bg-BG"/>
              </w:rPr>
              <w:t>8,1</w:t>
            </w:r>
          </w:p>
        </w:tc>
      </w:tr>
    </w:tbl>
    <w:p w:rsidR="007A2B7B" w:rsidRPr="00A81B24" w:rsidRDefault="007A2B7B" w:rsidP="007A2B7B">
      <w:pPr>
        <w:widowControl w:val="0"/>
        <w:tabs>
          <w:tab w:val="left" w:pos="142"/>
          <w:tab w:val="right" w:pos="9214"/>
        </w:tabs>
        <w:spacing w:before="120" w:after="0"/>
        <w:ind w:left="142"/>
        <w:rPr>
          <w:rFonts w:ascii="Verdana" w:eastAsia="Times New Roman" w:hAnsi="Verdana"/>
          <w:bCs/>
          <w:color w:val="000000"/>
          <w:sz w:val="14"/>
          <w:szCs w:val="14"/>
          <w:lang w:eastAsia="bg-BG"/>
        </w:rPr>
      </w:pPr>
      <w:r w:rsidRPr="0099675A">
        <w:rPr>
          <w:rFonts w:ascii="Verdana" w:eastAsia="Times New Roman" w:hAnsi="Verdana"/>
          <w:bCs/>
          <w:color w:val="000000"/>
          <w:sz w:val="14"/>
          <w:szCs w:val="14"/>
          <w:lang w:eastAsia="bg-BG"/>
        </w:rPr>
        <w:t xml:space="preserve">Source: DG SFIEP </w:t>
      </w:r>
    </w:p>
    <w:p w:rsidR="007A2B7B" w:rsidRPr="00A81B24" w:rsidRDefault="007A2B7B" w:rsidP="007A2B7B">
      <w:pPr>
        <w:pStyle w:val="broodtekst"/>
        <w:spacing w:before="120" w:after="120" w:line="276" w:lineRule="auto"/>
        <w:jc w:val="both"/>
        <w:rPr>
          <w:rFonts w:ascii="Verdana" w:hAnsi="Verdana"/>
          <w:sz w:val="20"/>
          <w:szCs w:val="20"/>
        </w:rPr>
      </w:pPr>
      <w:r w:rsidRPr="0099675A">
        <w:rPr>
          <w:rFonts w:ascii="Verdana" w:hAnsi="Verdana"/>
          <w:sz w:val="20"/>
          <w:szCs w:val="20"/>
        </w:rPr>
        <w:t xml:space="preserve">As evident, the </w:t>
      </w:r>
      <w:r>
        <w:rPr>
          <w:rFonts w:ascii="Verdana" w:hAnsi="Verdana"/>
          <w:sz w:val="20"/>
          <w:szCs w:val="20"/>
        </w:rPr>
        <w:t>largest</w:t>
      </w:r>
      <w:r w:rsidRPr="0099675A">
        <w:rPr>
          <w:rFonts w:ascii="Verdana" w:hAnsi="Verdana"/>
          <w:sz w:val="20"/>
          <w:szCs w:val="20"/>
        </w:rPr>
        <w:t xml:space="preserve"> number of employees is concentrated in </w:t>
      </w:r>
      <w:r>
        <w:rPr>
          <w:rFonts w:ascii="Verdana" w:hAnsi="Verdana"/>
          <w:sz w:val="20"/>
          <w:szCs w:val="20"/>
        </w:rPr>
        <w:t xml:space="preserve">the </w:t>
      </w:r>
      <w:r w:rsidRPr="0099675A">
        <w:rPr>
          <w:rFonts w:ascii="Verdana" w:hAnsi="Verdana"/>
          <w:sz w:val="20"/>
          <w:szCs w:val="20"/>
        </w:rPr>
        <w:t xml:space="preserve">Verification Dept. because they will be responsible for the control, the operative and </w:t>
      </w:r>
      <w:r>
        <w:rPr>
          <w:rFonts w:ascii="Verdana" w:hAnsi="Verdana"/>
          <w:sz w:val="20"/>
          <w:szCs w:val="20"/>
        </w:rPr>
        <w:t xml:space="preserve">the </w:t>
      </w:r>
      <w:r w:rsidRPr="0099675A">
        <w:rPr>
          <w:rFonts w:ascii="Verdana" w:hAnsi="Verdana"/>
          <w:sz w:val="20"/>
          <w:szCs w:val="20"/>
        </w:rPr>
        <w:t xml:space="preserve">financial monitoring of the beneficiaries. </w:t>
      </w:r>
    </w:p>
    <w:p w:rsidR="007A2B7B" w:rsidRPr="00A81B24" w:rsidRDefault="007A2B7B" w:rsidP="007A2B7B">
      <w:pPr>
        <w:pStyle w:val="broodtekst"/>
        <w:spacing w:before="120" w:after="120" w:line="276" w:lineRule="auto"/>
        <w:jc w:val="both"/>
        <w:rPr>
          <w:rFonts w:ascii="Verdana" w:hAnsi="Verdana"/>
          <w:sz w:val="20"/>
          <w:szCs w:val="20"/>
        </w:rPr>
      </w:pPr>
      <w:r w:rsidRPr="0099675A">
        <w:rPr>
          <w:rFonts w:ascii="Verdana" w:hAnsi="Verdana"/>
          <w:sz w:val="20"/>
          <w:szCs w:val="20"/>
        </w:rPr>
        <w:t xml:space="preserve">This distribution of human resources among the departments could create certain risks for the successful implementation of the OP. Department Programming and Contracting will </w:t>
      </w:r>
      <w:r w:rsidRPr="0099675A">
        <w:rPr>
          <w:rFonts w:ascii="Verdana" w:hAnsi="Verdana"/>
          <w:sz w:val="20"/>
          <w:szCs w:val="20"/>
        </w:rPr>
        <w:lastRenderedPageBreak/>
        <w:t>have a significant workload, because it will p</w:t>
      </w:r>
      <w:r w:rsidR="00B641E0">
        <w:rPr>
          <w:rFonts w:ascii="Verdana" w:hAnsi="Verdana"/>
          <w:sz w:val="20"/>
          <w:szCs w:val="20"/>
        </w:rPr>
        <w:t>erform functions pertaining to</w:t>
      </w:r>
      <w:r w:rsidRPr="0099675A">
        <w:rPr>
          <w:rFonts w:ascii="Verdana" w:hAnsi="Verdana"/>
          <w:sz w:val="20"/>
          <w:szCs w:val="20"/>
        </w:rPr>
        <w:t xml:space="preserve"> evaluation of</w:t>
      </w:r>
      <w:r>
        <w:rPr>
          <w:rFonts w:ascii="Verdana" w:hAnsi="Verdana"/>
          <w:sz w:val="20"/>
          <w:szCs w:val="20"/>
        </w:rPr>
        <w:t xml:space="preserve"> offers</w:t>
      </w:r>
      <w:r w:rsidR="00B641E0">
        <w:rPr>
          <w:rFonts w:ascii="Verdana" w:hAnsi="Verdana"/>
          <w:sz w:val="20"/>
          <w:szCs w:val="20"/>
          <w:lang w:val="bg-BG"/>
        </w:rPr>
        <w:t xml:space="preserve"> </w:t>
      </w:r>
      <w:r w:rsidRPr="0099675A">
        <w:rPr>
          <w:rFonts w:ascii="Verdana" w:hAnsi="Verdana"/>
          <w:sz w:val="20"/>
          <w:szCs w:val="20"/>
        </w:rPr>
        <w:t xml:space="preserve">and project proposals within rigidly defined deadlines, </w:t>
      </w:r>
      <w:r>
        <w:rPr>
          <w:rFonts w:ascii="Verdana" w:hAnsi="Verdana"/>
          <w:sz w:val="20"/>
          <w:szCs w:val="20"/>
        </w:rPr>
        <w:t xml:space="preserve">preparing </w:t>
      </w:r>
      <w:r w:rsidRPr="0099675A">
        <w:rPr>
          <w:rFonts w:ascii="Verdana" w:hAnsi="Verdana"/>
          <w:sz w:val="20"/>
          <w:szCs w:val="20"/>
        </w:rPr>
        <w:t xml:space="preserve">contracts and orders and </w:t>
      </w:r>
      <w:r>
        <w:rPr>
          <w:rFonts w:ascii="Verdana" w:hAnsi="Verdana"/>
          <w:sz w:val="20"/>
          <w:szCs w:val="20"/>
        </w:rPr>
        <w:t>filling in</w:t>
      </w:r>
      <w:r w:rsidRPr="0099675A">
        <w:rPr>
          <w:rFonts w:ascii="Verdana" w:hAnsi="Verdana"/>
          <w:sz w:val="20"/>
          <w:szCs w:val="20"/>
        </w:rPr>
        <w:t xml:space="preserve"> the contracts in UMIS. In addition to these tasks, the department will also perform functions relating to publicity and communications and will have responsibilities relating to </w:t>
      </w:r>
      <w:r>
        <w:rPr>
          <w:rFonts w:ascii="Verdana" w:hAnsi="Verdana"/>
          <w:sz w:val="20"/>
          <w:szCs w:val="20"/>
        </w:rPr>
        <w:t>possible</w:t>
      </w:r>
      <w:r w:rsidRPr="0099675A">
        <w:rPr>
          <w:rFonts w:ascii="Verdana" w:hAnsi="Verdana"/>
          <w:sz w:val="20"/>
          <w:szCs w:val="20"/>
        </w:rPr>
        <w:t xml:space="preserve"> changes of OPSESG 2014-2020. The 5 employees foreseen for this department are not enough to ensure quality performance of the foreseen functions of this department. </w:t>
      </w:r>
    </w:p>
    <w:p w:rsidR="007A2B7B" w:rsidRPr="00A81B24" w:rsidRDefault="007A2B7B" w:rsidP="007A2B7B">
      <w:pPr>
        <w:pStyle w:val="BodyText"/>
        <w:widowControl w:val="0"/>
        <w:tabs>
          <w:tab w:val="left" w:pos="0"/>
          <w:tab w:val="right" w:pos="9214"/>
        </w:tabs>
        <w:spacing w:before="120" w:line="276" w:lineRule="auto"/>
        <w:jc w:val="both"/>
        <w:rPr>
          <w:rFonts w:ascii="Verdana" w:hAnsi="Verdana"/>
          <w:bCs/>
          <w:color w:val="000000"/>
          <w:sz w:val="20"/>
          <w:szCs w:val="20"/>
        </w:rPr>
      </w:pPr>
      <w:r w:rsidRPr="0099675A">
        <w:rPr>
          <w:rFonts w:ascii="Verdana" w:hAnsi="Verdana"/>
          <w:bCs/>
          <w:color w:val="000000"/>
          <w:sz w:val="20"/>
          <w:szCs w:val="20"/>
        </w:rPr>
        <w:t xml:space="preserve">This is also confirmed by the responses given by the employees of MA in the on-line </w:t>
      </w:r>
      <w:r>
        <w:rPr>
          <w:rFonts w:ascii="Verdana" w:hAnsi="Verdana"/>
          <w:bCs/>
          <w:color w:val="000000"/>
          <w:sz w:val="20"/>
          <w:szCs w:val="20"/>
        </w:rPr>
        <w:t>questionnaire</w:t>
      </w:r>
      <w:r w:rsidRPr="0099675A">
        <w:rPr>
          <w:rFonts w:ascii="Verdana" w:hAnsi="Verdana"/>
          <w:bCs/>
          <w:color w:val="000000"/>
          <w:sz w:val="20"/>
          <w:szCs w:val="20"/>
        </w:rPr>
        <w:t xml:space="preserve"> regarding their annual workload relating to each activity they have to </w:t>
      </w:r>
      <w:r>
        <w:rPr>
          <w:rFonts w:ascii="Verdana" w:hAnsi="Verdana"/>
          <w:bCs/>
          <w:color w:val="000000"/>
          <w:sz w:val="20"/>
          <w:szCs w:val="20"/>
        </w:rPr>
        <w:t xml:space="preserve">implement </w:t>
      </w:r>
      <w:r w:rsidRPr="0099675A">
        <w:rPr>
          <w:rFonts w:ascii="Verdana" w:hAnsi="Verdana"/>
          <w:bCs/>
          <w:color w:val="000000"/>
          <w:sz w:val="20"/>
          <w:szCs w:val="20"/>
        </w:rPr>
        <w:t>(see the Figure below).</w:t>
      </w:r>
    </w:p>
    <w:p w:rsidR="007A2B7B" w:rsidRPr="00A81B24" w:rsidRDefault="007A2B7B" w:rsidP="007A2B7B">
      <w:pPr>
        <w:pStyle w:val="BodyText"/>
        <w:widowControl w:val="0"/>
        <w:tabs>
          <w:tab w:val="left" w:pos="0"/>
          <w:tab w:val="right" w:pos="9214"/>
        </w:tabs>
        <w:spacing w:before="120" w:line="276" w:lineRule="auto"/>
        <w:jc w:val="both"/>
        <w:rPr>
          <w:rFonts w:ascii="Verdana" w:hAnsi="Verdana"/>
          <w:bCs/>
          <w:color w:val="000000"/>
          <w:sz w:val="20"/>
          <w:szCs w:val="20"/>
        </w:rPr>
      </w:pPr>
      <w:r w:rsidRPr="0099675A">
        <w:rPr>
          <w:rFonts w:ascii="Verdana" w:hAnsi="Verdana"/>
          <w:bCs/>
          <w:color w:val="000000"/>
          <w:sz w:val="20"/>
          <w:szCs w:val="20"/>
        </w:rPr>
        <w:t xml:space="preserve">An objective of the survey was to identify the most time-consuming and resource-intensive activities for the employees and to make recommendations for optimizing the processes or for redistribution of the human resources during the next programming period in order to avoid the </w:t>
      </w:r>
      <w:r>
        <w:rPr>
          <w:rFonts w:ascii="Verdana" w:hAnsi="Verdana"/>
          <w:bCs/>
          <w:color w:val="000000"/>
          <w:sz w:val="20"/>
          <w:szCs w:val="20"/>
        </w:rPr>
        <w:t xml:space="preserve">excessive </w:t>
      </w:r>
      <w:r w:rsidRPr="0099675A">
        <w:rPr>
          <w:rFonts w:ascii="Verdana" w:hAnsi="Verdana"/>
          <w:bCs/>
          <w:color w:val="000000"/>
          <w:sz w:val="20"/>
          <w:szCs w:val="20"/>
        </w:rPr>
        <w:t>workload of the employees and to guarantee high quality and timely performance of all responsibilities in the management of OPSESG 2014-2020.</w:t>
      </w:r>
    </w:p>
    <w:p w:rsidR="007A2B7B" w:rsidRPr="00A81B24" w:rsidRDefault="007A2B7B" w:rsidP="007A2B7B">
      <w:pPr>
        <w:pStyle w:val="BodyText"/>
        <w:widowControl w:val="0"/>
        <w:tabs>
          <w:tab w:val="left" w:pos="0"/>
          <w:tab w:val="right" w:pos="9214"/>
        </w:tabs>
        <w:spacing w:before="120" w:line="276" w:lineRule="auto"/>
        <w:jc w:val="both"/>
        <w:rPr>
          <w:rFonts w:ascii="Verdana" w:eastAsia="MS Mincho" w:hAnsi="Verdana"/>
          <w:bCs/>
          <w:color w:val="000000"/>
          <w:sz w:val="20"/>
          <w:szCs w:val="20"/>
          <w:lang w:eastAsia="ja-JP"/>
        </w:rPr>
      </w:pPr>
      <w:r w:rsidRPr="0099675A">
        <w:rPr>
          <w:rFonts w:ascii="Verdana" w:hAnsi="Verdana"/>
          <w:bCs/>
          <w:color w:val="000000"/>
          <w:sz w:val="20"/>
          <w:szCs w:val="20"/>
        </w:rPr>
        <w:t xml:space="preserve">As evident, the activities with the </w:t>
      </w:r>
      <w:r>
        <w:rPr>
          <w:rFonts w:ascii="Verdana" w:hAnsi="Verdana"/>
          <w:bCs/>
          <w:color w:val="000000"/>
          <w:sz w:val="20"/>
          <w:szCs w:val="20"/>
        </w:rPr>
        <w:t>largest</w:t>
      </w:r>
      <w:r w:rsidRPr="0099675A">
        <w:rPr>
          <w:rFonts w:ascii="Verdana" w:hAnsi="Verdana"/>
          <w:bCs/>
          <w:color w:val="000000"/>
          <w:sz w:val="20"/>
          <w:szCs w:val="20"/>
        </w:rPr>
        <w:t xml:space="preserve"> annual workload in this programming period shall be:</w:t>
      </w:r>
    </w:p>
    <w:p w:rsidR="007A2B7B" w:rsidRPr="00A81B24" w:rsidRDefault="007A2B7B" w:rsidP="007A2B7B">
      <w:pPr>
        <w:pStyle w:val="BodyText"/>
        <w:widowControl w:val="0"/>
        <w:numPr>
          <w:ilvl w:val="0"/>
          <w:numId w:val="66"/>
        </w:numPr>
        <w:tabs>
          <w:tab w:val="left" w:pos="0"/>
          <w:tab w:val="right" w:pos="9214"/>
        </w:tabs>
        <w:spacing w:before="120" w:line="276" w:lineRule="auto"/>
        <w:jc w:val="both"/>
        <w:rPr>
          <w:rFonts w:ascii="Verdana" w:eastAsia="Malgun Gothic" w:hAnsi="Verdana"/>
          <w:bCs/>
          <w:color w:val="000000"/>
          <w:sz w:val="20"/>
          <w:szCs w:val="20"/>
          <w:lang w:eastAsia="ko-KR"/>
        </w:rPr>
      </w:pPr>
      <w:r w:rsidRPr="0099675A">
        <w:rPr>
          <w:rFonts w:ascii="Verdana" w:eastAsia="Malgun Gothic" w:hAnsi="Verdana"/>
          <w:bCs/>
          <w:color w:val="000000"/>
          <w:sz w:val="20"/>
          <w:szCs w:val="20"/>
          <w:lang w:eastAsia="ko-KR"/>
        </w:rPr>
        <w:t xml:space="preserve">Preparation of decisions, </w:t>
      </w:r>
      <w:r>
        <w:rPr>
          <w:rFonts w:ascii="Verdana" w:eastAsia="Malgun Gothic" w:hAnsi="Verdana"/>
          <w:bCs/>
          <w:color w:val="000000"/>
          <w:sz w:val="20"/>
          <w:szCs w:val="20"/>
          <w:lang w:eastAsia="ko-KR"/>
        </w:rPr>
        <w:t>ordinances</w:t>
      </w:r>
      <w:r w:rsidRPr="0099675A">
        <w:rPr>
          <w:rFonts w:ascii="Verdana" w:eastAsia="Malgun Gothic" w:hAnsi="Verdana"/>
          <w:bCs/>
          <w:color w:val="000000"/>
          <w:sz w:val="20"/>
          <w:szCs w:val="20"/>
          <w:lang w:eastAsia="ko-KR"/>
        </w:rPr>
        <w:t>, grant contracts</w:t>
      </w:r>
      <w:r w:rsidRPr="0099675A">
        <w:rPr>
          <w:rFonts w:ascii="Verdana" w:hAnsi="Verdana"/>
          <w:sz w:val="20"/>
          <w:szCs w:val="20"/>
        </w:rPr>
        <w:t xml:space="preserve"> (71%)</w:t>
      </w:r>
    </w:p>
    <w:p w:rsidR="007A2B7B" w:rsidRPr="00A81B24" w:rsidRDefault="007A2B7B" w:rsidP="007A2B7B">
      <w:pPr>
        <w:pStyle w:val="BodyText"/>
        <w:widowControl w:val="0"/>
        <w:numPr>
          <w:ilvl w:val="0"/>
          <w:numId w:val="66"/>
        </w:numPr>
        <w:tabs>
          <w:tab w:val="left" w:pos="0"/>
          <w:tab w:val="right" w:pos="9214"/>
        </w:tabs>
        <w:spacing w:before="120" w:line="276" w:lineRule="auto"/>
        <w:jc w:val="both"/>
        <w:rPr>
          <w:rFonts w:ascii="Verdana" w:eastAsia="Malgun Gothic" w:hAnsi="Verdana"/>
          <w:bCs/>
          <w:color w:val="000000"/>
          <w:sz w:val="20"/>
          <w:szCs w:val="20"/>
          <w:lang w:eastAsia="ko-KR"/>
        </w:rPr>
      </w:pPr>
      <w:r w:rsidRPr="0099675A">
        <w:rPr>
          <w:rFonts w:ascii="Verdana" w:hAnsi="Verdana"/>
          <w:sz w:val="20"/>
          <w:szCs w:val="20"/>
        </w:rPr>
        <w:t>Monitoring of the overall implementation of the projects, including by reviewing reports, conducting meetings, holding talks with the beneficiaries, etc.</w:t>
      </w:r>
      <w:r w:rsidRPr="0099675A">
        <w:rPr>
          <w:rFonts w:ascii="Verdana" w:hAnsi="Verdana"/>
          <w:sz w:val="16"/>
          <w:szCs w:val="16"/>
        </w:rPr>
        <w:t xml:space="preserve"> </w:t>
      </w:r>
      <w:r w:rsidRPr="0099675A">
        <w:rPr>
          <w:rFonts w:ascii="Verdana" w:eastAsia="Malgun Gothic" w:hAnsi="Verdana"/>
          <w:bCs/>
          <w:color w:val="000000"/>
          <w:sz w:val="20"/>
          <w:szCs w:val="20"/>
          <w:lang w:eastAsia="ko-KR"/>
        </w:rPr>
        <w:t>(69%)</w:t>
      </w:r>
    </w:p>
    <w:p w:rsidR="007A2B7B" w:rsidRPr="00A81B24" w:rsidRDefault="007A2B7B" w:rsidP="007A2B7B">
      <w:pPr>
        <w:pStyle w:val="BodyText"/>
        <w:widowControl w:val="0"/>
        <w:numPr>
          <w:ilvl w:val="0"/>
          <w:numId w:val="66"/>
        </w:numPr>
        <w:tabs>
          <w:tab w:val="left" w:pos="0"/>
          <w:tab w:val="right" w:pos="9214"/>
        </w:tabs>
        <w:spacing w:before="120" w:line="276" w:lineRule="auto"/>
        <w:jc w:val="both"/>
        <w:rPr>
          <w:rFonts w:ascii="Verdana" w:eastAsia="Malgun Gothic" w:hAnsi="Verdana"/>
          <w:bCs/>
          <w:color w:val="000000"/>
          <w:sz w:val="20"/>
          <w:szCs w:val="20"/>
          <w:lang w:eastAsia="ko-KR"/>
        </w:rPr>
      </w:pPr>
      <w:r w:rsidRPr="0099675A">
        <w:rPr>
          <w:rFonts w:ascii="Verdana" w:eastAsia="Malgun Gothic" w:hAnsi="Verdana"/>
          <w:bCs/>
          <w:color w:val="000000"/>
          <w:sz w:val="20"/>
          <w:szCs w:val="20"/>
          <w:lang w:eastAsia="ko-KR"/>
        </w:rPr>
        <w:t>Evaluation of project proposals (60%)</w:t>
      </w:r>
    </w:p>
    <w:p w:rsidR="007A2B7B" w:rsidRPr="00A81B24" w:rsidRDefault="007A2B7B" w:rsidP="007A2B7B">
      <w:pPr>
        <w:pStyle w:val="BodyText"/>
        <w:widowControl w:val="0"/>
        <w:numPr>
          <w:ilvl w:val="0"/>
          <w:numId w:val="66"/>
        </w:numPr>
        <w:tabs>
          <w:tab w:val="left" w:pos="0"/>
          <w:tab w:val="right" w:pos="9214"/>
        </w:tabs>
        <w:spacing w:before="120" w:line="276" w:lineRule="auto"/>
        <w:jc w:val="both"/>
        <w:rPr>
          <w:rFonts w:ascii="Verdana" w:hAnsi="Verdana"/>
          <w:sz w:val="20"/>
          <w:szCs w:val="20"/>
        </w:rPr>
      </w:pPr>
      <w:r w:rsidRPr="0099675A">
        <w:rPr>
          <w:rFonts w:ascii="Verdana" w:hAnsi="Verdana"/>
          <w:sz w:val="20"/>
          <w:szCs w:val="20"/>
        </w:rPr>
        <w:t>Preparation of opinions, information sheets and reports (57%)</w:t>
      </w:r>
    </w:p>
    <w:p w:rsidR="007A2B7B" w:rsidRPr="00A81B24" w:rsidRDefault="00B641E0" w:rsidP="007A2B7B">
      <w:pPr>
        <w:pStyle w:val="BodyText"/>
        <w:widowControl w:val="0"/>
        <w:tabs>
          <w:tab w:val="left" w:pos="0"/>
          <w:tab w:val="right" w:pos="9214"/>
        </w:tabs>
        <w:spacing w:before="120" w:line="276" w:lineRule="auto"/>
        <w:jc w:val="both"/>
        <w:rPr>
          <w:rFonts w:ascii="Verdana" w:hAnsi="Verdana"/>
          <w:bCs/>
          <w:color w:val="000000"/>
          <w:sz w:val="20"/>
          <w:szCs w:val="20"/>
        </w:rPr>
      </w:pPr>
      <w:r>
        <w:rPr>
          <w:rFonts w:ascii="Verdana" w:hAnsi="Verdana"/>
          <w:sz w:val="20"/>
          <w:szCs w:val="20"/>
          <w:lang w:val="en-US"/>
        </w:rPr>
        <w:t>Six</w:t>
      </w:r>
      <w:r w:rsidR="007A2B7B" w:rsidRPr="0099675A">
        <w:rPr>
          <w:rFonts w:ascii="Verdana" w:hAnsi="Verdana"/>
          <w:sz w:val="20"/>
          <w:szCs w:val="20"/>
        </w:rPr>
        <w:t xml:space="preserve"> employees are envisaged for department </w:t>
      </w:r>
      <w:r w:rsidR="007A2B7B" w:rsidRPr="0099675A">
        <w:rPr>
          <w:rFonts w:ascii="Verdana" w:hAnsi="Verdana" w:cs="TimesNewRomanPSMT"/>
          <w:sz w:val="20"/>
          <w:szCs w:val="20"/>
        </w:rPr>
        <w:t>Financial Planning, Accounting and Payments</w:t>
      </w:r>
      <w:r w:rsidR="007A2B7B" w:rsidRPr="0099675A">
        <w:rPr>
          <w:rFonts w:ascii="Verdana" w:hAnsi="Verdana"/>
          <w:sz w:val="20"/>
          <w:szCs w:val="20"/>
        </w:rPr>
        <w:t xml:space="preserve"> and they will not be enough, because there is a strict delineation of functions relating to the preparation of payments, confirmation of payments and accounting for, where each one of these tasks must be performed by a different expert. The envisaged number of </w:t>
      </w:r>
      <w:r w:rsidR="007A2B7B">
        <w:rPr>
          <w:rFonts w:ascii="Verdana" w:hAnsi="Verdana"/>
          <w:sz w:val="20"/>
          <w:szCs w:val="20"/>
        </w:rPr>
        <w:t>employees</w:t>
      </w:r>
      <w:r w:rsidR="007A2B7B" w:rsidRPr="0099675A">
        <w:rPr>
          <w:rFonts w:ascii="Verdana" w:hAnsi="Verdana"/>
          <w:sz w:val="20"/>
          <w:szCs w:val="20"/>
        </w:rPr>
        <w:t xml:space="preserve"> will not be enough for the prompt and correct performance of all functions of the department.  </w:t>
      </w:r>
    </w:p>
    <w:p w:rsidR="007A2B7B" w:rsidRPr="00145CEF" w:rsidRDefault="007A2B7B" w:rsidP="007A2B7B">
      <w:pPr>
        <w:pStyle w:val="BodyText"/>
        <w:widowControl w:val="0"/>
        <w:tabs>
          <w:tab w:val="left" w:pos="0"/>
          <w:tab w:val="right" w:pos="9214"/>
        </w:tabs>
        <w:spacing w:before="120" w:line="276" w:lineRule="auto"/>
        <w:jc w:val="both"/>
        <w:rPr>
          <w:rFonts w:ascii="Verdana" w:hAnsi="Verdana"/>
          <w:bCs/>
          <w:color w:val="000000"/>
          <w:sz w:val="20"/>
          <w:szCs w:val="20"/>
        </w:rPr>
      </w:pPr>
    </w:p>
    <w:p w:rsidR="007A2B7B" w:rsidRDefault="007A2B7B" w:rsidP="007A2B7B">
      <w:pPr>
        <w:spacing w:after="0" w:line="240" w:lineRule="auto"/>
        <w:jc w:val="center"/>
        <w:rPr>
          <w:rFonts w:ascii="Verdana" w:hAnsi="Verdana"/>
          <w:b/>
          <w:sz w:val="16"/>
          <w:szCs w:val="16"/>
        </w:rPr>
      </w:pPr>
      <w:bookmarkStart w:id="220" w:name="_Toc388432010"/>
      <w:bookmarkStart w:id="221" w:name="_Toc390257339"/>
      <w:r>
        <w:rPr>
          <w:noProof/>
          <w:lang w:val="bg-BG" w:eastAsia="bg-BG"/>
        </w:rPr>
        <w:lastRenderedPageBreak/>
        <w:drawing>
          <wp:inline distT="0" distB="0" distL="0" distR="0" wp14:anchorId="259089E5" wp14:editId="3506DE59">
            <wp:extent cx="5724000" cy="7077600"/>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5070" t="16360" r="28293" b="11521"/>
                    <a:stretch/>
                  </pic:blipFill>
                  <pic:spPr bwMode="auto">
                    <a:xfrm>
                      <a:off x="0" y="0"/>
                      <a:ext cx="5724000" cy="7077600"/>
                    </a:xfrm>
                    <a:prstGeom prst="rect">
                      <a:avLst/>
                    </a:prstGeom>
                    <a:ln>
                      <a:noFill/>
                    </a:ln>
                    <a:extLst>
                      <a:ext uri="{53640926-AAD7-44D8-BBD7-CCE9431645EC}">
                        <a14:shadowObscured xmlns:a14="http://schemas.microsoft.com/office/drawing/2010/main"/>
                      </a:ext>
                    </a:extLst>
                  </pic:spPr>
                </pic:pic>
              </a:graphicData>
            </a:graphic>
          </wp:inline>
        </w:drawing>
      </w:r>
      <w:r>
        <w:rPr>
          <w:rFonts w:ascii="Verdana" w:hAnsi="Verdana"/>
          <w:bCs/>
          <w:noProof/>
          <w:color w:val="000000"/>
          <w:sz w:val="20"/>
          <w:szCs w:val="20"/>
          <w:lang w:val="bg-BG" w:eastAsia="bg-BG"/>
        </w:rPr>
        <mc:AlternateContent>
          <mc:Choice Requires="wps">
            <w:drawing>
              <wp:anchor distT="0" distB="0" distL="114300" distR="114300" simplePos="0" relativeHeight="251676672" behindDoc="0" locked="0" layoutInCell="1" allowOverlap="1" wp14:anchorId="638CD319" wp14:editId="2C8B4CF6">
                <wp:simplePos x="0" y="0"/>
                <wp:positionH relativeFrom="column">
                  <wp:posOffset>32054</wp:posOffset>
                </wp:positionH>
                <wp:positionV relativeFrom="paragraph">
                  <wp:posOffset>-7913259</wp:posOffset>
                </wp:positionV>
                <wp:extent cx="5661329" cy="349858"/>
                <wp:effectExtent l="0" t="0" r="0" b="0"/>
                <wp:wrapNone/>
                <wp:docPr id="3" name="Text Box 3"/>
                <wp:cNvGraphicFramePr/>
                <a:graphic xmlns:a="http://schemas.openxmlformats.org/drawingml/2006/main">
                  <a:graphicData uri="http://schemas.microsoft.com/office/word/2010/wordprocessingShape">
                    <wps:wsp>
                      <wps:cNvSpPr txBox="1"/>
                      <wps:spPr>
                        <a:xfrm>
                          <a:off x="0" y="0"/>
                          <a:ext cx="5661329" cy="3498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A221F" w:rsidRDefault="005A221F" w:rsidP="007A2B7B">
                            <w:pPr>
                              <w:spacing w:after="0" w:line="240" w:lineRule="auto"/>
                              <w:rPr>
                                <w:rFonts w:ascii="Verdana" w:hAnsi="Verdana"/>
                                <w:b/>
                                <w:sz w:val="16"/>
                                <w:szCs w:val="16"/>
                              </w:rPr>
                            </w:pPr>
                            <w:r>
                              <w:rPr>
                                <w:rFonts w:ascii="Verdana" w:hAnsi="Verdana"/>
                                <w:b/>
                                <w:sz w:val="16"/>
                                <w:szCs w:val="16"/>
                              </w:rPr>
                              <w:t xml:space="preserve">6. </w:t>
                            </w:r>
                            <w:r w:rsidRPr="0099675A">
                              <w:rPr>
                                <w:rFonts w:ascii="Verdana" w:hAnsi="Verdana"/>
                                <w:b/>
                                <w:sz w:val="16"/>
                                <w:szCs w:val="16"/>
                              </w:rPr>
                              <w:t>How would you define your personal annual workload relating to a specific activity?</w:t>
                            </w:r>
                          </w:p>
                          <w:p w:rsidR="005A221F" w:rsidRPr="00A81B24" w:rsidRDefault="005A221F" w:rsidP="007A2B7B">
                            <w:pPr>
                              <w:spacing w:after="0" w:line="240" w:lineRule="auto"/>
                              <w:rPr>
                                <w:rFonts w:ascii="Verdana" w:hAnsi="Verdana"/>
                                <w:b/>
                                <w:sz w:val="16"/>
                                <w:szCs w:val="16"/>
                              </w:rPr>
                            </w:pPr>
                            <w:r>
                              <w:rPr>
                                <w:rFonts w:ascii="Verdana" w:hAnsi="Verdana"/>
                                <w:b/>
                                <w:sz w:val="16"/>
                                <w:szCs w:val="16"/>
                              </w:rPr>
                              <w:t>(Each respondent could choose only ONE response per sub-question)</w:t>
                            </w:r>
                          </w:p>
                          <w:p w:rsidR="005A221F" w:rsidRDefault="005A221F" w:rsidP="007A2B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CD319" id="Text Box 3" o:spid="_x0000_s1073" type="#_x0000_t202" style="position:absolute;left:0;text-align:left;margin-left:2.5pt;margin-top:-623.1pt;width:445.75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" fillcolor="white [3201]" stroked="f" strokeweight=".5pt">
                <v:textbox>
                  <w:txbxContent>
                    <w:p w:rsidR="005A221F" w:rsidRDefault="005A221F" w:rsidP="007A2B7B">
                      <w:pPr>
                        <w:spacing w:after="0" w:line="240" w:lineRule="auto"/>
                        <w:rPr>
                          <w:rFonts w:ascii="Verdana" w:hAnsi="Verdana"/>
                          <w:b/>
                          <w:sz w:val="16"/>
                          <w:szCs w:val="16"/>
                        </w:rPr>
                      </w:pPr>
                      <w:r>
                        <w:rPr>
                          <w:rFonts w:ascii="Verdana" w:hAnsi="Verdana"/>
                          <w:b/>
                          <w:sz w:val="16"/>
                          <w:szCs w:val="16"/>
                        </w:rPr>
                        <w:t xml:space="preserve">6. </w:t>
                      </w:r>
                      <w:r w:rsidRPr="0099675A">
                        <w:rPr>
                          <w:rFonts w:ascii="Verdana" w:hAnsi="Verdana"/>
                          <w:b/>
                          <w:sz w:val="16"/>
                          <w:szCs w:val="16"/>
                        </w:rPr>
                        <w:t>How would you define your personal annual workload relating to a specific activity?</w:t>
                      </w:r>
                    </w:p>
                    <w:p w:rsidR="005A221F" w:rsidRPr="00A81B24" w:rsidRDefault="005A221F" w:rsidP="007A2B7B">
                      <w:pPr>
                        <w:spacing w:after="0" w:line="240" w:lineRule="auto"/>
                        <w:rPr>
                          <w:rFonts w:ascii="Verdana" w:hAnsi="Verdana"/>
                          <w:b/>
                          <w:sz w:val="16"/>
                          <w:szCs w:val="16"/>
                        </w:rPr>
                      </w:pPr>
                      <w:r>
                        <w:rPr>
                          <w:rFonts w:ascii="Verdana" w:hAnsi="Verdana"/>
                          <w:b/>
                          <w:sz w:val="16"/>
                          <w:szCs w:val="16"/>
                        </w:rPr>
                        <w:t>(Each respondent could choose only ONE response per sub-question)</w:t>
                      </w:r>
                    </w:p>
                    <w:p w:rsidR="005A221F" w:rsidRDefault="005A221F" w:rsidP="007A2B7B"/>
                  </w:txbxContent>
                </v:textbox>
              </v:shape>
            </w:pict>
          </mc:Fallback>
        </mc:AlternateContent>
      </w:r>
    </w:p>
    <w:p w:rsidR="007A2B7B" w:rsidRDefault="007A2B7B" w:rsidP="007A2B7B">
      <w:pPr>
        <w:spacing w:after="0" w:line="240" w:lineRule="auto"/>
        <w:rPr>
          <w:rFonts w:ascii="Verdana" w:hAnsi="Verdana"/>
          <w:b/>
          <w:sz w:val="16"/>
          <w:szCs w:val="16"/>
        </w:rPr>
      </w:pPr>
    </w:p>
    <w:p w:rsidR="007A2B7B" w:rsidRPr="0099675A" w:rsidRDefault="007A2B7B" w:rsidP="007A2B7B">
      <w:pPr>
        <w:spacing w:after="0" w:line="240" w:lineRule="auto"/>
        <w:rPr>
          <w:rFonts w:ascii="Verdana" w:hAnsi="Verdana"/>
          <w:b/>
          <w:sz w:val="16"/>
          <w:szCs w:val="16"/>
        </w:rPr>
      </w:pPr>
    </w:p>
    <w:p w:rsidR="007A2B7B" w:rsidRPr="00A81B24" w:rsidRDefault="007A2B7B" w:rsidP="007A2B7B">
      <w:pPr>
        <w:spacing w:after="0" w:line="240" w:lineRule="auto"/>
        <w:jc w:val="center"/>
        <w:rPr>
          <w:rFonts w:ascii="Verdana" w:hAnsi="Verdana"/>
          <w:b/>
          <w:color w:val="006CB6"/>
          <w:sz w:val="20"/>
          <w:szCs w:val="20"/>
        </w:rPr>
      </w:pPr>
      <w:bookmarkStart w:id="222" w:name="_Toc394505811"/>
      <w:bookmarkStart w:id="223" w:name="_Toc396225649"/>
      <w:r w:rsidRPr="0099675A">
        <w:rPr>
          <w:rFonts w:ascii="Verdana" w:hAnsi="Verdana"/>
          <w:b/>
          <w:color w:val="006CB6"/>
          <w:sz w:val="20"/>
          <w:szCs w:val="20"/>
        </w:rPr>
        <w:t xml:space="preserve">Figure </w:t>
      </w:r>
      <w:r w:rsidRPr="0099675A">
        <w:rPr>
          <w:rFonts w:ascii="Verdana" w:hAnsi="Verdana"/>
          <w:b/>
          <w:color w:val="006CB6"/>
          <w:sz w:val="20"/>
          <w:szCs w:val="20"/>
        </w:rPr>
        <w:fldChar w:fldCharType="begin"/>
      </w:r>
      <w:r w:rsidRPr="0099675A">
        <w:rPr>
          <w:rFonts w:ascii="Verdana" w:hAnsi="Verdana"/>
          <w:b/>
          <w:color w:val="006CB6"/>
          <w:sz w:val="20"/>
          <w:szCs w:val="20"/>
        </w:rPr>
        <w:instrText>SEQ фигура \* ARABIC</w:instrText>
      </w:r>
      <w:r w:rsidRPr="0099675A">
        <w:rPr>
          <w:rFonts w:ascii="Verdana" w:hAnsi="Verdana"/>
          <w:b/>
          <w:color w:val="006CB6"/>
          <w:sz w:val="20"/>
          <w:szCs w:val="20"/>
        </w:rPr>
        <w:fldChar w:fldCharType="separate"/>
      </w:r>
      <w:r w:rsidR="009330F5">
        <w:rPr>
          <w:rFonts w:ascii="Verdana" w:hAnsi="Verdana"/>
          <w:b/>
          <w:noProof/>
          <w:color w:val="006CB6"/>
          <w:sz w:val="20"/>
          <w:szCs w:val="20"/>
        </w:rPr>
        <w:t>13</w:t>
      </w:r>
      <w:r w:rsidRPr="0099675A">
        <w:rPr>
          <w:rFonts w:ascii="Verdana" w:hAnsi="Verdana"/>
          <w:b/>
          <w:color w:val="006CB6"/>
          <w:sz w:val="20"/>
          <w:szCs w:val="20"/>
        </w:rPr>
        <w:fldChar w:fldCharType="end"/>
      </w:r>
      <w:r w:rsidRPr="0099675A">
        <w:rPr>
          <w:rFonts w:ascii="Verdana" w:hAnsi="Verdana"/>
          <w:b/>
          <w:color w:val="006CB6"/>
          <w:sz w:val="20"/>
          <w:szCs w:val="20"/>
        </w:rPr>
        <w:t>: Workload of the employees of DG SFIEP</w:t>
      </w:r>
      <w:bookmarkEnd w:id="220"/>
      <w:bookmarkEnd w:id="221"/>
      <w:bookmarkEnd w:id="222"/>
      <w:bookmarkEnd w:id="223"/>
    </w:p>
    <w:p w:rsidR="007A2B7B" w:rsidRPr="00A81B24" w:rsidRDefault="007A2B7B" w:rsidP="007A2B7B">
      <w:pPr>
        <w:pStyle w:val="Caption"/>
        <w:jc w:val="center"/>
        <w:rPr>
          <w:rFonts w:ascii="Verdana" w:hAnsi="Verdana" w:cs="TimesNewRomanPSMT"/>
          <w:b w:val="0"/>
          <w:sz w:val="16"/>
          <w:szCs w:val="16"/>
        </w:rPr>
      </w:pPr>
      <w:r w:rsidRPr="0099675A">
        <w:rPr>
          <w:rFonts w:ascii="Verdana" w:eastAsia="Times New Roman" w:hAnsi="Verdana"/>
          <w:b w:val="0"/>
          <w:color w:val="000000"/>
          <w:sz w:val="16"/>
          <w:szCs w:val="16"/>
        </w:rPr>
        <w:t xml:space="preserve">Source: </w:t>
      </w:r>
      <w:r w:rsidRPr="0099675A">
        <w:rPr>
          <w:rFonts w:ascii="Verdana" w:hAnsi="Verdana" w:cs="TimesNewRomanPSMT"/>
          <w:b w:val="0"/>
          <w:sz w:val="16"/>
          <w:szCs w:val="16"/>
        </w:rPr>
        <w:t xml:space="preserve">on-line </w:t>
      </w:r>
      <w:r>
        <w:rPr>
          <w:rFonts w:ascii="Verdana" w:hAnsi="Verdana" w:cs="TimesNewRomanPSMT"/>
          <w:b w:val="0"/>
          <w:sz w:val="16"/>
          <w:szCs w:val="16"/>
        </w:rPr>
        <w:t>questionnaire</w:t>
      </w:r>
    </w:p>
    <w:p w:rsidR="007A2B7B" w:rsidRPr="00A81B24" w:rsidRDefault="007A2B7B" w:rsidP="007A2B7B">
      <w:pPr>
        <w:pStyle w:val="BodyText"/>
        <w:widowControl w:val="0"/>
        <w:tabs>
          <w:tab w:val="left" w:pos="0"/>
          <w:tab w:val="right" w:pos="9214"/>
        </w:tabs>
        <w:spacing w:before="120" w:line="276" w:lineRule="auto"/>
        <w:jc w:val="both"/>
        <w:rPr>
          <w:rFonts w:ascii="Verdana" w:hAnsi="Verdana"/>
          <w:sz w:val="20"/>
          <w:szCs w:val="20"/>
        </w:rPr>
      </w:pPr>
      <w:r w:rsidRPr="0099675A">
        <w:rPr>
          <w:rFonts w:ascii="Verdana" w:hAnsi="Verdana"/>
          <w:sz w:val="20"/>
          <w:szCs w:val="20"/>
        </w:rPr>
        <w:t xml:space="preserve">According to the information received </w:t>
      </w:r>
      <w:r>
        <w:rPr>
          <w:rFonts w:ascii="Verdana" w:hAnsi="Verdana"/>
          <w:sz w:val="20"/>
          <w:szCs w:val="20"/>
        </w:rPr>
        <w:t>from the</w:t>
      </w:r>
      <w:r w:rsidRPr="0099675A">
        <w:rPr>
          <w:rFonts w:ascii="Verdana" w:hAnsi="Verdana"/>
          <w:sz w:val="20"/>
          <w:szCs w:val="20"/>
        </w:rPr>
        <w:t xml:space="preserve"> interviews, the department Risk Management and Control will have the task to conduct ex-ante and follow-up check of the </w:t>
      </w:r>
      <w:r w:rsidRPr="0099675A">
        <w:rPr>
          <w:rFonts w:ascii="Verdana" w:hAnsi="Verdana"/>
          <w:sz w:val="20"/>
          <w:szCs w:val="20"/>
        </w:rPr>
        <w:lastRenderedPageBreak/>
        <w:t xml:space="preserve">procedures of selection of contractor, carried out </w:t>
      </w:r>
      <w:r>
        <w:rPr>
          <w:rFonts w:ascii="Verdana" w:hAnsi="Verdana"/>
          <w:sz w:val="20"/>
          <w:szCs w:val="20"/>
        </w:rPr>
        <w:t xml:space="preserve">in </w:t>
      </w:r>
      <w:proofErr w:type="gramStart"/>
      <w:r>
        <w:rPr>
          <w:rFonts w:ascii="Verdana" w:hAnsi="Verdana"/>
          <w:sz w:val="20"/>
          <w:szCs w:val="20"/>
        </w:rPr>
        <w:t xml:space="preserve">relation </w:t>
      </w:r>
      <w:r w:rsidRPr="0099675A">
        <w:rPr>
          <w:rFonts w:ascii="Verdana" w:hAnsi="Verdana"/>
          <w:sz w:val="20"/>
          <w:szCs w:val="20"/>
        </w:rPr>
        <w:t xml:space="preserve"> with</w:t>
      </w:r>
      <w:proofErr w:type="gramEnd"/>
      <w:r w:rsidRPr="0099675A">
        <w:rPr>
          <w:rFonts w:ascii="Verdana" w:hAnsi="Verdana"/>
          <w:sz w:val="20"/>
          <w:szCs w:val="20"/>
        </w:rPr>
        <w:t xml:space="preserve"> the grant contracts with the beneficiaries. </w:t>
      </w:r>
      <w:r w:rsidR="005B35A7">
        <w:rPr>
          <w:rFonts w:ascii="Verdana" w:hAnsi="Verdana"/>
          <w:sz w:val="20"/>
          <w:szCs w:val="20"/>
          <w:lang w:val="en-US"/>
        </w:rPr>
        <w:t>In addition the department will be responsible for risk management, state aid, irregularities and training for the staff of the directorate.</w:t>
      </w:r>
      <w:r w:rsidR="005B35A7" w:rsidRPr="007531D3">
        <w:rPr>
          <w:rFonts w:ascii="Verdana" w:hAnsi="Verdana"/>
          <w:sz w:val="20"/>
          <w:szCs w:val="20"/>
        </w:rPr>
        <w:t xml:space="preserve"> </w:t>
      </w:r>
      <w:r w:rsidRPr="0099675A">
        <w:rPr>
          <w:rFonts w:ascii="Verdana" w:hAnsi="Verdana"/>
          <w:sz w:val="20"/>
          <w:szCs w:val="20"/>
        </w:rPr>
        <w:t>The</w:t>
      </w:r>
      <w:r w:rsidR="005B35A7">
        <w:rPr>
          <w:rFonts w:ascii="Verdana" w:hAnsi="Verdana"/>
          <w:sz w:val="20"/>
          <w:szCs w:val="20"/>
        </w:rPr>
        <w:t xml:space="preserve"> ex-ante and follow up checks</w:t>
      </w:r>
      <w:r w:rsidRPr="0099675A">
        <w:rPr>
          <w:rFonts w:ascii="Verdana" w:hAnsi="Verdana"/>
          <w:sz w:val="20"/>
          <w:szCs w:val="20"/>
        </w:rPr>
        <w:t xml:space="preserve"> are time-consuming and engage </w:t>
      </w:r>
      <w:r>
        <w:rPr>
          <w:rFonts w:ascii="Verdana" w:hAnsi="Verdana"/>
          <w:sz w:val="20"/>
          <w:szCs w:val="20"/>
        </w:rPr>
        <w:t>large</w:t>
      </w:r>
      <w:r w:rsidRPr="0099675A">
        <w:rPr>
          <w:rFonts w:ascii="Verdana" w:hAnsi="Verdana"/>
          <w:sz w:val="20"/>
          <w:szCs w:val="20"/>
        </w:rPr>
        <w:t xml:space="preserve"> human resource. With the foreseen </w:t>
      </w:r>
      <w:r w:rsidR="005B35A7">
        <w:rPr>
          <w:rFonts w:ascii="Verdana" w:hAnsi="Verdana"/>
          <w:sz w:val="20"/>
          <w:szCs w:val="20"/>
          <w:lang w:val="bg-BG"/>
        </w:rPr>
        <w:t>10</w:t>
      </w:r>
      <w:r w:rsidRPr="0099675A">
        <w:rPr>
          <w:rFonts w:ascii="Verdana" w:hAnsi="Verdana"/>
          <w:sz w:val="20"/>
          <w:szCs w:val="20"/>
        </w:rPr>
        <w:t xml:space="preserve"> experts in the department, which number includes the officer for irregularities, these tasks will create </w:t>
      </w:r>
      <w:r>
        <w:rPr>
          <w:rFonts w:ascii="Verdana" w:hAnsi="Verdana"/>
          <w:sz w:val="20"/>
          <w:szCs w:val="20"/>
        </w:rPr>
        <w:t>heavy</w:t>
      </w:r>
      <w:r w:rsidRPr="0099675A">
        <w:rPr>
          <w:rFonts w:ascii="Verdana" w:hAnsi="Verdana"/>
          <w:sz w:val="20"/>
          <w:szCs w:val="20"/>
        </w:rPr>
        <w:t xml:space="preserve"> workload. Bearing in mind the experience and capacity which the beneficiaries have already accumulated in the preparation and conducting of these procedures, it should be considered whether the ex-ante control of the tender documentation could be </w:t>
      </w:r>
      <w:r>
        <w:rPr>
          <w:rFonts w:ascii="Verdana" w:hAnsi="Verdana"/>
          <w:sz w:val="20"/>
          <w:szCs w:val="20"/>
        </w:rPr>
        <w:t>abolished</w:t>
      </w:r>
      <w:r w:rsidRPr="0099675A">
        <w:rPr>
          <w:rFonts w:ascii="Verdana" w:hAnsi="Verdana"/>
          <w:sz w:val="20"/>
          <w:szCs w:val="20"/>
        </w:rPr>
        <w:t xml:space="preserve">, or a threshold </w:t>
      </w:r>
      <w:r>
        <w:rPr>
          <w:rFonts w:ascii="Verdana" w:hAnsi="Verdana"/>
          <w:sz w:val="20"/>
          <w:szCs w:val="20"/>
        </w:rPr>
        <w:t xml:space="preserve">to be </w:t>
      </w:r>
      <w:r w:rsidRPr="0099675A">
        <w:rPr>
          <w:rFonts w:ascii="Verdana" w:hAnsi="Verdana"/>
          <w:sz w:val="20"/>
          <w:szCs w:val="20"/>
        </w:rPr>
        <w:t xml:space="preserve">introduced over which such control should be exercised , which would in turn reduce the </w:t>
      </w:r>
      <w:r>
        <w:rPr>
          <w:rFonts w:ascii="Verdana" w:hAnsi="Verdana"/>
          <w:sz w:val="20"/>
          <w:szCs w:val="20"/>
        </w:rPr>
        <w:t xml:space="preserve">work </w:t>
      </w:r>
      <w:r w:rsidRPr="0099675A">
        <w:rPr>
          <w:rFonts w:ascii="Verdana" w:hAnsi="Verdana"/>
          <w:sz w:val="20"/>
          <w:szCs w:val="20"/>
        </w:rPr>
        <w:t>burden</w:t>
      </w:r>
      <w:r w:rsidR="005B35A7">
        <w:rPr>
          <w:rFonts w:ascii="Verdana" w:hAnsi="Verdana"/>
          <w:sz w:val="20"/>
          <w:szCs w:val="20"/>
        </w:rPr>
        <w:t xml:space="preserve"> </w:t>
      </w:r>
      <w:r w:rsidRPr="0099675A">
        <w:rPr>
          <w:rFonts w:ascii="Verdana" w:hAnsi="Verdana"/>
          <w:sz w:val="20"/>
          <w:szCs w:val="20"/>
        </w:rPr>
        <w:t>in the department.</w:t>
      </w:r>
    </w:p>
    <w:p w:rsidR="007A2B7B" w:rsidRPr="00A81B24" w:rsidRDefault="007A2B7B" w:rsidP="007A2B7B">
      <w:pPr>
        <w:autoSpaceDE w:val="0"/>
        <w:autoSpaceDN w:val="0"/>
        <w:adjustRightInd w:val="0"/>
        <w:spacing w:before="120" w:after="120"/>
        <w:jc w:val="both"/>
        <w:rPr>
          <w:rFonts w:ascii="Verdana" w:hAnsi="Verdana"/>
          <w:sz w:val="20"/>
          <w:szCs w:val="20"/>
        </w:rPr>
      </w:pPr>
      <w:r w:rsidRPr="0099675A">
        <w:rPr>
          <w:rFonts w:ascii="Verdana" w:hAnsi="Verdana"/>
          <w:sz w:val="20"/>
          <w:szCs w:val="20"/>
        </w:rPr>
        <w:t xml:space="preserve">On the whole, 56 % of the respondents in the on-line survey are of the opinion that additional employees should be engaged at the central level in order to strengthen the administrative capacity for the implementation of the Programme. </w:t>
      </w:r>
    </w:p>
    <w:p w:rsidR="007A2B7B" w:rsidRPr="00A81B24" w:rsidRDefault="007A2B7B" w:rsidP="007A2B7B">
      <w:pPr>
        <w:pStyle w:val="BodyText"/>
        <w:widowControl w:val="0"/>
        <w:tabs>
          <w:tab w:val="left" w:pos="0"/>
          <w:tab w:val="right" w:pos="9214"/>
        </w:tabs>
        <w:spacing w:before="120" w:line="276" w:lineRule="auto"/>
        <w:jc w:val="both"/>
        <w:rPr>
          <w:rFonts w:ascii="Verdana" w:hAnsi="Verdana"/>
          <w:bCs/>
          <w:color w:val="000000"/>
          <w:sz w:val="20"/>
          <w:szCs w:val="20"/>
        </w:rPr>
      </w:pPr>
      <w:r w:rsidRPr="0099675A">
        <w:rPr>
          <w:rFonts w:ascii="Verdana" w:hAnsi="Verdana"/>
          <w:bCs/>
          <w:color w:val="000000"/>
          <w:sz w:val="20"/>
          <w:szCs w:val="20"/>
        </w:rPr>
        <w:t xml:space="preserve">The on-line </w:t>
      </w:r>
      <w:r>
        <w:rPr>
          <w:rFonts w:ascii="Verdana" w:hAnsi="Verdana"/>
          <w:bCs/>
          <w:color w:val="000000"/>
          <w:sz w:val="20"/>
          <w:szCs w:val="20"/>
        </w:rPr>
        <w:t>questionnaire</w:t>
      </w:r>
      <w:r w:rsidRPr="0099675A">
        <w:rPr>
          <w:rFonts w:ascii="Verdana" w:hAnsi="Verdana"/>
          <w:bCs/>
          <w:color w:val="000000"/>
          <w:sz w:val="20"/>
          <w:szCs w:val="20"/>
        </w:rPr>
        <w:t xml:space="preserve"> also showed that the employees of DGSFIEO are of the opinion that the human resources are not enough for the fulfilment of all responsibilities as a Managing Authority. The areas they identify </w:t>
      </w:r>
      <w:r>
        <w:rPr>
          <w:rFonts w:ascii="Verdana" w:hAnsi="Verdana"/>
          <w:bCs/>
          <w:color w:val="000000"/>
          <w:sz w:val="20"/>
          <w:szCs w:val="20"/>
        </w:rPr>
        <w:t>in demand of</w:t>
      </w:r>
      <w:r w:rsidRPr="0099675A">
        <w:rPr>
          <w:rFonts w:ascii="Verdana" w:hAnsi="Verdana"/>
          <w:bCs/>
          <w:color w:val="000000"/>
          <w:sz w:val="20"/>
          <w:szCs w:val="20"/>
        </w:rPr>
        <w:t xml:space="preserve"> more human resources are as follows: </w:t>
      </w:r>
    </w:p>
    <w:p w:rsidR="007A2B7B" w:rsidRPr="00A81B24" w:rsidRDefault="007A2B7B" w:rsidP="007A2B7B">
      <w:pPr>
        <w:pStyle w:val="BodyText"/>
        <w:widowControl w:val="0"/>
        <w:numPr>
          <w:ilvl w:val="0"/>
          <w:numId w:val="68"/>
        </w:numPr>
        <w:tabs>
          <w:tab w:val="left" w:pos="0"/>
          <w:tab w:val="right" w:pos="9214"/>
        </w:tabs>
        <w:spacing w:before="120" w:line="276" w:lineRule="auto"/>
        <w:jc w:val="both"/>
        <w:rPr>
          <w:rFonts w:ascii="Verdana" w:hAnsi="Verdana"/>
          <w:bCs/>
          <w:color w:val="000000"/>
          <w:sz w:val="20"/>
          <w:szCs w:val="20"/>
        </w:rPr>
      </w:pPr>
      <w:r w:rsidRPr="0099675A">
        <w:rPr>
          <w:rFonts w:ascii="Verdana" w:hAnsi="Verdana"/>
          <w:bCs/>
          <w:color w:val="000000"/>
          <w:sz w:val="20"/>
          <w:szCs w:val="20"/>
        </w:rPr>
        <w:t>Management of the independent evaluations of the Programme;</w:t>
      </w:r>
    </w:p>
    <w:p w:rsidR="007A2B7B" w:rsidRPr="00A81B24" w:rsidRDefault="007A2B7B" w:rsidP="007A2B7B">
      <w:pPr>
        <w:pStyle w:val="BodyText"/>
        <w:widowControl w:val="0"/>
        <w:numPr>
          <w:ilvl w:val="0"/>
          <w:numId w:val="68"/>
        </w:numPr>
        <w:tabs>
          <w:tab w:val="left" w:pos="0"/>
          <w:tab w:val="right" w:pos="9214"/>
        </w:tabs>
        <w:spacing w:before="120" w:line="276" w:lineRule="auto"/>
        <w:jc w:val="both"/>
        <w:rPr>
          <w:rFonts w:ascii="Verdana" w:hAnsi="Verdana"/>
          <w:bCs/>
          <w:color w:val="000000"/>
          <w:sz w:val="20"/>
          <w:szCs w:val="20"/>
        </w:rPr>
      </w:pPr>
      <w:r w:rsidRPr="0099675A">
        <w:rPr>
          <w:rFonts w:ascii="Verdana" w:hAnsi="Verdana"/>
          <w:bCs/>
          <w:color w:val="000000"/>
          <w:sz w:val="20"/>
          <w:szCs w:val="20"/>
        </w:rPr>
        <w:t>Management of the document flow and of the archive of the MA;</w:t>
      </w:r>
    </w:p>
    <w:p w:rsidR="007A2B7B" w:rsidRPr="00A81B24" w:rsidRDefault="007A2B7B" w:rsidP="007A2B7B">
      <w:pPr>
        <w:pStyle w:val="BodyText"/>
        <w:widowControl w:val="0"/>
        <w:numPr>
          <w:ilvl w:val="0"/>
          <w:numId w:val="68"/>
        </w:numPr>
        <w:tabs>
          <w:tab w:val="left" w:pos="0"/>
          <w:tab w:val="right" w:pos="9214"/>
        </w:tabs>
        <w:spacing w:before="120" w:line="276" w:lineRule="auto"/>
        <w:jc w:val="both"/>
        <w:rPr>
          <w:rFonts w:ascii="Verdana" w:hAnsi="Verdana"/>
          <w:bCs/>
          <w:color w:val="000000"/>
          <w:sz w:val="20"/>
          <w:szCs w:val="20"/>
        </w:rPr>
      </w:pPr>
      <w:r w:rsidRPr="0099675A">
        <w:rPr>
          <w:rFonts w:ascii="Verdana" w:hAnsi="Verdana"/>
          <w:bCs/>
          <w:color w:val="000000"/>
          <w:sz w:val="20"/>
          <w:szCs w:val="20"/>
        </w:rPr>
        <w:t>Management of the budget, budget projections, indicative financial plans under OPSESG;</w:t>
      </w:r>
    </w:p>
    <w:p w:rsidR="007A2B7B" w:rsidRPr="00A81B24" w:rsidRDefault="007A2B7B" w:rsidP="007A2B7B">
      <w:pPr>
        <w:pStyle w:val="BodyText"/>
        <w:widowControl w:val="0"/>
        <w:numPr>
          <w:ilvl w:val="0"/>
          <w:numId w:val="68"/>
        </w:numPr>
        <w:tabs>
          <w:tab w:val="left" w:pos="0"/>
          <w:tab w:val="right" w:pos="9214"/>
        </w:tabs>
        <w:spacing w:before="120" w:line="276" w:lineRule="auto"/>
        <w:jc w:val="both"/>
        <w:rPr>
          <w:rFonts w:ascii="Verdana" w:hAnsi="Verdana"/>
          <w:bCs/>
          <w:color w:val="000000"/>
          <w:sz w:val="20"/>
          <w:szCs w:val="20"/>
        </w:rPr>
      </w:pPr>
      <w:r w:rsidRPr="0099675A">
        <w:rPr>
          <w:rFonts w:ascii="Verdana" w:hAnsi="Verdana"/>
          <w:bCs/>
          <w:color w:val="000000"/>
          <w:sz w:val="20"/>
          <w:szCs w:val="20"/>
        </w:rPr>
        <w:t>Programme accounting;</w:t>
      </w:r>
    </w:p>
    <w:p w:rsidR="007A2B7B" w:rsidRPr="00A81B24" w:rsidRDefault="007A2B7B" w:rsidP="007A2B7B">
      <w:pPr>
        <w:pStyle w:val="BodyText"/>
        <w:widowControl w:val="0"/>
        <w:numPr>
          <w:ilvl w:val="0"/>
          <w:numId w:val="68"/>
        </w:numPr>
        <w:tabs>
          <w:tab w:val="left" w:pos="0"/>
          <w:tab w:val="right" w:pos="9214"/>
        </w:tabs>
        <w:spacing w:before="120" w:line="276" w:lineRule="auto"/>
        <w:jc w:val="both"/>
        <w:rPr>
          <w:rFonts w:ascii="Verdana" w:hAnsi="Verdana"/>
          <w:bCs/>
          <w:color w:val="000000"/>
          <w:sz w:val="20"/>
          <w:szCs w:val="20"/>
        </w:rPr>
      </w:pPr>
      <w:r w:rsidRPr="0099675A">
        <w:rPr>
          <w:rFonts w:ascii="Verdana" w:hAnsi="Verdana"/>
          <w:bCs/>
          <w:color w:val="000000"/>
          <w:sz w:val="20"/>
          <w:szCs w:val="20"/>
        </w:rPr>
        <w:t>Risk assessment at the Programme level;</w:t>
      </w:r>
    </w:p>
    <w:p w:rsidR="007A2B7B" w:rsidRPr="00A81B24" w:rsidRDefault="007A2B7B" w:rsidP="007A2B7B">
      <w:pPr>
        <w:pStyle w:val="BodyText"/>
        <w:widowControl w:val="0"/>
        <w:numPr>
          <w:ilvl w:val="0"/>
          <w:numId w:val="68"/>
        </w:numPr>
        <w:tabs>
          <w:tab w:val="left" w:pos="0"/>
          <w:tab w:val="right" w:pos="9214"/>
        </w:tabs>
        <w:spacing w:before="120" w:line="276" w:lineRule="auto"/>
        <w:jc w:val="both"/>
        <w:rPr>
          <w:rFonts w:ascii="Verdana" w:hAnsi="Verdana"/>
          <w:bCs/>
          <w:color w:val="000000"/>
          <w:sz w:val="20"/>
          <w:szCs w:val="20"/>
        </w:rPr>
      </w:pPr>
      <w:r w:rsidRPr="0099675A">
        <w:rPr>
          <w:rFonts w:ascii="Verdana" w:hAnsi="Verdana"/>
          <w:bCs/>
          <w:color w:val="000000"/>
          <w:sz w:val="20"/>
          <w:szCs w:val="20"/>
        </w:rPr>
        <w:t xml:space="preserve">Coordination of the </w:t>
      </w:r>
      <w:r>
        <w:rPr>
          <w:rFonts w:ascii="Verdana" w:hAnsi="Verdana"/>
          <w:bCs/>
          <w:color w:val="000000"/>
          <w:sz w:val="20"/>
          <w:szCs w:val="20"/>
        </w:rPr>
        <w:t>MA</w:t>
      </w:r>
      <w:r w:rsidRPr="00A81B24">
        <w:rPr>
          <w:rFonts w:ascii="Verdana" w:hAnsi="Verdana"/>
          <w:bCs/>
          <w:color w:val="000000"/>
          <w:sz w:val="20"/>
          <w:szCs w:val="20"/>
        </w:rPr>
        <w:t xml:space="preserve"> </w:t>
      </w:r>
      <w:r w:rsidRPr="0099675A">
        <w:rPr>
          <w:rFonts w:ascii="Verdana" w:hAnsi="Verdana"/>
          <w:bCs/>
          <w:color w:val="000000"/>
          <w:sz w:val="20"/>
          <w:szCs w:val="20"/>
        </w:rPr>
        <w:t xml:space="preserve">interaction </w:t>
      </w:r>
      <w:r>
        <w:rPr>
          <w:rFonts w:ascii="Verdana" w:hAnsi="Verdana"/>
          <w:bCs/>
          <w:color w:val="000000"/>
          <w:sz w:val="20"/>
          <w:szCs w:val="20"/>
        </w:rPr>
        <w:t xml:space="preserve"> </w:t>
      </w:r>
      <w:r w:rsidRPr="0099675A">
        <w:rPr>
          <w:rFonts w:ascii="Verdana" w:hAnsi="Verdana"/>
          <w:bCs/>
          <w:color w:val="000000"/>
          <w:sz w:val="20"/>
          <w:szCs w:val="20"/>
        </w:rPr>
        <w:t xml:space="preserve"> with all institutions and organizations involved in the process of EU fund absorption, including the European Commission.</w:t>
      </w:r>
    </w:p>
    <w:p w:rsidR="007A2B7B" w:rsidRPr="00A81B24" w:rsidRDefault="007A2B7B" w:rsidP="007A2B7B">
      <w:pPr>
        <w:autoSpaceDE w:val="0"/>
        <w:autoSpaceDN w:val="0"/>
        <w:adjustRightInd w:val="0"/>
        <w:spacing w:before="120" w:after="120"/>
        <w:jc w:val="both"/>
        <w:rPr>
          <w:rFonts w:ascii="Verdana" w:hAnsi="Verdana"/>
          <w:sz w:val="20"/>
          <w:szCs w:val="20"/>
        </w:rPr>
      </w:pPr>
      <w:r w:rsidRPr="0099675A">
        <w:rPr>
          <w:rFonts w:ascii="Verdana" w:hAnsi="Verdana"/>
          <w:sz w:val="20"/>
          <w:szCs w:val="20"/>
        </w:rPr>
        <w:t xml:space="preserve">The obtained results show that the increase of human resources should be considered in order to guarantee the proper implementation of the new functions of the Directorate as a Managing Authority and in order to </w:t>
      </w:r>
      <w:r>
        <w:rPr>
          <w:rFonts w:ascii="Verdana" w:hAnsi="Verdana"/>
          <w:sz w:val="20"/>
          <w:szCs w:val="20"/>
        </w:rPr>
        <w:t>fill in</w:t>
      </w:r>
      <w:r w:rsidRPr="0099675A">
        <w:rPr>
          <w:rFonts w:ascii="Verdana" w:hAnsi="Verdana"/>
          <w:sz w:val="20"/>
          <w:szCs w:val="20"/>
        </w:rPr>
        <w:t xml:space="preserve"> the new structures.</w:t>
      </w:r>
    </w:p>
    <w:p w:rsidR="007A2B7B" w:rsidRPr="00A81B24" w:rsidRDefault="007A2B7B" w:rsidP="007A2B7B">
      <w:pPr>
        <w:autoSpaceDE w:val="0"/>
        <w:autoSpaceDN w:val="0"/>
        <w:adjustRightInd w:val="0"/>
        <w:spacing w:before="120" w:after="120"/>
        <w:jc w:val="both"/>
        <w:rPr>
          <w:rFonts w:ascii="Verdana" w:hAnsi="Verdana"/>
          <w:sz w:val="20"/>
          <w:szCs w:val="20"/>
        </w:rPr>
      </w:pPr>
      <w:r w:rsidRPr="0099675A">
        <w:rPr>
          <w:rFonts w:ascii="Verdana" w:hAnsi="Verdana"/>
          <w:sz w:val="20"/>
          <w:szCs w:val="20"/>
        </w:rPr>
        <w:t xml:space="preserve">Increase of human resources is especially needed in Programming and Contracting and Financial Planning, Accounting and Payments </w:t>
      </w:r>
      <w:proofErr w:type="spellStart"/>
      <w:r w:rsidRPr="0099675A">
        <w:rPr>
          <w:rFonts w:ascii="Verdana" w:hAnsi="Verdana"/>
          <w:sz w:val="20"/>
          <w:szCs w:val="20"/>
        </w:rPr>
        <w:t>d</w:t>
      </w:r>
      <w:r>
        <w:rPr>
          <w:rFonts w:ascii="Verdana" w:hAnsi="Verdana"/>
          <w:sz w:val="20"/>
          <w:szCs w:val="20"/>
        </w:rPr>
        <w:t>De</w:t>
      </w:r>
      <w:r w:rsidRPr="0099675A">
        <w:rPr>
          <w:rFonts w:ascii="Verdana" w:hAnsi="Verdana"/>
          <w:sz w:val="20"/>
          <w:szCs w:val="20"/>
        </w:rPr>
        <w:t>partment</w:t>
      </w:r>
      <w:r>
        <w:rPr>
          <w:rFonts w:ascii="Verdana" w:hAnsi="Verdana"/>
          <w:sz w:val="20"/>
          <w:szCs w:val="20"/>
        </w:rPr>
        <w:t>s</w:t>
      </w:r>
      <w:proofErr w:type="spellEnd"/>
      <w:r w:rsidRPr="0099675A">
        <w:rPr>
          <w:rFonts w:ascii="Verdana" w:hAnsi="Verdana"/>
          <w:sz w:val="20"/>
          <w:szCs w:val="20"/>
        </w:rPr>
        <w:t xml:space="preserve">. The number of experts, and the way the number of </w:t>
      </w:r>
      <w:r>
        <w:rPr>
          <w:rFonts w:ascii="Verdana" w:hAnsi="Verdana"/>
          <w:sz w:val="20"/>
          <w:szCs w:val="20"/>
        </w:rPr>
        <w:t>employees</w:t>
      </w:r>
      <w:r w:rsidRPr="0099675A">
        <w:rPr>
          <w:rFonts w:ascii="Verdana" w:hAnsi="Verdana"/>
          <w:sz w:val="20"/>
          <w:szCs w:val="20"/>
        </w:rPr>
        <w:t xml:space="preserve"> is to be increased (through internal experts or the hiring of additional experts in the peak periods of evaluations, or through outsourcing activities to </w:t>
      </w:r>
      <w:r>
        <w:rPr>
          <w:rFonts w:ascii="Verdana" w:hAnsi="Verdana"/>
          <w:sz w:val="20"/>
          <w:szCs w:val="20"/>
        </w:rPr>
        <w:t>external</w:t>
      </w:r>
      <w:r w:rsidRPr="0099675A">
        <w:rPr>
          <w:rFonts w:ascii="Verdana" w:hAnsi="Verdana"/>
          <w:sz w:val="20"/>
          <w:szCs w:val="20"/>
        </w:rPr>
        <w:t xml:space="preserve"> contractors) will depend on workload and the management and control systems </w:t>
      </w:r>
      <w:r>
        <w:rPr>
          <w:rFonts w:ascii="Verdana" w:hAnsi="Verdana"/>
          <w:sz w:val="20"/>
          <w:szCs w:val="20"/>
        </w:rPr>
        <w:t>that will be set in operation</w:t>
      </w:r>
      <w:r w:rsidRPr="0099675A">
        <w:rPr>
          <w:rFonts w:ascii="Verdana" w:hAnsi="Verdana"/>
          <w:sz w:val="20"/>
          <w:szCs w:val="20"/>
        </w:rPr>
        <w:t>.</w:t>
      </w:r>
    </w:p>
    <w:p w:rsidR="007A2B7B" w:rsidRPr="00A81B24" w:rsidRDefault="007A2B7B" w:rsidP="007A2B7B">
      <w:pPr>
        <w:keepNext/>
        <w:pBdr>
          <w:bottom w:val="single" w:sz="12" w:space="1" w:color="0070C0"/>
        </w:pBdr>
        <w:autoSpaceDE w:val="0"/>
        <w:autoSpaceDN w:val="0"/>
        <w:adjustRightInd w:val="0"/>
        <w:spacing w:before="120" w:after="120" w:line="240" w:lineRule="auto"/>
        <w:rPr>
          <w:rFonts w:ascii="Verdana" w:eastAsia="Times New Roman" w:hAnsi="Verdana" w:cs="TimesNewRomanPSMT"/>
          <w:i/>
          <w:color w:val="548DD4" w:themeColor="text2" w:themeTint="99"/>
          <w:sz w:val="20"/>
          <w:szCs w:val="20"/>
          <w:lang w:eastAsia="bg-BG"/>
        </w:rPr>
      </w:pPr>
      <w:r w:rsidRPr="0099675A">
        <w:rPr>
          <w:rFonts w:ascii="Verdana" w:eastAsia="Times New Roman" w:hAnsi="Verdana" w:cs="TimesNewRomanPSMT"/>
          <w:i/>
          <w:color w:val="548DD4" w:themeColor="text2" w:themeTint="99"/>
          <w:sz w:val="20"/>
          <w:szCs w:val="20"/>
          <w:lang w:eastAsia="bg-BG"/>
        </w:rPr>
        <w:t>Experience and training</w:t>
      </w:r>
    </w:p>
    <w:p w:rsidR="007A2B7B" w:rsidRPr="00A81B24" w:rsidRDefault="007A2B7B" w:rsidP="007A2B7B">
      <w:pPr>
        <w:autoSpaceDE w:val="0"/>
        <w:autoSpaceDN w:val="0"/>
        <w:adjustRightInd w:val="0"/>
        <w:spacing w:before="120" w:after="120"/>
        <w:jc w:val="both"/>
        <w:rPr>
          <w:rFonts w:ascii="Verdana" w:hAnsi="Verdana"/>
          <w:sz w:val="20"/>
          <w:szCs w:val="20"/>
        </w:rPr>
      </w:pPr>
      <w:r w:rsidRPr="0099675A">
        <w:rPr>
          <w:rFonts w:ascii="Verdana" w:hAnsi="Verdana"/>
          <w:sz w:val="20"/>
          <w:szCs w:val="20"/>
        </w:rPr>
        <w:t>The experts at DG SFIEP have experience in the management of projects and programmes financed under the Structural Funds and pre-accession programmes. 38 % of them have professional experience of over 5 years work with EU funds; the experience of another 33 % is 3 to 5 years.</w:t>
      </w:r>
    </w:p>
    <w:p w:rsidR="007A2B7B" w:rsidRPr="00A81B24" w:rsidRDefault="007A2B7B" w:rsidP="007A2B7B">
      <w:pPr>
        <w:pStyle w:val="broodtekst"/>
        <w:spacing w:before="120" w:after="120" w:line="276" w:lineRule="auto"/>
        <w:jc w:val="both"/>
        <w:rPr>
          <w:rFonts w:ascii="Verdana" w:hAnsi="Verdana"/>
          <w:sz w:val="20"/>
          <w:szCs w:val="20"/>
        </w:rPr>
      </w:pPr>
      <w:r w:rsidRPr="0099675A">
        <w:rPr>
          <w:rFonts w:ascii="Verdana" w:hAnsi="Verdana"/>
          <w:sz w:val="20"/>
          <w:szCs w:val="20"/>
        </w:rPr>
        <w:lastRenderedPageBreak/>
        <w:t xml:space="preserve">The </w:t>
      </w:r>
      <w:r>
        <w:rPr>
          <w:rFonts w:ascii="Verdana" w:hAnsi="Verdana"/>
          <w:sz w:val="20"/>
          <w:szCs w:val="20"/>
        </w:rPr>
        <w:t>practical experience</w:t>
      </w:r>
      <w:r w:rsidRPr="0099675A">
        <w:rPr>
          <w:rFonts w:ascii="Verdana" w:hAnsi="Verdana"/>
          <w:sz w:val="20"/>
          <w:szCs w:val="20"/>
        </w:rPr>
        <w:t xml:space="preserve"> at DG SFIEP in its capacity of IB or MA of OPHRD 2007 – 2013</w:t>
      </w:r>
      <w:r>
        <w:rPr>
          <w:rFonts w:ascii="Verdana" w:hAnsi="Verdana"/>
          <w:sz w:val="20"/>
          <w:szCs w:val="20"/>
        </w:rPr>
        <w:t xml:space="preserve"> </w:t>
      </w:r>
      <w:r w:rsidRPr="0099675A">
        <w:rPr>
          <w:rFonts w:ascii="Verdana" w:hAnsi="Verdana"/>
          <w:sz w:val="20"/>
          <w:szCs w:val="20"/>
        </w:rPr>
        <w:t>is also significant, and 22% of the respondents pointed out that they have been employed with the Directorate for more than 5 years, 43 % for 3 to 5 years. The results show that many of the experts have acquired knowledge and experience in their work at the IB of OPHRD 2007 – 2013 and possess the necessary experience for the quality implementation of the new OP.</w:t>
      </w:r>
    </w:p>
    <w:p w:rsidR="007A2B7B" w:rsidRPr="00A81B24" w:rsidRDefault="007A2B7B" w:rsidP="007A2B7B">
      <w:pPr>
        <w:autoSpaceDE w:val="0"/>
        <w:autoSpaceDN w:val="0"/>
        <w:adjustRightInd w:val="0"/>
        <w:spacing w:before="120" w:after="120"/>
        <w:jc w:val="both"/>
        <w:rPr>
          <w:rFonts w:ascii="Verdana" w:hAnsi="Verdana"/>
          <w:sz w:val="20"/>
          <w:szCs w:val="20"/>
        </w:rPr>
      </w:pPr>
      <w:r w:rsidRPr="0099675A">
        <w:rPr>
          <w:rFonts w:ascii="Verdana" w:hAnsi="Verdana"/>
          <w:sz w:val="20"/>
          <w:szCs w:val="20"/>
        </w:rPr>
        <w:t xml:space="preserve">Most of the experts of DG SFIEP have undergone 1 or 2 long-term trainings in the country (90%) and 1-2 long-term trainings abroad (96%). They have also participated in 2-5 short-term training events, both in the country (68%), and abroad (49%). The results </w:t>
      </w:r>
      <w:r>
        <w:rPr>
          <w:rFonts w:ascii="Verdana" w:hAnsi="Verdana"/>
          <w:sz w:val="20"/>
          <w:szCs w:val="20"/>
        </w:rPr>
        <w:t>indicate</w:t>
      </w:r>
      <w:r w:rsidRPr="0099675A">
        <w:rPr>
          <w:rFonts w:ascii="Verdana" w:hAnsi="Verdana"/>
          <w:sz w:val="20"/>
          <w:szCs w:val="20"/>
        </w:rPr>
        <w:t xml:space="preserve"> that the employees of the Directorate have </w:t>
      </w:r>
      <w:r>
        <w:rPr>
          <w:rFonts w:ascii="Verdana" w:hAnsi="Verdana"/>
          <w:sz w:val="20"/>
          <w:szCs w:val="20"/>
        </w:rPr>
        <w:t xml:space="preserve">been provided </w:t>
      </w:r>
      <w:proofErr w:type="gramStart"/>
      <w:r>
        <w:rPr>
          <w:rFonts w:ascii="Verdana" w:hAnsi="Verdana"/>
          <w:sz w:val="20"/>
          <w:szCs w:val="20"/>
        </w:rPr>
        <w:t xml:space="preserve">with </w:t>
      </w:r>
      <w:r w:rsidRPr="0099675A">
        <w:rPr>
          <w:rFonts w:ascii="Verdana" w:hAnsi="Verdana"/>
          <w:sz w:val="20"/>
          <w:szCs w:val="20"/>
        </w:rPr>
        <w:t xml:space="preserve"> the</w:t>
      </w:r>
      <w:proofErr w:type="gramEnd"/>
      <w:r w:rsidRPr="0099675A">
        <w:rPr>
          <w:rFonts w:ascii="Verdana" w:hAnsi="Verdana"/>
          <w:sz w:val="20"/>
          <w:szCs w:val="20"/>
        </w:rPr>
        <w:t xml:space="preserve">  </w:t>
      </w:r>
      <w:proofErr w:type="spellStart"/>
      <w:r w:rsidRPr="0099675A">
        <w:rPr>
          <w:rFonts w:ascii="Verdana" w:hAnsi="Verdana"/>
          <w:sz w:val="20"/>
          <w:szCs w:val="20"/>
        </w:rPr>
        <w:t>opportuniti</w:t>
      </w:r>
      <w:r>
        <w:rPr>
          <w:rFonts w:ascii="Verdana" w:hAnsi="Verdana"/>
          <w:sz w:val="20"/>
          <w:szCs w:val="20"/>
        </w:rPr>
        <w:t>y</w:t>
      </w:r>
      <w:proofErr w:type="spellEnd"/>
      <w:r>
        <w:rPr>
          <w:rFonts w:ascii="Verdana" w:hAnsi="Verdana"/>
          <w:sz w:val="20"/>
          <w:szCs w:val="20"/>
        </w:rPr>
        <w:t xml:space="preserve"> </w:t>
      </w:r>
      <w:r w:rsidRPr="0099675A">
        <w:rPr>
          <w:rFonts w:ascii="Verdana" w:hAnsi="Verdana"/>
          <w:sz w:val="20"/>
          <w:szCs w:val="20"/>
        </w:rPr>
        <w:t>to raise their qualification.</w:t>
      </w:r>
    </w:p>
    <w:p w:rsidR="007A2B7B" w:rsidRPr="00A81B24" w:rsidRDefault="007A2B7B" w:rsidP="007A2B7B">
      <w:pPr>
        <w:spacing w:before="120" w:after="120"/>
        <w:jc w:val="both"/>
        <w:rPr>
          <w:rFonts w:ascii="Verdana" w:hAnsi="Verdana" w:cs="Arial"/>
          <w:sz w:val="20"/>
          <w:szCs w:val="20"/>
          <w:lang w:eastAsia="nl-NL"/>
        </w:rPr>
      </w:pPr>
      <w:r w:rsidRPr="0099675A">
        <w:rPr>
          <w:rFonts w:ascii="Verdana" w:hAnsi="Verdana" w:cs="Arial"/>
          <w:sz w:val="20"/>
          <w:szCs w:val="20"/>
          <w:lang w:eastAsia="nl-NL"/>
        </w:rPr>
        <w:t xml:space="preserve">According to the responses, </w:t>
      </w:r>
      <w:proofErr w:type="gramStart"/>
      <w:r w:rsidRPr="0099675A">
        <w:rPr>
          <w:rFonts w:ascii="Verdana" w:hAnsi="Verdana" w:cs="Arial"/>
          <w:sz w:val="20"/>
          <w:szCs w:val="20"/>
          <w:lang w:eastAsia="nl-NL"/>
        </w:rPr>
        <w:t xml:space="preserve">the </w:t>
      </w:r>
      <w:r>
        <w:rPr>
          <w:rFonts w:ascii="Verdana" w:hAnsi="Verdana" w:cs="Arial"/>
          <w:sz w:val="20"/>
          <w:szCs w:val="20"/>
          <w:lang w:eastAsia="nl-NL"/>
        </w:rPr>
        <w:t xml:space="preserve"> prepared</w:t>
      </w:r>
      <w:proofErr w:type="gramEnd"/>
      <w:r>
        <w:rPr>
          <w:rFonts w:ascii="Verdana" w:hAnsi="Verdana" w:cs="Arial"/>
          <w:sz w:val="20"/>
          <w:szCs w:val="20"/>
          <w:lang w:eastAsia="nl-NL"/>
        </w:rPr>
        <w:t xml:space="preserve"> </w:t>
      </w:r>
      <w:r w:rsidRPr="0099675A">
        <w:rPr>
          <w:rFonts w:ascii="Verdana" w:hAnsi="Verdana" w:cs="Arial"/>
          <w:sz w:val="20"/>
          <w:szCs w:val="20"/>
          <w:lang w:eastAsia="nl-NL"/>
        </w:rPr>
        <w:t>annual plans as a whole correspond to the needs – 38% of the respondents are satisfied, and 40% - partially. There are 11% however who think that the annual plans correspond to their needs to a small extent, which shows that there is room for improvement in this respect.</w:t>
      </w:r>
    </w:p>
    <w:p w:rsidR="007A2B7B" w:rsidRPr="00A81B24" w:rsidRDefault="007A2B7B" w:rsidP="007A2B7B">
      <w:pPr>
        <w:autoSpaceDE w:val="0"/>
        <w:autoSpaceDN w:val="0"/>
        <w:adjustRightInd w:val="0"/>
        <w:spacing w:before="120" w:after="120"/>
        <w:jc w:val="both"/>
        <w:rPr>
          <w:rFonts w:ascii="Verdana" w:hAnsi="Verdana"/>
          <w:sz w:val="20"/>
          <w:szCs w:val="20"/>
        </w:rPr>
      </w:pPr>
      <w:r w:rsidRPr="0099675A">
        <w:rPr>
          <w:rFonts w:ascii="Verdana" w:hAnsi="Verdana"/>
          <w:sz w:val="20"/>
          <w:szCs w:val="20"/>
        </w:rPr>
        <w:t xml:space="preserve">To the question what type of </w:t>
      </w:r>
      <w:r>
        <w:rPr>
          <w:rFonts w:ascii="Verdana" w:hAnsi="Verdana"/>
          <w:sz w:val="20"/>
          <w:szCs w:val="20"/>
        </w:rPr>
        <w:t>training</w:t>
      </w:r>
      <w:r w:rsidRPr="0099675A">
        <w:rPr>
          <w:rFonts w:ascii="Verdana" w:hAnsi="Verdana"/>
          <w:sz w:val="20"/>
          <w:szCs w:val="20"/>
        </w:rPr>
        <w:t xml:space="preserve"> they need, the experts express the opinion that they would mostly benefit from working visits for exchange of experience (71%), or from short-term seminars (71%). </w:t>
      </w:r>
    </w:p>
    <w:p w:rsidR="007A2B7B" w:rsidRPr="00A81B24" w:rsidRDefault="007A2B7B" w:rsidP="007A2B7B">
      <w:pPr>
        <w:autoSpaceDE w:val="0"/>
        <w:autoSpaceDN w:val="0"/>
        <w:adjustRightInd w:val="0"/>
        <w:spacing w:before="120" w:after="120"/>
        <w:jc w:val="both"/>
        <w:rPr>
          <w:rFonts w:ascii="Verdana" w:hAnsi="Verdana"/>
          <w:sz w:val="20"/>
          <w:szCs w:val="20"/>
        </w:rPr>
      </w:pPr>
      <w:r w:rsidRPr="0099675A">
        <w:rPr>
          <w:rFonts w:ascii="Verdana" w:hAnsi="Verdana"/>
          <w:sz w:val="20"/>
          <w:szCs w:val="20"/>
        </w:rPr>
        <w:t>These results repeat the results of a similar type of surveys of other MA</w:t>
      </w:r>
      <w:r>
        <w:rPr>
          <w:rFonts w:ascii="Verdana" w:hAnsi="Verdana"/>
          <w:sz w:val="20"/>
          <w:szCs w:val="20"/>
        </w:rPr>
        <w:t>s</w:t>
      </w:r>
      <w:r w:rsidRPr="0099675A">
        <w:rPr>
          <w:rFonts w:ascii="Verdana" w:hAnsi="Verdana"/>
          <w:sz w:val="20"/>
          <w:szCs w:val="20"/>
        </w:rPr>
        <w:t xml:space="preserve">, including the declared need for more practical orientation of the training </w:t>
      </w:r>
      <w:r>
        <w:rPr>
          <w:rFonts w:ascii="Verdana" w:hAnsi="Verdana"/>
          <w:sz w:val="20"/>
          <w:szCs w:val="20"/>
        </w:rPr>
        <w:t xml:space="preserve">as well as trainings </w:t>
      </w:r>
      <w:r w:rsidRPr="0099675A">
        <w:rPr>
          <w:rFonts w:ascii="Verdana" w:hAnsi="Verdana"/>
          <w:sz w:val="20"/>
          <w:szCs w:val="20"/>
        </w:rPr>
        <w:t xml:space="preserve">of the type “Exchange of foreign experience”. This should be taken </w:t>
      </w:r>
      <w:r>
        <w:rPr>
          <w:rFonts w:ascii="Verdana" w:hAnsi="Verdana"/>
          <w:sz w:val="20"/>
          <w:szCs w:val="20"/>
        </w:rPr>
        <w:t xml:space="preserve">into </w:t>
      </w:r>
      <w:r w:rsidRPr="0099675A">
        <w:rPr>
          <w:rFonts w:ascii="Verdana" w:hAnsi="Verdana"/>
          <w:sz w:val="20"/>
          <w:szCs w:val="20"/>
        </w:rPr>
        <w:t xml:space="preserve">account </w:t>
      </w:r>
      <w:r>
        <w:rPr>
          <w:rFonts w:ascii="Verdana" w:hAnsi="Verdana"/>
          <w:sz w:val="20"/>
          <w:szCs w:val="20"/>
        </w:rPr>
        <w:t xml:space="preserve">in </w:t>
      </w:r>
      <w:proofErr w:type="gramStart"/>
      <w:r>
        <w:rPr>
          <w:rFonts w:ascii="Verdana" w:hAnsi="Verdana"/>
          <w:sz w:val="20"/>
          <w:szCs w:val="20"/>
        </w:rPr>
        <w:t xml:space="preserve">the </w:t>
      </w:r>
      <w:r w:rsidRPr="0099675A">
        <w:rPr>
          <w:rFonts w:ascii="Verdana" w:hAnsi="Verdana"/>
          <w:sz w:val="20"/>
          <w:szCs w:val="20"/>
        </w:rPr>
        <w:t xml:space="preserve"> planning</w:t>
      </w:r>
      <w:proofErr w:type="gramEnd"/>
      <w:r w:rsidRPr="0099675A">
        <w:rPr>
          <w:rFonts w:ascii="Verdana" w:hAnsi="Verdana"/>
          <w:sz w:val="20"/>
          <w:szCs w:val="20"/>
        </w:rPr>
        <w:t xml:space="preserve"> </w:t>
      </w:r>
      <w:r>
        <w:rPr>
          <w:rFonts w:ascii="Verdana" w:hAnsi="Verdana"/>
          <w:sz w:val="20"/>
          <w:szCs w:val="20"/>
        </w:rPr>
        <w:t xml:space="preserve">of </w:t>
      </w:r>
      <w:r w:rsidRPr="0099675A">
        <w:rPr>
          <w:rFonts w:ascii="Verdana" w:hAnsi="Verdana"/>
          <w:sz w:val="20"/>
          <w:szCs w:val="20"/>
        </w:rPr>
        <w:t>the training</w:t>
      </w:r>
      <w:r>
        <w:rPr>
          <w:rFonts w:ascii="Verdana" w:hAnsi="Verdana"/>
          <w:sz w:val="20"/>
          <w:szCs w:val="20"/>
        </w:rPr>
        <w:t>s</w:t>
      </w:r>
      <w:r w:rsidRPr="0099675A">
        <w:rPr>
          <w:rFonts w:ascii="Verdana" w:hAnsi="Verdana"/>
          <w:sz w:val="20"/>
          <w:szCs w:val="20"/>
        </w:rPr>
        <w:t xml:space="preserve"> for the next programming period, which should include exchange of experience with similar structures in the country on the activities which </w:t>
      </w:r>
      <w:r>
        <w:rPr>
          <w:rFonts w:ascii="Verdana" w:hAnsi="Verdana"/>
          <w:sz w:val="20"/>
          <w:szCs w:val="20"/>
        </w:rPr>
        <w:t xml:space="preserve">will be new to </w:t>
      </w:r>
      <w:r w:rsidRPr="0099675A">
        <w:rPr>
          <w:rFonts w:ascii="Verdana" w:hAnsi="Verdana"/>
          <w:sz w:val="20"/>
          <w:szCs w:val="20"/>
        </w:rPr>
        <w:t>the Directorate .</w:t>
      </w:r>
    </w:p>
    <w:p w:rsidR="007A2B7B" w:rsidRPr="00A81B24" w:rsidRDefault="007A2B7B" w:rsidP="007A2B7B">
      <w:pPr>
        <w:autoSpaceDE w:val="0"/>
        <w:autoSpaceDN w:val="0"/>
        <w:adjustRightInd w:val="0"/>
        <w:spacing w:before="120" w:after="120"/>
        <w:jc w:val="both"/>
        <w:rPr>
          <w:rFonts w:ascii="Verdana" w:hAnsi="Verdana"/>
          <w:sz w:val="20"/>
          <w:szCs w:val="20"/>
        </w:rPr>
      </w:pPr>
      <w:r w:rsidRPr="0099675A">
        <w:rPr>
          <w:rFonts w:ascii="Verdana" w:hAnsi="Verdana"/>
          <w:sz w:val="20"/>
          <w:szCs w:val="20"/>
        </w:rPr>
        <w:t>The employees of the Directorate are of the opinion that their qualification in the following areas needs to be enhanced:</w:t>
      </w:r>
    </w:p>
    <w:p w:rsidR="007A2B7B" w:rsidRPr="00A81B24" w:rsidRDefault="007A2B7B" w:rsidP="007A2B7B">
      <w:pPr>
        <w:pStyle w:val="ListParagraph"/>
        <w:numPr>
          <w:ilvl w:val="0"/>
          <w:numId w:val="69"/>
        </w:numPr>
        <w:autoSpaceDE w:val="0"/>
        <w:autoSpaceDN w:val="0"/>
        <w:adjustRightInd w:val="0"/>
        <w:spacing w:before="60" w:after="60"/>
        <w:ind w:left="714" w:hanging="357"/>
        <w:jc w:val="both"/>
        <w:rPr>
          <w:rFonts w:ascii="Verdana" w:hAnsi="Verdana"/>
          <w:sz w:val="20"/>
          <w:szCs w:val="20"/>
        </w:rPr>
      </w:pPr>
      <w:r w:rsidRPr="0099675A">
        <w:rPr>
          <w:rFonts w:ascii="Verdana" w:hAnsi="Verdana"/>
          <w:sz w:val="20"/>
          <w:szCs w:val="20"/>
        </w:rPr>
        <w:t>Better knowledge and skills in the area of organizing, conducting and control of public procurement (65%);</w:t>
      </w:r>
    </w:p>
    <w:p w:rsidR="007A2B7B" w:rsidRPr="00A81B24" w:rsidRDefault="007A2B7B" w:rsidP="007A2B7B">
      <w:pPr>
        <w:pStyle w:val="ListParagraph"/>
        <w:numPr>
          <w:ilvl w:val="0"/>
          <w:numId w:val="69"/>
        </w:numPr>
        <w:autoSpaceDE w:val="0"/>
        <w:autoSpaceDN w:val="0"/>
        <w:adjustRightInd w:val="0"/>
        <w:spacing w:before="60" w:after="60"/>
        <w:ind w:left="714" w:hanging="357"/>
        <w:jc w:val="both"/>
        <w:rPr>
          <w:rFonts w:ascii="Verdana" w:hAnsi="Verdana"/>
          <w:sz w:val="20"/>
          <w:szCs w:val="20"/>
        </w:rPr>
      </w:pPr>
      <w:r w:rsidRPr="0099675A">
        <w:rPr>
          <w:rFonts w:ascii="Verdana" w:hAnsi="Verdana"/>
          <w:sz w:val="20"/>
          <w:szCs w:val="20"/>
        </w:rPr>
        <w:t>Better knowledge of the national and European legislation, strategies and policies of EU funds management (58%);</w:t>
      </w:r>
    </w:p>
    <w:p w:rsidR="007A2B7B" w:rsidRPr="00A81B24" w:rsidRDefault="007A2B7B" w:rsidP="007A2B7B">
      <w:pPr>
        <w:pStyle w:val="ListParagraph"/>
        <w:numPr>
          <w:ilvl w:val="0"/>
          <w:numId w:val="69"/>
        </w:numPr>
        <w:autoSpaceDE w:val="0"/>
        <w:autoSpaceDN w:val="0"/>
        <w:adjustRightInd w:val="0"/>
        <w:spacing w:before="60" w:after="60"/>
        <w:ind w:left="714" w:hanging="357"/>
        <w:jc w:val="both"/>
        <w:rPr>
          <w:rFonts w:ascii="Verdana" w:hAnsi="Verdana"/>
          <w:sz w:val="20"/>
          <w:szCs w:val="20"/>
        </w:rPr>
      </w:pPr>
      <w:r>
        <w:rPr>
          <w:rFonts w:ascii="Verdana" w:hAnsi="Verdana"/>
          <w:sz w:val="20"/>
          <w:szCs w:val="20"/>
        </w:rPr>
        <w:t>Improved</w:t>
      </w:r>
      <w:r w:rsidRPr="0099675A">
        <w:rPr>
          <w:rFonts w:ascii="Verdana" w:hAnsi="Verdana"/>
          <w:sz w:val="20"/>
          <w:szCs w:val="20"/>
        </w:rPr>
        <w:t xml:space="preserve"> team work (53%);</w:t>
      </w:r>
    </w:p>
    <w:p w:rsidR="007A2B7B" w:rsidRPr="00A81B24" w:rsidRDefault="007A2B7B" w:rsidP="007A2B7B">
      <w:pPr>
        <w:autoSpaceDE w:val="0"/>
        <w:autoSpaceDN w:val="0"/>
        <w:adjustRightInd w:val="0"/>
        <w:spacing w:before="120" w:after="120"/>
        <w:jc w:val="both"/>
        <w:rPr>
          <w:rFonts w:ascii="Verdana" w:hAnsi="Verdana"/>
          <w:sz w:val="20"/>
          <w:szCs w:val="20"/>
        </w:rPr>
      </w:pPr>
      <w:r w:rsidRPr="0099675A">
        <w:rPr>
          <w:rFonts w:ascii="Verdana" w:hAnsi="Verdana"/>
          <w:sz w:val="20"/>
          <w:szCs w:val="20"/>
        </w:rPr>
        <w:t>Again</w:t>
      </w:r>
      <w:r>
        <w:rPr>
          <w:rFonts w:ascii="Verdana" w:hAnsi="Verdana"/>
          <w:sz w:val="20"/>
          <w:szCs w:val="20"/>
        </w:rPr>
        <w:t>,</w:t>
      </w:r>
      <w:r w:rsidRPr="0099675A">
        <w:rPr>
          <w:rFonts w:ascii="Verdana" w:hAnsi="Verdana"/>
          <w:sz w:val="20"/>
          <w:szCs w:val="20"/>
        </w:rPr>
        <w:t xml:space="preserve"> in connection with the new functions as a MA, the employees believe that they will need training in the area of state aid, risk assessment at institutional and project level and monitoring and verification of the projects under PA1, financed </w:t>
      </w:r>
      <w:r>
        <w:rPr>
          <w:rFonts w:ascii="Verdana" w:hAnsi="Verdana"/>
          <w:sz w:val="20"/>
          <w:szCs w:val="20"/>
        </w:rPr>
        <w:t>under</w:t>
      </w:r>
      <w:r w:rsidRPr="0099675A">
        <w:rPr>
          <w:rFonts w:ascii="Verdana" w:hAnsi="Verdana"/>
          <w:sz w:val="20"/>
          <w:szCs w:val="20"/>
        </w:rPr>
        <w:t xml:space="preserve"> ERDF.</w:t>
      </w:r>
    </w:p>
    <w:p w:rsidR="007A2B7B" w:rsidRPr="00A81B24" w:rsidRDefault="007A2B7B" w:rsidP="007A2B7B">
      <w:pPr>
        <w:autoSpaceDE w:val="0"/>
        <w:autoSpaceDN w:val="0"/>
        <w:adjustRightInd w:val="0"/>
        <w:spacing w:before="120" w:after="120"/>
        <w:jc w:val="both"/>
        <w:rPr>
          <w:rFonts w:ascii="Verdana" w:hAnsi="Verdana"/>
          <w:sz w:val="20"/>
          <w:szCs w:val="20"/>
        </w:rPr>
      </w:pPr>
      <w:r w:rsidRPr="0099675A">
        <w:rPr>
          <w:rFonts w:ascii="Verdana" w:hAnsi="Verdana"/>
          <w:sz w:val="20"/>
          <w:szCs w:val="20"/>
        </w:rPr>
        <w:t xml:space="preserve">The identified areas show very </w:t>
      </w:r>
      <w:r>
        <w:rPr>
          <w:rFonts w:ascii="Verdana" w:hAnsi="Verdana"/>
          <w:sz w:val="20"/>
          <w:szCs w:val="20"/>
        </w:rPr>
        <w:t>close</w:t>
      </w:r>
      <w:r w:rsidRPr="0099675A">
        <w:rPr>
          <w:rFonts w:ascii="Verdana" w:hAnsi="Verdana"/>
          <w:sz w:val="20"/>
          <w:szCs w:val="20"/>
        </w:rPr>
        <w:t xml:space="preserve"> percentage, which indicates that there are no specific areas identified as a weakness in the skills of the experts, but the employees realize rather what needs they have in terms of strengthening the administrative capacity.</w:t>
      </w:r>
    </w:p>
    <w:p w:rsidR="007A2B7B" w:rsidRPr="00A81B24" w:rsidRDefault="007A2B7B" w:rsidP="007A2B7B">
      <w:pPr>
        <w:keepNext/>
        <w:pBdr>
          <w:bottom w:val="single" w:sz="12" w:space="1" w:color="0070C0"/>
        </w:pBdr>
        <w:autoSpaceDE w:val="0"/>
        <w:autoSpaceDN w:val="0"/>
        <w:adjustRightInd w:val="0"/>
        <w:spacing w:before="120" w:after="120" w:line="240" w:lineRule="auto"/>
        <w:rPr>
          <w:rFonts w:ascii="Verdana" w:eastAsia="Times New Roman" w:hAnsi="Verdana" w:cs="TimesNewRomanPSMT"/>
          <w:i/>
          <w:color w:val="548DD4" w:themeColor="text2" w:themeTint="99"/>
          <w:sz w:val="20"/>
          <w:szCs w:val="20"/>
          <w:lang w:eastAsia="bg-BG"/>
        </w:rPr>
      </w:pPr>
      <w:r w:rsidRPr="0099675A">
        <w:rPr>
          <w:rFonts w:ascii="Verdana" w:eastAsia="Times New Roman" w:hAnsi="Verdana" w:cs="TimesNewRomanPSMT"/>
          <w:i/>
          <w:color w:val="548DD4" w:themeColor="text2" w:themeTint="99"/>
          <w:sz w:val="20"/>
          <w:szCs w:val="20"/>
          <w:lang w:eastAsia="bg-BG"/>
        </w:rPr>
        <w:t>Systems, procedures and technical support</w:t>
      </w:r>
    </w:p>
    <w:p w:rsidR="007A2B7B" w:rsidRPr="00A81B24" w:rsidRDefault="007A2B7B" w:rsidP="007A2B7B">
      <w:pPr>
        <w:autoSpaceDE w:val="0"/>
        <w:autoSpaceDN w:val="0"/>
        <w:adjustRightInd w:val="0"/>
        <w:spacing w:before="120" w:after="120"/>
        <w:jc w:val="both"/>
        <w:rPr>
          <w:rFonts w:ascii="Verdana" w:hAnsi="Verdana"/>
          <w:sz w:val="20"/>
          <w:szCs w:val="20"/>
        </w:rPr>
      </w:pPr>
      <w:r w:rsidRPr="0099675A">
        <w:rPr>
          <w:rFonts w:ascii="Verdana" w:hAnsi="Verdana"/>
          <w:sz w:val="20"/>
          <w:szCs w:val="20"/>
        </w:rPr>
        <w:t xml:space="preserve">The experts of DG SFIEP have </w:t>
      </w:r>
      <w:r>
        <w:rPr>
          <w:rFonts w:ascii="Verdana" w:hAnsi="Verdana"/>
          <w:sz w:val="20"/>
          <w:szCs w:val="20"/>
        </w:rPr>
        <w:t xml:space="preserve">gained </w:t>
      </w:r>
      <w:r w:rsidRPr="0099675A">
        <w:rPr>
          <w:rFonts w:ascii="Verdana" w:hAnsi="Verdana"/>
          <w:sz w:val="20"/>
          <w:szCs w:val="20"/>
        </w:rPr>
        <w:t xml:space="preserve">experience in developing management and control systems and procedures manual, since part of them have participated in the development of </w:t>
      </w:r>
      <w:r>
        <w:rPr>
          <w:rFonts w:ascii="Verdana" w:hAnsi="Verdana"/>
          <w:sz w:val="20"/>
          <w:szCs w:val="20"/>
        </w:rPr>
        <w:t>these</w:t>
      </w:r>
      <w:r w:rsidRPr="0099675A">
        <w:rPr>
          <w:rFonts w:ascii="Verdana" w:hAnsi="Verdana"/>
          <w:sz w:val="20"/>
          <w:szCs w:val="20"/>
        </w:rPr>
        <w:t xml:space="preserve"> documents under OPHRD 2007 – 2013. In the </w:t>
      </w:r>
      <w:r>
        <w:rPr>
          <w:rFonts w:ascii="Verdana" w:hAnsi="Verdana"/>
          <w:sz w:val="20"/>
          <w:szCs w:val="20"/>
        </w:rPr>
        <w:t xml:space="preserve">process of </w:t>
      </w:r>
      <w:r w:rsidRPr="0099675A">
        <w:rPr>
          <w:rFonts w:ascii="Verdana" w:hAnsi="Verdana"/>
          <w:sz w:val="20"/>
          <w:szCs w:val="20"/>
        </w:rPr>
        <w:t xml:space="preserve">development of the </w:t>
      </w:r>
      <w:r w:rsidRPr="0099675A">
        <w:rPr>
          <w:rFonts w:ascii="Verdana" w:hAnsi="Verdana"/>
          <w:sz w:val="20"/>
          <w:szCs w:val="20"/>
        </w:rPr>
        <w:lastRenderedPageBreak/>
        <w:t xml:space="preserve">manual for the new OP simplification of procedures, </w:t>
      </w:r>
      <w:r>
        <w:rPr>
          <w:rFonts w:ascii="Verdana" w:hAnsi="Verdana"/>
          <w:sz w:val="20"/>
          <w:szCs w:val="20"/>
        </w:rPr>
        <w:t xml:space="preserve">should be applied </w:t>
      </w:r>
      <w:r w:rsidRPr="0099675A">
        <w:rPr>
          <w:rFonts w:ascii="Verdana" w:hAnsi="Verdana"/>
          <w:sz w:val="20"/>
          <w:szCs w:val="20"/>
        </w:rPr>
        <w:t xml:space="preserve">and </w:t>
      </w:r>
      <w:r>
        <w:rPr>
          <w:rFonts w:ascii="Verdana" w:hAnsi="Verdana"/>
          <w:sz w:val="20"/>
          <w:szCs w:val="20"/>
        </w:rPr>
        <w:t xml:space="preserve">to great extent </w:t>
      </w:r>
      <w:r w:rsidRPr="0099675A">
        <w:rPr>
          <w:rFonts w:ascii="Verdana" w:hAnsi="Verdana"/>
          <w:sz w:val="20"/>
          <w:szCs w:val="20"/>
        </w:rPr>
        <w:t xml:space="preserve">the possibilities for introducing electronic procedures. Well-developed rules and procedures will increase the administrative capacity for management of the Programme according to 62% </w:t>
      </w:r>
      <w:proofErr w:type="gramStart"/>
      <w:r w:rsidRPr="0099675A">
        <w:rPr>
          <w:rFonts w:ascii="Verdana" w:hAnsi="Verdana"/>
          <w:sz w:val="20"/>
          <w:szCs w:val="20"/>
        </w:rPr>
        <w:t xml:space="preserve">of </w:t>
      </w:r>
      <w:r>
        <w:rPr>
          <w:rFonts w:ascii="Verdana" w:hAnsi="Verdana"/>
          <w:sz w:val="20"/>
          <w:szCs w:val="20"/>
        </w:rPr>
        <w:t xml:space="preserve"> the</w:t>
      </w:r>
      <w:proofErr w:type="gramEnd"/>
      <w:r>
        <w:rPr>
          <w:rFonts w:ascii="Verdana" w:hAnsi="Verdana"/>
          <w:sz w:val="20"/>
          <w:szCs w:val="20"/>
        </w:rPr>
        <w:t xml:space="preserve"> respondents</w:t>
      </w:r>
      <w:r w:rsidRPr="0099675A">
        <w:rPr>
          <w:rFonts w:ascii="Verdana" w:hAnsi="Verdana"/>
          <w:sz w:val="20"/>
          <w:szCs w:val="20"/>
        </w:rPr>
        <w:t>.</w:t>
      </w:r>
    </w:p>
    <w:p w:rsidR="007A2B7B" w:rsidRPr="00A81B24" w:rsidRDefault="007A2B7B" w:rsidP="007A2B7B">
      <w:pPr>
        <w:autoSpaceDE w:val="0"/>
        <w:autoSpaceDN w:val="0"/>
        <w:adjustRightInd w:val="0"/>
        <w:spacing w:before="120" w:after="120"/>
        <w:jc w:val="both"/>
        <w:rPr>
          <w:rFonts w:ascii="Verdana" w:hAnsi="Verdana"/>
          <w:sz w:val="20"/>
          <w:szCs w:val="20"/>
        </w:rPr>
      </w:pPr>
      <w:r w:rsidRPr="0099675A">
        <w:rPr>
          <w:rFonts w:ascii="Verdana" w:hAnsi="Verdana"/>
          <w:sz w:val="20"/>
          <w:szCs w:val="20"/>
        </w:rPr>
        <w:t>UMIS is the information system used for the management of all operational programmes during the programming period 2007–2013. It will be used during the next programming period as well, under the name of UMIS 2020</w:t>
      </w:r>
      <w:r>
        <w:rPr>
          <w:rFonts w:ascii="Verdana" w:hAnsi="Verdana"/>
          <w:sz w:val="20"/>
          <w:szCs w:val="20"/>
        </w:rPr>
        <w:t>. S</w:t>
      </w:r>
      <w:r w:rsidRPr="0099675A">
        <w:rPr>
          <w:rFonts w:ascii="Verdana" w:hAnsi="Verdana"/>
          <w:sz w:val="20"/>
          <w:szCs w:val="20"/>
        </w:rPr>
        <w:t>ignificant upgrades and changes</w:t>
      </w:r>
      <w:r>
        <w:rPr>
          <w:rFonts w:ascii="Verdana" w:hAnsi="Verdana"/>
          <w:sz w:val="20"/>
          <w:szCs w:val="20"/>
        </w:rPr>
        <w:t xml:space="preserve"> are foreseen</w:t>
      </w:r>
      <w:r w:rsidRPr="0099675A">
        <w:rPr>
          <w:rFonts w:ascii="Verdana" w:hAnsi="Verdana"/>
          <w:sz w:val="20"/>
          <w:szCs w:val="20"/>
        </w:rPr>
        <w:t xml:space="preserve">, which will allow the system to be used as a functional instrument, </w:t>
      </w:r>
      <w:r>
        <w:rPr>
          <w:rFonts w:ascii="Verdana" w:hAnsi="Verdana"/>
          <w:sz w:val="20"/>
          <w:szCs w:val="20"/>
        </w:rPr>
        <w:t>decreasing</w:t>
      </w:r>
      <w:r w:rsidRPr="0099675A">
        <w:rPr>
          <w:rFonts w:ascii="Verdana" w:hAnsi="Verdana"/>
          <w:sz w:val="20"/>
          <w:szCs w:val="20"/>
        </w:rPr>
        <w:t xml:space="preserve"> </w:t>
      </w:r>
      <w:r w:rsidRPr="00A81B24">
        <w:rPr>
          <w:rFonts w:ascii="Verdana" w:hAnsi="Verdana"/>
          <w:sz w:val="20"/>
          <w:szCs w:val="20"/>
        </w:rPr>
        <w:t>the</w:t>
      </w:r>
      <w:r>
        <w:rPr>
          <w:rFonts w:ascii="Verdana" w:hAnsi="Verdana"/>
          <w:sz w:val="20"/>
          <w:szCs w:val="20"/>
        </w:rPr>
        <w:t xml:space="preserve"> </w:t>
      </w:r>
      <w:proofErr w:type="gramStart"/>
      <w:r>
        <w:rPr>
          <w:rFonts w:ascii="Verdana" w:hAnsi="Verdana"/>
          <w:sz w:val="20"/>
          <w:szCs w:val="20"/>
        </w:rPr>
        <w:t xml:space="preserve">bureaucracy </w:t>
      </w:r>
      <w:r w:rsidRPr="0099675A">
        <w:rPr>
          <w:rFonts w:ascii="Verdana" w:hAnsi="Verdana"/>
          <w:sz w:val="20"/>
          <w:szCs w:val="20"/>
        </w:rPr>
        <w:t>.</w:t>
      </w:r>
      <w:proofErr w:type="gramEnd"/>
      <w:r w:rsidRPr="0099675A">
        <w:rPr>
          <w:rFonts w:ascii="Verdana" w:hAnsi="Verdana"/>
          <w:sz w:val="20"/>
          <w:szCs w:val="20"/>
        </w:rPr>
        <w:t xml:space="preserve"> Currently the experts of DG SFIEP are of the opinion that the new functionalities of the system will allow them to manage the programmes and projects </w:t>
      </w:r>
      <w:r>
        <w:rPr>
          <w:rFonts w:ascii="Verdana" w:hAnsi="Verdana"/>
          <w:sz w:val="20"/>
          <w:szCs w:val="20"/>
        </w:rPr>
        <w:t>in a flexible and timely manner.</w:t>
      </w:r>
    </w:p>
    <w:p w:rsidR="007A2B7B" w:rsidRPr="00A81B24" w:rsidRDefault="007A2B7B" w:rsidP="007A2B7B">
      <w:pPr>
        <w:autoSpaceDE w:val="0"/>
        <w:autoSpaceDN w:val="0"/>
        <w:adjustRightInd w:val="0"/>
        <w:spacing w:before="120" w:after="120"/>
        <w:jc w:val="both"/>
        <w:rPr>
          <w:rFonts w:ascii="Verdana" w:hAnsi="Verdana"/>
          <w:sz w:val="20"/>
          <w:szCs w:val="20"/>
        </w:rPr>
      </w:pPr>
      <w:r>
        <w:rPr>
          <w:rFonts w:ascii="Verdana" w:hAnsi="Verdana"/>
          <w:sz w:val="20"/>
          <w:szCs w:val="20"/>
        </w:rPr>
        <w:t>One of the main problems</w:t>
      </w:r>
      <w:r w:rsidRPr="0099675A">
        <w:rPr>
          <w:rFonts w:ascii="Verdana" w:hAnsi="Verdana"/>
          <w:sz w:val="20"/>
          <w:szCs w:val="20"/>
        </w:rPr>
        <w:t xml:space="preserve"> that </w:t>
      </w:r>
      <w:r>
        <w:rPr>
          <w:rFonts w:ascii="Verdana" w:hAnsi="Verdana"/>
          <w:sz w:val="20"/>
          <w:szCs w:val="20"/>
        </w:rPr>
        <w:t xml:space="preserve">have </w:t>
      </w:r>
      <w:proofErr w:type="gramStart"/>
      <w:r>
        <w:rPr>
          <w:rFonts w:ascii="Verdana" w:hAnsi="Verdana"/>
          <w:sz w:val="20"/>
          <w:szCs w:val="20"/>
        </w:rPr>
        <w:t xml:space="preserve">been </w:t>
      </w:r>
      <w:r w:rsidRPr="0099675A">
        <w:rPr>
          <w:rFonts w:ascii="Verdana" w:hAnsi="Verdana"/>
          <w:sz w:val="20"/>
          <w:szCs w:val="20"/>
        </w:rPr>
        <w:t xml:space="preserve"> identified</w:t>
      </w:r>
      <w:proofErr w:type="gramEnd"/>
      <w:r w:rsidRPr="0099675A">
        <w:rPr>
          <w:rFonts w:ascii="Verdana" w:hAnsi="Verdana"/>
          <w:sz w:val="20"/>
          <w:szCs w:val="20"/>
        </w:rPr>
        <w:t xml:space="preserve"> is the technical equipment needed for the day-to-day work of the employees. The </w:t>
      </w:r>
      <w:r>
        <w:rPr>
          <w:rFonts w:ascii="Verdana" w:hAnsi="Verdana"/>
          <w:sz w:val="20"/>
          <w:szCs w:val="20"/>
        </w:rPr>
        <w:t>problematic</w:t>
      </w:r>
      <w:r w:rsidRPr="0099675A">
        <w:rPr>
          <w:rFonts w:ascii="Verdana" w:hAnsi="Verdana"/>
          <w:sz w:val="20"/>
          <w:szCs w:val="20"/>
        </w:rPr>
        <w:t xml:space="preserve"> areas specified by the respondents are technical equipment (87%), lack of specialized halls (80%), </w:t>
      </w:r>
      <w:proofErr w:type="gramStart"/>
      <w:r w:rsidRPr="0099675A">
        <w:rPr>
          <w:rFonts w:ascii="Verdana" w:hAnsi="Verdana"/>
          <w:sz w:val="20"/>
          <w:szCs w:val="20"/>
        </w:rPr>
        <w:t>lack</w:t>
      </w:r>
      <w:proofErr w:type="gramEnd"/>
      <w:r w:rsidRPr="0099675A">
        <w:rPr>
          <w:rFonts w:ascii="Verdana" w:hAnsi="Verdana"/>
          <w:sz w:val="20"/>
          <w:szCs w:val="20"/>
        </w:rPr>
        <w:t xml:space="preserve"> of specialized software (73%) and of working space (67%). A public procurement procedure for the supply of equipment is currently underway.</w:t>
      </w:r>
    </w:p>
    <w:p w:rsidR="007A2B7B" w:rsidRPr="00A81B24" w:rsidRDefault="007A2B7B" w:rsidP="007A2B7B">
      <w:pPr>
        <w:autoSpaceDE w:val="0"/>
        <w:autoSpaceDN w:val="0"/>
        <w:adjustRightInd w:val="0"/>
        <w:spacing w:before="120" w:after="120"/>
        <w:jc w:val="both"/>
        <w:rPr>
          <w:rFonts w:ascii="Verdana" w:hAnsi="Verdana"/>
          <w:sz w:val="20"/>
          <w:szCs w:val="20"/>
        </w:rPr>
      </w:pPr>
      <w:r w:rsidRPr="0099675A">
        <w:rPr>
          <w:rFonts w:ascii="Verdana" w:hAnsi="Verdana"/>
          <w:sz w:val="20"/>
          <w:szCs w:val="20"/>
        </w:rPr>
        <w:t>An important issue relating to</w:t>
      </w:r>
      <w:r>
        <w:rPr>
          <w:rFonts w:ascii="Verdana" w:hAnsi="Verdana"/>
          <w:sz w:val="20"/>
          <w:szCs w:val="20"/>
        </w:rPr>
        <w:t xml:space="preserve"> the technical support is </w:t>
      </w:r>
      <w:proofErr w:type="gramStart"/>
      <w:r>
        <w:rPr>
          <w:rFonts w:ascii="Verdana" w:hAnsi="Verdana"/>
          <w:sz w:val="20"/>
          <w:szCs w:val="20"/>
        </w:rPr>
        <w:t>ensuring</w:t>
      </w:r>
      <w:r w:rsidRPr="0099675A">
        <w:rPr>
          <w:rFonts w:ascii="Verdana" w:hAnsi="Verdana"/>
          <w:sz w:val="20"/>
          <w:szCs w:val="20"/>
        </w:rPr>
        <w:t xml:space="preserve">  </w:t>
      </w:r>
      <w:r>
        <w:rPr>
          <w:rFonts w:ascii="Verdana" w:hAnsi="Verdana"/>
          <w:sz w:val="20"/>
          <w:szCs w:val="20"/>
        </w:rPr>
        <w:t>an</w:t>
      </w:r>
      <w:proofErr w:type="gramEnd"/>
      <w:r>
        <w:rPr>
          <w:rFonts w:ascii="Verdana" w:hAnsi="Verdana"/>
          <w:sz w:val="20"/>
          <w:szCs w:val="20"/>
        </w:rPr>
        <w:t xml:space="preserve"> </w:t>
      </w:r>
      <w:r w:rsidRPr="0099675A">
        <w:rPr>
          <w:rFonts w:ascii="Verdana" w:hAnsi="Verdana"/>
          <w:sz w:val="20"/>
          <w:szCs w:val="20"/>
        </w:rPr>
        <w:t xml:space="preserve">archive and </w:t>
      </w:r>
      <w:r>
        <w:rPr>
          <w:rFonts w:ascii="Verdana" w:hAnsi="Verdana"/>
          <w:sz w:val="20"/>
          <w:szCs w:val="20"/>
        </w:rPr>
        <w:t xml:space="preserve">assigning </w:t>
      </w:r>
      <w:r w:rsidRPr="0099675A">
        <w:rPr>
          <w:rFonts w:ascii="Verdana" w:hAnsi="Verdana"/>
          <w:sz w:val="20"/>
          <w:szCs w:val="20"/>
        </w:rPr>
        <w:t xml:space="preserve">employees </w:t>
      </w:r>
      <w:r>
        <w:rPr>
          <w:rFonts w:ascii="Verdana" w:hAnsi="Verdana"/>
          <w:sz w:val="20"/>
          <w:szCs w:val="20"/>
        </w:rPr>
        <w:t xml:space="preserve">who will manage it. </w:t>
      </w:r>
    </w:p>
    <w:p w:rsidR="007A2B7B" w:rsidRPr="00A81B24" w:rsidRDefault="007A2B7B" w:rsidP="007A2B7B">
      <w:pPr>
        <w:autoSpaceDE w:val="0"/>
        <w:autoSpaceDN w:val="0"/>
        <w:adjustRightInd w:val="0"/>
        <w:spacing w:before="120" w:after="120"/>
        <w:jc w:val="both"/>
        <w:rPr>
          <w:rFonts w:ascii="Verdana" w:eastAsia="Malgun Gothic" w:hAnsi="Verdana"/>
          <w:sz w:val="20"/>
          <w:szCs w:val="20"/>
          <w:lang w:eastAsia="ko-KR"/>
        </w:rPr>
      </w:pPr>
      <w:r w:rsidRPr="0099675A">
        <w:rPr>
          <w:rFonts w:ascii="Verdana" w:hAnsi="Verdana"/>
          <w:sz w:val="20"/>
          <w:szCs w:val="20"/>
        </w:rPr>
        <w:t xml:space="preserve">Regarding </w:t>
      </w:r>
      <w:r>
        <w:rPr>
          <w:rFonts w:ascii="Verdana" w:hAnsi="Verdana"/>
          <w:color w:val="548DD4" w:themeColor="text2" w:themeTint="99"/>
          <w:sz w:val="20"/>
          <w:szCs w:val="20"/>
        </w:rPr>
        <w:t>the</w:t>
      </w:r>
      <w:r w:rsidR="00845752">
        <w:rPr>
          <w:rFonts w:ascii="Verdana" w:hAnsi="Verdana"/>
          <w:color w:val="548DD4" w:themeColor="text2" w:themeTint="99"/>
          <w:sz w:val="20"/>
          <w:szCs w:val="20"/>
        </w:rPr>
        <w:t xml:space="preserve"> </w:t>
      </w:r>
      <w:r w:rsidRPr="00845752">
        <w:rPr>
          <w:rFonts w:ascii="Verdana" w:hAnsi="Verdana"/>
          <w:color w:val="548DD4" w:themeColor="text2" w:themeTint="99"/>
          <w:sz w:val="20"/>
          <w:szCs w:val="20"/>
        </w:rPr>
        <w:t>work</w:t>
      </w:r>
      <w:r w:rsidRPr="00A81B24">
        <w:rPr>
          <w:rFonts w:ascii="Verdana" w:hAnsi="Verdana"/>
          <w:color w:val="548DD4" w:themeColor="text2" w:themeTint="99"/>
          <w:sz w:val="20"/>
          <w:szCs w:val="20"/>
        </w:rPr>
        <w:t xml:space="preserve"> </w:t>
      </w:r>
      <w:r w:rsidRPr="0099675A">
        <w:rPr>
          <w:rFonts w:ascii="Verdana" w:hAnsi="Verdana"/>
          <w:color w:val="548DD4" w:themeColor="text2" w:themeTint="99"/>
          <w:sz w:val="20"/>
          <w:szCs w:val="20"/>
        </w:rPr>
        <w:t>satisfaction</w:t>
      </w:r>
      <w:r w:rsidRPr="0099675A">
        <w:rPr>
          <w:rFonts w:ascii="Verdana" w:hAnsi="Verdana"/>
          <w:sz w:val="20"/>
          <w:szCs w:val="20"/>
        </w:rPr>
        <w:t xml:space="preserve">, the employees generally express medium satisfaction with their work </w:t>
      </w:r>
      <w:r>
        <w:rPr>
          <w:rFonts w:ascii="Verdana" w:hAnsi="Verdana"/>
          <w:sz w:val="20"/>
          <w:szCs w:val="20"/>
        </w:rPr>
        <w:t>in</w:t>
      </w:r>
      <w:r w:rsidRPr="0099675A">
        <w:rPr>
          <w:rFonts w:ascii="Verdana" w:hAnsi="Verdana"/>
          <w:sz w:val="20"/>
          <w:szCs w:val="20"/>
        </w:rPr>
        <w:t xml:space="preserve"> DG SFIEP. On a scale of 1 to 5 where 5 shows the highest satisfaction and 1 – the lowest, the average received from the results is 3</w:t>
      </w:r>
      <w:proofErr w:type="gramStart"/>
      <w:r w:rsidRPr="0099675A">
        <w:rPr>
          <w:rFonts w:ascii="Verdana" w:hAnsi="Verdana"/>
          <w:sz w:val="20"/>
          <w:szCs w:val="20"/>
        </w:rPr>
        <w:t>,22</w:t>
      </w:r>
      <w:proofErr w:type="gramEnd"/>
      <w:r w:rsidRPr="0099675A">
        <w:rPr>
          <w:rFonts w:ascii="Verdana" w:hAnsi="Verdana"/>
          <w:sz w:val="20"/>
          <w:szCs w:val="20"/>
        </w:rPr>
        <w:t xml:space="preserve">, with a median of 3. The respondents </w:t>
      </w:r>
      <w:r>
        <w:rPr>
          <w:rFonts w:ascii="Verdana" w:hAnsi="Verdana"/>
          <w:sz w:val="20"/>
          <w:szCs w:val="20"/>
        </w:rPr>
        <w:t xml:space="preserve">indicate </w:t>
      </w:r>
      <w:r w:rsidRPr="0099675A">
        <w:rPr>
          <w:rFonts w:ascii="Verdana" w:hAnsi="Verdana"/>
          <w:sz w:val="20"/>
          <w:szCs w:val="20"/>
        </w:rPr>
        <w:t>that they are most</w:t>
      </w:r>
      <w:r>
        <w:rPr>
          <w:rFonts w:ascii="Verdana" w:hAnsi="Verdana"/>
          <w:sz w:val="20"/>
          <w:szCs w:val="20"/>
        </w:rPr>
        <w:t>ly</w:t>
      </w:r>
      <w:r w:rsidRPr="0099675A">
        <w:rPr>
          <w:rFonts w:ascii="Verdana" w:hAnsi="Verdana"/>
          <w:sz w:val="20"/>
          <w:szCs w:val="20"/>
        </w:rPr>
        <w:t xml:space="preserve"> satisfied with their interaction with the</w:t>
      </w:r>
      <w:r>
        <w:rPr>
          <w:rFonts w:ascii="Verdana" w:hAnsi="Verdana"/>
          <w:sz w:val="20"/>
          <w:szCs w:val="20"/>
        </w:rPr>
        <w:t>ir</w:t>
      </w:r>
      <w:r w:rsidRPr="0099675A">
        <w:rPr>
          <w:rFonts w:ascii="Verdana" w:hAnsi="Verdana"/>
          <w:sz w:val="20"/>
          <w:szCs w:val="20"/>
        </w:rPr>
        <w:t xml:space="preserve"> colleagues (55 %), the opportunities to travel abroad (44 %) and the opportunities to raise their qualification and professional satisfaction (</w:t>
      </w:r>
      <w:r>
        <w:rPr>
          <w:rFonts w:ascii="Verdana" w:hAnsi="Verdana"/>
          <w:sz w:val="20"/>
          <w:szCs w:val="20"/>
        </w:rPr>
        <w:t xml:space="preserve"> both with </w:t>
      </w:r>
      <w:r w:rsidRPr="0099675A">
        <w:rPr>
          <w:rFonts w:ascii="Verdana" w:hAnsi="Verdana"/>
          <w:sz w:val="20"/>
          <w:szCs w:val="20"/>
        </w:rPr>
        <w:t xml:space="preserve"> 40%). They are </w:t>
      </w:r>
      <w:r>
        <w:rPr>
          <w:rFonts w:ascii="Verdana" w:hAnsi="Verdana"/>
          <w:sz w:val="20"/>
          <w:szCs w:val="20"/>
        </w:rPr>
        <w:t xml:space="preserve">least satisfied </w:t>
      </w:r>
      <w:r w:rsidRPr="0099675A">
        <w:rPr>
          <w:rFonts w:ascii="Verdana" w:hAnsi="Verdana"/>
          <w:sz w:val="20"/>
          <w:szCs w:val="20"/>
        </w:rPr>
        <w:t xml:space="preserve">with the social package and social benefits (57%). On the whole, the turnover of staff is very low and should not </w:t>
      </w:r>
      <w:r>
        <w:rPr>
          <w:rFonts w:ascii="Verdana" w:hAnsi="Verdana"/>
          <w:sz w:val="20"/>
          <w:szCs w:val="20"/>
        </w:rPr>
        <w:t>create</w:t>
      </w:r>
      <w:r w:rsidRPr="0099675A">
        <w:rPr>
          <w:rFonts w:ascii="Verdana" w:hAnsi="Verdana"/>
          <w:sz w:val="20"/>
          <w:szCs w:val="20"/>
        </w:rPr>
        <w:t xml:space="preserve"> problem </w:t>
      </w:r>
      <w:proofErr w:type="gramStart"/>
      <w:r>
        <w:rPr>
          <w:rFonts w:ascii="Verdana" w:hAnsi="Verdana"/>
          <w:sz w:val="20"/>
          <w:szCs w:val="20"/>
        </w:rPr>
        <w:t xml:space="preserve">to </w:t>
      </w:r>
      <w:r w:rsidRPr="0099675A">
        <w:rPr>
          <w:rFonts w:ascii="Verdana" w:hAnsi="Verdana"/>
          <w:sz w:val="20"/>
          <w:szCs w:val="20"/>
        </w:rPr>
        <w:t xml:space="preserve"> the</w:t>
      </w:r>
      <w:proofErr w:type="gramEnd"/>
      <w:r w:rsidRPr="0099675A">
        <w:rPr>
          <w:rFonts w:ascii="Verdana" w:hAnsi="Verdana"/>
          <w:sz w:val="20"/>
          <w:szCs w:val="20"/>
        </w:rPr>
        <w:t xml:space="preserve"> implementation of OPSESG</w:t>
      </w:r>
      <w:r w:rsidRPr="0099675A">
        <w:rPr>
          <w:rFonts w:ascii="Verdana" w:eastAsia="Malgun Gothic" w:hAnsi="Verdana"/>
          <w:sz w:val="20"/>
          <w:szCs w:val="20"/>
          <w:lang w:eastAsia="ko-KR"/>
        </w:rPr>
        <w:t xml:space="preserve"> 2014 – 2020.  </w:t>
      </w:r>
    </w:p>
    <w:p w:rsidR="007A2B7B" w:rsidRPr="00A81B24" w:rsidRDefault="007A2B7B" w:rsidP="007A2B7B">
      <w:pPr>
        <w:pStyle w:val="BodyText"/>
        <w:widowControl w:val="0"/>
        <w:tabs>
          <w:tab w:val="left" w:pos="0"/>
          <w:tab w:val="right" w:pos="9214"/>
        </w:tabs>
        <w:spacing w:before="120"/>
        <w:jc w:val="both"/>
        <w:rPr>
          <w:rFonts w:ascii="Verdana" w:hAnsi="Verdana"/>
          <w:bCs/>
          <w:color w:val="000000"/>
          <w:sz w:val="20"/>
          <w:szCs w:val="20"/>
        </w:rPr>
      </w:pPr>
      <w:r w:rsidRPr="0099675A">
        <w:rPr>
          <w:rFonts w:ascii="Verdana" w:hAnsi="Verdana"/>
          <w:bCs/>
          <w:color w:val="000000"/>
          <w:sz w:val="20"/>
          <w:szCs w:val="20"/>
        </w:rPr>
        <w:t>Based on the above, the following main tasks could be formulated:</w:t>
      </w:r>
    </w:p>
    <w:p w:rsidR="007A2B7B" w:rsidRPr="00A81B24" w:rsidRDefault="007A2B7B" w:rsidP="007A2B7B">
      <w:pPr>
        <w:pStyle w:val="BodyText"/>
        <w:widowControl w:val="0"/>
        <w:numPr>
          <w:ilvl w:val="0"/>
          <w:numId w:val="67"/>
        </w:numPr>
        <w:tabs>
          <w:tab w:val="left" w:pos="0"/>
          <w:tab w:val="right" w:pos="9214"/>
        </w:tabs>
        <w:spacing w:before="120"/>
        <w:jc w:val="both"/>
        <w:rPr>
          <w:rFonts w:ascii="Verdana" w:hAnsi="Verdana"/>
          <w:sz w:val="20"/>
          <w:szCs w:val="20"/>
        </w:rPr>
      </w:pPr>
      <w:r w:rsidRPr="0099675A">
        <w:rPr>
          <w:rFonts w:ascii="Verdana" w:hAnsi="Verdana"/>
          <w:bCs/>
          <w:color w:val="000000"/>
          <w:sz w:val="20"/>
          <w:szCs w:val="20"/>
        </w:rPr>
        <w:t>Increasing human resources in departments Programming and Contracting and Financial Planning, Accounting and Payments;</w:t>
      </w:r>
    </w:p>
    <w:p w:rsidR="007A2B7B" w:rsidRPr="00A81B24" w:rsidRDefault="007A2B7B" w:rsidP="007A2B7B">
      <w:pPr>
        <w:pStyle w:val="BodyText"/>
        <w:widowControl w:val="0"/>
        <w:numPr>
          <w:ilvl w:val="0"/>
          <w:numId w:val="67"/>
        </w:numPr>
        <w:tabs>
          <w:tab w:val="left" w:pos="0"/>
          <w:tab w:val="right" w:pos="9214"/>
        </w:tabs>
        <w:spacing w:before="120"/>
        <w:jc w:val="both"/>
        <w:rPr>
          <w:rFonts w:ascii="Verdana" w:hAnsi="Verdana"/>
          <w:sz w:val="20"/>
          <w:szCs w:val="20"/>
        </w:rPr>
      </w:pPr>
      <w:r w:rsidRPr="0099675A">
        <w:rPr>
          <w:rFonts w:ascii="Verdana" w:hAnsi="Verdana"/>
          <w:bCs/>
          <w:color w:val="000000"/>
          <w:sz w:val="20"/>
          <w:szCs w:val="20"/>
        </w:rPr>
        <w:t>Developing a detailed analysis of the training needs relating to the new role of the Directorate;</w:t>
      </w:r>
    </w:p>
    <w:p w:rsidR="007A2B7B" w:rsidRPr="00A81B24" w:rsidRDefault="007A2B7B" w:rsidP="007A2B7B">
      <w:pPr>
        <w:pStyle w:val="BodyText"/>
        <w:widowControl w:val="0"/>
        <w:numPr>
          <w:ilvl w:val="0"/>
          <w:numId w:val="67"/>
        </w:numPr>
        <w:tabs>
          <w:tab w:val="left" w:pos="0"/>
          <w:tab w:val="right" w:pos="9214"/>
        </w:tabs>
        <w:spacing w:before="120"/>
        <w:jc w:val="both"/>
        <w:rPr>
          <w:rFonts w:ascii="Verdana" w:hAnsi="Verdana"/>
          <w:sz w:val="20"/>
          <w:szCs w:val="20"/>
        </w:rPr>
      </w:pPr>
      <w:r>
        <w:rPr>
          <w:rFonts w:ascii="Verdana" w:hAnsi="Verdana"/>
          <w:sz w:val="20"/>
          <w:szCs w:val="20"/>
        </w:rPr>
        <w:t xml:space="preserve">Earliest possible start of </w:t>
      </w:r>
      <w:r w:rsidRPr="0099675A">
        <w:rPr>
          <w:rFonts w:ascii="Verdana" w:hAnsi="Verdana"/>
          <w:sz w:val="20"/>
          <w:szCs w:val="20"/>
        </w:rPr>
        <w:t>the training</w:t>
      </w:r>
      <w:r>
        <w:rPr>
          <w:rFonts w:ascii="Verdana" w:hAnsi="Verdana"/>
          <w:sz w:val="20"/>
          <w:szCs w:val="20"/>
        </w:rPr>
        <w:t>s</w:t>
      </w:r>
      <w:r w:rsidRPr="0099675A">
        <w:rPr>
          <w:rFonts w:ascii="Verdana" w:hAnsi="Verdana"/>
          <w:sz w:val="20"/>
          <w:szCs w:val="20"/>
        </w:rPr>
        <w:t xml:space="preserve"> relating to the new responsibilities as a Managing Authority;</w:t>
      </w:r>
    </w:p>
    <w:p w:rsidR="007A2B7B" w:rsidRPr="004239D2" w:rsidRDefault="007A2B7B" w:rsidP="007A2B7B">
      <w:pPr>
        <w:pStyle w:val="BodyText"/>
        <w:widowControl w:val="0"/>
        <w:numPr>
          <w:ilvl w:val="0"/>
          <w:numId w:val="67"/>
        </w:numPr>
        <w:tabs>
          <w:tab w:val="left" w:pos="0"/>
          <w:tab w:val="right" w:pos="9214"/>
        </w:tabs>
        <w:spacing w:before="120"/>
        <w:jc w:val="both"/>
        <w:rPr>
          <w:rFonts w:ascii="Verdana" w:hAnsi="Verdana"/>
          <w:bCs/>
          <w:color w:val="000000"/>
          <w:sz w:val="20"/>
          <w:szCs w:val="20"/>
        </w:rPr>
      </w:pPr>
      <w:r>
        <w:rPr>
          <w:rFonts w:ascii="Verdana" w:hAnsi="Verdana"/>
          <w:sz w:val="20"/>
          <w:szCs w:val="20"/>
        </w:rPr>
        <w:t>Removal of</w:t>
      </w:r>
      <w:r w:rsidRPr="0099675A">
        <w:rPr>
          <w:rFonts w:ascii="Verdana" w:hAnsi="Verdana"/>
          <w:sz w:val="20"/>
          <w:szCs w:val="20"/>
        </w:rPr>
        <w:t xml:space="preserve"> the ex-ante control of the procedures for selection of contractors under the contracts of the beneficiaries, or introducing a threshold above which ex-ante control shall be performed;</w:t>
      </w:r>
      <w:r w:rsidR="005B35A7">
        <w:rPr>
          <w:rFonts w:ascii="Verdana" w:hAnsi="Verdana"/>
          <w:sz w:val="20"/>
          <w:szCs w:val="20"/>
          <w:lang w:val="bg-BG"/>
        </w:rPr>
        <w:t xml:space="preserve"> </w:t>
      </w:r>
      <w:proofErr w:type="gramStart"/>
      <w:r w:rsidRPr="0099675A">
        <w:rPr>
          <w:rFonts w:ascii="Verdana" w:hAnsi="Verdana"/>
          <w:sz w:val="20"/>
          <w:szCs w:val="20"/>
        </w:rPr>
        <w:t>Ensuring</w:t>
      </w:r>
      <w:proofErr w:type="gramEnd"/>
      <w:r w:rsidRPr="0099675A">
        <w:rPr>
          <w:rFonts w:ascii="Verdana" w:hAnsi="Verdana"/>
          <w:sz w:val="20"/>
          <w:szCs w:val="20"/>
        </w:rPr>
        <w:t xml:space="preserve"> the necessary technical equipment for the management and implementation of the Programme.</w:t>
      </w:r>
    </w:p>
    <w:tbl>
      <w:tblPr>
        <w:tblW w:w="9090" w:type="dxa"/>
        <w:tblInd w:w="108" w:type="dxa"/>
        <w:tblBorders>
          <w:top w:val="single" w:sz="4" w:space="0" w:color="auto"/>
          <w:bottom w:val="single" w:sz="4" w:space="0" w:color="auto"/>
        </w:tblBorders>
        <w:tblLook w:val="04A0" w:firstRow="1" w:lastRow="0" w:firstColumn="1" w:lastColumn="0" w:noHBand="0" w:noVBand="1"/>
      </w:tblPr>
      <w:tblGrid>
        <w:gridCol w:w="531"/>
        <w:gridCol w:w="8559"/>
      </w:tblGrid>
      <w:tr w:rsidR="007A2B7B" w:rsidRPr="00A81B24" w:rsidTr="007A2B7B">
        <w:tc>
          <w:tcPr>
            <w:tcW w:w="531" w:type="dxa"/>
            <w:vAlign w:val="center"/>
          </w:tcPr>
          <w:p w:rsidR="007A2B7B" w:rsidRPr="00A81B24" w:rsidRDefault="007A2B7B" w:rsidP="007A2B7B">
            <w:pPr>
              <w:pStyle w:val="BodyText"/>
              <w:spacing w:before="120" w:line="276" w:lineRule="auto"/>
              <w:jc w:val="center"/>
              <w:rPr>
                <w:rFonts w:ascii="Verdana" w:hAnsi="Verdana"/>
                <w:color w:val="548DD4"/>
                <w:sz w:val="36"/>
                <w:szCs w:val="36"/>
              </w:rPr>
            </w:pPr>
            <w:r w:rsidRPr="0099675A">
              <w:rPr>
                <w:rFonts w:ascii="Verdana" w:hAnsi="Verdana"/>
                <w:color w:val="548DD4"/>
                <w:sz w:val="36"/>
                <w:szCs w:val="36"/>
              </w:rPr>
              <w:t>?</w:t>
            </w:r>
          </w:p>
        </w:tc>
        <w:tc>
          <w:tcPr>
            <w:tcW w:w="8559" w:type="dxa"/>
            <w:shd w:val="clear" w:color="auto" w:fill="B8CCE4"/>
          </w:tcPr>
          <w:p w:rsidR="007A2B7B" w:rsidRPr="00A81B24" w:rsidRDefault="007A2B7B" w:rsidP="007A2B7B">
            <w:pPr>
              <w:autoSpaceDE w:val="0"/>
              <w:autoSpaceDN w:val="0"/>
              <w:adjustRightInd w:val="0"/>
              <w:spacing w:before="120" w:after="120"/>
              <w:rPr>
                <w:rFonts w:ascii="Verdana" w:hAnsi="Verdana"/>
                <w:sz w:val="20"/>
                <w:szCs w:val="20"/>
              </w:rPr>
            </w:pPr>
            <w:r w:rsidRPr="0099675A">
              <w:rPr>
                <w:rFonts w:ascii="Verdana" w:hAnsi="Verdana"/>
                <w:sz w:val="20"/>
                <w:szCs w:val="20"/>
              </w:rPr>
              <w:t>Capacity of Programme beneficiaries and measures envisaged to enhance it</w:t>
            </w:r>
          </w:p>
        </w:tc>
      </w:tr>
    </w:tbl>
    <w:p w:rsidR="007A2B7B" w:rsidRPr="00A81B24" w:rsidRDefault="007A2B7B" w:rsidP="007A2B7B">
      <w:pPr>
        <w:autoSpaceDE w:val="0"/>
        <w:autoSpaceDN w:val="0"/>
        <w:adjustRightInd w:val="0"/>
        <w:spacing w:before="120" w:after="120"/>
        <w:jc w:val="both"/>
        <w:rPr>
          <w:rFonts w:ascii="Verdana" w:hAnsi="Verdana"/>
          <w:sz w:val="20"/>
          <w:szCs w:val="20"/>
        </w:rPr>
      </w:pPr>
      <w:r w:rsidRPr="0099675A">
        <w:rPr>
          <w:rFonts w:ascii="Verdana" w:hAnsi="Verdana"/>
          <w:sz w:val="20"/>
          <w:szCs w:val="20"/>
        </w:rPr>
        <w:t xml:space="preserve">The capacity of the beneficiaries to develop, implement and report on the projects is of key importance for the successful Implementation of OPSESG 2014-2020. It is for this reason the Partnership </w:t>
      </w:r>
      <w:proofErr w:type="gramStart"/>
      <w:r w:rsidRPr="0099675A">
        <w:rPr>
          <w:rFonts w:ascii="Verdana" w:hAnsi="Verdana"/>
          <w:sz w:val="20"/>
          <w:szCs w:val="20"/>
        </w:rPr>
        <w:t xml:space="preserve">Agreement </w:t>
      </w:r>
      <w:r>
        <w:rPr>
          <w:rFonts w:ascii="Verdana" w:hAnsi="Verdana"/>
          <w:sz w:val="20"/>
          <w:szCs w:val="20"/>
        </w:rPr>
        <w:t xml:space="preserve"> stress</w:t>
      </w:r>
      <w:proofErr w:type="gramEnd"/>
      <w:r w:rsidRPr="0099675A">
        <w:rPr>
          <w:rFonts w:ascii="Verdana" w:hAnsi="Verdana"/>
          <w:sz w:val="20"/>
          <w:szCs w:val="20"/>
        </w:rPr>
        <w:t xml:space="preserve"> </w:t>
      </w:r>
      <w:r>
        <w:rPr>
          <w:rFonts w:ascii="Verdana" w:hAnsi="Verdana"/>
          <w:sz w:val="20"/>
          <w:szCs w:val="20"/>
        </w:rPr>
        <w:t xml:space="preserve">the need of </w:t>
      </w:r>
      <w:r w:rsidRPr="0099675A">
        <w:rPr>
          <w:rFonts w:ascii="Verdana" w:hAnsi="Verdana"/>
          <w:sz w:val="20"/>
          <w:szCs w:val="20"/>
        </w:rPr>
        <w:t xml:space="preserve"> further strengthening of the beneficiaries’ </w:t>
      </w:r>
      <w:r w:rsidRPr="0099675A">
        <w:rPr>
          <w:rFonts w:ascii="Verdana" w:hAnsi="Verdana"/>
          <w:sz w:val="20"/>
          <w:szCs w:val="20"/>
        </w:rPr>
        <w:lastRenderedPageBreak/>
        <w:t xml:space="preserve">capacity </w:t>
      </w:r>
      <w:r>
        <w:rPr>
          <w:rFonts w:ascii="Verdana" w:hAnsi="Verdana"/>
          <w:sz w:val="20"/>
          <w:szCs w:val="20"/>
        </w:rPr>
        <w:t xml:space="preserve">by familiarizing </w:t>
      </w:r>
      <w:r w:rsidRPr="0099675A">
        <w:rPr>
          <w:rFonts w:ascii="Verdana" w:hAnsi="Verdana"/>
          <w:sz w:val="20"/>
          <w:szCs w:val="20"/>
        </w:rPr>
        <w:t>them with the best practices established in the period 2007-2013 and introducing new measures and methods during the new programming period aiming to enhance their knowledge and competences. It is also important to guarantee sustainability of the existing capacity and to make efforts to overcome the existing problems and weaknesses.</w:t>
      </w:r>
    </w:p>
    <w:p w:rsidR="007A2B7B" w:rsidRPr="00A81B24" w:rsidRDefault="007A2B7B" w:rsidP="007A2B7B">
      <w:pPr>
        <w:spacing w:before="120" w:after="120"/>
        <w:jc w:val="both"/>
        <w:rPr>
          <w:rFonts w:ascii="Verdana" w:hAnsi="Verdana"/>
          <w:bCs/>
          <w:color w:val="000000"/>
          <w:spacing w:val="-9"/>
          <w:sz w:val="20"/>
          <w:szCs w:val="20"/>
        </w:rPr>
      </w:pPr>
      <w:r w:rsidRPr="0099675A">
        <w:rPr>
          <w:rFonts w:ascii="Verdana" w:hAnsi="Verdana"/>
          <w:bCs/>
          <w:color w:val="000000"/>
          <w:spacing w:val="-9"/>
          <w:sz w:val="20"/>
          <w:szCs w:val="20"/>
        </w:rPr>
        <w:t>The potential beneficiaries of OPSESG 2014 – 2020 are divided into several main groups:</w:t>
      </w:r>
    </w:p>
    <w:p w:rsidR="007A2B7B" w:rsidRPr="00A81B24" w:rsidRDefault="007A2B7B" w:rsidP="007A2B7B">
      <w:pPr>
        <w:pStyle w:val="ListParagraph"/>
        <w:numPr>
          <w:ilvl w:val="0"/>
          <w:numId w:val="70"/>
        </w:numPr>
        <w:spacing w:before="120" w:after="120"/>
        <w:jc w:val="both"/>
        <w:rPr>
          <w:rFonts w:ascii="Verdana" w:eastAsia="Times New Roman" w:hAnsi="Verdana"/>
          <w:sz w:val="20"/>
          <w:szCs w:val="20"/>
          <w:lang w:eastAsia="ja-JP"/>
        </w:rPr>
      </w:pPr>
      <w:r w:rsidRPr="0099675A">
        <w:rPr>
          <w:rFonts w:ascii="Verdana" w:hAnsi="Verdana"/>
          <w:bCs/>
          <w:color w:val="000000"/>
          <w:spacing w:val="-9"/>
          <w:sz w:val="20"/>
          <w:szCs w:val="20"/>
        </w:rPr>
        <w:t>State institutions;</w:t>
      </w:r>
    </w:p>
    <w:p w:rsidR="007A2B7B" w:rsidRPr="00A81B24" w:rsidRDefault="007A2B7B" w:rsidP="007A2B7B">
      <w:pPr>
        <w:pStyle w:val="ListParagraph"/>
        <w:numPr>
          <w:ilvl w:val="0"/>
          <w:numId w:val="70"/>
        </w:numPr>
        <w:spacing w:before="120" w:after="120"/>
        <w:jc w:val="both"/>
        <w:rPr>
          <w:rFonts w:ascii="Verdana" w:hAnsi="Verdana"/>
          <w:bCs/>
          <w:color w:val="000000"/>
          <w:spacing w:val="-9"/>
          <w:sz w:val="20"/>
          <w:szCs w:val="20"/>
        </w:rPr>
      </w:pPr>
      <w:r w:rsidRPr="0099675A">
        <w:rPr>
          <w:rFonts w:ascii="Verdana" w:hAnsi="Verdana"/>
          <w:bCs/>
          <w:color w:val="000000"/>
          <w:spacing w:val="-9"/>
          <w:sz w:val="20"/>
          <w:szCs w:val="20"/>
        </w:rPr>
        <w:t>Scientific organizations (</w:t>
      </w:r>
      <w:r>
        <w:rPr>
          <w:rFonts w:ascii="Verdana" w:hAnsi="Verdana"/>
          <w:bCs/>
          <w:color w:val="000000"/>
          <w:spacing w:val="-9"/>
          <w:sz w:val="20"/>
          <w:szCs w:val="20"/>
        </w:rPr>
        <w:t xml:space="preserve"> incl.</w:t>
      </w:r>
      <w:r w:rsidRPr="0099675A">
        <w:rPr>
          <w:rFonts w:ascii="Verdana" w:hAnsi="Verdana"/>
          <w:bCs/>
          <w:color w:val="000000"/>
          <w:spacing w:val="-9"/>
          <w:sz w:val="20"/>
          <w:szCs w:val="20"/>
        </w:rPr>
        <w:t xml:space="preserve"> BAS and AA), research institutes, higher schools and/or their </w:t>
      </w:r>
      <w:r>
        <w:rPr>
          <w:rFonts w:ascii="Verdana" w:hAnsi="Verdana"/>
          <w:bCs/>
          <w:color w:val="000000"/>
          <w:spacing w:val="-9"/>
          <w:sz w:val="20"/>
          <w:szCs w:val="20"/>
        </w:rPr>
        <w:t xml:space="preserve">main </w:t>
      </w:r>
      <w:r w:rsidRPr="0099675A">
        <w:rPr>
          <w:rFonts w:ascii="Verdana" w:hAnsi="Verdana"/>
          <w:bCs/>
          <w:color w:val="000000"/>
          <w:spacing w:val="-9"/>
          <w:sz w:val="20"/>
          <w:szCs w:val="20"/>
        </w:rPr>
        <w:t xml:space="preserve">structures; </w:t>
      </w:r>
    </w:p>
    <w:p w:rsidR="007A2B7B" w:rsidRPr="00A81B24" w:rsidRDefault="007A2B7B" w:rsidP="007A2B7B">
      <w:pPr>
        <w:pStyle w:val="ListParagraph"/>
        <w:numPr>
          <w:ilvl w:val="0"/>
          <w:numId w:val="70"/>
        </w:numPr>
        <w:spacing w:before="120" w:after="120"/>
        <w:jc w:val="both"/>
        <w:rPr>
          <w:rFonts w:ascii="Verdana" w:hAnsi="Verdana"/>
          <w:bCs/>
          <w:color w:val="000000"/>
          <w:spacing w:val="-9"/>
          <w:sz w:val="20"/>
          <w:szCs w:val="20"/>
        </w:rPr>
      </w:pPr>
      <w:r w:rsidRPr="0099675A">
        <w:rPr>
          <w:rFonts w:ascii="Verdana" w:hAnsi="Verdana"/>
          <w:bCs/>
          <w:color w:val="000000"/>
          <w:spacing w:val="-9"/>
          <w:sz w:val="20"/>
          <w:szCs w:val="20"/>
        </w:rPr>
        <w:t>Kindergartens, schools, community culture centres, resource centres;</w:t>
      </w:r>
    </w:p>
    <w:p w:rsidR="007A2B7B" w:rsidRPr="00A81B24" w:rsidRDefault="007A2B7B" w:rsidP="007A2B7B">
      <w:pPr>
        <w:pStyle w:val="ListParagraph"/>
        <w:numPr>
          <w:ilvl w:val="0"/>
          <w:numId w:val="70"/>
        </w:numPr>
        <w:spacing w:before="120" w:after="120"/>
        <w:jc w:val="both"/>
        <w:rPr>
          <w:rFonts w:ascii="Verdana" w:hAnsi="Verdana"/>
          <w:bCs/>
          <w:color w:val="000000"/>
          <w:spacing w:val="-9"/>
          <w:sz w:val="20"/>
          <w:szCs w:val="20"/>
        </w:rPr>
      </w:pPr>
      <w:r w:rsidRPr="0099675A">
        <w:rPr>
          <w:rFonts w:ascii="Verdana" w:hAnsi="Verdana"/>
          <w:bCs/>
          <w:color w:val="000000"/>
          <w:spacing w:val="-9"/>
          <w:sz w:val="20"/>
          <w:szCs w:val="20"/>
        </w:rPr>
        <w:t>Municipalities;</w:t>
      </w:r>
    </w:p>
    <w:p w:rsidR="007A2B7B" w:rsidRPr="00A81B24" w:rsidRDefault="007A2B7B" w:rsidP="007A2B7B">
      <w:pPr>
        <w:pStyle w:val="ListParagraph"/>
        <w:numPr>
          <w:ilvl w:val="0"/>
          <w:numId w:val="70"/>
        </w:numPr>
        <w:spacing w:before="120" w:after="120"/>
        <w:jc w:val="both"/>
        <w:rPr>
          <w:rFonts w:ascii="Verdana" w:hAnsi="Verdana"/>
          <w:bCs/>
          <w:color w:val="000000"/>
          <w:spacing w:val="-9"/>
          <w:sz w:val="20"/>
          <w:szCs w:val="20"/>
        </w:rPr>
      </w:pPr>
      <w:r w:rsidRPr="0099675A">
        <w:rPr>
          <w:rFonts w:ascii="Verdana" w:hAnsi="Verdana"/>
          <w:bCs/>
          <w:color w:val="000000"/>
          <w:spacing w:val="-9"/>
          <w:sz w:val="20"/>
          <w:szCs w:val="20"/>
        </w:rPr>
        <w:t>Businesses;</w:t>
      </w:r>
    </w:p>
    <w:p w:rsidR="007A2B7B" w:rsidRPr="00A81B24" w:rsidRDefault="007A2B7B" w:rsidP="007A2B7B">
      <w:pPr>
        <w:pStyle w:val="ListParagraph"/>
        <w:numPr>
          <w:ilvl w:val="0"/>
          <w:numId w:val="70"/>
        </w:numPr>
        <w:spacing w:before="120" w:after="120"/>
        <w:jc w:val="both"/>
        <w:rPr>
          <w:rFonts w:ascii="Verdana" w:hAnsi="Verdana"/>
          <w:bCs/>
          <w:color w:val="000000"/>
          <w:spacing w:val="-9"/>
          <w:sz w:val="20"/>
          <w:szCs w:val="20"/>
        </w:rPr>
      </w:pPr>
      <w:r w:rsidRPr="0099675A">
        <w:rPr>
          <w:rFonts w:ascii="Verdana" w:hAnsi="Verdana"/>
          <w:bCs/>
          <w:color w:val="000000"/>
          <w:spacing w:val="-9"/>
          <w:sz w:val="20"/>
          <w:szCs w:val="20"/>
        </w:rPr>
        <w:t>NGOs.</w:t>
      </w:r>
    </w:p>
    <w:p w:rsidR="007A2B7B" w:rsidRPr="00A81B24" w:rsidRDefault="007A2B7B" w:rsidP="007A2B7B">
      <w:pPr>
        <w:spacing w:before="120" w:after="120"/>
        <w:jc w:val="both"/>
        <w:rPr>
          <w:rFonts w:ascii="Verdana" w:hAnsi="Verdana"/>
          <w:bCs/>
          <w:color w:val="000000"/>
          <w:spacing w:val="-9"/>
          <w:sz w:val="20"/>
          <w:szCs w:val="20"/>
        </w:rPr>
      </w:pPr>
      <w:r>
        <w:rPr>
          <w:rFonts w:ascii="Verdana" w:hAnsi="Verdana"/>
          <w:bCs/>
          <w:color w:val="000000"/>
          <w:spacing w:val="-9"/>
          <w:sz w:val="20"/>
          <w:szCs w:val="20"/>
        </w:rPr>
        <w:t xml:space="preserve">Before each of the above mentioned groups lies </w:t>
      </w:r>
      <w:proofErr w:type="gramStart"/>
      <w:r>
        <w:rPr>
          <w:rFonts w:ascii="Verdana" w:hAnsi="Verdana"/>
          <w:bCs/>
          <w:color w:val="000000"/>
          <w:spacing w:val="-9"/>
          <w:sz w:val="20"/>
          <w:szCs w:val="20"/>
        </w:rPr>
        <w:t xml:space="preserve">specific </w:t>
      </w:r>
      <w:r w:rsidRPr="0099675A">
        <w:rPr>
          <w:rFonts w:ascii="Verdana" w:hAnsi="Verdana"/>
          <w:bCs/>
          <w:color w:val="000000"/>
          <w:spacing w:val="-9"/>
          <w:sz w:val="20"/>
          <w:szCs w:val="20"/>
        </w:rPr>
        <w:t xml:space="preserve"> challenges</w:t>
      </w:r>
      <w:proofErr w:type="gramEnd"/>
      <w:r w:rsidRPr="0099675A">
        <w:rPr>
          <w:rFonts w:ascii="Verdana" w:hAnsi="Verdana"/>
          <w:bCs/>
          <w:color w:val="000000"/>
          <w:spacing w:val="-9"/>
          <w:sz w:val="20"/>
          <w:szCs w:val="20"/>
        </w:rPr>
        <w:t xml:space="preserve"> in </w:t>
      </w:r>
      <w:r>
        <w:rPr>
          <w:rFonts w:ascii="Verdana" w:hAnsi="Verdana"/>
          <w:bCs/>
          <w:color w:val="000000"/>
          <w:spacing w:val="-9"/>
          <w:sz w:val="20"/>
          <w:szCs w:val="20"/>
        </w:rPr>
        <w:t xml:space="preserve"> the </w:t>
      </w:r>
      <w:r w:rsidRPr="0099675A">
        <w:rPr>
          <w:rFonts w:ascii="Verdana" w:hAnsi="Verdana"/>
          <w:bCs/>
          <w:color w:val="000000"/>
          <w:spacing w:val="-9"/>
          <w:sz w:val="20"/>
          <w:szCs w:val="20"/>
        </w:rPr>
        <w:t xml:space="preserve">absorption of </w:t>
      </w:r>
      <w:r>
        <w:rPr>
          <w:rFonts w:ascii="Verdana" w:hAnsi="Verdana"/>
          <w:bCs/>
          <w:color w:val="000000"/>
          <w:spacing w:val="-9"/>
          <w:sz w:val="20"/>
          <w:szCs w:val="20"/>
        </w:rPr>
        <w:t>provided</w:t>
      </w:r>
      <w:r w:rsidRPr="0099675A">
        <w:rPr>
          <w:rFonts w:ascii="Verdana" w:hAnsi="Verdana"/>
          <w:bCs/>
          <w:color w:val="000000"/>
          <w:spacing w:val="-9"/>
          <w:sz w:val="20"/>
          <w:szCs w:val="20"/>
        </w:rPr>
        <w:t xml:space="preserve"> funds, there </w:t>
      </w:r>
      <w:r>
        <w:rPr>
          <w:rFonts w:ascii="Verdana" w:hAnsi="Verdana"/>
          <w:bCs/>
          <w:color w:val="000000"/>
          <w:spacing w:val="-9"/>
          <w:sz w:val="20"/>
          <w:szCs w:val="20"/>
        </w:rPr>
        <w:t>are</w:t>
      </w:r>
      <w:r w:rsidRPr="0099675A">
        <w:rPr>
          <w:rFonts w:ascii="Verdana" w:hAnsi="Verdana"/>
          <w:bCs/>
          <w:color w:val="000000"/>
          <w:spacing w:val="-9"/>
          <w:sz w:val="20"/>
          <w:szCs w:val="20"/>
        </w:rPr>
        <w:t xml:space="preserve"> common problems, associated with their capacity to develop and implement projects. The specific </w:t>
      </w:r>
      <w:r>
        <w:rPr>
          <w:rFonts w:ascii="Verdana" w:hAnsi="Verdana"/>
          <w:bCs/>
          <w:color w:val="000000"/>
          <w:spacing w:val="-9"/>
          <w:sz w:val="20"/>
          <w:szCs w:val="20"/>
        </w:rPr>
        <w:t>characteristics</w:t>
      </w:r>
      <w:r w:rsidRPr="0099675A">
        <w:rPr>
          <w:rFonts w:ascii="Verdana" w:hAnsi="Verdana"/>
          <w:bCs/>
          <w:color w:val="000000"/>
          <w:spacing w:val="-9"/>
          <w:sz w:val="20"/>
          <w:szCs w:val="20"/>
        </w:rPr>
        <w:t xml:space="preserve"> of each group of beneficiaries are presented below:</w:t>
      </w:r>
    </w:p>
    <w:p w:rsidR="007A2B7B" w:rsidRPr="00A81B24" w:rsidRDefault="007A2B7B" w:rsidP="007A2B7B">
      <w:pPr>
        <w:spacing w:before="120" w:after="120"/>
        <w:jc w:val="both"/>
        <w:rPr>
          <w:rFonts w:ascii="Verdana" w:hAnsi="Verdana"/>
          <w:bCs/>
          <w:color w:val="000000"/>
          <w:spacing w:val="-9"/>
          <w:sz w:val="20"/>
          <w:szCs w:val="20"/>
        </w:rPr>
      </w:pPr>
      <w:r w:rsidRPr="0099675A">
        <w:rPr>
          <w:rFonts w:ascii="Verdana" w:hAnsi="Verdana"/>
          <w:b/>
          <w:bCs/>
          <w:color w:val="548DD4" w:themeColor="text2" w:themeTint="99"/>
          <w:spacing w:val="-9"/>
          <w:sz w:val="20"/>
          <w:szCs w:val="20"/>
        </w:rPr>
        <w:t>State institutions</w:t>
      </w:r>
      <w:r w:rsidRPr="0099675A">
        <w:rPr>
          <w:rFonts w:ascii="Verdana" w:hAnsi="Verdana"/>
          <w:bCs/>
          <w:color w:val="000000"/>
          <w:spacing w:val="-9"/>
          <w:sz w:val="20"/>
          <w:szCs w:val="20"/>
        </w:rPr>
        <w:t xml:space="preserve"> – insufficient skills </w:t>
      </w:r>
      <w:r>
        <w:rPr>
          <w:rFonts w:ascii="Verdana" w:hAnsi="Verdana"/>
          <w:bCs/>
          <w:color w:val="000000"/>
          <w:spacing w:val="-9"/>
          <w:sz w:val="20"/>
          <w:szCs w:val="20"/>
        </w:rPr>
        <w:t xml:space="preserve">to plan and identify </w:t>
      </w:r>
      <w:r w:rsidRPr="0099675A">
        <w:rPr>
          <w:rFonts w:ascii="Verdana" w:hAnsi="Verdana"/>
          <w:bCs/>
          <w:color w:val="000000"/>
          <w:spacing w:val="-9"/>
          <w:sz w:val="20"/>
          <w:szCs w:val="20"/>
        </w:rPr>
        <w:t xml:space="preserve">measures and policies which needs support under the Operational Programme; lack of skills for project preparation, which results in unrealistic </w:t>
      </w:r>
      <w:r>
        <w:rPr>
          <w:rFonts w:ascii="Verdana" w:hAnsi="Verdana"/>
          <w:bCs/>
          <w:color w:val="000000"/>
          <w:spacing w:val="-9"/>
          <w:sz w:val="20"/>
          <w:szCs w:val="20"/>
        </w:rPr>
        <w:t xml:space="preserve">selection or quantification of results and indicators </w:t>
      </w:r>
      <w:r w:rsidRPr="0099675A">
        <w:rPr>
          <w:rFonts w:ascii="Verdana" w:hAnsi="Verdana"/>
          <w:bCs/>
          <w:color w:val="000000"/>
          <w:spacing w:val="-9"/>
          <w:sz w:val="20"/>
          <w:szCs w:val="20"/>
        </w:rPr>
        <w:t>; heavy workload of the employees who have to perform their tasks as employees of the respective institutions in parallel with additional tasks</w:t>
      </w:r>
      <w:r>
        <w:rPr>
          <w:rFonts w:ascii="Verdana" w:hAnsi="Verdana"/>
          <w:bCs/>
          <w:color w:val="000000"/>
          <w:spacing w:val="-9"/>
          <w:sz w:val="20"/>
          <w:szCs w:val="20"/>
        </w:rPr>
        <w:t xml:space="preserve"> such as </w:t>
      </w:r>
      <w:r w:rsidRPr="0099675A">
        <w:rPr>
          <w:rFonts w:ascii="Verdana" w:hAnsi="Verdana"/>
          <w:bCs/>
          <w:color w:val="000000"/>
          <w:spacing w:val="-9"/>
          <w:sz w:val="20"/>
          <w:szCs w:val="20"/>
        </w:rPr>
        <w:t xml:space="preserve">coordination and implementation of project activities, for which they do not receive adequate remuneration; poor knowledge of the legal framework for project implementation, including rules </w:t>
      </w:r>
      <w:r>
        <w:rPr>
          <w:rFonts w:ascii="Verdana" w:hAnsi="Verdana"/>
          <w:bCs/>
          <w:color w:val="000000"/>
          <w:spacing w:val="-9"/>
          <w:sz w:val="20"/>
          <w:szCs w:val="20"/>
        </w:rPr>
        <w:t>on reporting</w:t>
      </w:r>
      <w:r w:rsidRPr="0099675A">
        <w:rPr>
          <w:rFonts w:ascii="Verdana" w:hAnsi="Verdana"/>
          <w:bCs/>
          <w:color w:val="000000"/>
          <w:spacing w:val="-9"/>
          <w:sz w:val="20"/>
          <w:szCs w:val="20"/>
        </w:rPr>
        <w:t xml:space="preserve"> and verification of expenses; lack of experience </w:t>
      </w:r>
      <w:r>
        <w:rPr>
          <w:rFonts w:ascii="Verdana" w:hAnsi="Verdana"/>
          <w:bCs/>
          <w:color w:val="000000"/>
          <w:spacing w:val="-9"/>
          <w:sz w:val="20"/>
          <w:szCs w:val="20"/>
        </w:rPr>
        <w:t>in</w:t>
      </w:r>
      <w:r w:rsidRPr="0099675A">
        <w:rPr>
          <w:rFonts w:ascii="Verdana" w:hAnsi="Verdana"/>
          <w:bCs/>
          <w:color w:val="000000"/>
          <w:spacing w:val="-9"/>
          <w:sz w:val="20"/>
          <w:szCs w:val="20"/>
        </w:rPr>
        <w:t xml:space="preserve"> the preparation and </w:t>
      </w:r>
      <w:r>
        <w:rPr>
          <w:rFonts w:ascii="Verdana" w:hAnsi="Verdana"/>
          <w:bCs/>
          <w:color w:val="000000"/>
          <w:spacing w:val="-9"/>
          <w:sz w:val="20"/>
          <w:szCs w:val="20"/>
        </w:rPr>
        <w:t xml:space="preserve">implementation </w:t>
      </w:r>
      <w:r w:rsidRPr="0099675A">
        <w:rPr>
          <w:rFonts w:ascii="Verdana" w:hAnsi="Verdana"/>
          <w:bCs/>
          <w:color w:val="000000"/>
          <w:spacing w:val="-9"/>
          <w:sz w:val="20"/>
          <w:szCs w:val="20"/>
        </w:rPr>
        <w:t xml:space="preserve"> of procedures for selection of contractors, which often results in termination or extension of the procedures and causes delays in the overall implementation of the projects.</w:t>
      </w:r>
      <w:r w:rsidRPr="00A81B24">
        <w:rPr>
          <w:rStyle w:val="FootnoteReference"/>
          <w:rFonts w:ascii="Verdana" w:hAnsi="Verdana"/>
          <w:bCs/>
          <w:color w:val="000000"/>
          <w:spacing w:val="-9"/>
          <w:sz w:val="20"/>
          <w:szCs w:val="20"/>
        </w:rPr>
        <w:footnoteReference w:id="10"/>
      </w:r>
    </w:p>
    <w:p w:rsidR="007A2B7B" w:rsidRPr="00A81B24" w:rsidRDefault="007A2B7B" w:rsidP="007A2B7B">
      <w:pPr>
        <w:spacing w:before="120" w:after="120"/>
        <w:jc w:val="both"/>
        <w:rPr>
          <w:rFonts w:ascii="Verdana" w:hAnsi="Verdana"/>
          <w:bCs/>
          <w:spacing w:val="-9"/>
          <w:sz w:val="20"/>
          <w:szCs w:val="20"/>
        </w:rPr>
      </w:pPr>
      <w:r w:rsidRPr="0099675A">
        <w:rPr>
          <w:rFonts w:ascii="Verdana" w:hAnsi="Verdana"/>
          <w:b/>
          <w:bCs/>
          <w:color w:val="548DD4" w:themeColor="text2" w:themeTint="99"/>
          <w:spacing w:val="-9"/>
          <w:sz w:val="20"/>
          <w:szCs w:val="20"/>
        </w:rPr>
        <w:t xml:space="preserve">Scientific organizations, scientific institutes, higher schools and/or their main structures </w:t>
      </w:r>
      <w:r w:rsidRPr="0099675A">
        <w:rPr>
          <w:rFonts w:ascii="Verdana" w:hAnsi="Verdana"/>
          <w:bCs/>
          <w:spacing w:val="-9"/>
          <w:sz w:val="20"/>
          <w:szCs w:val="20"/>
        </w:rPr>
        <w:t xml:space="preserve">will be among the </w:t>
      </w:r>
      <w:r>
        <w:rPr>
          <w:rFonts w:ascii="Verdana" w:hAnsi="Verdana"/>
          <w:bCs/>
          <w:spacing w:val="-9"/>
          <w:sz w:val="20"/>
          <w:szCs w:val="20"/>
        </w:rPr>
        <w:t>main</w:t>
      </w:r>
      <w:r w:rsidRPr="0099675A">
        <w:rPr>
          <w:rFonts w:ascii="Verdana" w:hAnsi="Verdana"/>
          <w:bCs/>
          <w:spacing w:val="-9"/>
          <w:sz w:val="20"/>
          <w:szCs w:val="20"/>
        </w:rPr>
        <w:t xml:space="preserve"> beneficiaries of OPSESG 2014 – 2020. During the current programming period the scientific organizations have accumulated significant experience since some of their structures have implemented over 10 projects, financed under different OPs.  These institutions have </w:t>
      </w:r>
      <w:r>
        <w:rPr>
          <w:rFonts w:ascii="Verdana" w:hAnsi="Verdana"/>
          <w:bCs/>
          <w:spacing w:val="-9"/>
          <w:sz w:val="20"/>
          <w:szCs w:val="20"/>
        </w:rPr>
        <w:t xml:space="preserve">sufficient </w:t>
      </w:r>
      <w:r w:rsidRPr="0099675A">
        <w:rPr>
          <w:rFonts w:ascii="Verdana" w:hAnsi="Verdana"/>
          <w:bCs/>
          <w:spacing w:val="-9"/>
          <w:sz w:val="20"/>
          <w:szCs w:val="20"/>
        </w:rPr>
        <w:t xml:space="preserve">experience of preparation and implementation of projects, </w:t>
      </w:r>
      <w:r>
        <w:rPr>
          <w:rFonts w:ascii="Verdana" w:hAnsi="Verdana"/>
          <w:bCs/>
          <w:spacing w:val="-9"/>
          <w:sz w:val="20"/>
          <w:szCs w:val="20"/>
        </w:rPr>
        <w:t>since they take part</w:t>
      </w:r>
      <w:r w:rsidRPr="0099675A">
        <w:rPr>
          <w:rFonts w:ascii="Verdana" w:hAnsi="Verdana"/>
          <w:bCs/>
          <w:spacing w:val="-9"/>
          <w:sz w:val="20"/>
          <w:szCs w:val="20"/>
        </w:rPr>
        <w:t xml:space="preserve"> in different national (Fund Scientific Research) European (Seventh Framework programme, Competitiveness and Innovations, etc.) and international </w:t>
      </w:r>
      <w:r>
        <w:rPr>
          <w:rFonts w:ascii="Verdana" w:hAnsi="Verdana"/>
          <w:bCs/>
          <w:spacing w:val="-9"/>
          <w:sz w:val="20"/>
          <w:szCs w:val="20"/>
        </w:rPr>
        <w:t xml:space="preserve">funding </w:t>
      </w:r>
      <w:r w:rsidRPr="0099675A">
        <w:rPr>
          <w:rFonts w:ascii="Verdana" w:hAnsi="Verdana"/>
          <w:bCs/>
          <w:spacing w:val="-9"/>
          <w:sz w:val="20"/>
          <w:szCs w:val="20"/>
        </w:rPr>
        <w:t xml:space="preserve">programmes. </w:t>
      </w:r>
      <w:r>
        <w:rPr>
          <w:rFonts w:ascii="Verdana" w:hAnsi="Verdana"/>
          <w:bCs/>
          <w:spacing w:val="-9"/>
          <w:sz w:val="20"/>
          <w:szCs w:val="20"/>
        </w:rPr>
        <w:t>Due to</w:t>
      </w:r>
      <w:r w:rsidRPr="0099675A">
        <w:rPr>
          <w:rFonts w:ascii="Verdana" w:hAnsi="Verdana"/>
          <w:bCs/>
          <w:spacing w:val="-9"/>
          <w:sz w:val="20"/>
          <w:szCs w:val="20"/>
        </w:rPr>
        <w:t xml:space="preserve"> their participation in other programmes these organizations </w:t>
      </w:r>
      <w:r>
        <w:rPr>
          <w:rFonts w:ascii="Verdana" w:hAnsi="Verdana"/>
          <w:bCs/>
          <w:spacing w:val="-9"/>
          <w:sz w:val="20"/>
          <w:szCs w:val="20"/>
        </w:rPr>
        <w:t>could compare</w:t>
      </w:r>
      <w:r w:rsidRPr="0099675A">
        <w:rPr>
          <w:rFonts w:ascii="Verdana" w:hAnsi="Verdana"/>
          <w:bCs/>
          <w:spacing w:val="-9"/>
          <w:sz w:val="20"/>
          <w:szCs w:val="20"/>
        </w:rPr>
        <w:t xml:space="preserve"> between the rules for application and implementation of projects and they </w:t>
      </w:r>
      <w:r>
        <w:rPr>
          <w:rFonts w:ascii="Verdana" w:hAnsi="Verdana"/>
          <w:bCs/>
          <w:spacing w:val="-9"/>
          <w:sz w:val="20"/>
          <w:szCs w:val="20"/>
        </w:rPr>
        <w:t>consider</w:t>
      </w:r>
      <w:r w:rsidRPr="0099675A">
        <w:rPr>
          <w:rFonts w:ascii="Verdana" w:hAnsi="Verdana"/>
          <w:bCs/>
          <w:spacing w:val="-9"/>
          <w:sz w:val="20"/>
          <w:szCs w:val="20"/>
        </w:rPr>
        <w:t xml:space="preserve"> that the rules for the operational programmes in Bulgaria are too bureaucratic, constantly </w:t>
      </w:r>
      <w:r>
        <w:rPr>
          <w:rFonts w:ascii="Verdana" w:hAnsi="Verdana"/>
          <w:bCs/>
          <w:spacing w:val="-9"/>
          <w:sz w:val="20"/>
          <w:szCs w:val="20"/>
        </w:rPr>
        <w:t xml:space="preserve">subject to change </w:t>
      </w:r>
      <w:r w:rsidRPr="0099675A">
        <w:rPr>
          <w:rFonts w:ascii="Verdana" w:hAnsi="Verdana"/>
          <w:bCs/>
          <w:spacing w:val="-9"/>
          <w:sz w:val="20"/>
          <w:szCs w:val="20"/>
        </w:rPr>
        <w:t xml:space="preserve">, </w:t>
      </w:r>
      <w:r>
        <w:rPr>
          <w:rFonts w:ascii="Verdana" w:hAnsi="Verdana"/>
          <w:bCs/>
          <w:spacing w:val="-9"/>
          <w:sz w:val="20"/>
          <w:szCs w:val="20"/>
        </w:rPr>
        <w:t xml:space="preserve">given deadlines are not met </w:t>
      </w:r>
      <w:r w:rsidRPr="0099675A">
        <w:rPr>
          <w:rFonts w:ascii="Verdana" w:hAnsi="Verdana"/>
          <w:bCs/>
          <w:spacing w:val="-9"/>
          <w:sz w:val="20"/>
          <w:szCs w:val="20"/>
        </w:rPr>
        <w:t xml:space="preserve">, the project managers at the financing institution do not provide clear opinions, the project activities </w:t>
      </w:r>
      <w:r>
        <w:rPr>
          <w:rFonts w:ascii="Verdana" w:hAnsi="Verdana"/>
          <w:bCs/>
          <w:spacing w:val="-9"/>
          <w:sz w:val="20"/>
          <w:szCs w:val="20"/>
        </w:rPr>
        <w:t xml:space="preserve">should </w:t>
      </w:r>
      <w:r w:rsidRPr="0099675A">
        <w:rPr>
          <w:rFonts w:ascii="Verdana" w:hAnsi="Verdana"/>
          <w:bCs/>
          <w:spacing w:val="-9"/>
          <w:sz w:val="20"/>
          <w:szCs w:val="20"/>
        </w:rPr>
        <w:t xml:space="preserve"> be reported too often, which does not lead to more efficient management of the projects, on the contrary – creates difficulties. The internal organization and rules quite often create difficulties for these organizations to </w:t>
      </w:r>
      <w:r w:rsidRPr="00790E51">
        <w:rPr>
          <w:rFonts w:ascii="Verdana" w:hAnsi="Verdana"/>
          <w:bCs/>
          <w:spacing w:val="-9"/>
          <w:sz w:val="20"/>
          <w:szCs w:val="20"/>
        </w:rPr>
        <w:t xml:space="preserve">actively </w:t>
      </w:r>
      <w:r w:rsidRPr="0099675A">
        <w:rPr>
          <w:rFonts w:ascii="Verdana" w:hAnsi="Verdana"/>
          <w:bCs/>
          <w:spacing w:val="-9"/>
          <w:sz w:val="20"/>
          <w:szCs w:val="20"/>
        </w:rPr>
        <w:t xml:space="preserve">participate in the absorption of funds, because it takes </w:t>
      </w:r>
      <w:r w:rsidRPr="0099675A">
        <w:rPr>
          <w:rFonts w:ascii="Verdana" w:hAnsi="Verdana"/>
          <w:bCs/>
          <w:spacing w:val="-9"/>
          <w:sz w:val="20"/>
          <w:szCs w:val="20"/>
        </w:rPr>
        <w:lastRenderedPageBreak/>
        <w:t xml:space="preserve">more time to </w:t>
      </w:r>
      <w:r>
        <w:rPr>
          <w:rFonts w:ascii="Verdana" w:hAnsi="Verdana"/>
          <w:bCs/>
          <w:spacing w:val="-9"/>
          <w:sz w:val="20"/>
          <w:szCs w:val="20"/>
        </w:rPr>
        <w:t>take</w:t>
      </w:r>
      <w:r w:rsidRPr="0099675A">
        <w:rPr>
          <w:rFonts w:ascii="Verdana" w:hAnsi="Verdana"/>
          <w:bCs/>
          <w:spacing w:val="-9"/>
          <w:sz w:val="20"/>
          <w:szCs w:val="20"/>
        </w:rPr>
        <w:t xml:space="preserve"> the decisions and coordinate project activities between the different units of the scientific organizations. </w:t>
      </w:r>
    </w:p>
    <w:p w:rsidR="007A2B7B" w:rsidRPr="00A81B24" w:rsidRDefault="007A2B7B" w:rsidP="007A2B7B">
      <w:pPr>
        <w:spacing w:before="120" w:after="120"/>
        <w:jc w:val="both"/>
        <w:rPr>
          <w:rFonts w:ascii="Verdana" w:hAnsi="Verdana"/>
          <w:bCs/>
          <w:spacing w:val="-9"/>
          <w:sz w:val="20"/>
          <w:szCs w:val="20"/>
        </w:rPr>
      </w:pPr>
      <w:r w:rsidRPr="0099675A">
        <w:rPr>
          <w:rFonts w:ascii="Verdana" w:hAnsi="Verdana"/>
          <w:b/>
          <w:bCs/>
          <w:color w:val="548DD4" w:themeColor="text2" w:themeTint="99"/>
          <w:spacing w:val="-9"/>
          <w:sz w:val="20"/>
          <w:szCs w:val="20"/>
        </w:rPr>
        <w:t>Kindergartens, schools, community culture centres (“</w:t>
      </w:r>
      <w:proofErr w:type="spellStart"/>
      <w:r w:rsidRPr="0099675A">
        <w:rPr>
          <w:rFonts w:ascii="Verdana" w:hAnsi="Verdana"/>
          <w:b/>
          <w:bCs/>
          <w:color w:val="548DD4" w:themeColor="text2" w:themeTint="99"/>
          <w:spacing w:val="-9"/>
          <w:sz w:val="20"/>
          <w:szCs w:val="20"/>
        </w:rPr>
        <w:t>chitalishte</w:t>
      </w:r>
      <w:proofErr w:type="spellEnd"/>
      <w:r w:rsidRPr="0099675A">
        <w:rPr>
          <w:rFonts w:ascii="Verdana" w:hAnsi="Verdana"/>
          <w:b/>
          <w:bCs/>
          <w:color w:val="548DD4" w:themeColor="text2" w:themeTint="99"/>
          <w:spacing w:val="-9"/>
          <w:sz w:val="20"/>
          <w:szCs w:val="20"/>
        </w:rPr>
        <w:t xml:space="preserve">”) and resource centres </w:t>
      </w:r>
      <w:r w:rsidRPr="0099675A">
        <w:rPr>
          <w:rFonts w:ascii="Verdana" w:hAnsi="Verdana"/>
          <w:bCs/>
          <w:spacing w:val="-9"/>
          <w:sz w:val="20"/>
          <w:szCs w:val="20"/>
        </w:rPr>
        <w:t>are</w:t>
      </w:r>
      <w:r>
        <w:rPr>
          <w:rFonts w:ascii="Verdana" w:hAnsi="Verdana"/>
          <w:bCs/>
          <w:spacing w:val="-9"/>
          <w:sz w:val="20"/>
          <w:szCs w:val="20"/>
        </w:rPr>
        <w:t xml:space="preserve"> the other main </w:t>
      </w:r>
      <w:r w:rsidRPr="0099675A">
        <w:rPr>
          <w:rFonts w:ascii="Verdana" w:hAnsi="Verdana"/>
          <w:bCs/>
          <w:spacing w:val="-9"/>
          <w:sz w:val="20"/>
          <w:szCs w:val="20"/>
        </w:rPr>
        <w:t>group of beneficiaries</w:t>
      </w:r>
      <w:r>
        <w:rPr>
          <w:rFonts w:ascii="Verdana" w:hAnsi="Verdana"/>
          <w:bCs/>
          <w:spacing w:val="-9"/>
          <w:sz w:val="20"/>
          <w:szCs w:val="20"/>
        </w:rPr>
        <w:t xml:space="preserve"> under</w:t>
      </w:r>
      <w:r w:rsidRPr="0099675A">
        <w:rPr>
          <w:rFonts w:ascii="Verdana" w:hAnsi="Verdana"/>
          <w:bCs/>
          <w:spacing w:val="-9"/>
          <w:sz w:val="20"/>
          <w:szCs w:val="20"/>
        </w:rPr>
        <w:t xml:space="preserve"> OPSESG 2014 – 2020. They have also </w:t>
      </w:r>
      <w:r w:rsidRPr="006020BA">
        <w:rPr>
          <w:rFonts w:ascii="Verdana" w:hAnsi="Verdana"/>
          <w:bCs/>
          <w:spacing w:val="-9"/>
          <w:sz w:val="20"/>
          <w:szCs w:val="20"/>
        </w:rPr>
        <w:t xml:space="preserve">actively </w:t>
      </w:r>
      <w:r w:rsidRPr="0099675A">
        <w:rPr>
          <w:rFonts w:ascii="Verdana" w:hAnsi="Verdana"/>
          <w:bCs/>
          <w:spacing w:val="-9"/>
          <w:sz w:val="20"/>
          <w:szCs w:val="20"/>
        </w:rPr>
        <w:t xml:space="preserve">participated in OPHRD 2007 – 2013 and have accumulated experience and capacity in project development and implementation. The main difficulties which they have identified </w:t>
      </w:r>
      <w:r>
        <w:rPr>
          <w:rFonts w:ascii="Verdana" w:hAnsi="Verdana"/>
          <w:bCs/>
          <w:spacing w:val="-9"/>
          <w:sz w:val="20"/>
          <w:szCs w:val="20"/>
        </w:rPr>
        <w:t>is the excessive amount of time  spent on</w:t>
      </w:r>
      <w:r w:rsidRPr="0099675A">
        <w:rPr>
          <w:rFonts w:ascii="Verdana" w:hAnsi="Verdana"/>
          <w:bCs/>
          <w:spacing w:val="-9"/>
          <w:sz w:val="20"/>
          <w:szCs w:val="20"/>
        </w:rPr>
        <w:t xml:space="preserve"> evaluation of project </w:t>
      </w:r>
      <w:r>
        <w:rPr>
          <w:rFonts w:ascii="Verdana" w:hAnsi="Verdana"/>
          <w:bCs/>
          <w:spacing w:val="-9"/>
          <w:sz w:val="20"/>
          <w:szCs w:val="20"/>
        </w:rPr>
        <w:t>applications</w:t>
      </w:r>
      <w:r w:rsidRPr="0099675A">
        <w:rPr>
          <w:rFonts w:ascii="Verdana" w:hAnsi="Verdana"/>
          <w:bCs/>
          <w:spacing w:val="-9"/>
          <w:sz w:val="20"/>
          <w:szCs w:val="20"/>
        </w:rPr>
        <w:t xml:space="preserve">, which </w:t>
      </w:r>
      <w:r>
        <w:rPr>
          <w:rFonts w:ascii="Verdana" w:hAnsi="Verdana"/>
          <w:bCs/>
          <w:spacing w:val="-9"/>
          <w:sz w:val="20"/>
          <w:szCs w:val="20"/>
        </w:rPr>
        <w:t>has a</w:t>
      </w:r>
      <w:r w:rsidRPr="0099675A">
        <w:rPr>
          <w:rFonts w:ascii="Verdana" w:hAnsi="Verdana"/>
          <w:bCs/>
          <w:spacing w:val="-9"/>
          <w:sz w:val="20"/>
          <w:szCs w:val="20"/>
        </w:rPr>
        <w:t xml:space="preserve"> significant impact on project activities, </w:t>
      </w:r>
      <w:r>
        <w:rPr>
          <w:rFonts w:ascii="Verdana" w:hAnsi="Verdana"/>
          <w:bCs/>
          <w:spacing w:val="-9"/>
          <w:sz w:val="20"/>
          <w:szCs w:val="20"/>
        </w:rPr>
        <w:t>since</w:t>
      </w:r>
      <w:r w:rsidRPr="0099675A">
        <w:rPr>
          <w:rFonts w:ascii="Verdana" w:hAnsi="Verdana"/>
          <w:bCs/>
          <w:spacing w:val="-9"/>
          <w:sz w:val="20"/>
          <w:szCs w:val="20"/>
        </w:rPr>
        <w:t xml:space="preserve"> the school year has </w:t>
      </w:r>
      <w:r>
        <w:rPr>
          <w:rFonts w:ascii="Verdana" w:hAnsi="Verdana"/>
          <w:bCs/>
          <w:spacing w:val="-9"/>
          <w:sz w:val="20"/>
          <w:szCs w:val="20"/>
        </w:rPr>
        <w:t>specified time limits  which cannot be extended .</w:t>
      </w:r>
      <w:r w:rsidRPr="0099675A">
        <w:rPr>
          <w:rFonts w:ascii="Verdana" w:hAnsi="Verdana"/>
          <w:bCs/>
          <w:spacing w:val="-9"/>
          <w:sz w:val="20"/>
          <w:szCs w:val="20"/>
        </w:rPr>
        <w:t xml:space="preserve"> The advance payment should be </w:t>
      </w:r>
      <w:r>
        <w:rPr>
          <w:rFonts w:ascii="Verdana" w:hAnsi="Verdana"/>
          <w:bCs/>
          <w:spacing w:val="-9"/>
          <w:sz w:val="20"/>
          <w:szCs w:val="20"/>
        </w:rPr>
        <w:t>larger</w:t>
      </w:r>
      <w:r w:rsidRPr="0099675A">
        <w:rPr>
          <w:rFonts w:ascii="Verdana" w:hAnsi="Verdana"/>
          <w:bCs/>
          <w:spacing w:val="-9"/>
          <w:sz w:val="20"/>
          <w:szCs w:val="20"/>
        </w:rPr>
        <w:t xml:space="preserve"> and the final payment should not be delayed, because this engages too much resource of the working funds of the beneficiaries and they do not have enough finance for their core activity. The monthly reporting also creates additional workload and engages human resource.</w:t>
      </w:r>
    </w:p>
    <w:p w:rsidR="007A2B7B" w:rsidRPr="00A81B24" w:rsidRDefault="007A2B7B" w:rsidP="007A2B7B">
      <w:pPr>
        <w:spacing w:before="120" w:after="120"/>
        <w:jc w:val="both"/>
        <w:rPr>
          <w:rFonts w:ascii="Verdana" w:hAnsi="Verdana"/>
          <w:bCs/>
          <w:color w:val="000000"/>
          <w:spacing w:val="-9"/>
          <w:sz w:val="20"/>
          <w:szCs w:val="20"/>
        </w:rPr>
      </w:pPr>
      <w:r w:rsidRPr="0099675A">
        <w:rPr>
          <w:rFonts w:ascii="Verdana" w:hAnsi="Verdana"/>
          <w:b/>
          <w:bCs/>
          <w:color w:val="548DD4" w:themeColor="text2" w:themeTint="99"/>
          <w:spacing w:val="-9"/>
          <w:sz w:val="20"/>
          <w:szCs w:val="20"/>
        </w:rPr>
        <w:t xml:space="preserve">Municipalities </w:t>
      </w:r>
      <w:r w:rsidRPr="0099675A">
        <w:rPr>
          <w:rFonts w:ascii="Verdana" w:hAnsi="Verdana"/>
          <w:bCs/>
          <w:color w:val="000000"/>
          <w:spacing w:val="-9"/>
          <w:sz w:val="20"/>
          <w:szCs w:val="20"/>
        </w:rPr>
        <w:t>have the same problems like state institutions. A problem for them is also the lack of enough competences for strategic planning and of financial resource for payments under the projects.</w:t>
      </w:r>
    </w:p>
    <w:p w:rsidR="007A2B7B" w:rsidRPr="00A81B24" w:rsidRDefault="007A2B7B" w:rsidP="007A2B7B">
      <w:pPr>
        <w:spacing w:before="120" w:after="120"/>
        <w:jc w:val="both"/>
        <w:rPr>
          <w:rFonts w:ascii="Verdana" w:hAnsi="Verdana"/>
          <w:bCs/>
          <w:color w:val="000000"/>
          <w:spacing w:val="-9"/>
          <w:sz w:val="20"/>
          <w:szCs w:val="20"/>
        </w:rPr>
      </w:pPr>
      <w:r w:rsidRPr="0099675A">
        <w:rPr>
          <w:rFonts w:ascii="Verdana" w:hAnsi="Verdana"/>
          <w:b/>
          <w:bCs/>
          <w:color w:val="548DD4" w:themeColor="text2" w:themeTint="99"/>
          <w:spacing w:val="-9"/>
          <w:sz w:val="20"/>
          <w:szCs w:val="20"/>
        </w:rPr>
        <w:t>The business</w:t>
      </w:r>
      <w:r w:rsidRPr="0099675A">
        <w:rPr>
          <w:rFonts w:ascii="Verdana" w:hAnsi="Verdana"/>
          <w:bCs/>
          <w:color w:val="000000"/>
          <w:spacing w:val="-9"/>
          <w:sz w:val="20"/>
          <w:szCs w:val="20"/>
        </w:rPr>
        <w:t xml:space="preserve"> is a specific beneficiary which finds it difficult to accept and understand the rules for preparation and implementation of projects, </w:t>
      </w:r>
      <w:r>
        <w:rPr>
          <w:rFonts w:ascii="Verdana" w:hAnsi="Verdana"/>
          <w:bCs/>
          <w:color w:val="000000"/>
          <w:spacing w:val="-9"/>
          <w:sz w:val="20"/>
          <w:szCs w:val="20"/>
        </w:rPr>
        <w:t>and considers them to be</w:t>
      </w:r>
      <w:r w:rsidRPr="0099675A">
        <w:rPr>
          <w:rFonts w:ascii="Verdana" w:hAnsi="Verdana"/>
          <w:bCs/>
          <w:color w:val="000000"/>
          <w:spacing w:val="-9"/>
          <w:sz w:val="20"/>
          <w:szCs w:val="20"/>
        </w:rPr>
        <w:t xml:space="preserve"> </w:t>
      </w:r>
      <w:r>
        <w:rPr>
          <w:rFonts w:ascii="Verdana" w:hAnsi="Verdana"/>
          <w:bCs/>
          <w:color w:val="000000"/>
          <w:spacing w:val="-9"/>
          <w:sz w:val="20"/>
          <w:szCs w:val="20"/>
        </w:rPr>
        <w:t>cumbersome</w:t>
      </w:r>
      <w:r w:rsidRPr="0099675A">
        <w:rPr>
          <w:rFonts w:ascii="Verdana" w:hAnsi="Verdana"/>
          <w:bCs/>
          <w:color w:val="000000"/>
          <w:spacing w:val="-9"/>
          <w:sz w:val="20"/>
          <w:szCs w:val="20"/>
        </w:rPr>
        <w:t xml:space="preserve">, </w:t>
      </w:r>
      <w:proofErr w:type="gramStart"/>
      <w:r>
        <w:rPr>
          <w:rFonts w:ascii="Verdana" w:hAnsi="Verdana"/>
          <w:bCs/>
          <w:color w:val="000000"/>
          <w:spacing w:val="-9"/>
          <w:sz w:val="20"/>
          <w:szCs w:val="20"/>
        </w:rPr>
        <w:t xml:space="preserve">lengthy </w:t>
      </w:r>
      <w:r w:rsidRPr="0099675A">
        <w:rPr>
          <w:rFonts w:ascii="Verdana" w:hAnsi="Verdana"/>
          <w:bCs/>
          <w:color w:val="000000"/>
          <w:spacing w:val="-9"/>
          <w:sz w:val="20"/>
          <w:szCs w:val="20"/>
        </w:rPr>
        <w:t xml:space="preserve"> and</w:t>
      </w:r>
      <w:proofErr w:type="gramEnd"/>
      <w:r w:rsidRPr="0099675A">
        <w:rPr>
          <w:rFonts w:ascii="Verdana" w:hAnsi="Verdana"/>
          <w:bCs/>
          <w:color w:val="000000"/>
          <w:spacing w:val="-9"/>
          <w:sz w:val="20"/>
          <w:szCs w:val="20"/>
        </w:rPr>
        <w:t xml:space="preserve"> bureaucratic and not assist</w:t>
      </w:r>
      <w:r>
        <w:rPr>
          <w:rFonts w:ascii="Verdana" w:hAnsi="Verdana"/>
          <w:bCs/>
          <w:color w:val="000000"/>
          <w:spacing w:val="-9"/>
          <w:sz w:val="20"/>
          <w:szCs w:val="20"/>
        </w:rPr>
        <w:t>ing</w:t>
      </w:r>
      <w:r w:rsidR="005B35A7">
        <w:rPr>
          <w:rFonts w:ascii="Verdana" w:hAnsi="Verdana"/>
          <w:bCs/>
          <w:color w:val="000000"/>
          <w:spacing w:val="-9"/>
          <w:sz w:val="20"/>
          <w:szCs w:val="20"/>
          <w:lang w:val="bg-BG"/>
        </w:rPr>
        <w:t xml:space="preserve"> </w:t>
      </w:r>
      <w:r w:rsidRPr="0099675A">
        <w:rPr>
          <w:rFonts w:ascii="Verdana" w:hAnsi="Verdana"/>
          <w:bCs/>
          <w:color w:val="000000"/>
          <w:spacing w:val="-9"/>
          <w:sz w:val="20"/>
          <w:szCs w:val="20"/>
        </w:rPr>
        <w:t>the development of their business activities.  A major difficulty which they report is the co-financing of project activities</w:t>
      </w:r>
      <w:r w:rsidRPr="00A81B24">
        <w:rPr>
          <w:rStyle w:val="FootnoteReference"/>
          <w:rFonts w:ascii="Verdana" w:hAnsi="Verdana"/>
          <w:bCs/>
          <w:color w:val="000000"/>
          <w:spacing w:val="-9"/>
          <w:sz w:val="20"/>
          <w:szCs w:val="20"/>
        </w:rPr>
        <w:footnoteReference w:id="11"/>
      </w:r>
      <w:r w:rsidRPr="0099675A">
        <w:rPr>
          <w:rFonts w:ascii="Verdana" w:hAnsi="Verdana"/>
          <w:bCs/>
          <w:color w:val="000000"/>
          <w:spacing w:val="-9"/>
          <w:sz w:val="20"/>
          <w:szCs w:val="20"/>
        </w:rPr>
        <w:t xml:space="preserve"> and the conducting of sub-contracting procedures. The capacity building of this group is additionally hampered by the fact that entrepreneurs rarely have personnel designated to be in charge of the project and usually use consultant services for that.  </w:t>
      </w:r>
    </w:p>
    <w:p w:rsidR="007A2B7B" w:rsidRPr="00A81B24" w:rsidRDefault="007A2B7B" w:rsidP="007A2B7B">
      <w:pPr>
        <w:spacing w:before="120" w:after="120"/>
        <w:jc w:val="both"/>
        <w:rPr>
          <w:rFonts w:ascii="Verdana" w:hAnsi="Verdana"/>
          <w:bCs/>
          <w:color w:val="000000"/>
          <w:spacing w:val="-9"/>
          <w:sz w:val="20"/>
          <w:szCs w:val="20"/>
        </w:rPr>
      </w:pPr>
      <w:r w:rsidRPr="0099675A">
        <w:rPr>
          <w:rFonts w:ascii="Verdana" w:hAnsi="Verdana"/>
          <w:b/>
          <w:bCs/>
          <w:color w:val="548DD4" w:themeColor="text2" w:themeTint="99"/>
          <w:spacing w:val="-9"/>
          <w:sz w:val="20"/>
          <w:szCs w:val="20"/>
        </w:rPr>
        <w:t xml:space="preserve">NGOs </w:t>
      </w:r>
      <w:r w:rsidRPr="0099675A">
        <w:rPr>
          <w:rFonts w:ascii="Verdana" w:hAnsi="Verdana"/>
          <w:bCs/>
          <w:spacing w:val="-9"/>
          <w:sz w:val="20"/>
          <w:szCs w:val="20"/>
        </w:rPr>
        <w:t>are the group of beneficiaries</w:t>
      </w:r>
      <w:r w:rsidRPr="0099675A">
        <w:rPr>
          <w:rFonts w:ascii="Verdana" w:hAnsi="Verdana"/>
          <w:bCs/>
          <w:color w:val="000000"/>
          <w:spacing w:val="-9"/>
          <w:sz w:val="20"/>
          <w:szCs w:val="20"/>
        </w:rPr>
        <w:t xml:space="preserve"> which have the </w:t>
      </w:r>
      <w:r>
        <w:rPr>
          <w:rFonts w:ascii="Verdana" w:hAnsi="Verdana"/>
          <w:bCs/>
          <w:color w:val="000000"/>
          <w:spacing w:val="-9"/>
          <w:sz w:val="20"/>
          <w:szCs w:val="20"/>
        </w:rPr>
        <w:t>greatest</w:t>
      </w:r>
      <w:r w:rsidRPr="0099675A">
        <w:rPr>
          <w:rFonts w:ascii="Verdana" w:hAnsi="Verdana"/>
          <w:bCs/>
          <w:color w:val="000000"/>
          <w:spacing w:val="-9"/>
          <w:sz w:val="20"/>
          <w:szCs w:val="20"/>
        </w:rPr>
        <w:t xml:space="preserve"> capacity for project development and implementation and they have accumulated </w:t>
      </w:r>
      <w:r>
        <w:rPr>
          <w:rFonts w:ascii="Verdana" w:hAnsi="Verdana"/>
          <w:bCs/>
          <w:color w:val="000000"/>
          <w:spacing w:val="-9"/>
          <w:sz w:val="20"/>
          <w:szCs w:val="20"/>
        </w:rPr>
        <w:t>significant</w:t>
      </w:r>
      <w:r w:rsidRPr="0099675A">
        <w:rPr>
          <w:rFonts w:ascii="Verdana" w:hAnsi="Verdana"/>
          <w:bCs/>
          <w:color w:val="000000"/>
          <w:spacing w:val="-9"/>
          <w:sz w:val="20"/>
          <w:szCs w:val="20"/>
        </w:rPr>
        <w:t xml:space="preserve"> experience in this area. The main problems they are faced with are the need to ensure pre-financing for the implementation of activities and the lack of human resources for the implementation of projects.</w:t>
      </w:r>
    </w:p>
    <w:p w:rsidR="007A2B7B" w:rsidRPr="00A81B24" w:rsidRDefault="007A2B7B" w:rsidP="007A2B7B">
      <w:pPr>
        <w:spacing w:before="120" w:after="120"/>
        <w:jc w:val="both"/>
        <w:rPr>
          <w:rFonts w:ascii="Verdana" w:hAnsi="Verdana"/>
          <w:sz w:val="20"/>
          <w:szCs w:val="20"/>
        </w:rPr>
      </w:pPr>
      <w:r>
        <w:rPr>
          <w:rFonts w:ascii="Verdana" w:hAnsi="Verdana"/>
          <w:sz w:val="20"/>
          <w:szCs w:val="20"/>
        </w:rPr>
        <w:t>During the</w:t>
      </w:r>
      <w:r w:rsidRPr="0099675A">
        <w:rPr>
          <w:rFonts w:ascii="Verdana" w:hAnsi="Verdana"/>
          <w:sz w:val="20"/>
          <w:szCs w:val="20"/>
        </w:rPr>
        <w:t xml:space="preserve"> focus group with </w:t>
      </w:r>
      <w:r>
        <w:rPr>
          <w:rFonts w:ascii="Verdana" w:hAnsi="Verdana"/>
          <w:sz w:val="20"/>
          <w:szCs w:val="20"/>
        </w:rPr>
        <w:t xml:space="preserve">the </w:t>
      </w:r>
      <w:r w:rsidRPr="00C02CBF">
        <w:rPr>
          <w:rFonts w:ascii="Verdana" w:hAnsi="Verdana"/>
          <w:sz w:val="20"/>
          <w:szCs w:val="20"/>
        </w:rPr>
        <w:t xml:space="preserve">OPHRD 2007-2013 </w:t>
      </w:r>
      <w:r w:rsidRPr="0099675A">
        <w:rPr>
          <w:rFonts w:ascii="Verdana" w:hAnsi="Verdana"/>
          <w:sz w:val="20"/>
          <w:szCs w:val="20"/>
        </w:rPr>
        <w:t xml:space="preserve">beneficiaries </w:t>
      </w:r>
      <w:r>
        <w:rPr>
          <w:rFonts w:ascii="Verdana" w:hAnsi="Verdana"/>
          <w:sz w:val="20"/>
          <w:szCs w:val="20"/>
        </w:rPr>
        <w:t xml:space="preserve">was </w:t>
      </w:r>
      <w:r w:rsidRPr="0099675A">
        <w:rPr>
          <w:rFonts w:ascii="Verdana" w:hAnsi="Verdana"/>
          <w:sz w:val="20"/>
          <w:szCs w:val="20"/>
        </w:rPr>
        <w:t>discussed the administrative capacity of beneficiaries. The main administrative burdens at different stages of the project cycles, highlighted in the discussion</w:t>
      </w:r>
      <w:r>
        <w:rPr>
          <w:rFonts w:ascii="Verdana" w:hAnsi="Verdana"/>
          <w:sz w:val="20"/>
          <w:szCs w:val="20"/>
        </w:rPr>
        <w:t>,</w:t>
      </w:r>
      <w:r w:rsidRPr="0099675A">
        <w:rPr>
          <w:rFonts w:ascii="Verdana" w:hAnsi="Verdana"/>
          <w:sz w:val="20"/>
          <w:szCs w:val="20"/>
        </w:rPr>
        <w:t xml:space="preserve"> are as follows:</w:t>
      </w:r>
    </w:p>
    <w:p w:rsidR="007A2B7B" w:rsidRPr="00A81B24" w:rsidRDefault="007A2B7B" w:rsidP="007A2B7B">
      <w:pPr>
        <w:keepNext/>
        <w:spacing w:before="120" w:after="120"/>
        <w:jc w:val="both"/>
        <w:rPr>
          <w:rFonts w:ascii="Verdana" w:hAnsi="Verdana"/>
          <w:b/>
          <w:bCs/>
          <w:color w:val="548DD4" w:themeColor="text2" w:themeTint="99"/>
          <w:spacing w:val="-9"/>
          <w:sz w:val="20"/>
          <w:szCs w:val="20"/>
        </w:rPr>
      </w:pPr>
      <w:r w:rsidRPr="0099675A">
        <w:rPr>
          <w:rFonts w:ascii="Verdana" w:hAnsi="Verdana"/>
          <w:b/>
          <w:bCs/>
          <w:color w:val="548DD4" w:themeColor="text2" w:themeTint="99"/>
          <w:spacing w:val="-9"/>
          <w:sz w:val="20"/>
          <w:szCs w:val="20"/>
        </w:rPr>
        <w:t>Project preparation</w:t>
      </w:r>
    </w:p>
    <w:p w:rsidR="007A2B7B" w:rsidRPr="00A81B24" w:rsidRDefault="007A2B7B" w:rsidP="007A2B7B">
      <w:pPr>
        <w:spacing w:before="120" w:after="120"/>
        <w:jc w:val="both"/>
        <w:rPr>
          <w:rFonts w:ascii="Verdana" w:hAnsi="Verdana"/>
          <w:sz w:val="20"/>
          <w:szCs w:val="20"/>
        </w:rPr>
      </w:pPr>
      <w:r w:rsidRPr="0099675A">
        <w:rPr>
          <w:rFonts w:ascii="Verdana" w:hAnsi="Verdana"/>
          <w:sz w:val="20"/>
          <w:szCs w:val="20"/>
        </w:rPr>
        <w:t xml:space="preserve">The first and one of </w:t>
      </w:r>
      <w:r>
        <w:rPr>
          <w:rFonts w:ascii="Verdana" w:hAnsi="Verdana"/>
          <w:sz w:val="20"/>
          <w:szCs w:val="20"/>
        </w:rPr>
        <w:t xml:space="preserve">the </w:t>
      </w:r>
      <w:r w:rsidRPr="0099675A">
        <w:rPr>
          <w:rFonts w:ascii="Verdana" w:hAnsi="Verdana"/>
          <w:sz w:val="20"/>
          <w:szCs w:val="20"/>
        </w:rPr>
        <w:t>main recommendations made by the participants in the group, especially by the representatives of scientific organizations, was to introduce the European practice of announcing the annual programmes at least two years in advance. This will allow the beneficiaries to get ready and identify most appropriate partners, which is very important for the development of projects in the area of science.</w:t>
      </w:r>
    </w:p>
    <w:p w:rsidR="007A2B7B" w:rsidRPr="00A81B24" w:rsidRDefault="007A2B7B" w:rsidP="007A2B7B">
      <w:pPr>
        <w:spacing w:before="120" w:after="120"/>
        <w:jc w:val="both"/>
        <w:rPr>
          <w:rFonts w:ascii="Verdana" w:hAnsi="Verdana"/>
          <w:sz w:val="20"/>
          <w:szCs w:val="20"/>
        </w:rPr>
      </w:pPr>
      <w:r>
        <w:rPr>
          <w:rFonts w:ascii="Verdana" w:hAnsi="Verdana"/>
          <w:sz w:val="20"/>
          <w:szCs w:val="20"/>
        </w:rPr>
        <w:t>The</w:t>
      </w:r>
      <w:r w:rsidRPr="0099675A">
        <w:rPr>
          <w:rFonts w:ascii="Verdana" w:hAnsi="Verdana"/>
          <w:sz w:val="20"/>
          <w:szCs w:val="20"/>
        </w:rPr>
        <w:t xml:space="preserve"> established procedure for </w:t>
      </w:r>
      <w:r>
        <w:rPr>
          <w:rFonts w:ascii="Verdana" w:hAnsi="Verdana"/>
          <w:sz w:val="20"/>
          <w:szCs w:val="20"/>
        </w:rPr>
        <w:t>popularizing</w:t>
      </w:r>
      <w:r w:rsidRPr="00A81B24">
        <w:rPr>
          <w:rFonts w:ascii="Verdana" w:hAnsi="Verdana"/>
          <w:sz w:val="20"/>
          <w:szCs w:val="20"/>
        </w:rPr>
        <w:t xml:space="preserve"> the</w:t>
      </w:r>
      <w:r w:rsidRPr="0099675A">
        <w:rPr>
          <w:rFonts w:ascii="Verdana" w:hAnsi="Verdana"/>
          <w:sz w:val="20"/>
          <w:szCs w:val="20"/>
        </w:rPr>
        <w:t xml:space="preserve"> measures under the Programme and </w:t>
      </w:r>
      <w:r>
        <w:rPr>
          <w:rFonts w:ascii="Verdana" w:hAnsi="Verdana"/>
          <w:sz w:val="20"/>
          <w:szCs w:val="20"/>
        </w:rPr>
        <w:t xml:space="preserve">the </w:t>
      </w:r>
      <w:r w:rsidRPr="0099675A">
        <w:rPr>
          <w:rFonts w:ascii="Verdana" w:hAnsi="Verdana"/>
          <w:sz w:val="20"/>
          <w:szCs w:val="20"/>
        </w:rPr>
        <w:t xml:space="preserve">information days, </w:t>
      </w:r>
      <w:r>
        <w:rPr>
          <w:rFonts w:ascii="Verdana" w:hAnsi="Verdana"/>
          <w:sz w:val="20"/>
          <w:szCs w:val="20"/>
        </w:rPr>
        <w:t>was</w:t>
      </w:r>
      <w:r w:rsidRPr="0099675A">
        <w:rPr>
          <w:rFonts w:ascii="Verdana" w:hAnsi="Verdana"/>
          <w:sz w:val="20"/>
          <w:szCs w:val="20"/>
        </w:rPr>
        <w:t xml:space="preserve"> assessed as useful. It is only necessary to organize the information days earlier or immediately after the grant schemes are announced, in order to leave more time for project development.</w:t>
      </w:r>
    </w:p>
    <w:p w:rsidR="007A2B7B" w:rsidRPr="00A81B24" w:rsidRDefault="007A2B7B" w:rsidP="007A2B7B">
      <w:pPr>
        <w:spacing w:before="120" w:after="120"/>
        <w:jc w:val="both"/>
        <w:rPr>
          <w:rFonts w:ascii="Verdana" w:hAnsi="Verdana"/>
          <w:sz w:val="20"/>
          <w:szCs w:val="20"/>
        </w:rPr>
      </w:pPr>
      <w:r w:rsidRPr="0099675A">
        <w:rPr>
          <w:rFonts w:ascii="Verdana" w:hAnsi="Verdana"/>
          <w:sz w:val="20"/>
          <w:szCs w:val="20"/>
        </w:rPr>
        <w:lastRenderedPageBreak/>
        <w:t xml:space="preserve">The participants unanimously agreed on the recommendation that set deadlines should be observed – for the evaluation and </w:t>
      </w:r>
      <w:proofErr w:type="gramStart"/>
      <w:r w:rsidRPr="0099675A">
        <w:rPr>
          <w:rFonts w:ascii="Verdana" w:hAnsi="Verdana"/>
          <w:sz w:val="20"/>
          <w:szCs w:val="20"/>
        </w:rPr>
        <w:t>rank</w:t>
      </w:r>
      <w:r>
        <w:rPr>
          <w:rFonts w:ascii="Verdana" w:hAnsi="Verdana"/>
          <w:sz w:val="20"/>
          <w:szCs w:val="20"/>
        </w:rPr>
        <w:t xml:space="preserve">ing </w:t>
      </w:r>
      <w:r w:rsidRPr="0099675A">
        <w:rPr>
          <w:rFonts w:ascii="Verdana" w:hAnsi="Verdana"/>
          <w:sz w:val="20"/>
          <w:szCs w:val="20"/>
        </w:rPr>
        <w:t xml:space="preserve"> of</w:t>
      </w:r>
      <w:proofErr w:type="gramEnd"/>
      <w:r w:rsidRPr="0099675A">
        <w:rPr>
          <w:rFonts w:ascii="Verdana" w:hAnsi="Verdana"/>
          <w:sz w:val="20"/>
          <w:szCs w:val="20"/>
        </w:rPr>
        <w:t xml:space="preserve"> projects and </w:t>
      </w:r>
      <w:r>
        <w:rPr>
          <w:rFonts w:ascii="Verdana" w:hAnsi="Verdana"/>
          <w:sz w:val="20"/>
          <w:szCs w:val="20"/>
        </w:rPr>
        <w:t>the conclusion of</w:t>
      </w:r>
      <w:r w:rsidRPr="0099675A">
        <w:rPr>
          <w:rFonts w:ascii="Verdana" w:hAnsi="Verdana"/>
          <w:sz w:val="20"/>
          <w:szCs w:val="20"/>
        </w:rPr>
        <w:t xml:space="preserve"> the contracts. The schools and universities are faced with specific problems with projects </w:t>
      </w:r>
      <w:r>
        <w:rPr>
          <w:rFonts w:ascii="Verdana" w:hAnsi="Verdana"/>
          <w:sz w:val="20"/>
          <w:szCs w:val="20"/>
        </w:rPr>
        <w:t>delayed</w:t>
      </w:r>
      <w:r w:rsidRPr="0099675A">
        <w:rPr>
          <w:rFonts w:ascii="Verdana" w:hAnsi="Verdana"/>
          <w:sz w:val="20"/>
          <w:szCs w:val="20"/>
        </w:rPr>
        <w:t xml:space="preserve"> </w:t>
      </w:r>
      <w:r>
        <w:rPr>
          <w:rFonts w:ascii="Verdana" w:hAnsi="Verdana"/>
          <w:sz w:val="20"/>
          <w:szCs w:val="20"/>
        </w:rPr>
        <w:t>over</w:t>
      </w:r>
      <w:r w:rsidRPr="0099675A">
        <w:rPr>
          <w:rFonts w:ascii="Verdana" w:hAnsi="Verdana"/>
          <w:sz w:val="20"/>
          <w:szCs w:val="20"/>
        </w:rPr>
        <w:t xml:space="preserve"> time – the children complete the respective educational level, the set indicators change, there is no opportunity to conduct activities </w:t>
      </w:r>
      <w:r>
        <w:rPr>
          <w:rFonts w:ascii="Verdana" w:hAnsi="Verdana"/>
          <w:sz w:val="20"/>
          <w:szCs w:val="20"/>
        </w:rPr>
        <w:t>outside</w:t>
      </w:r>
      <w:r w:rsidRPr="0099675A">
        <w:rPr>
          <w:rFonts w:ascii="Verdana" w:hAnsi="Verdana"/>
          <w:sz w:val="20"/>
          <w:szCs w:val="20"/>
        </w:rPr>
        <w:t xml:space="preserve"> the academic year – September - June.</w:t>
      </w:r>
    </w:p>
    <w:p w:rsidR="007A2B7B" w:rsidRPr="00A81B24" w:rsidRDefault="007A2B7B" w:rsidP="007A2B7B">
      <w:pPr>
        <w:spacing w:before="120" w:after="120"/>
        <w:jc w:val="both"/>
        <w:rPr>
          <w:rFonts w:ascii="Verdana" w:hAnsi="Verdana"/>
          <w:sz w:val="20"/>
          <w:szCs w:val="20"/>
        </w:rPr>
      </w:pPr>
      <w:r w:rsidRPr="0099675A">
        <w:rPr>
          <w:rFonts w:ascii="Verdana" w:hAnsi="Verdana"/>
          <w:sz w:val="20"/>
          <w:szCs w:val="20"/>
        </w:rPr>
        <w:t xml:space="preserve">The beneficiaries also expect greater transparency of the procedures </w:t>
      </w:r>
      <w:r>
        <w:rPr>
          <w:rFonts w:ascii="Verdana" w:hAnsi="Verdana"/>
          <w:sz w:val="20"/>
          <w:szCs w:val="20"/>
        </w:rPr>
        <w:t xml:space="preserve">for the award of </w:t>
      </w:r>
      <w:proofErr w:type="gramStart"/>
      <w:r>
        <w:rPr>
          <w:rFonts w:ascii="Verdana" w:hAnsi="Verdana"/>
          <w:sz w:val="20"/>
          <w:szCs w:val="20"/>
        </w:rPr>
        <w:t xml:space="preserve">grants </w:t>
      </w:r>
      <w:r w:rsidRPr="0099675A">
        <w:rPr>
          <w:rFonts w:ascii="Verdana" w:hAnsi="Verdana"/>
          <w:sz w:val="20"/>
          <w:szCs w:val="20"/>
        </w:rPr>
        <w:t xml:space="preserve"> –</w:t>
      </w:r>
      <w:proofErr w:type="gramEnd"/>
      <w:r w:rsidRPr="0099675A">
        <w:rPr>
          <w:rFonts w:ascii="Verdana" w:hAnsi="Verdana"/>
          <w:sz w:val="20"/>
          <w:szCs w:val="20"/>
        </w:rPr>
        <w:t xml:space="preserve"> notice, committees, meetings, protocols, ranking, appeals, contracts, implementation, financing/sanctions under the contracts and they suggest that the entire information on these issues be posted on the Web-site of the Programme. They also think that the indicators for evaluation of projects should be more precise, especially the ones for scientific research where the European experience of conducting international evaluations and engaging foreign evaluators should be applied.</w:t>
      </w:r>
    </w:p>
    <w:p w:rsidR="007A2B7B" w:rsidRPr="00A81B24" w:rsidRDefault="007A2B7B" w:rsidP="007A2B7B">
      <w:pPr>
        <w:spacing w:before="120" w:after="120"/>
        <w:jc w:val="both"/>
        <w:rPr>
          <w:rFonts w:ascii="Times New Roman" w:hAnsi="Times New Roman"/>
          <w:b/>
          <w:sz w:val="24"/>
          <w:szCs w:val="24"/>
        </w:rPr>
      </w:pPr>
      <w:r w:rsidRPr="0099675A">
        <w:rPr>
          <w:rFonts w:ascii="Verdana" w:hAnsi="Verdana"/>
          <w:sz w:val="20"/>
          <w:szCs w:val="20"/>
        </w:rPr>
        <w:t xml:space="preserve">The scientific institutions have experience and as a whole they prefer the electronic submission of the project proposals and reporting on the activities. </w:t>
      </w:r>
    </w:p>
    <w:p w:rsidR="007A2B7B" w:rsidRPr="00A81B24" w:rsidRDefault="007A2B7B" w:rsidP="007A2B7B">
      <w:pPr>
        <w:spacing w:before="120" w:after="120"/>
        <w:jc w:val="both"/>
        <w:rPr>
          <w:rFonts w:ascii="Verdana" w:hAnsi="Verdana"/>
          <w:b/>
          <w:bCs/>
          <w:color w:val="548DD4" w:themeColor="text2" w:themeTint="99"/>
          <w:spacing w:val="-9"/>
          <w:sz w:val="20"/>
          <w:szCs w:val="20"/>
        </w:rPr>
      </w:pPr>
      <w:r w:rsidRPr="0099675A">
        <w:rPr>
          <w:rFonts w:ascii="Verdana" w:hAnsi="Verdana"/>
          <w:b/>
          <w:bCs/>
          <w:color w:val="548DD4" w:themeColor="text2" w:themeTint="99"/>
          <w:spacing w:val="-9"/>
          <w:sz w:val="20"/>
          <w:szCs w:val="20"/>
        </w:rPr>
        <w:t>Implementing and reporting on projects</w:t>
      </w:r>
    </w:p>
    <w:p w:rsidR="007A2B7B" w:rsidRPr="00A81B24" w:rsidRDefault="007A2B7B" w:rsidP="007A2B7B">
      <w:pPr>
        <w:spacing w:before="120" w:after="120"/>
        <w:jc w:val="both"/>
        <w:rPr>
          <w:rFonts w:ascii="Verdana" w:hAnsi="Verdana"/>
          <w:sz w:val="20"/>
          <w:szCs w:val="20"/>
        </w:rPr>
      </w:pPr>
      <w:r w:rsidRPr="0099675A">
        <w:rPr>
          <w:rFonts w:ascii="Verdana" w:hAnsi="Verdana"/>
          <w:sz w:val="20"/>
          <w:szCs w:val="20"/>
        </w:rPr>
        <w:t xml:space="preserve">The frequent changes made in the manuals and guidelines and in the </w:t>
      </w:r>
      <w:r>
        <w:rPr>
          <w:rFonts w:ascii="Verdana" w:hAnsi="Verdana"/>
          <w:sz w:val="20"/>
          <w:szCs w:val="20"/>
        </w:rPr>
        <w:t xml:space="preserve">respective </w:t>
      </w:r>
      <w:proofErr w:type="gramStart"/>
      <w:r>
        <w:rPr>
          <w:rFonts w:ascii="Verdana" w:hAnsi="Verdana"/>
          <w:sz w:val="20"/>
          <w:szCs w:val="20"/>
        </w:rPr>
        <w:t xml:space="preserve">templates </w:t>
      </w:r>
      <w:r w:rsidRPr="0099675A">
        <w:rPr>
          <w:rFonts w:ascii="Verdana" w:hAnsi="Verdana"/>
          <w:sz w:val="20"/>
          <w:szCs w:val="20"/>
        </w:rPr>
        <w:t xml:space="preserve"> impede</w:t>
      </w:r>
      <w:proofErr w:type="gramEnd"/>
      <w:r w:rsidRPr="0099675A">
        <w:rPr>
          <w:rFonts w:ascii="Verdana" w:hAnsi="Verdana"/>
          <w:sz w:val="20"/>
          <w:szCs w:val="20"/>
        </w:rPr>
        <w:t xml:space="preserve"> the implementation of the projects and create problems in reporting on the activities and </w:t>
      </w:r>
      <w:r>
        <w:rPr>
          <w:rFonts w:ascii="Verdana" w:hAnsi="Verdana"/>
          <w:sz w:val="20"/>
          <w:szCs w:val="20"/>
        </w:rPr>
        <w:t>costs</w:t>
      </w:r>
      <w:r w:rsidRPr="0099675A">
        <w:rPr>
          <w:rFonts w:ascii="Verdana" w:hAnsi="Verdana"/>
          <w:sz w:val="20"/>
          <w:szCs w:val="20"/>
        </w:rPr>
        <w:t xml:space="preserve">. There must be </w:t>
      </w:r>
      <w:r>
        <w:rPr>
          <w:rFonts w:ascii="Verdana" w:hAnsi="Verdana"/>
          <w:sz w:val="20"/>
          <w:szCs w:val="20"/>
        </w:rPr>
        <w:t xml:space="preserve">a </w:t>
      </w:r>
      <w:r w:rsidRPr="0099675A">
        <w:rPr>
          <w:rFonts w:ascii="Verdana" w:hAnsi="Verdana"/>
          <w:sz w:val="20"/>
          <w:szCs w:val="20"/>
        </w:rPr>
        <w:t>clear documentation, which does not change throughout the process</w:t>
      </w:r>
      <w:r>
        <w:rPr>
          <w:rFonts w:ascii="Verdana" w:hAnsi="Verdana"/>
          <w:sz w:val="20"/>
          <w:szCs w:val="20"/>
        </w:rPr>
        <w:t xml:space="preserve"> </w:t>
      </w:r>
      <w:proofErr w:type="gramStart"/>
      <w:r>
        <w:rPr>
          <w:rFonts w:ascii="Verdana" w:hAnsi="Verdana"/>
          <w:sz w:val="20"/>
          <w:szCs w:val="20"/>
        </w:rPr>
        <w:t xml:space="preserve">- </w:t>
      </w:r>
      <w:r w:rsidRPr="0099675A">
        <w:rPr>
          <w:rFonts w:ascii="Verdana" w:hAnsi="Verdana"/>
          <w:sz w:val="20"/>
          <w:szCs w:val="20"/>
        </w:rPr>
        <w:t xml:space="preserve"> call</w:t>
      </w:r>
      <w:proofErr w:type="gramEnd"/>
      <w:r w:rsidRPr="0099675A">
        <w:rPr>
          <w:rFonts w:ascii="Verdana" w:hAnsi="Verdana"/>
          <w:sz w:val="20"/>
          <w:szCs w:val="20"/>
        </w:rPr>
        <w:t xml:space="preserve"> for proposals, submission of projects, approval, implementation of contracts and reporting.</w:t>
      </w:r>
    </w:p>
    <w:p w:rsidR="007A2B7B" w:rsidRPr="00A81B24" w:rsidRDefault="007A2B7B" w:rsidP="007A2B7B">
      <w:pPr>
        <w:spacing w:before="120" w:after="120"/>
        <w:jc w:val="both"/>
        <w:rPr>
          <w:rFonts w:ascii="Verdana" w:hAnsi="Verdana"/>
          <w:sz w:val="20"/>
          <w:szCs w:val="20"/>
        </w:rPr>
      </w:pPr>
      <w:r w:rsidRPr="0099675A">
        <w:rPr>
          <w:rFonts w:ascii="Verdana" w:hAnsi="Verdana"/>
          <w:sz w:val="20"/>
          <w:szCs w:val="20"/>
        </w:rPr>
        <w:t xml:space="preserve">The Managing Authority must maintain an up-to-date data base of the contacts of the administration and the functional characteristics of each employee, so that it is known </w:t>
      </w:r>
      <w:r>
        <w:rPr>
          <w:rFonts w:ascii="Verdana" w:hAnsi="Verdana"/>
          <w:sz w:val="20"/>
          <w:szCs w:val="20"/>
        </w:rPr>
        <w:t>the</w:t>
      </w:r>
      <w:r w:rsidRPr="0099675A">
        <w:rPr>
          <w:rFonts w:ascii="Verdana" w:hAnsi="Verdana"/>
          <w:sz w:val="20"/>
          <w:szCs w:val="20"/>
        </w:rPr>
        <w:t xml:space="preserve"> </w:t>
      </w:r>
      <w:r>
        <w:rPr>
          <w:rFonts w:ascii="Verdana" w:hAnsi="Verdana"/>
          <w:sz w:val="20"/>
          <w:szCs w:val="20"/>
        </w:rPr>
        <w:t xml:space="preserve">themes they cover and the </w:t>
      </w:r>
      <w:r w:rsidRPr="0099675A">
        <w:rPr>
          <w:rFonts w:ascii="Verdana" w:hAnsi="Verdana"/>
          <w:sz w:val="20"/>
          <w:szCs w:val="20"/>
        </w:rPr>
        <w:t>issues they are in charge of. Responses should be provided within definite time-limits, as correctly as possible,</w:t>
      </w:r>
      <w:r>
        <w:rPr>
          <w:rFonts w:ascii="Verdana" w:hAnsi="Verdana"/>
          <w:sz w:val="20"/>
          <w:szCs w:val="20"/>
        </w:rPr>
        <w:t xml:space="preserve"> including</w:t>
      </w:r>
      <w:r w:rsidRPr="0099675A">
        <w:rPr>
          <w:rFonts w:ascii="Verdana" w:hAnsi="Verdana"/>
          <w:sz w:val="20"/>
          <w:szCs w:val="20"/>
        </w:rPr>
        <w:t xml:space="preserve"> by e-mail, which should be regarded as</w:t>
      </w:r>
      <w:r>
        <w:rPr>
          <w:rFonts w:ascii="Verdana" w:hAnsi="Verdana"/>
          <w:sz w:val="20"/>
          <w:szCs w:val="20"/>
        </w:rPr>
        <w:t xml:space="preserve"> an</w:t>
      </w:r>
      <w:r w:rsidRPr="0099675A">
        <w:rPr>
          <w:rFonts w:ascii="Verdana" w:hAnsi="Verdana"/>
          <w:sz w:val="20"/>
          <w:szCs w:val="20"/>
        </w:rPr>
        <w:t xml:space="preserve"> official </w:t>
      </w:r>
      <w:r w:rsidR="005B35A7" w:rsidRPr="0099675A">
        <w:rPr>
          <w:rFonts w:ascii="Verdana" w:hAnsi="Verdana"/>
          <w:sz w:val="20"/>
          <w:szCs w:val="20"/>
        </w:rPr>
        <w:t>response</w:t>
      </w:r>
      <w:r w:rsidRPr="0099675A">
        <w:rPr>
          <w:rFonts w:ascii="Verdana" w:hAnsi="Verdana"/>
          <w:sz w:val="20"/>
          <w:szCs w:val="20"/>
        </w:rPr>
        <w:t xml:space="preserve"> to the beneficiaries. The divergent opinions on one and the same issue, expressed by the experts from the financing organization create difficulties, especially when it comes to eligibility of costs and </w:t>
      </w:r>
      <w:r>
        <w:rPr>
          <w:rFonts w:ascii="Verdana" w:hAnsi="Verdana"/>
          <w:sz w:val="20"/>
          <w:szCs w:val="20"/>
        </w:rPr>
        <w:t xml:space="preserve">delay in </w:t>
      </w:r>
      <w:r w:rsidRPr="0099675A">
        <w:rPr>
          <w:rFonts w:ascii="Verdana" w:hAnsi="Verdana"/>
          <w:sz w:val="20"/>
          <w:szCs w:val="20"/>
        </w:rPr>
        <w:t>answers</w:t>
      </w:r>
      <w:r>
        <w:rPr>
          <w:rFonts w:ascii="Verdana" w:hAnsi="Verdana"/>
          <w:sz w:val="20"/>
          <w:szCs w:val="20"/>
        </w:rPr>
        <w:t>.</w:t>
      </w:r>
      <w:r w:rsidRPr="0099675A">
        <w:rPr>
          <w:rFonts w:ascii="Verdana" w:hAnsi="Verdana"/>
          <w:sz w:val="20"/>
          <w:szCs w:val="20"/>
        </w:rPr>
        <w:t xml:space="preserve"> . The proposal is to create a “contact point” </w:t>
      </w:r>
      <w:r>
        <w:rPr>
          <w:rFonts w:ascii="Verdana" w:hAnsi="Verdana"/>
          <w:sz w:val="20"/>
          <w:szCs w:val="20"/>
        </w:rPr>
        <w:t>under</w:t>
      </w:r>
      <w:r w:rsidRPr="0099675A">
        <w:rPr>
          <w:rFonts w:ascii="Verdana" w:hAnsi="Verdana"/>
          <w:sz w:val="20"/>
          <w:szCs w:val="20"/>
        </w:rPr>
        <w:t xml:space="preserve"> the project, i.e. to designate an employee to be responsible for the project – administration and verification – who will be able to provide answers to questions relating to project implementation promptly and competently.</w:t>
      </w:r>
    </w:p>
    <w:p w:rsidR="007A2B7B" w:rsidRPr="00A81B24" w:rsidRDefault="007A2B7B" w:rsidP="007A2B7B">
      <w:pPr>
        <w:spacing w:before="120" w:after="120"/>
        <w:jc w:val="both"/>
        <w:rPr>
          <w:rFonts w:ascii="Verdana" w:hAnsi="Verdana"/>
          <w:sz w:val="20"/>
          <w:szCs w:val="20"/>
        </w:rPr>
      </w:pPr>
      <w:r w:rsidRPr="0099675A">
        <w:rPr>
          <w:rFonts w:ascii="Verdana" w:hAnsi="Verdana"/>
          <w:sz w:val="20"/>
          <w:szCs w:val="20"/>
        </w:rPr>
        <w:t xml:space="preserve">The participants in the focus group shared the opinion that there must be control </w:t>
      </w:r>
      <w:r>
        <w:rPr>
          <w:rFonts w:ascii="Verdana" w:hAnsi="Verdana"/>
          <w:sz w:val="20"/>
          <w:szCs w:val="20"/>
        </w:rPr>
        <w:t>over</w:t>
      </w:r>
      <w:r w:rsidRPr="0099675A">
        <w:rPr>
          <w:rFonts w:ascii="Verdana" w:hAnsi="Verdana"/>
          <w:sz w:val="20"/>
          <w:szCs w:val="20"/>
        </w:rPr>
        <w:t xml:space="preserve"> the implementation, but they recommended </w:t>
      </w:r>
      <w:r w:rsidRPr="00A81B24">
        <w:rPr>
          <w:rFonts w:ascii="Verdana" w:hAnsi="Verdana"/>
          <w:sz w:val="20"/>
          <w:szCs w:val="20"/>
        </w:rPr>
        <w:t>change</w:t>
      </w:r>
      <w:r w:rsidRPr="0099675A">
        <w:rPr>
          <w:rFonts w:ascii="Verdana" w:hAnsi="Verdana"/>
          <w:sz w:val="20"/>
          <w:szCs w:val="20"/>
        </w:rPr>
        <w:t xml:space="preserve"> </w:t>
      </w:r>
      <w:r>
        <w:rPr>
          <w:rFonts w:ascii="Verdana" w:hAnsi="Verdana"/>
          <w:sz w:val="20"/>
          <w:szCs w:val="20"/>
        </w:rPr>
        <w:t xml:space="preserve">in </w:t>
      </w:r>
      <w:r w:rsidRPr="0099675A">
        <w:rPr>
          <w:rFonts w:ascii="Verdana" w:hAnsi="Verdana"/>
          <w:sz w:val="20"/>
          <w:szCs w:val="20"/>
        </w:rPr>
        <w:t xml:space="preserve">the reporting periods – the monthly reports should become at least quarterly reports, and for the scientific projects –6-month reports. The performance indicators for the Programme, schemes and individual projects have to be refined taking into consideration both the experience to date and the impossibility to apply some of them to all beneficiaries and schemes. The indicators should be defined by schemes and the sources for measuring them should be specified more precisely. </w:t>
      </w:r>
    </w:p>
    <w:p w:rsidR="007A2B7B" w:rsidRPr="00A81B24" w:rsidRDefault="007A2B7B" w:rsidP="007A2B7B">
      <w:pPr>
        <w:spacing w:before="120" w:after="120"/>
        <w:jc w:val="both"/>
        <w:rPr>
          <w:rFonts w:ascii="Verdana" w:hAnsi="Verdana"/>
          <w:sz w:val="20"/>
          <w:szCs w:val="20"/>
        </w:rPr>
      </w:pPr>
      <w:r w:rsidRPr="0099675A">
        <w:rPr>
          <w:rFonts w:ascii="Verdana" w:hAnsi="Verdana"/>
          <w:sz w:val="20"/>
          <w:szCs w:val="20"/>
        </w:rPr>
        <w:t>There is a distinct requirement for simplification of the financial reports – beginning with the requirement for enclosing copies of all primary financial documents, in which respect the recommendation is to follow the European practice where no copies are required, only a list of the documents, and the original documents are kept by the beneficiaries for checks.</w:t>
      </w:r>
    </w:p>
    <w:p w:rsidR="007A2B7B" w:rsidRPr="00A81B24" w:rsidRDefault="007A2B7B" w:rsidP="007A2B7B">
      <w:pPr>
        <w:spacing w:before="120" w:after="120"/>
        <w:jc w:val="both"/>
        <w:rPr>
          <w:rFonts w:ascii="Verdana" w:hAnsi="Verdana"/>
          <w:sz w:val="20"/>
          <w:szCs w:val="20"/>
        </w:rPr>
      </w:pPr>
      <w:r w:rsidRPr="0099675A">
        <w:rPr>
          <w:rFonts w:ascii="Verdana" w:hAnsi="Verdana"/>
          <w:sz w:val="20"/>
          <w:szCs w:val="20"/>
        </w:rPr>
        <w:lastRenderedPageBreak/>
        <w:t>Another difficulty in project financing is posed by the low level of advance payments, which turn out to be insufficient for covering current expenses on some of the activities while waiting for the first payments.  A different solution, supported by the scientific institutes is to apply instruments for obtaining interest-free or low-interest loans for pre-financing the project activities. Support is also expressed for the introduction of a methodology of simplified costs – the costs on project management.</w:t>
      </w:r>
    </w:p>
    <w:p w:rsidR="007A2B7B" w:rsidRPr="00A81B24" w:rsidRDefault="007A2B7B" w:rsidP="007A2B7B">
      <w:pPr>
        <w:spacing w:before="120" w:after="120"/>
        <w:jc w:val="both"/>
        <w:rPr>
          <w:rFonts w:ascii="Verdana" w:hAnsi="Verdana"/>
          <w:sz w:val="20"/>
          <w:szCs w:val="20"/>
        </w:rPr>
      </w:pPr>
      <w:r w:rsidRPr="0099675A">
        <w:rPr>
          <w:rFonts w:ascii="Verdana" w:hAnsi="Verdana"/>
          <w:sz w:val="20"/>
          <w:szCs w:val="20"/>
        </w:rPr>
        <w:t xml:space="preserve">According to representatives of the beneficiaries the preparation and conducting of public procurement </w:t>
      </w:r>
      <w:r>
        <w:rPr>
          <w:rFonts w:ascii="Verdana" w:hAnsi="Verdana"/>
          <w:sz w:val="20"/>
          <w:szCs w:val="20"/>
        </w:rPr>
        <w:t>does not impose difficulties</w:t>
      </w:r>
      <w:proofErr w:type="gramStart"/>
      <w:r>
        <w:rPr>
          <w:rFonts w:ascii="Verdana" w:hAnsi="Verdana"/>
          <w:sz w:val="20"/>
          <w:szCs w:val="20"/>
        </w:rPr>
        <w:t>.</w:t>
      </w:r>
      <w:r w:rsidRPr="0099675A">
        <w:rPr>
          <w:rFonts w:ascii="Verdana" w:hAnsi="Verdana"/>
          <w:sz w:val="20"/>
          <w:szCs w:val="20"/>
        </w:rPr>
        <w:t>.</w:t>
      </w:r>
      <w:proofErr w:type="gramEnd"/>
      <w:r w:rsidRPr="0099675A">
        <w:rPr>
          <w:rFonts w:ascii="Verdana" w:hAnsi="Verdana"/>
          <w:sz w:val="20"/>
          <w:szCs w:val="20"/>
        </w:rPr>
        <w:t xml:space="preserve"> </w:t>
      </w:r>
    </w:p>
    <w:p w:rsidR="007A2B7B" w:rsidRPr="00A81B24" w:rsidRDefault="007A2B7B" w:rsidP="007A2B7B">
      <w:pPr>
        <w:spacing w:before="120" w:after="120"/>
        <w:jc w:val="both"/>
        <w:rPr>
          <w:rFonts w:ascii="Verdana" w:hAnsi="Verdana"/>
          <w:sz w:val="20"/>
          <w:szCs w:val="20"/>
        </w:rPr>
      </w:pPr>
      <w:r w:rsidRPr="0099675A">
        <w:rPr>
          <w:rFonts w:ascii="Verdana" w:hAnsi="Verdana"/>
          <w:b/>
          <w:bCs/>
          <w:color w:val="548DD4" w:themeColor="text2" w:themeTint="99"/>
          <w:spacing w:val="-9"/>
          <w:sz w:val="20"/>
          <w:szCs w:val="20"/>
        </w:rPr>
        <w:t xml:space="preserve">The main difficulties the beneficiaries are confronted with, </w:t>
      </w:r>
      <w:r>
        <w:rPr>
          <w:rFonts w:ascii="Verdana" w:hAnsi="Verdana"/>
          <w:bCs/>
          <w:spacing w:val="-9"/>
          <w:sz w:val="20"/>
          <w:szCs w:val="20"/>
        </w:rPr>
        <w:t>may</w:t>
      </w:r>
      <w:r w:rsidRPr="0099675A">
        <w:rPr>
          <w:rFonts w:ascii="Verdana" w:hAnsi="Verdana"/>
          <w:bCs/>
          <w:spacing w:val="-9"/>
          <w:sz w:val="20"/>
          <w:szCs w:val="20"/>
        </w:rPr>
        <w:t xml:space="preserve"> be summarized in the following list</w:t>
      </w:r>
      <w:r w:rsidRPr="0099675A">
        <w:rPr>
          <w:rFonts w:ascii="Verdana" w:hAnsi="Verdana"/>
          <w:sz w:val="20"/>
          <w:szCs w:val="20"/>
        </w:rPr>
        <w:t>:</w:t>
      </w:r>
    </w:p>
    <w:p w:rsidR="007A2B7B" w:rsidRPr="00A81B24" w:rsidRDefault="007A2B7B" w:rsidP="007A2B7B">
      <w:pPr>
        <w:pStyle w:val="ListParagraph"/>
        <w:numPr>
          <w:ilvl w:val="0"/>
          <w:numId w:val="72"/>
        </w:numPr>
        <w:spacing w:before="120" w:after="120"/>
        <w:contextualSpacing/>
        <w:jc w:val="both"/>
        <w:rPr>
          <w:rFonts w:ascii="Verdana" w:hAnsi="Verdana"/>
          <w:sz w:val="20"/>
          <w:szCs w:val="20"/>
        </w:rPr>
      </w:pPr>
      <w:r>
        <w:rPr>
          <w:rFonts w:ascii="Verdana" w:hAnsi="Verdana"/>
          <w:sz w:val="20"/>
          <w:szCs w:val="20"/>
        </w:rPr>
        <w:t xml:space="preserve">Untimely launch of the </w:t>
      </w:r>
      <w:r w:rsidRPr="0099675A">
        <w:rPr>
          <w:rFonts w:ascii="Verdana" w:hAnsi="Verdana"/>
          <w:sz w:val="20"/>
          <w:szCs w:val="20"/>
        </w:rPr>
        <w:t xml:space="preserve"> schemes to be financed;</w:t>
      </w:r>
    </w:p>
    <w:p w:rsidR="007A2B7B" w:rsidRPr="00A81B24" w:rsidRDefault="007A2B7B" w:rsidP="007A2B7B">
      <w:pPr>
        <w:pStyle w:val="ListParagraph"/>
        <w:numPr>
          <w:ilvl w:val="0"/>
          <w:numId w:val="72"/>
        </w:numPr>
        <w:spacing w:before="120" w:after="120"/>
        <w:contextualSpacing/>
        <w:jc w:val="both"/>
        <w:rPr>
          <w:rFonts w:ascii="Verdana" w:hAnsi="Verdana"/>
          <w:sz w:val="20"/>
          <w:szCs w:val="20"/>
        </w:rPr>
      </w:pPr>
      <w:r>
        <w:rPr>
          <w:rFonts w:ascii="Verdana" w:hAnsi="Verdana"/>
          <w:sz w:val="20"/>
          <w:szCs w:val="20"/>
        </w:rPr>
        <w:t>Untimely conduct of t</w:t>
      </w:r>
      <w:r w:rsidRPr="0099675A">
        <w:rPr>
          <w:rFonts w:ascii="Verdana" w:hAnsi="Verdana"/>
          <w:sz w:val="20"/>
          <w:szCs w:val="20"/>
        </w:rPr>
        <w:t>he information campaigns;</w:t>
      </w:r>
    </w:p>
    <w:p w:rsidR="007A2B7B" w:rsidRPr="00A81B24" w:rsidRDefault="007A2B7B" w:rsidP="007A2B7B">
      <w:pPr>
        <w:pStyle w:val="ListParagraph"/>
        <w:numPr>
          <w:ilvl w:val="0"/>
          <w:numId w:val="72"/>
        </w:numPr>
        <w:spacing w:before="120" w:after="120"/>
        <w:contextualSpacing/>
        <w:jc w:val="both"/>
        <w:rPr>
          <w:rFonts w:ascii="Verdana" w:hAnsi="Verdana"/>
          <w:sz w:val="20"/>
          <w:szCs w:val="20"/>
        </w:rPr>
      </w:pPr>
      <w:r>
        <w:rPr>
          <w:rFonts w:ascii="Verdana" w:hAnsi="Verdana"/>
          <w:sz w:val="20"/>
          <w:szCs w:val="20"/>
        </w:rPr>
        <w:t xml:space="preserve">Delay in the evaluation of the project application; </w:t>
      </w:r>
    </w:p>
    <w:p w:rsidR="007A2B7B" w:rsidRPr="00A81B24" w:rsidRDefault="007A2B7B" w:rsidP="007A2B7B">
      <w:pPr>
        <w:pStyle w:val="ListParagraph"/>
        <w:numPr>
          <w:ilvl w:val="0"/>
          <w:numId w:val="72"/>
        </w:numPr>
        <w:spacing w:before="120" w:after="120"/>
        <w:contextualSpacing/>
        <w:jc w:val="both"/>
        <w:rPr>
          <w:rFonts w:ascii="Verdana" w:hAnsi="Verdana"/>
          <w:sz w:val="20"/>
          <w:szCs w:val="20"/>
        </w:rPr>
      </w:pPr>
      <w:r w:rsidRPr="0099675A">
        <w:rPr>
          <w:rFonts w:ascii="Verdana" w:hAnsi="Verdana"/>
          <w:sz w:val="20"/>
          <w:szCs w:val="20"/>
        </w:rPr>
        <w:t>Non-transparent evaluation procedures;</w:t>
      </w:r>
    </w:p>
    <w:p w:rsidR="007A2B7B" w:rsidRPr="00A81B24" w:rsidRDefault="007A2B7B" w:rsidP="007A2B7B">
      <w:pPr>
        <w:pStyle w:val="ListParagraph"/>
        <w:numPr>
          <w:ilvl w:val="0"/>
          <w:numId w:val="72"/>
        </w:numPr>
        <w:spacing w:before="120" w:after="120"/>
        <w:contextualSpacing/>
        <w:jc w:val="both"/>
        <w:rPr>
          <w:rFonts w:ascii="Verdana" w:hAnsi="Verdana"/>
          <w:sz w:val="20"/>
          <w:szCs w:val="20"/>
        </w:rPr>
      </w:pPr>
      <w:r w:rsidRPr="0099675A">
        <w:rPr>
          <w:rFonts w:ascii="Verdana" w:hAnsi="Verdana"/>
          <w:sz w:val="20"/>
          <w:szCs w:val="20"/>
        </w:rPr>
        <w:t xml:space="preserve">Small </w:t>
      </w:r>
      <w:r>
        <w:rPr>
          <w:rFonts w:ascii="Verdana" w:hAnsi="Verdana"/>
          <w:sz w:val="20"/>
          <w:szCs w:val="20"/>
        </w:rPr>
        <w:t xml:space="preserve">amount </w:t>
      </w:r>
      <w:r w:rsidRPr="0099675A">
        <w:rPr>
          <w:rFonts w:ascii="Verdana" w:hAnsi="Verdana"/>
          <w:sz w:val="20"/>
          <w:szCs w:val="20"/>
        </w:rPr>
        <w:t>of advance payment;</w:t>
      </w:r>
    </w:p>
    <w:p w:rsidR="007A2B7B" w:rsidRPr="00A81B24" w:rsidRDefault="007A2B7B" w:rsidP="007A2B7B">
      <w:pPr>
        <w:pStyle w:val="ListParagraph"/>
        <w:numPr>
          <w:ilvl w:val="0"/>
          <w:numId w:val="72"/>
        </w:numPr>
        <w:spacing w:before="120" w:after="120"/>
        <w:contextualSpacing/>
        <w:jc w:val="both"/>
        <w:rPr>
          <w:rFonts w:ascii="Verdana" w:hAnsi="Verdana"/>
          <w:sz w:val="20"/>
          <w:szCs w:val="20"/>
        </w:rPr>
      </w:pPr>
      <w:r w:rsidRPr="0099675A">
        <w:rPr>
          <w:rFonts w:ascii="Verdana" w:hAnsi="Verdana"/>
          <w:sz w:val="20"/>
          <w:szCs w:val="20"/>
        </w:rPr>
        <w:t>Need for borrowing for the purpose of project implementation;</w:t>
      </w:r>
    </w:p>
    <w:p w:rsidR="007A2B7B" w:rsidRPr="00A81B24" w:rsidRDefault="007A2B7B" w:rsidP="007A2B7B">
      <w:pPr>
        <w:pStyle w:val="ListParagraph"/>
        <w:numPr>
          <w:ilvl w:val="0"/>
          <w:numId w:val="72"/>
        </w:numPr>
        <w:spacing w:before="120" w:after="120"/>
        <w:contextualSpacing/>
        <w:jc w:val="both"/>
        <w:rPr>
          <w:rFonts w:ascii="Verdana" w:hAnsi="Verdana"/>
          <w:sz w:val="20"/>
          <w:szCs w:val="20"/>
        </w:rPr>
      </w:pPr>
      <w:r w:rsidRPr="0099675A">
        <w:rPr>
          <w:rFonts w:ascii="Verdana" w:hAnsi="Verdana"/>
          <w:sz w:val="20"/>
          <w:szCs w:val="20"/>
        </w:rPr>
        <w:t>Frequent amendments to the guidelines and manuals;</w:t>
      </w:r>
    </w:p>
    <w:p w:rsidR="007A2B7B" w:rsidRPr="00A81B24" w:rsidRDefault="007A2B7B" w:rsidP="007A2B7B">
      <w:pPr>
        <w:pStyle w:val="ListParagraph"/>
        <w:numPr>
          <w:ilvl w:val="0"/>
          <w:numId w:val="72"/>
        </w:numPr>
        <w:spacing w:before="120" w:after="120"/>
        <w:contextualSpacing/>
        <w:jc w:val="both"/>
        <w:rPr>
          <w:rFonts w:ascii="Verdana" w:hAnsi="Verdana"/>
          <w:sz w:val="20"/>
          <w:szCs w:val="20"/>
        </w:rPr>
      </w:pPr>
      <w:r w:rsidRPr="0099675A">
        <w:rPr>
          <w:rFonts w:ascii="Verdana" w:hAnsi="Verdana"/>
          <w:sz w:val="20"/>
          <w:szCs w:val="20"/>
        </w:rPr>
        <w:t xml:space="preserve">Divergent opinions and delay of the replies of the experts from the financing organization </w:t>
      </w:r>
      <w:r>
        <w:rPr>
          <w:rFonts w:ascii="Verdana" w:hAnsi="Verdana"/>
          <w:sz w:val="20"/>
          <w:szCs w:val="20"/>
        </w:rPr>
        <w:t>on</w:t>
      </w:r>
      <w:r w:rsidRPr="0099675A">
        <w:rPr>
          <w:rFonts w:ascii="Verdana" w:hAnsi="Verdana"/>
          <w:sz w:val="20"/>
          <w:szCs w:val="20"/>
        </w:rPr>
        <w:t xml:space="preserve"> questions of the beneficiaries relating to the implementation of the projects;</w:t>
      </w:r>
    </w:p>
    <w:p w:rsidR="007A2B7B" w:rsidRPr="00A81B24" w:rsidRDefault="007A2B7B" w:rsidP="007A2B7B">
      <w:pPr>
        <w:pStyle w:val="ListParagraph"/>
        <w:numPr>
          <w:ilvl w:val="0"/>
          <w:numId w:val="72"/>
        </w:numPr>
        <w:spacing w:before="120" w:after="120"/>
        <w:contextualSpacing/>
        <w:jc w:val="both"/>
        <w:rPr>
          <w:rFonts w:ascii="Verdana" w:hAnsi="Verdana"/>
          <w:sz w:val="20"/>
          <w:szCs w:val="20"/>
        </w:rPr>
      </w:pPr>
      <w:r w:rsidRPr="0099675A">
        <w:rPr>
          <w:rFonts w:ascii="Verdana" w:hAnsi="Verdana"/>
          <w:sz w:val="20"/>
          <w:szCs w:val="20"/>
        </w:rPr>
        <w:t xml:space="preserve">Long period of time from the date of filing of payment requests till the </w:t>
      </w:r>
      <w:r>
        <w:rPr>
          <w:rFonts w:ascii="Verdana" w:hAnsi="Verdana"/>
          <w:sz w:val="20"/>
          <w:szCs w:val="20"/>
        </w:rPr>
        <w:t xml:space="preserve">actual </w:t>
      </w:r>
      <w:r w:rsidRPr="0099675A">
        <w:rPr>
          <w:rFonts w:ascii="Verdana" w:hAnsi="Verdana"/>
          <w:sz w:val="20"/>
          <w:szCs w:val="20"/>
        </w:rPr>
        <w:t xml:space="preserve">payment to </w:t>
      </w:r>
      <w:r>
        <w:rPr>
          <w:rFonts w:ascii="Verdana" w:hAnsi="Verdana"/>
          <w:sz w:val="20"/>
          <w:szCs w:val="20"/>
        </w:rPr>
        <w:t xml:space="preserve">the </w:t>
      </w:r>
      <w:r w:rsidRPr="0099675A">
        <w:rPr>
          <w:rFonts w:ascii="Verdana" w:hAnsi="Verdana"/>
          <w:sz w:val="20"/>
          <w:szCs w:val="20"/>
        </w:rPr>
        <w:t xml:space="preserve">beneficiaries </w:t>
      </w:r>
      <w:r>
        <w:rPr>
          <w:rFonts w:ascii="Verdana" w:hAnsi="Verdana"/>
          <w:sz w:val="20"/>
          <w:szCs w:val="20"/>
        </w:rPr>
        <w:t>is made</w:t>
      </w:r>
      <w:r w:rsidRPr="0099675A">
        <w:rPr>
          <w:rFonts w:ascii="Verdana" w:hAnsi="Verdana"/>
          <w:sz w:val="20"/>
          <w:szCs w:val="20"/>
        </w:rPr>
        <w:t>.</w:t>
      </w:r>
    </w:p>
    <w:p w:rsidR="007A2B7B" w:rsidRPr="00A81B24" w:rsidRDefault="007A2B7B" w:rsidP="007A2B7B">
      <w:pPr>
        <w:pStyle w:val="BodyText"/>
        <w:widowControl w:val="0"/>
        <w:tabs>
          <w:tab w:val="left" w:pos="0"/>
          <w:tab w:val="left" w:pos="6990"/>
        </w:tabs>
        <w:spacing w:before="120" w:line="276" w:lineRule="auto"/>
        <w:jc w:val="both"/>
        <w:rPr>
          <w:rFonts w:ascii="Verdana" w:eastAsia="MS Mincho" w:hAnsi="Verdana"/>
          <w:sz w:val="20"/>
          <w:szCs w:val="20"/>
          <w:lang w:eastAsia="ja-JP"/>
        </w:rPr>
      </w:pPr>
      <w:r w:rsidRPr="0099675A">
        <w:rPr>
          <w:rFonts w:ascii="Verdana" w:eastAsia="MS Mincho" w:hAnsi="Verdana"/>
          <w:sz w:val="20"/>
          <w:szCs w:val="20"/>
          <w:lang w:eastAsia="ja-JP"/>
        </w:rPr>
        <w:t xml:space="preserve">The employees of DG SFIEP are of the opinion that the administrative capacity of the beneficiaries must be further strengthened with respect to all stages of the project cycle – preparation, implementation, sub-contracting and reporting. The </w:t>
      </w:r>
      <w:r>
        <w:rPr>
          <w:rFonts w:ascii="Verdana" w:eastAsia="MS Mincho" w:hAnsi="Verdana"/>
          <w:sz w:val="20"/>
          <w:szCs w:val="20"/>
          <w:lang w:eastAsia="ja-JP"/>
        </w:rPr>
        <w:t>greatest</w:t>
      </w:r>
      <w:r w:rsidRPr="0099675A">
        <w:rPr>
          <w:rFonts w:ascii="Verdana" w:eastAsia="MS Mincho" w:hAnsi="Verdana"/>
          <w:sz w:val="20"/>
          <w:szCs w:val="20"/>
          <w:lang w:eastAsia="ja-JP"/>
        </w:rPr>
        <w:t xml:space="preserve"> need of the beneficiaries for capacity building is </w:t>
      </w:r>
      <w:r>
        <w:rPr>
          <w:rFonts w:ascii="Verdana" w:eastAsia="MS Mincho" w:hAnsi="Verdana"/>
          <w:sz w:val="20"/>
          <w:szCs w:val="20"/>
          <w:lang w:eastAsia="ja-JP"/>
        </w:rPr>
        <w:t>reported</w:t>
      </w:r>
      <w:r w:rsidRPr="0099675A">
        <w:rPr>
          <w:rFonts w:ascii="Verdana" w:eastAsia="MS Mincho" w:hAnsi="Verdana"/>
          <w:sz w:val="20"/>
          <w:szCs w:val="20"/>
          <w:lang w:eastAsia="ja-JP"/>
        </w:rPr>
        <w:t xml:space="preserve"> in the area of preparation and conducting of public procurement (75 %), raising the skills for reporting and </w:t>
      </w:r>
      <w:r>
        <w:rPr>
          <w:rFonts w:ascii="Verdana" w:eastAsia="MS Mincho" w:hAnsi="Verdana"/>
          <w:sz w:val="20"/>
          <w:szCs w:val="20"/>
          <w:lang w:eastAsia="ja-JP"/>
        </w:rPr>
        <w:t>accountability</w:t>
      </w:r>
      <w:r w:rsidRPr="0099675A">
        <w:rPr>
          <w:rFonts w:ascii="Verdana" w:eastAsia="MS Mincho" w:hAnsi="Verdana"/>
          <w:sz w:val="20"/>
          <w:szCs w:val="20"/>
          <w:lang w:eastAsia="ja-JP"/>
        </w:rPr>
        <w:t xml:space="preserve"> for the implementation (69 %) and project management (65 %).</w:t>
      </w:r>
    </w:p>
    <w:p w:rsidR="007A2B7B" w:rsidRPr="00A81B24" w:rsidRDefault="007A2B7B" w:rsidP="007A2B7B">
      <w:pPr>
        <w:pStyle w:val="BodyText"/>
        <w:widowControl w:val="0"/>
        <w:tabs>
          <w:tab w:val="left" w:pos="0"/>
          <w:tab w:val="left" w:pos="6990"/>
        </w:tabs>
        <w:spacing w:before="120" w:line="276" w:lineRule="auto"/>
        <w:jc w:val="both"/>
        <w:rPr>
          <w:rFonts w:ascii="Verdana" w:eastAsia="MS Mincho" w:hAnsi="Verdana"/>
          <w:sz w:val="20"/>
          <w:szCs w:val="20"/>
          <w:lang w:eastAsia="ja-JP"/>
        </w:rPr>
      </w:pPr>
      <w:r w:rsidRPr="0099675A">
        <w:rPr>
          <w:rFonts w:ascii="Verdana" w:eastAsia="MS Mincho" w:hAnsi="Verdana"/>
          <w:sz w:val="20"/>
          <w:szCs w:val="20"/>
          <w:lang w:eastAsia="ja-JP"/>
        </w:rPr>
        <w:t xml:space="preserve">The needs relating to the administrative capacity, identified by the potential beneficiaries of the Programme are: clearer guidelines (69%), better access to direct assistance (51%) and training in project management (51%). </w:t>
      </w:r>
    </w:p>
    <w:p w:rsidR="007A2B7B" w:rsidRPr="00A81B24" w:rsidRDefault="007A2B7B" w:rsidP="007A2B7B">
      <w:pPr>
        <w:pStyle w:val="BodyText"/>
        <w:widowControl w:val="0"/>
        <w:tabs>
          <w:tab w:val="left" w:pos="0"/>
          <w:tab w:val="left" w:pos="6990"/>
        </w:tabs>
        <w:spacing w:before="120" w:line="276" w:lineRule="auto"/>
        <w:jc w:val="both"/>
        <w:rPr>
          <w:rFonts w:ascii="Verdana" w:eastAsia="Malgun Gothic" w:hAnsi="Verdana"/>
          <w:bCs/>
          <w:color w:val="000000"/>
          <w:sz w:val="20"/>
          <w:szCs w:val="20"/>
          <w:lang w:eastAsia="ko-KR"/>
        </w:rPr>
      </w:pPr>
      <w:r w:rsidRPr="0099675A">
        <w:rPr>
          <w:rFonts w:ascii="Verdana" w:eastAsia="MS Mincho" w:hAnsi="Verdana"/>
          <w:sz w:val="20"/>
          <w:szCs w:val="20"/>
          <w:lang w:eastAsia="ja-JP"/>
        </w:rPr>
        <w:t xml:space="preserve">The </w:t>
      </w:r>
      <w:r>
        <w:rPr>
          <w:rFonts w:ascii="Verdana" w:eastAsia="MS Mincho" w:hAnsi="Verdana"/>
          <w:sz w:val="20"/>
          <w:szCs w:val="20"/>
          <w:lang w:eastAsia="ja-JP"/>
        </w:rPr>
        <w:t xml:space="preserve">answers of the </w:t>
      </w:r>
      <w:r w:rsidRPr="0099675A">
        <w:rPr>
          <w:rFonts w:ascii="Verdana" w:eastAsia="MS Mincho" w:hAnsi="Verdana"/>
          <w:sz w:val="20"/>
          <w:szCs w:val="20"/>
          <w:lang w:eastAsia="ja-JP"/>
        </w:rPr>
        <w:t xml:space="preserve">two groups – employees of DG SFIEP and potential beneficiaries </w:t>
      </w:r>
      <w:r>
        <w:rPr>
          <w:rFonts w:ascii="Verdana" w:eastAsia="MS Mincho" w:hAnsi="Verdana"/>
          <w:sz w:val="20"/>
          <w:szCs w:val="20"/>
          <w:lang w:eastAsia="ja-JP"/>
        </w:rPr>
        <w:t xml:space="preserve">differ with respect to </w:t>
      </w:r>
      <w:r w:rsidRPr="0099675A">
        <w:rPr>
          <w:rFonts w:ascii="Verdana" w:eastAsia="MS Mincho" w:hAnsi="Verdana"/>
          <w:sz w:val="20"/>
          <w:szCs w:val="20"/>
          <w:lang w:eastAsia="ja-JP"/>
        </w:rPr>
        <w:t>the needs</w:t>
      </w:r>
      <w:r w:rsidRPr="0099675A">
        <w:rPr>
          <w:rFonts w:ascii="Verdana" w:eastAsia="Malgun Gothic" w:hAnsi="Verdana"/>
          <w:bCs/>
          <w:color w:val="000000"/>
          <w:sz w:val="20"/>
          <w:szCs w:val="20"/>
          <w:lang w:eastAsia="ko-KR"/>
        </w:rPr>
        <w:t xml:space="preserve"> – while the employees of the future MA think that the training of beneficiaries would raise the administrative capacity, the beneficiaries also added that it was necessary to receive cleared guidance and direct assistance from the MA.</w:t>
      </w:r>
    </w:p>
    <w:p w:rsidR="007A2B7B" w:rsidRPr="00A81B24" w:rsidRDefault="007A2B7B" w:rsidP="007A2B7B">
      <w:pPr>
        <w:pStyle w:val="BodyText"/>
        <w:widowControl w:val="0"/>
        <w:tabs>
          <w:tab w:val="left" w:pos="0"/>
          <w:tab w:val="left" w:pos="6990"/>
        </w:tabs>
        <w:spacing w:before="120" w:line="276" w:lineRule="auto"/>
        <w:jc w:val="both"/>
        <w:rPr>
          <w:rFonts w:ascii="Verdana" w:eastAsia="MS Mincho" w:hAnsi="Verdana"/>
          <w:sz w:val="20"/>
          <w:szCs w:val="20"/>
          <w:lang w:eastAsia="ja-JP"/>
        </w:rPr>
      </w:pPr>
      <w:r w:rsidRPr="0099675A">
        <w:rPr>
          <w:rFonts w:ascii="Verdana" w:eastAsia="MS Mincho" w:hAnsi="Verdana"/>
          <w:sz w:val="20"/>
          <w:szCs w:val="20"/>
          <w:lang w:eastAsia="ja-JP"/>
        </w:rPr>
        <w:t xml:space="preserve">The measures for </w:t>
      </w:r>
      <w:r>
        <w:rPr>
          <w:rFonts w:ascii="Verdana" w:eastAsia="MS Mincho" w:hAnsi="Verdana"/>
          <w:sz w:val="20"/>
          <w:szCs w:val="20"/>
          <w:lang w:eastAsia="ja-JP"/>
        </w:rPr>
        <w:t xml:space="preserve">reducing the administrative </w:t>
      </w:r>
      <w:proofErr w:type="gramStart"/>
      <w:r>
        <w:rPr>
          <w:rFonts w:ascii="Verdana" w:eastAsia="MS Mincho" w:hAnsi="Verdana"/>
          <w:sz w:val="20"/>
          <w:szCs w:val="20"/>
          <w:lang w:eastAsia="ja-JP"/>
        </w:rPr>
        <w:t xml:space="preserve">burden </w:t>
      </w:r>
      <w:r w:rsidRPr="0099675A">
        <w:rPr>
          <w:rFonts w:ascii="Verdana" w:eastAsia="MS Mincho" w:hAnsi="Verdana"/>
          <w:sz w:val="20"/>
          <w:szCs w:val="20"/>
          <w:lang w:eastAsia="ja-JP"/>
        </w:rPr>
        <w:t xml:space="preserve"> targeting</w:t>
      </w:r>
      <w:proofErr w:type="gramEnd"/>
      <w:r w:rsidRPr="0099675A">
        <w:rPr>
          <w:rFonts w:ascii="Verdana" w:eastAsia="MS Mincho" w:hAnsi="Verdana"/>
          <w:sz w:val="20"/>
          <w:szCs w:val="20"/>
          <w:lang w:eastAsia="ja-JP"/>
        </w:rPr>
        <w:t xml:space="preserve"> the beneficiaries supported by OPSESG also overlap with the requirements and proposals of the beneficiaries, namely: electronic reporting on project implementation (80%), electronic submission of project </w:t>
      </w:r>
      <w:r>
        <w:rPr>
          <w:rFonts w:ascii="Verdana" w:eastAsia="MS Mincho" w:hAnsi="Verdana"/>
          <w:sz w:val="20"/>
          <w:szCs w:val="20"/>
          <w:lang w:eastAsia="ja-JP"/>
        </w:rPr>
        <w:t>applications</w:t>
      </w:r>
      <w:r w:rsidRPr="0099675A">
        <w:rPr>
          <w:rFonts w:ascii="Verdana" w:eastAsia="MS Mincho" w:hAnsi="Verdana"/>
          <w:sz w:val="20"/>
          <w:szCs w:val="20"/>
          <w:lang w:eastAsia="ja-JP"/>
        </w:rPr>
        <w:t xml:space="preserve"> (73%), and unification of the rules for project implementation (69%), development of a national methodology for simplified costs (56%).</w:t>
      </w:r>
    </w:p>
    <w:p w:rsidR="007A2B7B" w:rsidRPr="00A81B24" w:rsidRDefault="007A2B7B" w:rsidP="007A2B7B">
      <w:pPr>
        <w:pStyle w:val="BodyText"/>
        <w:widowControl w:val="0"/>
        <w:tabs>
          <w:tab w:val="left" w:pos="0"/>
          <w:tab w:val="left" w:pos="6990"/>
        </w:tabs>
        <w:spacing w:before="120" w:line="276" w:lineRule="auto"/>
        <w:jc w:val="both"/>
        <w:rPr>
          <w:rFonts w:ascii="Verdana" w:eastAsia="Malgun Gothic" w:hAnsi="Verdana"/>
          <w:bCs/>
          <w:color w:val="000000"/>
          <w:sz w:val="20"/>
          <w:szCs w:val="20"/>
          <w:lang w:eastAsia="ko-KR"/>
        </w:rPr>
      </w:pPr>
      <w:r w:rsidRPr="0099675A">
        <w:rPr>
          <w:rFonts w:ascii="Verdana" w:eastAsia="Malgun Gothic" w:hAnsi="Verdana"/>
          <w:bCs/>
          <w:color w:val="000000"/>
          <w:sz w:val="20"/>
          <w:szCs w:val="20"/>
          <w:lang w:eastAsia="ko-KR"/>
        </w:rPr>
        <w:t xml:space="preserve">Based on the above, the following measures and activities for raising the capacity of the beneficiaries and reducing the administrative burden could be summarized for the next </w:t>
      </w:r>
      <w:r w:rsidRPr="0099675A">
        <w:rPr>
          <w:rFonts w:ascii="Verdana" w:eastAsia="Malgun Gothic" w:hAnsi="Verdana"/>
          <w:bCs/>
          <w:color w:val="000000"/>
          <w:sz w:val="20"/>
          <w:szCs w:val="20"/>
          <w:lang w:eastAsia="ko-KR"/>
        </w:rPr>
        <w:lastRenderedPageBreak/>
        <w:t>programming period:</w:t>
      </w:r>
    </w:p>
    <w:p w:rsidR="007A2B7B" w:rsidRPr="00A81B24" w:rsidRDefault="007A2B7B" w:rsidP="007A2B7B">
      <w:pPr>
        <w:pStyle w:val="BodyText"/>
        <w:widowControl w:val="0"/>
        <w:numPr>
          <w:ilvl w:val="0"/>
          <w:numId w:val="71"/>
        </w:numPr>
        <w:tabs>
          <w:tab w:val="left" w:pos="0"/>
          <w:tab w:val="left" w:pos="6990"/>
        </w:tabs>
        <w:spacing w:before="120" w:line="276" w:lineRule="auto"/>
        <w:jc w:val="both"/>
        <w:rPr>
          <w:rFonts w:ascii="Verdana" w:eastAsia="Malgun Gothic" w:hAnsi="Verdana"/>
          <w:bCs/>
          <w:color w:val="000000"/>
          <w:sz w:val="20"/>
          <w:szCs w:val="20"/>
          <w:lang w:eastAsia="ko-KR"/>
        </w:rPr>
      </w:pPr>
      <w:r w:rsidRPr="0099675A">
        <w:rPr>
          <w:rFonts w:ascii="Verdana" w:eastAsia="Malgun Gothic" w:hAnsi="Verdana"/>
          <w:bCs/>
          <w:color w:val="000000"/>
          <w:sz w:val="20"/>
          <w:szCs w:val="20"/>
          <w:lang w:eastAsia="ko-KR"/>
        </w:rPr>
        <w:t>Publication of the indicative programmes for launching the financing schemes at least 1 year in advance;</w:t>
      </w:r>
    </w:p>
    <w:p w:rsidR="007A2B7B" w:rsidRPr="00A81B24" w:rsidRDefault="007A2B7B" w:rsidP="007A2B7B">
      <w:pPr>
        <w:pStyle w:val="BodyText"/>
        <w:widowControl w:val="0"/>
        <w:numPr>
          <w:ilvl w:val="0"/>
          <w:numId w:val="71"/>
        </w:numPr>
        <w:tabs>
          <w:tab w:val="left" w:pos="0"/>
          <w:tab w:val="left" w:pos="6990"/>
        </w:tabs>
        <w:spacing w:before="120" w:line="276" w:lineRule="auto"/>
        <w:jc w:val="both"/>
        <w:rPr>
          <w:rFonts w:ascii="Verdana" w:eastAsia="Malgun Gothic" w:hAnsi="Verdana"/>
          <w:bCs/>
          <w:color w:val="000000"/>
          <w:sz w:val="20"/>
          <w:szCs w:val="20"/>
          <w:lang w:eastAsia="ko-KR"/>
        </w:rPr>
      </w:pPr>
      <w:r w:rsidRPr="0099675A">
        <w:rPr>
          <w:rFonts w:ascii="Verdana" w:eastAsia="Malgun Gothic" w:hAnsi="Verdana"/>
          <w:bCs/>
          <w:color w:val="000000"/>
          <w:sz w:val="20"/>
          <w:szCs w:val="20"/>
          <w:lang w:eastAsia="ko-KR"/>
        </w:rPr>
        <w:t>Introduction of electronic application;</w:t>
      </w:r>
    </w:p>
    <w:p w:rsidR="007A2B7B" w:rsidRPr="00A81B24" w:rsidRDefault="007A2B7B" w:rsidP="007A2B7B">
      <w:pPr>
        <w:pStyle w:val="BodyText"/>
        <w:widowControl w:val="0"/>
        <w:numPr>
          <w:ilvl w:val="0"/>
          <w:numId w:val="71"/>
        </w:numPr>
        <w:tabs>
          <w:tab w:val="left" w:pos="0"/>
          <w:tab w:val="left" w:pos="6990"/>
        </w:tabs>
        <w:spacing w:before="120" w:line="276" w:lineRule="auto"/>
        <w:jc w:val="both"/>
        <w:rPr>
          <w:rFonts w:ascii="Verdana" w:eastAsia="Malgun Gothic" w:hAnsi="Verdana"/>
          <w:bCs/>
          <w:color w:val="000000"/>
          <w:sz w:val="20"/>
          <w:szCs w:val="20"/>
          <w:lang w:eastAsia="ko-KR"/>
        </w:rPr>
      </w:pPr>
      <w:r>
        <w:rPr>
          <w:rFonts w:ascii="Verdana" w:eastAsia="Malgun Gothic" w:hAnsi="Verdana"/>
          <w:bCs/>
          <w:color w:val="000000"/>
          <w:sz w:val="20"/>
          <w:szCs w:val="20"/>
          <w:lang w:eastAsia="ko-KR"/>
        </w:rPr>
        <w:t xml:space="preserve">Maximum use </w:t>
      </w:r>
      <w:r w:rsidRPr="0099675A">
        <w:rPr>
          <w:rFonts w:ascii="Verdana" w:eastAsia="Malgun Gothic" w:hAnsi="Verdana"/>
          <w:bCs/>
          <w:color w:val="000000"/>
          <w:sz w:val="20"/>
          <w:szCs w:val="20"/>
          <w:lang w:eastAsia="ko-KR"/>
        </w:rPr>
        <w:t>of UMIS in the communication with the beneficiaries – in reporting on the results</w:t>
      </w:r>
      <w:r>
        <w:rPr>
          <w:rFonts w:ascii="Verdana" w:eastAsia="Malgun Gothic" w:hAnsi="Verdana"/>
          <w:bCs/>
          <w:color w:val="000000"/>
          <w:sz w:val="20"/>
          <w:szCs w:val="20"/>
          <w:lang w:eastAsia="ko-KR"/>
        </w:rPr>
        <w:t xml:space="preserve"> and indicators</w:t>
      </w:r>
      <w:r w:rsidRPr="0099675A">
        <w:rPr>
          <w:rFonts w:ascii="Verdana" w:eastAsia="Malgun Gothic" w:hAnsi="Verdana"/>
          <w:bCs/>
          <w:color w:val="000000"/>
          <w:sz w:val="20"/>
          <w:szCs w:val="20"/>
          <w:lang w:eastAsia="ko-KR"/>
        </w:rPr>
        <w:t xml:space="preserve">, presenting reports, payment request, </w:t>
      </w:r>
      <w:r>
        <w:rPr>
          <w:rFonts w:ascii="Verdana" w:eastAsia="Malgun Gothic" w:hAnsi="Verdana"/>
          <w:bCs/>
          <w:color w:val="000000"/>
          <w:sz w:val="20"/>
          <w:szCs w:val="20"/>
          <w:lang w:eastAsia="ko-KR"/>
        </w:rPr>
        <w:t>verification of costs</w:t>
      </w:r>
      <w:r w:rsidRPr="0099675A">
        <w:rPr>
          <w:rFonts w:ascii="Verdana" w:eastAsia="Malgun Gothic" w:hAnsi="Verdana"/>
          <w:bCs/>
          <w:color w:val="000000"/>
          <w:sz w:val="20"/>
          <w:szCs w:val="20"/>
          <w:lang w:eastAsia="ko-KR"/>
        </w:rPr>
        <w:t>, etc.;</w:t>
      </w:r>
    </w:p>
    <w:p w:rsidR="007A2B7B" w:rsidRPr="00A81B24" w:rsidRDefault="007A2B7B" w:rsidP="007A2B7B">
      <w:pPr>
        <w:pStyle w:val="BodyText"/>
        <w:widowControl w:val="0"/>
        <w:numPr>
          <w:ilvl w:val="0"/>
          <w:numId w:val="71"/>
        </w:numPr>
        <w:tabs>
          <w:tab w:val="left" w:pos="0"/>
          <w:tab w:val="left" w:pos="6990"/>
        </w:tabs>
        <w:spacing w:before="120" w:line="276" w:lineRule="auto"/>
        <w:jc w:val="both"/>
        <w:rPr>
          <w:rFonts w:ascii="Verdana" w:eastAsia="Malgun Gothic" w:hAnsi="Verdana"/>
          <w:bCs/>
          <w:color w:val="000000"/>
          <w:sz w:val="20"/>
          <w:szCs w:val="20"/>
          <w:lang w:eastAsia="ko-KR"/>
        </w:rPr>
      </w:pPr>
      <w:r w:rsidRPr="0099675A">
        <w:rPr>
          <w:rFonts w:ascii="Verdana" w:eastAsia="Malgun Gothic" w:hAnsi="Verdana"/>
          <w:bCs/>
          <w:color w:val="000000"/>
          <w:sz w:val="20"/>
          <w:szCs w:val="20"/>
          <w:lang w:eastAsia="ko-KR"/>
        </w:rPr>
        <w:t>Continu</w:t>
      </w:r>
      <w:r>
        <w:rPr>
          <w:rFonts w:ascii="Verdana" w:eastAsia="Malgun Gothic" w:hAnsi="Verdana"/>
          <w:bCs/>
          <w:color w:val="000000"/>
          <w:sz w:val="20"/>
          <w:szCs w:val="20"/>
          <w:lang w:eastAsia="ko-KR"/>
        </w:rPr>
        <w:t>ation of</w:t>
      </w:r>
      <w:r w:rsidRPr="0099675A">
        <w:rPr>
          <w:rFonts w:ascii="Verdana" w:eastAsia="Malgun Gothic" w:hAnsi="Verdana"/>
          <w:bCs/>
          <w:color w:val="000000"/>
          <w:sz w:val="20"/>
          <w:szCs w:val="20"/>
          <w:lang w:eastAsia="ko-KR"/>
        </w:rPr>
        <w:t xml:space="preserve"> the practice of conducting information days and awareness campaigns on the </w:t>
      </w:r>
      <w:r>
        <w:rPr>
          <w:rFonts w:ascii="Verdana" w:eastAsia="Malgun Gothic" w:hAnsi="Verdana"/>
          <w:bCs/>
          <w:color w:val="000000"/>
          <w:sz w:val="20"/>
          <w:szCs w:val="20"/>
          <w:lang w:eastAsia="ko-KR"/>
        </w:rPr>
        <w:t>support</w:t>
      </w:r>
      <w:r w:rsidRPr="0099675A">
        <w:rPr>
          <w:rFonts w:ascii="Verdana" w:eastAsia="Malgun Gothic" w:hAnsi="Verdana"/>
          <w:bCs/>
          <w:color w:val="000000"/>
          <w:sz w:val="20"/>
          <w:szCs w:val="20"/>
          <w:lang w:eastAsia="ko-KR"/>
        </w:rPr>
        <w:t xml:space="preserve"> schemes;</w:t>
      </w:r>
    </w:p>
    <w:p w:rsidR="007A2B7B" w:rsidRPr="00A81B24" w:rsidRDefault="007A2B7B" w:rsidP="007A2B7B">
      <w:pPr>
        <w:pStyle w:val="BodyText"/>
        <w:widowControl w:val="0"/>
        <w:numPr>
          <w:ilvl w:val="0"/>
          <w:numId w:val="71"/>
        </w:numPr>
        <w:tabs>
          <w:tab w:val="left" w:pos="0"/>
          <w:tab w:val="left" w:pos="6990"/>
        </w:tabs>
        <w:spacing w:before="120" w:line="276" w:lineRule="auto"/>
        <w:jc w:val="both"/>
        <w:rPr>
          <w:rFonts w:ascii="Verdana" w:eastAsia="Malgun Gothic" w:hAnsi="Verdana"/>
          <w:bCs/>
          <w:color w:val="000000"/>
          <w:sz w:val="20"/>
          <w:szCs w:val="20"/>
          <w:lang w:eastAsia="ko-KR"/>
        </w:rPr>
      </w:pPr>
      <w:r w:rsidRPr="0099675A">
        <w:rPr>
          <w:rFonts w:ascii="Verdana" w:eastAsia="Malgun Gothic" w:hAnsi="Verdana"/>
          <w:bCs/>
          <w:color w:val="000000"/>
          <w:sz w:val="20"/>
          <w:szCs w:val="20"/>
          <w:lang w:eastAsia="ko-KR"/>
        </w:rPr>
        <w:t>Avoid the frequent change of rules and guidelines in the process of project implementation and if needed, the beneficiaries should be informed in an appropriate way (by e-mail) about changes and would be given additional explanations where necessary;</w:t>
      </w:r>
    </w:p>
    <w:p w:rsidR="007A2B7B" w:rsidRPr="00A81B24" w:rsidRDefault="007A2B7B" w:rsidP="007A2B7B">
      <w:pPr>
        <w:pStyle w:val="BodyText"/>
        <w:widowControl w:val="0"/>
        <w:numPr>
          <w:ilvl w:val="0"/>
          <w:numId w:val="71"/>
        </w:numPr>
        <w:tabs>
          <w:tab w:val="left" w:pos="0"/>
          <w:tab w:val="left" w:pos="6990"/>
        </w:tabs>
        <w:spacing w:before="120" w:line="276" w:lineRule="auto"/>
        <w:jc w:val="both"/>
        <w:rPr>
          <w:rFonts w:ascii="Verdana" w:eastAsia="Malgun Gothic" w:hAnsi="Verdana"/>
          <w:bCs/>
          <w:color w:val="000000"/>
          <w:sz w:val="20"/>
          <w:szCs w:val="20"/>
          <w:lang w:eastAsia="ko-KR"/>
        </w:rPr>
      </w:pPr>
      <w:r w:rsidRPr="0099675A">
        <w:rPr>
          <w:rFonts w:ascii="Verdana" w:eastAsia="Malgun Gothic" w:hAnsi="Verdana"/>
          <w:bCs/>
          <w:color w:val="000000"/>
          <w:sz w:val="20"/>
          <w:szCs w:val="20"/>
          <w:lang w:eastAsia="ko-KR"/>
        </w:rPr>
        <w:t>Organi</w:t>
      </w:r>
      <w:r>
        <w:rPr>
          <w:rFonts w:ascii="Verdana" w:eastAsia="Malgun Gothic" w:hAnsi="Verdana"/>
          <w:bCs/>
          <w:color w:val="000000"/>
          <w:sz w:val="20"/>
          <w:szCs w:val="20"/>
          <w:lang w:eastAsia="ko-KR"/>
        </w:rPr>
        <w:t xml:space="preserve">zation of </w:t>
      </w:r>
      <w:r w:rsidRPr="0099675A">
        <w:rPr>
          <w:rFonts w:ascii="Verdana" w:eastAsia="Malgun Gothic" w:hAnsi="Verdana"/>
          <w:bCs/>
          <w:color w:val="000000"/>
          <w:sz w:val="20"/>
          <w:szCs w:val="20"/>
          <w:lang w:eastAsia="ko-KR"/>
        </w:rPr>
        <w:t xml:space="preserve"> training </w:t>
      </w:r>
      <w:r>
        <w:rPr>
          <w:rFonts w:ascii="Verdana" w:eastAsia="Malgun Gothic" w:hAnsi="Verdana"/>
          <w:bCs/>
          <w:color w:val="000000"/>
          <w:sz w:val="20"/>
          <w:szCs w:val="20"/>
          <w:lang w:eastAsia="ko-KR"/>
        </w:rPr>
        <w:t>on</w:t>
      </w:r>
      <w:r w:rsidRPr="0099675A">
        <w:rPr>
          <w:rFonts w:ascii="Verdana" w:eastAsia="Malgun Gothic" w:hAnsi="Verdana"/>
          <w:bCs/>
          <w:color w:val="000000"/>
          <w:sz w:val="20"/>
          <w:szCs w:val="20"/>
          <w:lang w:eastAsia="ko-KR"/>
        </w:rPr>
        <w:t xml:space="preserve"> the implementation of projects and correct spending of the funds;</w:t>
      </w:r>
    </w:p>
    <w:p w:rsidR="007A2B7B" w:rsidRPr="00A81B24" w:rsidRDefault="007A2B7B" w:rsidP="007A2B7B">
      <w:pPr>
        <w:pStyle w:val="BodyText"/>
        <w:widowControl w:val="0"/>
        <w:numPr>
          <w:ilvl w:val="0"/>
          <w:numId w:val="71"/>
        </w:numPr>
        <w:tabs>
          <w:tab w:val="left" w:pos="0"/>
          <w:tab w:val="left" w:pos="6990"/>
        </w:tabs>
        <w:spacing w:before="120" w:line="276" w:lineRule="auto"/>
        <w:jc w:val="both"/>
        <w:rPr>
          <w:rFonts w:ascii="Verdana" w:eastAsia="Malgun Gothic" w:hAnsi="Verdana"/>
          <w:bCs/>
          <w:color w:val="000000"/>
          <w:sz w:val="20"/>
          <w:szCs w:val="20"/>
          <w:lang w:eastAsia="ko-KR"/>
        </w:rPr>
      </w:pPr>
      <w:r w:rsidRPr="0099675A">
        <w:rPr>
          <w:rFonts w:ascii="Verdana" w:hAnsi="Verdana" w:cs="Arial"/>
          <w:color w:val="000000"/>
          <w:sz w:val="20"/>
          <w:szCs w:val="20"/>
        </w:rPr>
        <w:t xml:space="preserve">Introducing a “contact point” for the beneficiaries in the Manual on Project Management, </w:t>
      </w:r>
      <w:r w:rsidRPr="00F47867">
        <w:rPr>
          <w:rFonts w:ascii="Verdana" w:hAnsi="Verdana" w:cs="Arial"/>
          <w:color w:val="000000"/>
          <w:sz w:val="20"/>
          <w:szCs w:val="20"/>
        </w:rPr>
        <w:t>with clearly defined persons, responsibilities and deadlines for responding to questions.</w:t>
      </w:r>
    </w:p>
    <w:p w:rsidR="007A2B7B" w:rsidRPr="005B6074" w:rsidRDefault="007A2B7B" w:rsidP="007A2B7B">
      <w:pPr>
        <w:pStyle w:val="BodyText"/>
        <w:widowControl w:val="0"/>
        <w:tabs>
          <w:tab w:val="left" w:pos="0"/>
          <w:tab w:val="left" w:pos="6990"/>
        </w:tabs>
        <w:spacing w:before="120" w:line="276" w:lineRule="auto"/>
        <w:ind w:left="720"/>
        <w:jc w:val="both"/>
        <w:rPr>
          <w:rFonts w:ascii="Verdana" w:eastAsia="Malgun Gothic" w:hAnsi="Verdana"/>
          <w:bCs/>
          <w:color w:val="000000"/>
          <w:sz w:val="20"/>
          <w:szCs w:val="20"/>
          <w:lang w:eastAsia="ko-KR"/>
        </w:rPr>
      </w:pPr>
    </w:p>
    <w:tbl>
      <w:tblPr>
        <w:tblW w:w="9072" w:type="dxa"/>
        <w:tblInd w:w="108" w:type="dxa"/>
        <w:tblBorders>
          <w:top w:val="single" w:sz="4" w:space="0" w:color="auto"/>
          <w:bottom w:val="single" w:sz="4" w:space="0" w:color="auto"/>
        </w:tblBorders>
        <w:tblLook w:val="04A0" w:firstRow="1" w:lastRow="0" w:firstColumn="1" w:lastColumn="0" w:noHBand="0" w:noVBand="1"/>
      </w:tblPr>
      <w:tblGrid>
        <w:gridCol w:w="531"/>
        <w:gridCol w:w="8541"/>
      </w:tblGrid>
      <w:tr w:rsidR="00F71FE2" w:rsidRPr="005B6074" w:rsidTr="005B6074">
        <w:tc>
          <w:tcPr>
            <w:tcW w:w="531" w:type="dxa"/>
            <w:vAlign w:val="center"/>
          </w:tcPr>
          <w:p w:rsidR="00F71FE2" w:rsidRPr="005B6074" w:rsidRDefault="00F71FE2" w:rsidP="005B6074">
            <w:pPr>
              <w:pStyle w:val="BodyText"/>
              <w:keepNext/>
              <w:spacing w:before="120" w:line="276" w:lineRule="auto"/>
              <w:jc w:val="center"/>
              <w:rPr>
                <w:rFonts w:ascii="Verdana" w:hAnsi="Verdana"/>
                <w:color w:val="548DD4"/>
                <w:sz w:val="36"/>
                <w:szCs w:val="36"/>
              </w:rPr>
            </w:pPr>
            <w:r w:rsidRPr="005B6074">
              <w:rPr>
                <w:rFonts w:ascii="Verdana" w:hAnsi="Verdana"/>
                <w:color w:val="548DD4"/>
                <w:sz w:val="36"/>
                <w:szCs w:val="36"/>
              </w:rPr>
              <w:t>?</w:t>
            </w:r>
          </w:p>
        </w:tc>
        <w:tc>
          <w:tcPr>
            <w:tcW w:w="8541" w:type="dxa"/>
            <w:shd w:val="clear" w:color="auto" w:fill="B8CCE4"/>
          </w:tcPr>
          <w:p w:rsidR="00F71FE2" w:rsidRPr="005B6074" w:rsidRDefault="00F71FE2" w:rsidP="005B35A7">
            <w:pPr>
              <w:keepNext/>
              <w:autoSpaceDE w:val="0"/>
              <w:autoSpaceDN w:val="0"/>
              <w:adjustRightInd w:val="0"/>
              <w:spacing w:before="120" w:after="120"/>
              <w:rPr>
                <w:rFonts w:ascii="Verdana" w:hAnsi="Verdana"/>
                <w:sz w:val="20"/>
                <w:szCs w:val="20"/>
              </w:rPr>
            </w:pPr>
            <w:r w:rsidRPr="005B6074">
              <w:rPr>
                <w:rFonts w:ascii="Verdana" w:hAnsi="Verdana"/>
                <w:sz w:val="20"/>
                <w:szCs w:val="20"/>
              </w:rPr>
              <w:t>Appropriateness of the milestones from the viewpoint of the administrative capacity (relating it to</w:t>
            </w:r>
            <w:r w:rsidR="005B35A7">
              <w:rPr>
                <w:rFonts w:ascii="Verdana" w:hAnsi="Verdana"/>
                <w:sz w:val="20"/>
                <w:szCs w:val="20"/>
              </w:rPr>
              <w:t xml:space="preserve"> the analysis of the milestones</w:t>
            </w:r>
            <w:r w:rsidRPr="005B6074">
              <w:rPr>
                <w:rFonts w:ascii="Verdana" w:hAnsi="Verdana"/>
                <w:sz w:val="20"/>
                <w:szCs w:val="20"/>
              </w:rPr>
              <w:t>)</w:t>
            </w:r>
          </w:p>
        </w:tc>
      </w:tr>
    </w:tbl>
    <w:p w:rsidR="00F71FE2" w:rsidRPr="005B6074" w:rsidRDefault="00F71FE2" w:rsidP="00F71FE2">
      <w:pPr>
        <w:pStyle w:val="BodyText"/>
        <w:widowControl w:val="0"/>
        <w:tabs>
          <w:tab w:val="left" w:pos="0"/>
          <w:tab w:val="right" w:pos="9214"/>
        </w:tabs>
        <w:spacing w:before="120" w:line="276" w:lineRule="auto"/>
        <w:jc w:val="both"/>
        <w:rPr>
          <w:rFonts w:ascii="Verdana" w:hAnsi="Verdana"/>
          <w:bCs/>
          <w:color w:val="000000"/>
          <w:sz w:val="20"/>
          <w:szCs w:val="20"/>
        </w:rPr>
      </w:pPr>
      <w:r w:rsidRPr="005B6074">
        <w:rPr>
          <w:rFonts w:ascii="Verdana" w:hAnsi="Verdana"/>
          <w:bCs/>
          <w:color w:val="000000"/>
          <w:sz w:val="20"/>
          <w:szCs w:val="20"/>
        </w:rPr>
        <w:t>Currently the milestone values of the Programmer are in a process of development. To have them achieved, the following should be ensured:</w:t>
      </w:r>
    </w:p>
    <w:p w:rsidR="00F71FE2" w:rsidRPr="005B6074" w:rsidRDefault="00F71FE2" w:rsidP="00181A22">
      <w:pPr>
        <w:pStyle w:val="BodyText"/>
        <w:widowControl w:val="0"/>
        <w:numPr>
          <w:ilvl w:val="0"/>
          <w:numId w:val="79"/>
        </w:numPr>
        <w:tabs>
          <w:tab w:val="left" w:pos="0"/>
          <w:tab w:val="right" w:pos="9214"/>
        </w:tabs>
        <w:spacing w:before="120" w:line="276" w:lineRule="auto"/>
        <w:jc w:val="both"/>
        <w:rPr>
          <w:rFonts w:ascii="Verdana" w:hAnsi="Verdana"/>
          <w:bCs/>
          <w:color w:val="000000"/>
          <w:sz w:val="20"/>
          <w:szCs w:val="20"/>
        </w:rPr>
      </w:pPr>
      <w:r w:rsidRPr="005B6074">
        <w:rPr>
          <w:rFonts w:ascii="Verdana" w:hAnsi="Verdana"/>
          <w:bCs/>
          <w:color w:val="000000"/>
          <w:sz w:val="20"/>
          <w:szCs w:val="20"/>
        </w:rPr>
        <w:t>Timely launch of the Programme;</w:t>
      </w:r>
    </w:p>
    <w:p w:rsidR="00F71FE2" w:rsidRPr="005B6074" w:rsidRDefault="00F71FE2" w:rsidP="00181A22">
      <w:pPr>
        <w:pStyle w:val="BodyText"/>
        <w:widowControl w:val="0"/>
        <w:numPr>
          <w:ilvl w:val="0"/>
          <w:numId w:val="79"/>
        </w:numPr>
        <w:tabs>
          <w:tab w:val="left" w:pos="0"/>
          <w:tab w:val="right" w:pos="9214"/>
        </w:tabs>
        <w:spacing w:before="120" w:line="276" w:lineRule="auto"/>
        <w:jc w:val="both"/>
        <w:rPr>
          <w:rFonts w:ascii="Verdana" w:hAnsi="Verdana"/>
          <w:bCs/>
          <w:color w:val="000000"/>
          <w:sz w:val="20"/>
          <w:szCs w:val="20"/>
        </w:rPr>
      </w:pPr>
      <w:r w:rsidRPr="005B6074">
        <w:rPr>
          <w:rFonts w:ascii="Verdana" w:hAnsi="Verdana"/>
          <w:bCs/>
          <w:color w:val="000000"/>
          <w:sz w:val="20"/>
          <w:szCs w:val="20"/>
        </w:rPr>
        <w:t>Compliance with the timelines for project selection, implementation, reporting and verification;</w:t>
      </w:r>
    </w:p>
    <w:p w:rsidR="00F71FE2" w:rsidRPr="005B6074" w:rsidRDefault="00F71FE2" w:rsidP="00181A22">
      <w:pPr>
        <w:pStyle w:val="BodyText"/>
        <w:widowControl w:val="0"/>
        <w:numPr>
          <w:ilvl w:val="0"/>
          <w:numId w:val="79"/>
        </w:numPr>
        <w:tabs>
          <w:tab w:val="left" w:pos="0"/>
          <w:tab w:val="right" w:pos="9214"/>
        </w:tabs>
        <w:spacing w:before="120" w:line="276" w:lineRule="auto"/>
        <w:jc w:val="both"/>
        <w:rPr>
          <w:rFonts w:ascii="Verdana" w:hAnsi="Verdana"/>
          <w:bCs/>
          <w:color w:val="000000"/>
          <w:sz w:val="20"/>
          <w:szCs w:val="20"/>
        </w:rPr>
      </w:pPr>
      <w:r w:rsidRPr="005B6074">
        <w:rPr>
          <w:rFonts w:ascii="Verdana" w:hAnsi="Verdana"/>
          <w:bCs/>
          <w:color w:val="000000"/>
          <w:sz w:val="20"/>
          <w:szCs w:val="20"/>
        </w:rPr>
        <w:t>Clearly defined indicators at the project and Programme level;</w:t>
      </w:r>
    </w:p>
    <w:p w:rsidR="00F71FE2" w:rsidRPr="005B6074" w:rsidRDefault="00F71FE2" w:rsidP="00181A22">
      <w:pPr>
        <w:pStyle w:val="BodyText"/>
        <w:widowControl w:val="0"/>
        <w:numPr>
          <w:ilvl w:val="0"/>
          <w:numId w:val="79"/>
        </w:numPr>
        <w:tabs>
          <w:tab w:val="left" w:pos="0"/>
          <w:tab w:val="right" w:pos="9214"/>
        </w:tabs>
        <w:spacing w:before="120" w:line="276" w:lineRule="auto"/>
        <w:jc w:val="both"/>
        <w:rPr>
          <w:rFonts w:ascii="Verdana" w:hAnsi="Verdana"/>
          <w:bCs/>
          <w:color w:val="000000"/>
          <w:sz w:val="20"/>
          <w:szCs w:val="20"/>
        </w:rPr>
      </w:pPr>
      <w:r w:rsidRPr="005B6074">
        <w:rPr>
          <w:rFonts w:ascii="Verdana" w:hAnsi="Verdana"/>
          <w:bCs/>
          <w:color w:val="000000"/>
          <w:sz w:val="20"/>
          <w:szCs w:val="20"/>
        </w:rPr>
        <w:t>Putting in place of an efficient monitoring system, which will track and analyse the achievement of the indicators.</w:t>
      </w:r>
    </w:p>
    <w:p w:rsidR="00F71FE2" w:rsidRPr="005B6074" w:rsidRDefault="00F71FE2" w:rsidP="00F71FE2">
      <w:pPr>
        <w:pStyle w:val="BodyText"/>
        <w:widowControl w:val="0"/>
        <w:tabs>
          <w:tab w:val="left" w:pos="0"/>
          <w:tab w:val="right" w:pos="9214"/>
        </w:tabs>
        <w:spacing w:before="120" w:line="276" w:lineRule="auto"/>
        <w:jc w:val="both"/>
        <w:rPr>
          <w:rFonts w:ascii="Verdana" w:hAnsi="Verdana"/>
          <w:bCs/>
          <w:color w:val="000000"/>
          <w:sz w:val="20"/>
          <w:szCs w:val="20"/>
        </w:rPr>
      </w:pPr>
      <w:r w:rsidRPr="005B6074">
        <w:rPr>
          <w:rFonts w:ascii="Verdana" w:hAnsi="Verdana"/>
          <w:bCs/>
          <w:color w:val="000000"/>
          <w:sz w:val="20"/>
          <w:szCs w:val="20"/>
        </w:rPr>
        <w:t>All these conditions are associated with the administrative capacity of the MA and of the potential beneficiaries of the Programme. The risks relating to the administrative capacity are presented below</w:t>
      </w:r>
      <w:r w:rsidRPr="005B6074">
        <w:rPr>
          <w:rStyle w:val="FootnoteReference"/>
          <w:rFonts w:ascii="Verdana" w:hAnsi="Verdana"/>
          <w:bCs/>
          <w:color w:val="000000"/>
          <w:sz w:val="20"/>
          <w:szCs w:val="20"/>
        </w:rPr>
        <w:footnoteReference w:id="12"/>
      </w:r>
      <w:r w:rsidRPr="005B6074">
        <w:rPr>
          <w:rFonts w:ascii="Verdana" w:hAnsi="Verdana"/>
          <w:bCs/>
          <w:color w:val="000000"/>
          <w:sz w:val="20"/>
          <w:szCs w:val="20"/>
        </w:rPr>
        <w:t>.</w:t>
      </w:r>
    </w:p>
    <w:p w:rsidR="00F71FE2" w:rsidRPr="005B6074" w:rsidRDefault="00F71FE2" w:rsidP="00F71FE2">
      <w:pPr>
        <w:pStyle w:val="BodyText"/>
        <w:widowControl w:val="0"/>
        <w:tabs>
          <w:tab w:val="left" w:pos="0"/>
          <w:tab w:val="right" w:pos="9214"/>
        </w:tabs>
        <w:spacing w:before="120" w:line="276" w:lineRule="auto"/>
        <w:jc w:val="both"/>
        <w:rPr>
          <w:rFonts w:ascii="Verdana" w:hAnsi="Verdana"/>
          <w:bCs/>
          <w:color w:val="000000"/>
          <w:sz w:val="20"/>
          <w:szCs w:val="20"/>
        </w:rPr>
      </w:pPr>
      <w:r w:rsidRPr="005B6074">
        <w:rPr>
          <w:rFonts w:ascii="Verdana" w:hAnsi="Verdana"/>
          <w:bCs/>
          <w:color w:val="000000"/>
          <w:sz w:val="20"/>
          <w:szCs w:val="20"/>
        </w:rPr>
        <w:lastRenderedPageBreak/>
        <w:t>In the risk assessment we have followed the provisions of ISO 31000:2009. The risk assessment is implemented in the following steps:</w:t>
      </w:r>
    </w:p>
    <w:p w:rsidR="00F71FE2" w:rsidRPr="005B6074" w:rsidRDefault="00F71FE2" w:rsidP="00181A22">
      <w:pPr>
        <w:pStyle w:val="BodyText"/>
        <w:numPr>
          <w:ilvl w:val="0"/>
          <w:numId w:val="73"/>
        </w:numPr>
        <w:spacing w:before="120" w:line="276" w:lineRule="auto"/>
        <w:jc w:val="both"/>
        <w:rPr>
          <w:rFonts w:ascii="Verdana" w:hAnsi="Verdana"/>
          <w:bCs/>
          <w:color w:val="000000"/>
          <w:sz w:val="20"/>
          <w:szCs w:val="20"/>
        </w:rPr>
      </w:pPr>
      <w:r w:rsidRPr="005B6074">
        <w:rPr>
          <w:rFonts w:ascii="Verdana" w:hAnsi="Verdana"/>
          <w:bCs/>
          <w:i/>
          <w:color w:val="548DD4" w:themeColor="text2" w:themeTint="99"/>
          <w:sz w:val="20"/>
          <w:szCs w:val="20"/>
        </w:rPr>
        <w:t xml:space="preserve">Establishing the context </w:t>
      </w:r>
      <w:r w:rsidRPr="005B6074">
        <w:rPr>
          <w:rFonts w:ascii="Verdana" w:hAnsi="Verdana"/>
          <w:bCs/>
          <w:color w:val="000000"/>
          <w:sz w:val="20"/>
          <w:szCs w:val="20"/>
        </w:rPr>
        <w:t xml:space="preserve">–the context of the external environment has been established on the basis of the European legal framework, the national </w:t>
      </w:r>
      <w:proofErr w:type="gramStart"/>
      <w:r w:rsidRPr="005B6074">
        <w:rPr>
          <w:rFonts w:ascii="Verdana" w:hAnsi="Verdana"/>
          <w:bCs/>
          <w:color w:val="000000"/>
          <w:sz w:val="20"/>
          <w:szCs w:val="20"/>
        </w:rPr>
        <w:t>legal  framework</w:t>
      </w:r>
      <w:proofErr w:type="gramEnd"/>
      <w:r w:rsidRPr="005B6074">
        <w:rPr>
          <w:rFonts w:ascii="Verdana" w:hAnsi="Verdana"/>
          <w:bCs/>
          <w:color w:val="000000"/>
          <w:sz w:val="20"/>
          <w:szCs w:val="20"/>
        </w:rPr>
        <w:t xml:space="preserve"> for the period 2014-2020 and the organizational framework of the MA for the new programming period. The scope of the risk factors was defined;</w:t>
      </w:r>
    </w:p>
    <w:p w:rsidR="00F71FE2" w:rsidRPr="005B6074" w:rsidRDefault="00F71FE2" w:rsidP="00181A22">
      <w:pPr>
        <w:pStyle w:val="BodyText"/>
        <w:numPr>
          <w:ilvl w:val="0"/>
          <w:numId w:val="73"/>
        </w:numPr>
        <w:spacing w:before="120" w:line="276" w:lineRule="auto"/>
        <w:jc w:val="both"/>
        <w:rPr>
          <w:rFonts w:ascii="Verdana" w:hAnsi="Verdana"/>
          <w:bCs/>
          <w:color w:val="000000"/>
          <w:sz w:val="20"/>
          <w:szCs w:val="20"/>
        </w:rPr>
      </w:pPr>
      <w:r w:rsidRPr="005B6074">
        <w:rPr>
          <w:rFonts w:ascii="Verdana" w:hAnsi="Verdana"/>
          <w:bCs/>
          <w:i/>
          <w:color w:val="548DD4" w:themeColor="text2" w:themeTint="99"/>
          <w:sz w:val="20"/>
          <w:szCs w:val="20"/>
        </w:rPr>
        <w:t>Identifying the risks associated with the administrative capacity</w:t>
      </w:r>
      <w:r w:rsidRPr="005B6074">
        <w:rPr>
          <w:rFonts w:ascii="Verdana" w:hAnsi="Verdana"/>
          <w:bCs/>
          <w:color w:val="000000"/>
          <w:sz w:val="20"/>
          <w:szCs w:val="20"/>
        </w:rPr>
        <w:t xml:space="preserve"> – Having defined the context in the first step of the risk analysis, the second step was to identify the causes and sources of risk and the areas of impact. </w:t>
      </w:r>
    </w:p>
    <w:p w:rsidR="00F71FE2" w:rsidRPr="005B6074" w:rsidRDefault="00F71FE2" w:rsidP="00181A22">
      <w:pPr>
        <w:pStyle w:val="BodyText"/>
        <w:numPr>
          <w:ilvl w:val="0"/>
          <w:numId w:val="73"/>
        </w:numPr>
        <w:spacing w:before="120" w:line="276" w:lineRule="auto"/>
        <w:jc w:val="both"/>
        <w:rPr>
          <w:rFonts w:ascii="Verdana" w:hAnsi="Verdana"/>
          <w:bCs/>
          <w:color w:val="000000"/>
          <w:sz w:val="20"/>
          <w:szCs w:val="20"/>
        </w:rPr>
      </w:pPr>
      <w:r w:rsidRPr="005B6074">
        <w:rPr>
          <w:rFonts w:ascii="Verdana" w:hAnsi="Verdana"/>
          <w:bCs/>
          <w:i/>
          <w:color w:val="548DD4" w:themeColor="text2" w:themeTint="99"/>
          <w:sz w:val="20"/>
          <w:szCs w:val="20"/>
        </w:rPr>
        <w:t>Risk analysis and assessment</w:t>
      </w:r>
      <w:r w:rsidRPr="005B6074">
        <w:rPr>
          <w:rFonts w:ascii="Verdana" w:hAnsi="Verdana"/>
          <w:bCs/>
          <w:color w:val="000000"/>
          <w:sz w:val="20"/>
          <w:szCs w:val="20"/>
        </w:rPr>
        <w:t>– the third step of the risk assessment includes analysis and evaluation of the identified risks and their parameters. More information on the types of risk is presented below.</w:t>
      </w:r>
    </w:p>
    <w:p w:rsidR="00F71FE2" w:rsidRPr="005B6074" w:rsidRDefault="00F71FE2" w:rsidP="00F71FE2">
      <w:pPr>
        <w:pStyle w:val="BodyText"/>
        <w:tabs>
          <w:tab w:val="left" w:pos="0"/>
          <w:tab w:val="right" w:pos="9214"/>
        </w:tabs>
        <w:spacing w:before="120" w:line="276" w:lineRule="auto"/>
        <w:jc w:val="both"/>
        <w:rPr>
          <w:rFonts w:ascii="Verdana" w:hAnsi="Verdana"/>
          <w:bCs/>
          <w:color w:val="000000"/>
          <w:sz w:val="20"/>
          <w:szCs w:val="20"/>
        </w:rPr>
      </w:pPr>
      <w:r w:rsidRPr="005B6074">
        <w:rPr>
          <w:rFonts w:ascii="Verdana" w:hAnsi="Verdana"/>
          <w:bCs/>
          <w:color w:val="000000"/>
          <w:sz w:val="20"/>
          <w:szCs w:val="20"/>
        </w:rPr>
        <w:t>The categorization of risks helps in analysing them and developing specific measures.</w:t>
      </w:r>
    </w:p>
    <w:p w:rsidR="00F71FE2" w:rsidRPr="005B6074" w:rsidRDefault="00F71FE2" w:rsidP="00F71FE2">
      <w:pPr>
        <w:suppressAutoHyphens/>
        <w:spacing w:before="120" w:after="120"/>
        <w:jc w:val="both"/>
        <w:rPr>
          <w:rFonts w:ascii="Verdana" w:hAnsi="Verdana"/>
          <w:sz w:val="20"/>
          <w:szCs w:val="20"/>
        </w:rPr>
      </w:pPr>
      <w:r w:rsidRPr="005B6074">
        <w:rPr>
          <w:rFonts w:ascii="Verdana" w:hAnsi="Verdana"/>
          <w:sz w:val="20"/>
          <w:szCs w:val="20"/>
        </w:rPr>
        <w:t>The risks are divided in the following groups by</w:t>
      </w:r>
      <w:r w:rsidRPr="005B6074">
        <w:rPr>
          <w:rFonts w:ascii="Verdana" w:hAnsi="Verdana"/>
          <w:b/>
          <w:sz w:val="20"/>
          <w:szCs w:val="20"/>
        </w:rPr>
        <w:t xml:space="preserve"> source</w:t>
      </w:r>
      <w:r w:rsidRPr="005B6074">
        <w:rPr>
          <w:rFonts w:ascii="Verdana" w:hAnsi="Verdana"/>
          <w:sz w:val="20"/>
          <w:szCs w:val="20"/>
        </w:rPr>
        <w:t>:</w:t>
      </w:r>
    </w:p>
    <w:p w:rsidR="00F71FE2" w:rsidRPr="005B6074" w:rsidRDefault="00F71FE2" w:rsidP="00181A22">
      <w:pPr>
        <w:widowControl w:val="0"/>
        <w:numPr>
          <w:ilvl w:val="0"/>
          <w:numId w:val="74"/>
        </w:numPr>
        <w:tabs>
          <w:tab w:val="clear" w:pos="720"/>
          <w:tab w:val="num" w:pos="1200"/>
        </w:tabs>
        <w:suppressAutoHyphens/>
        <w:spacing w:before="120" w:after="120"/>
        <w:ind w:left="1200" w:hanging="240"/>
        <w:jc w:val="both"/>
        <w:rPr>
          <w:rFonts w:ascii="Verdana" w:hAnsi="Verdana"/>
          <w:sz w:val="20"/>
          <w:szCs w:val="20"/>
        </w:rPr>
      </w:pPr>
      <w:r w:rsidRPr="005B6074">
        <w:rPr>
          <w:rFonts w:ascii="Verdana" w:hAnsi="Verdana"/>
          <w:b/>
          <w:sz w:val="20"/>
          <w:szCs w:val="20"/>
        </w:rPr>
        <w:t xml:space="preserve">External risks </w:t>
      </w:r>
      <w:r w:rsidRPr="005B6074">
        <w:rPr>
          <w:rFonts w:ascii="Verdana" w:hAnsi="Verdana"/>
          <w:sz w:val="20"/>
          <w:szCs w:val="20"/>
        </w:rPr>
        <w:t>– these are risks associated with externalities, which are beyond the control of MA and therefore the MA can undertake only reactive measures with respect to them;</w:t>
      </w:r>
    </w:p>
    <w:p w:rsidR="00F71FE2" w:rsidRPr="005B6074" w:rsidRDefault="00F71FE2" w:rsidP="00181A22">
      <w:pPr>
        <w:widowControl w:val="0"/>
        <w:numPr>
          <w:ilvl w:val="0"/>
          <w:numId w:val="74"/>
        </w:numPr>
        <w:tabs>
          <w:tab w:val="clear" w:pos="720"/>
          <w:tab w:val="num" w:pos="1200"/>
        </w:tabs>
        <w:suppressAutoHyphens/>
        <w:spacing w:before="120" w:after="120"/>
        <w:ind w:left="1200" w:hanging="240"/>
        <w:jc w:val="both"/>
        <w:rPr>
          <w:rFonts w:ascii="Verdana" w:hAnsi="Verdana"/>
          <w:sz w:val="20"/>
          <w:szCs w:val="20"/>
        </w:rPr>
      </w:pPr>
      <w:r w:rsidRPr="005B6074">
        <w:rPr>
          <w:rFonts w:ascii="Verdana" w:hAnsi="Verdana"/>
          <w:b/>
          <w:sz w:val="20"/>
          <w:szCs w:val="20"/>
        </w:rPr>
        <w:t xml:space="preserve">Internal risks </w:t>
      </w:r>
      <w:r w:rsidRPr="005B6074">
        <w:rPr>
          <w:rFonts w:ascii="Verdana" w:hAnsi="Verdana"/>
          <w:sz w:val="20"/>
          <w:szCs w:val="20"/>
        </w:rPr>
        <w:t>–these are the risks directly connected with the activity and functions of the MA, which the MA can control and therefore can undertake both pro-active and reactive measures.</w:t>
      </w:r>
    </w:p>
    <w:p w:rsidR="00F71FE2" w:rsidRPr="005B6074" w:rsidRDefault="00F71FE2" w:rsidP="00F71FE2">
      <w:pPr>
        <w:spacing w:before="120" w:after="120"/>
        <w:jc w:val="both"/>
        <w:rPr>
          <w:rFonts w:ascii="Verdana" w:hAnsi="Verdana"/>
          <w:sz w:val="20"/>
          <w:szCs w:val="20"/>
        </w:rPr>
      </w:pPr>
      <w:r w:rsidRPr="005B6074">
        <w:rPr>
          <w:rFonts w:ascii="Verdana" w:hAnsi="Verdana"/>
          <w:sz w:val="20"/>
          <w:szCs w:val="20"/>
        </w:rPr>
        <w:t xml:space="preserve">According to their </w:t>
      </w:r>
      <w:r w:rsidRPr="005B6074">
        <w:rPr>
          <w:rFonts w:ascii="Verdana" w:hAnsi="Verdana"/>
          <w:b/>
          <w:sz w:val="20"/>
          <w:szCs w:val="20"/>
        </w:rPr>
        <w:t xml:space="preserve">occurrence, </w:t>
      </w:r>
      <w:r w:rsidRPr="005B6074">
        <w:rPr>
          <w:rFonts w:ascii="Verdana" w:hAnsi="Verdana"/>
          <w:sz w:val="20"/>
          <w:szCs w:val="20"/>
        </w:rPr>
        <w:t>the risks are divided in the following way:</w:t>
      </w:r>
    </w:p>
    <w:p w:rsidR="00F71FE2" w:rsidRPr="005B6074" w:rsidRDefault="00F71FE2" w:rsidP="00181A22">
      <w:pPr>
        <w:widowControl w:val="0"/>
        <w:numPr>
          <w:ilvl w:val="0"/>
          <w:numId w:val="74"/>
        </w:numPr>
        <w:tabs>
          <w:tab w:val="clear" w:pos="720"/>
          <w:tab w:val="num" w:pos="1200"/>
        </w:tabs>
        <w:suppressAutoHyphens/>
        <w:spacing w:before="120" w:after="120"/>
        <w:ind w:left="1200" w:hanging="240"/>
        <w:jc w:val="both"/>
        <w:rPr>
          <w:rFonts w:ascii="Verdana" w:hAnsi="Verdana"/>
          <w:sz w:val="20"/>
          <w:szCs w:val="20"/>
        </w:rPr>
      </w:pPr>
      <w:r w:rsidRPr="005B6074">
        <w:rPr>
          <w:rFonts w:ascii="Verdana" w:hAnsi="Verdana"/>
          <w:sz w:val="20"/>
          <w:szCs w:val="20"/>
        </w:rPr>
        <w:t>Risks at project level – they are influenced by the activity of the MA at the project level and they lead to a cumulative impact at the programme level;</w:t>
      </w:r>
    </w:p>
    <w:p w:rsidR="00F71FE2" w:rsidRPr="005B6074" w:rsidRDefault="00F71FE2" w:rsidP="00181A22">
      <w:pPr>
        <w:widowControl w:val="0"/>
        <w:numPr>
          <w:ilvl w:val="0"/>
          <w:numId w:val="74"/>
        </w:numPr>
        <w:tabs>
          <w:tab w:val="clear" w:pos="720"/>
          <w:tab w:val="num" w:pos="1200"/>
        </w:tabs>
        <w:suppressAutoHyphens/>
        <w:spacing w:before="120" w:after="120"/>
        <w:ind w:left="1200" w:hanging="240"/>
        <w:jc w:val="both"/>
        <w:rPr>
          <w:rFonts w:ascii="Verdana" w:hAnsi="Verdana"/>
          <w:sz w:val="20"/>
          <w:szCs w:val="20"/>
        </w:rPr>
      </w:pPr>
      <w:r w:rsidRPr="005B6074">
        <w:rPr>
          <w:rFonts w:ascii="Verdana" w:hAnsi="Verdana"/>
          <w:sz w:val="20"/>
          <w:szCs w:val="20"/>
        </w:rPr>
        <w:t>Risks at the programme level – Connected with the activity of MA at the Programme level and do not necessarily have implications at the project level.</w:t>
      </w:r>
    </w:p>
    <w:p w:rsidR="00F71FE2" w:rsidRPr="005B6074" w:rsidRDefault="00F71FE2" w:rsidP="00F71FE2">
      <w:pPr>
        <w:pStyle w:val="BodyText"/>
        <w:tabs>
          <w:tab w:val="left" w:pos="0"/>
          <w:tab w:val="right" w:pos="9214"/>
        </w:tabs>
        <w:spacing w:before="120" w:line="276" w:lineRule="auto"/>
        <w:jc w:val="both"/>
        <w:rPr>
          <w:rFonts w:ascii="Verdana" w:hAnsi="Verdana"/>
          <w:bCs/>
          <w:color w:val="000000"/>
          <w:sz w:val="20"/>
          <w:szCs w:val="20"/>
        </w:rPr>
      </w:pPr>
      <w:r w:rsidRPr="005B6074">
        <w:rPr>
          <w:rFonts w:ascii="Verdana" w:hAnsi="Verdana"/>
          <w:bCs/>
          <w:color w:val="000000"/>
          <w:sz w:val="20"/>
          <w:szCs w:val="20"/>
        </w:rPr>
        <w:t xml:space="preserve">In defining the scope of the risk, the risk factors must be assessed </w:t>
      </w:r>
      <w:proofErr w:type="spellStart"/>
      <w:r w:rsidRPr="005B6074">
        <w:rPr>
          <w:rFonts w:ascii="Verdana" w:hAnsi="Verdana"/>
          <w:bCs/>
          <w:color w:val="000000"/>
          <w:sz w:val="20"/>
          <w:szCs w:val="20"/>
        </w:rPr>
        <w:t>vis</w:t>
      </w:r>
      <w:proofErr w:type="spellEnd"/>
      <w:r w:rsidRPr="005B6074">
        <w:rPr>
          <w:rFonts w:ascii="Verdana" w:hAnsi="Verdana"/>
          <w:bCs/>
          <w:color w:val="000000"/>
          <w:sz w:val="20"/>
          <w:szCs w:val="20"/>
        </w:rPr>
        <w:t xml:space="preserve"> a </w:t>
      </w:r>
      <w:proofErr w:type="spellStart"/>
      <w:r w:rsidRPr="005B6074">
        <w:rPr>
          <w:rFonts w:ascii="Verdana" w:hAnsi="Verdana"/>
          <w:bCs/>
          <w:color w:val="000000"/>
          <w:sz w:val="20"/>
          <w:szCs w:val="20"/>
        </w:rPr>
        <w:t>vis</w:t>
      </w:r>
      <w:proofErr w:type="spellEnd"/>
      <w:r w:rsidRPr="005B6074">
        <w:rPr>
          <w:rFonts w:ascii="Verdana" w:hAnsi="Verdana"/>
          <w:bCs/>
          <w:color w:val="000000"/>
          <w:sz w:val="20"/>
          <w:szCs w:val="20"/>
        </w:rPr>
        <w:t xml:space="preserve"> the elements of the project/programme cycle: а) Programming; b) Development of project proposals/the programme; c) project selection /Ex-ante evaluation of the Programme; d) Contracting /Approval of the Programme; e) Implementation and monitoring of the project/programme; f) Evaluation of the implementation of the project/programme, including evaluation of sustainability.</w:t>
      </w:r>
    </w:p>
    <w:p w:rsidR="00F71FE2" w:rsidRPr="005B6074" w:rsidRDefault="00F71FE2" w:rsidP="00F71FE2">
      <w:pPr>
        <w:pStyle w:val="BodyText"/>
        <w:tabs>
          <w:tab w:val="left" w:pos="0"/>
          <w:tab w:val="right" w:pos="9214"/>
        </w:tabs>
        <w:spacing w:before="120" w:line="276" w:lineRule="auto"/>
        <w:rPr>
          <w:rFonts w:ascii="Verdana" w:hAnsi="Verdana"/>
          <w:bCs/>
          <w:color w:val="000000"/>
          <w:sz w:val="20"/>
          <w:szCs w:val="20"/>
        </w:rPr>
      </w:pPr>
      <w:r w:rsidRPr="005B6074">
        <w:rPr>
          <w:rFonts w:ascii="Verdana" w:hAnsi="Verdana"/>
          <w:bCs/>
          <w:color w:val="000000"/>
          <w:sz w:val="20"/>
          <w:szCs w:val="20"/>
        </w:rPr>
        <w:t xml:space="preserve">With respect to their </w:t>
      </w:r>
      <w:r w:rsidRPr="005B6074">
        <w:rPr>
          <w:rFonts w:ascii="Verdana" w:hAnsi="Verdana"/>
          <w:b/>
          <w:bCs/>
          <w:color w:val="000000"/>
          <w:sz w:val="20"/>
          <w:szCs w:val="20"/>
        </w:rPr>
        <w:t>scope</w:t>
      </w:r>
      <w:r w:rsidRPr="005B6074">
        <w:rPr>
          <w:rFonts w:ascii="Verdana" w:hAnsi="Verdana"/>
          <w:bCs/>
          <w:color w:val="000000"/>
          <w:sz w:val="20"/>
          <w:szCs w:val="20"/>
        </w:rPr>
        <w:t>, the risks are categorized as follows:</w:t>
      </w:r>
    </w:p>
    <w:p w:rsidR="00F71FE2" w:rsidRPr="005B6074" w:rsidRDefault="00F71FE2" w:rsidP="00181A22">
      <w:pPr>
        <w:pStyle w:val="BodyText"/>
        <w:numPr>
          <w:ilvl w:val="0"/>
          <w:numId w:val="74"/>
        </w:numPr>
        <w:tabs>
          <w:tab w:val="left" w:pos="0"/>
          <w:tab w:val="right" w:pos="9214"/>
        </w:tabs>
        <w:spacing w:before="120" w:line="276" w:lineRule="auto"/>
        <w:rPr>
          <w:rFonts w:ascii="Verdana" w:hAnsi="Verdana"/>
          <w:bCs/>
          <w:color w:val="000000"/>
          <w:sz w:val="20"/>
          <w:szCs w:val="20"/>
        </w:rPr>
      </w:pPr>
      <w:r w:rsidRPr="005B6074">
        <w:rPr>
          <w:rFonts w:ascii="Verdana" w:hAnsi="Verdana"/>
          <w:bCs/>
          <w:color w:val="000000"/>
          <w:sz w:val="20"/>
          <w:szCs w:val="20"/>
        </w:rPr>
        <w:t>Partial risks – which have a bearing on one or more elements of the project/programme cycle;</w:t>
      </w:r>
    </w:p>
    <w:p w:rsidR="00F71FE2" w:rsidRPr="005B6074" w:rsidRDefault="00F71FE2" w:rsidP="00181A22">
      <w:pPr>
        <w:pStyle w:val="BodyText"/>
        <w:numPr>
          <w:ilvl w:val="0"/>
          <w:numId w:val="74"/>
        </w:numPr>
        <w:tabs>
          <w:tab w:val="left" w:pos="0"/>
          <w:tab w:val="right" w:pos="9214"/>
        </w:tabs>
        <w:spacing w:before="120" w:line="276" w:lineRule="auto"/>
        <w:rPr>
          <w:rFonts w:ascii="Verdana" w:hAnsi="Verdana"/>
          <w:bCs/>
          <w:color w:val="000000"/>
          <w:sz w:val="20"/>
          <w:szCs w:val="20"/>
        </w:rPr>
      </w:pPr>
      <w:r w:rsidRPr="005B6074">
        <w:rPr>
          <w:rFonts w:ascii="Verdana" w:hAnsi="Verdana"/>
          <w:bCs/>
          <w:color w:val="000000"/>
          <w:sz w:val="20"/>
          <w:szCs w:val="20"/>
        </w:rPr>
        <w:t>Overall risks – having a bearing on the whole project/programme cycle.</w:t>
      </w:r>
    </w:p>
    <w:p w:rsidR="00F71FE2" w:rsidRPr="005B6074" w:rsidRDefault="00F71FE2" w:rsidP="00F71FE2">
      <w:pPr>
        <w:pStyle w:val="BodyText"/>
        <w:tabs>
          <w:tab w:val="left" w:pos="0"/>
          <w:tab w:val="right" w:pos="9214"/>
        </w:tabs>
        <w:spacing w:before="120" w:line="276" w:lineRule="auto"/>
        <w:jc w:val="both"/>
        <w:rPr>
          <w:rFonts w:ascii="Verdana" w:hAnsi="Verdana"/>
          <w:bCs/>
          <w:color w:val="000000"/>
          <w:sz w:val="20"/>
          <w:szCs w:val="20"/>
        </w:rPr>
      </w:pPr>
      <w:r w:rsidRPr="005B6074">
        <w:rPr>
          <w:rFonts w:ascii="Verdana" w:hAnsi="Verdana"/>
          <w:bCs/>
          <w:color w:val="000000"/>
          <w:sz w:val="20"/>
          <w:szCs w:val="20"/>
        </w:rPr>
        <w:t>A main objective of the risk analysis is to define risk intensity with respect to the administrative capacity. The method applied for the analysis of the identified risks is the expert evaluation using two factors:</w:t>
      </w:r>
    </w:p>
    <w:p w:rsidR="00F71FE2" w:rsidRPr="005B6074" w:rsidRDefault="00F71FE2" w:rsidP="00181A22">
      <w:pPr>
        <w:pStyle w:val="BodyText"/>
        <w:numPr>
          <w:ilvl w:val="0"/>
          <w:numId w:val="75"/>
        </w:numPr>
        <w:tabs>
          <w:tab w:val="left" w:pos="0"/>
          <w:tab w:val="right" w:pos="9214"/>
        </w:tabs>
        <w:spacing w:before="120" w:line="276" w:lineRule="auto"/>
        <w:rPr>
          <w:rFonts w:ascii="Verdana" w:hAnsi="Verdana"/>
          <w:bCs/>
          <w:color w:val="000000"/>
          <w:sz w:val="20"/>
          <w:szCs w:val="20"/>
        </w:rPr>
      </w:pPr>
      <w:r w:rsidRPr="005B6074">
        <w:rPr>
          <w:rFonts w:ascii="Verdana" w:hAnsi="Verdana"/>
          <w:b/>
          <w:bCs/>
          <w:color w:val="000000"/>
          <w:sz w:val="20"/>
          <w:szCs w:val="20"/>
        </w:rPr>
        <w:t>Probability</w:t>
      </w:r>
      <w:r w:rsidRPr="005B6074">
        <w:rPr>
          <w:rFonts w:ascii="Verdana" w:hAnsi="Verdana"/>
          <w:bCs/>
          <w:color w:val="000000"/>
          <w:sz w:val="20"/>
          <w:szCs w:val="20"/>
        </w:rPr>
        <w:t xml:space="preserve"> of the risk;</w:t>
      </w:r>
    </w:p>
    <w:p w:rsidR="00F71FE2" w:rsidRPr="005B6074" w:rsidRDefault="00F71FE2" w:rsidP="00181A22">
      <w:pPr>
        <w:pStyle w:val="BodyText"/>
        <w:numPr>
          <w:ilvl w:val="0"/>
          <w:numId w:val="75"/>
        </w:numPr>
        <w:tabs>
          <w:tab w:val="left" w:pos="0"/>
          <w:tab w:val="right" w:pos="9214"/>
        </w:tabs>
        <w:spacing w:before="120" w:line="276" w:lineRule="auto"/>
        <w:rPr>
          <w:rFonts w:ascii="Verdana" w:hAnsi="Verdana"/>
          <w:bCs/>
          <w:color w:val="000000"/>
          <w:sz w:val="20"/>
          <w:szCs w:val="20"/>
        </w:rPr>
      </w:pPr>
      <w:r w:rsidRPr="005B6074">
        <w:rPr>
          <w:rFonts w:ascii="Verdana" w:hAnsi="Verdana"/>
          <w:b/>
          <w:bCs/>
          <w:color w:val="000000"/>
          <w:sz w:val="20"/>
          <w:szCs w:val="20"/>
        </w:rPr>
        <w:lastRenderedPageBreak/>
        <w:t>Impact</w:t>
      </w:r>
      <w:r w:rsidRPr="005B6074">
        <w:rPr>
          <w:rFonts w:ascii="Verdana" w:hAnsi="Verdana"/>
          <w:bCs/>
          <w:color w:val="000000"/>
          <w:sz w:val="20"/>
          <w:szCs w:val="20"/>
        </w:rPr>
        <w:t xml:space="preserve"> of the risk if it occurs.</w:t>
      </w:r>
    </w:p>
    <w:p w:rsidR="00F71FE2" w:rsidRPr="005B6074" w:rsidRDefault="00F71FE2" w:rsidP="00F71FE2">
      <w:pPr>
        <w:pStyle w:val="BodyText"/>
        <w:tabs>
          <w:tab w:val="left" w:pos="0"/>
          <w:tab w:val="right" w:pos="9214"/>
        </w:tabs>
        <w:spacing w:before="120" w:line="276" w:lineRule="auto"/>
        <w:jc w:val="both"/>
        <w:rPr>
          <w:rFonts w:ascii="Verdana" w:hAnsi="Verdana"/>
          <w:bCs/>
          <w:color w:val="000000"/>
          <w:sz w:val="20"/>
          <w:szCs w:val="20"/>
        </w:rPr>
      </w:pPr>
      <w:r w:rsidRPr="005B6074">
        <w:rPr>
          <w:rFonts w:ascii="Verdana" w:hAnsi="Verdana"/>
          <w:bCs/>
          <w:color w:val="000000"/>
          <w:sz w:val="20"/>
          <w:szCs w:val="20"/>
        </w:rPr>
        <w:t>This is presented in the table below, where the probability and impact relating to each risk are evaluated on a scale of 1(small) to 5 (very big):</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4"/>
        <w:gridCol w:w="3022"/>
        <w:gridCol w:w="1472"/>
      </w:tblGrid>
      <w:tr w:rsidR="00F71FE2" w:rsidRPr="005B6074" w:rsidTr="005B6074">
        <w:trPr>
          <w:jc w:val="center"/>
        </w:trPr>
        <w:tc>
          <w:tcPr>
            <w:tcW w:w="3784"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rsidR="00F71FE2" w:rsidRPr="005B6074" w:rsidRDefault="00F71FE2" w:rsidP="005B6074">
            <w:pPr>
              <w:pStyle w:val="BodyText"/>
              <w:tabs>
                <w:tab w:val="left" w:pos="0"/>
                <w:tab w:val="right" w:pos="9214"/>
              </w:tabs>
              <w:spacing w:before="120" w:line="276" w:lineRule="auto"/>
              <w:jc w:val="both"/>
              <w:rPr>
                <w:rFonts w:ascii="Verdana" w:hAnsi="Verdana"/>
                <w:b/>
                <w:bCs/>
                <w:color w:val="FFFFFF" w:themeColor="background1"/>
                <w:sz w:val="16"/>
                <w:szCs w:val="16"/>
              </w:rPr>
            </w:pPr>
            <w:r w:rsidRPr="005B6074">
              <w:rPr>
                <w:rFonts w:ascii="Verdana" w:hAnsi="Verdana"/>
                <w:b/>
                <w:bCs/>
                <w:color w:val="FFFFFF" w:themeColor="background1"/>
                <w:sz w:val="16"/>
                <w:szCs w:val="16"/>
              </w:rPr>
              <w:t>Probability</w:t>
            </w:r>
          </w:p>
        </w:tc>
        <w:tc>
          <w:tcPr>
            <w:tcW w:w="3022"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rsidR="00F71FE2" w:rsidRPr="005B6074" w:rsidRDefault="00F71FE2" w:rsidP="005B6074">
            <w:pPr>
              <w:pStyle w:val="BodyText"/>
              <w:tabs>
                <w:tab w:val="left" w:pos="0"/>
                <w:tab w:val="right" w:pos="9214"/>
              </w:tabs>
              <w:spacing w:before="120" w:line="276" w:lineRule="auto"/>
              <w:jc w:val="both"/>
              <w:rPr>
                <w:rFonts w:ascii="Verdana" w:hAnsi="Verdana"/>
                <w:b/>
                <w:bCs/>
                <w:color w:val="FFFFFF" w:themeColor="background1"/>
                <w:sz w:val="16"/>
                <w:szCs w:val="16"/>
              </w:rPr>
            </w:pPr>
            <w:r w:rsidRPr="005B6074">
              <w:rPr>
                <w:rFonts w:ascii="Verdana" w:hAnsi="Verdana"/>
                <w:b/>
                <w:bCs/>
                <w:color w:val="FFFFFF" w:themeColor="background1"/>
                <w:sz w:val="16"/>
                <w:szCs w:val="16"/>
              </w:rPr>
              <w:t>Impact</w:t>
            </w:r>
          </w:p>
        </w:tc>
        <w:tc>
          <w:tcPr>
            <w:tcW w:w="1472"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rsidR="00F71FE2" w:rsidRPr="005B6074" w:rsidRDefault="00F71FE2" w:rsidP="005B6074">
            <w:pPr>
              <w:pStyle w:val="BodyText"/>
              <w:tabs>
                <w:tab w:val="left" w:pos="0"/>
                <w:tab w:val="right" w:pos="9214"/>
              </w:tabs>
              <w:spacing w:before="120" w:line="276" w:lineRule="auto"/>
              <w:jc w:val="both"/>
              <w:rPr>
                <w:rFonts w:ascii="Verdana" w:hAnsi="Verdana"/>
                <w:b/>
                <w:bCs/>
                <w:color w:val="FFFFFF" w:themeColor="background1"/>
                <w:sz w:val="16"/>
                <w:szCs w:val="16"/>
              </w:rPr>
            </w:pPr>
            <w:r w:rsidRPr="005B6074">
              <w:rPr>
                <w:rFonts w:ascii="Verdana" w:hAnsi="Verdana"/>
                <w:b/>
                <w:bCs/>
                <w:color w:val="FFFFFF" w:themeColor="background1"/>
                <w:sz w:val="16"/>
                <w:szCs w:val="16"/>
              </w:rPr>
              <w:t>Evaluation</w:t>
            </w:r>
          </w:p>
        </w:tc>
      </w:tr>
      <w:tr w:rsidR="00F71FE2" w:rsidRPr="005B6074" w:rsidTr="005B6074">
        <w:trPr>
          <w:trHeight w:val="77"/>
          <w:jc w:val="center"/>
        </w:trPr>
        <w:tc>
          <w:tcPr>
            <w:tcW w:w="3784"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F71FE2" w:rsidRPr="005B6074" w:rsidRDefault="005B35A7" w:rsidP="005B6074">
            <w:pPr>
              <w:pStyle w:val="BodyText"/>
              <w:tabs>
                <w:tab w:val="left" w:pos="0"/>
                <w:tab w:val="right" w:pos="9214"/>
              </w:tabs>
              <w:spacing w:before="120" w:line="276" w:lineRule="auto"/>
              <w:jc w:val="both"/>
              <w:rPr>
                <w:rFonts w:ascii="Verdana" w:hAnsi="Verdana"/>
                <w:bCs/>
                <w:color w:val="000000"/>
                <w:sz w:val="16"/>
                <w:szCs w:val="16"/>
              </w:rPr>
            </w:pPr>
            <w:r>
              <w:rPr>
                <w:rFonts w:ascii="Verdana" w:hAnsi="Verdana"/>
                <w:bCs/>
                <w:color w:val="000000"/>
                <w:sz w:val="16"/>
                <w:szCs w:val="16"/>
              </w:rPr>
              <w:t>Very big</w:t>
            </w:r>
            <w:r w:rsidR="00F71FE2" w:rsidRPr="005B6074">
              <w:rPr>
                <w:rFonts w:ascii="Verdana" w:hAnsi="Verdana"/>
                <w:bCs/>
                <w:color w:val="000000"/>
                <w:sz w:val="16"/>
                <w:szCs w:val="16"/>
              </w:rPr>
              <w:t xml:space="preserve"> probability</w:t>
            </w:r>
          </w:p>
        </w:tc>
        <w:tc>
          <w:tcPr>
            <w:tcW w:w="3022"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F71FE2" w:rsidRPr="005B6074" w:rsidRDefault="00F71FE2" w:rsidP="005B6074">
            <w:pPr>
              <w:pStyle w:val="BodyText"/>
              <w:tabs>
                <w:tab w:val="left" w:pos="0"/>
                <w:tab w:val="right" w:pos="9214"/>
              </w:tabs>
              <w:spacing w:before="120" w:line="276" w:lineRule="auto"/>
              <w:jc w:val="both"/>
              <w:rPr>
                <w:rFonts w:ascii="Verdana" w:hAnsi="Verdana"/>
                <w:bCs/>
                <w:color w:val="000000"/>
                <w:sz w:val="16"/>
                <w:szCs w:val="16"/>
              </w:rPr>
            </w:pPr>
            <w:r w:rsidRPr="005B6074">
              <w:rPr>
                <w:rFonts w:ascii="Verdana" w:hAnsi="Verdana"/>
                <w:bCs/>
                <w:color w:val="000000"/>
                <w:sz w:val="16"/>
                <w:szCs w:val="16"/>
              </w:rPr>
              <w:t>Very big impact</w:t>
            </w:r>
          </w:p>
        </w:tc>
        <w:tc>
          <w:tcPr>
            <w:tcW w:w="1472"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F71FE2" w:rsidRPr="005B6074" w:rsidRDefault="00F71FE2" w:rsidP="005B6074">
            <w:pPr>
              <w:pStyle w:val="BodyText"/>
              <w:tabs>
                <w:tab w:val="left" w:pos="0"/>
                <w:tab w:val="right" w:pos="9214"/>
              </w:tabs>
              <w:spacing w:before="120" w:line="276" w:lineRule="auto"/>
              <w:jc w:val="both"/>
              <w:rPr>
                <w:rFonts w:ascii="Verdana" w:hAnsi="Verdana"/>
                <w:bCs/>
                <w:color w:val="000000"/>
                <w:sz w:val="16"/>
                <w:szCs w:val="16"/>
              </w:rPr>
            </w:pPr>
            <w:r w:rsidRPr="005B6074">
              <w:rPr>
                <w:rFonts w:ascii="Verdana" w:hAnsi="Verdana"/>
                <w:bCs/>
                <w:color w:val="000000"/>
                <w:sz w:val="16"/>
                <w:szCs w:val="16"/>
              </w:rPr>
              <w:t>5</w:t>
            </w:r>
          </w:p>
        </w:tc>
      </w:tr>
      <w:tr w:rsidR="00F71FE2" w:rsidRPr="005B6074" w:rsidTr="005B6074">
        <w:trPr>
          <w:trHeight w:val="89"/>
          <w:jc w:val="center"/>
        </w:trPr>
        <w:tc>
          <w:tcPr>
            <w:tcW w:w="3784"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71FE2" w:rsidRPr="005B6074" w:rsidRDefault="00F71FE2" w:rsidP="005B6074">
            <w:pPr>
              <w:pStyle w:val="BodyText"/>
              <w:tabs>
                <w:tab w:val="left" w:pos="0"/>
                <w:tab w:val="right" w:pos="9214"/>
              </w:tabs>
              <w:spacing w:before="120" w:line="276" w:lineRule="auto"/>
              <w:jc w:val="both"/>
              <w:rPr>
                <w:rFonts w:ascii="Verdana" w:hAnsi="Verdana"/>
                <w:bCs/>
                <w:color w:val="000000"/>
                <w:sz w:val="16"/>
                <w:szCs w:val="16"/>
              </w:rPr>
            </w:pPr>
            <w:r w:rsidRPr="005B6074">
              <w:rPr>
                <w:rFonts w:ascii="Verdana" w:hAnsi="Verdana"/>
                <w:bCs/>
                <w:color w:val="000000"/>
                <w:sz w:val="16"/>
                <w:szCs w:val="16"/>
              </w:rPr>
              <w:t xml:space="preserve">Above medium probability </w:t>
            </w:r>
          </w:p>
        </w:tc>
        <w:tc>
          <w:tcPr>
            <w:tcW w:w="302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71FE2" w:rsidRPr="005B6074" w:rsidRDefault="00F71FE2" w:rsidP="005B6074">
            <w:pPr>
              <w:pStyle w:val="BodyText"/>
              <w:tabs>
                <w:tab w:val="left" w:pos="0"/>
                <w:tab w:val="right" w:pos="9214"/>
              </w:tabs>
              <w:spacing w:before="120" w:line="276" w:lineRule="auto"/>
              <w:jc w:val="both"/>
              <w:rPr>
                <w:rFonts w:ascii="Verdana" w:hAnsi="Verdana"/>
                <w:bCs/>
                <w:color w:val="000000"/>
                <w:sz w:val="16"/>
                <w:szCs w:val="16"/>
              </w:rPr>
            </w:pPr>
            <w:r w:rsidRPr="005B6074">
              <w:rPr>
                <w:rFonts w:ascii="Verdana" w:hAnsi="Verdana"/>
                <w:bCs/>
                <w:color w:val="000000"/>
                <w:sz w:val="16"/>
                <w:szCs w:val="16"/>
              </w:rPr>
              <w:t>Above medium impact</w:t>
            </w:r>
          </w:p>
        </w:tc>
        <w:tc>
          <w:tcPr>
            <w:tcW w:w="1472"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rsidR="00F71FE2" w:rsidRPr="005B6074" w:rsidRDefault="00F71FE2" w:rsidP="005B6074">
            <w:pPr>
              <w:pStyle w:val="BodyText"/>
              <w:tabs>
                <w:tab w:val="left" w:pos="0"/>
                <w:tab w:val="right" w:pos="9214"/>
              </w:tabs>
              <w:spacing w:before="120" w:line="276" w:lineRule="auto"/>
              <w:jc w:val="both"/>
              <w:rPr>
                <w:rFonts w:ascii="Verdana" w:hAnsi="Verdana"/>
                <w:bCs/>
                <w:color w:val="000000"/>
                <w:sz w:val="16"/>
                <w:szCs w:val="16"/>
              </w:rPr>
            </w:pPr>
            <w:r w:rsidRPr="005B6074">
              <w:rPr>
                <w:rFonts w:ascii="Verdana" w:hAnsi="Verdana"/>
                <w:bCs/>
                <w:color w:val="000000"/>
                <w:sz w:val="16"/>
                <w:szCs w:val="16"/>
              </w:rPr>
              <w:t>4</w:t>
            </w:r>
          </w:p>
        </w:tc>
      </w:tr>
      <w:tr w:rsidR="00F71FE2" w:rsidRPr="005B6074" w:rsidTr="005B6074">
        <w:trPr>
          <w:trHeight w:val="77"/>
          <w:jc w:val="center"/>
        </w:trPr>
        <w:tc>
          <w:tcPr>
            <w:tcW w:w="3784" w:type="dxa"/>
            <w:tcBorders>
              <w:top w:val="single" w:sz="4" w:space="0" w:color="auto"/>
              <w:left w:val="single" w:sz="4" w:space="0" w:color="auto"/>
              <w:bottom w:val="single" w:sz="4" w:space="0" w:color="auto"/>
              <w:right w:val="single" w:sz="4" w:space="0" w:color="auto"/>
            </w:tcBorders>
            <w:shd w:val="clear" w:color="auto" w:fill="FFC000"/>
            <w:hideMark/>
          </w:tcPr>
          <w:p w:rsidR="00F71FE2" w:rsidRPr="005B6074" w:rsidRDefault="00F71FE2" w:rsidP="005B6074">
            <w:pPr>
              <w:pStyle w:val="BodyText"/>
              <w:tabs>
                <w:tab w:val="left" w:pos="0"/>
                <w:tab w:val="right" w:pos="9214"/>
              </w:tabs>
              <w:spacing w:before="120" w:line="276" w:lineRule="auto"/>
              <w:jc w:val="both"/>
              <w:rPr>
                <w:rFonts w:ascii="Verdana" w:hAnsi="Verdana"/>
                <w:bCs/>
                <w:color w:val="000000"/>
                <w:sz w:val="16"/>
                <w:szCs w:val="16"/>
              </w:rPr>
            </w:pPr>
            <w:r w:rsidRPr="005B6074">
              <w:rPr>
                <w:rFonts w:ascii="Verdana" w:hAnsi="Verdana"/>
                <w:bCs/>
                <w:color w:val="000000"/>
                <w:sz w:val="16"/>
                <w:szCs w:val="16"/>
              </w:rPr>
              <w:t xml:space="preserve">Medium probability </w:t>
            </w:r>
          </w:p>
        </w:tc>
        <w:tc>
          <w:tcPr>
            <w:tcW w:w="3022" w:type="dxa"/>
            <w:tcBorders>
              <w:top w:val="single" w:sz="4" w:space="0" w:color="auto"/>
              <w:left w:val="single" w:sz="4" w:space="0" w:color="auto"/>
              <w:bottom w:val="single" w:sz="4" w:space="0" w:color="auto"/>
              <w:right w:val="single" w:sz="4" w:space="0" w:color="auto"/>
            </w:tcBorders>
            <w:shd w:val="clear" w:color="auto" w:fill="FFC000"/>
            <w:hideMark/>
          </w:tcPr>
          <w:p w:rsidR="00F71FE2" w:rsidRPr="005B6074" w:rsidRDefault="00F71FE2" w:rsidP="005B6074">
            <w:pPr>
              <w:pStyle w:val="BodyText"/>
              <w:tabs>
                <w:tab w:val="left" w:pos="0"/>
                <w:tab w:val="right" w:pos="9214"/>
              </w:tabs>
              <w:spacing w:before="120" w:line="276" w:lineRule="auto"/>
              <w:jc w:val="both"/>
              <w:rPr>
                <w:rFonts w:ascii="Verdana" w:hAnsi="Verdana"/>
                <w:bCs/>
                <w:color w:val="000000"/>
                <w:sz w:val="16"/>
                <w:szCs w:val="16"/>
              </w:rPr>
            </w:pPr>
            <w:r w:rsidRPr="005B6074">
              <w:rPr>
                <w:rFonts w:ascii="Verdana" w:hAnsi="Verdana"/>
                <w:bCs/>
                <w:color w:val="000000"/>
                <w:sz w:val="16"/>
                <w:szCs w:val="16"/>
              </w:rPr>
              <w:t xml:space="preserve">Medium impact </w:t>
            </w:r>
          </w:p>
        </w:tc>
        <w:tc>
          <w:tcPr>
            <w:tcW w:w="1472" w:type="dxa"/>
            <w:tcBorders>
              <w:top w:val="single" w:sz="4" w:space="0" w:color="auto"/>
              <w:left w:val="single" w:sz="4" w:space="0" w:color="auto"/>
              <w:bottom w:val="single" w:sz="4" w:space="0" w:color="auto"/>
              <w:right w:val="single" w:sz="4" w:space="0" w:color="auto"/>
            </w:tcBorders>
            <w:shd w:val="clear" w:color="auto" w:fill="FFC000"/>
            <w:hideMark/>
          </w:tcPr>
          <w:p w:rsidR="00F71FE2" w:rsidRPr="005B6074" w:rsidRDefault="00F71FE2" w:rsidP="005B6074">
            <w:pPr>
              <w:pStyle w:val="BodyText"/>
              <w:tabs>
                <w:tab w:val="left" w:pos="0"/>
                <w:tab w:val="right" w:pos="9214"/>
              </w:tabs>
              <w:spacing w:before="120" w:line="276" w:lineRule="auto"/>
              <w:jc w:val="both"/>
              <w:rPr>
                <w:rFonts w:ascii="Verdana" w:hAnsi="Verdana"/>
                <w:bCs/>
                <w:color w:val="000000"/>
                <w:sz w:val="16"/>
                <w:szCs w:val="16"/>
              </w:rPr>
            </w:pPr>
            <w:r w:rsidRPr="005B6074">
              <w:rPr>
                <w:rFonts w:ascii="Verdana" w:hAnsi="Verdana"/>
                <w:bCs/>
                <w:color w:val="000000"/>
                <w:sz w:val="16"/>
                <w:szCs w:val="16"/>
              </w:rPr>
              <w:t>3</w:t>
            </w:r>
          </w:p>
        </w:tc>
      </w:tr>
      <w:tr w:rsidR="00F71FE2" w:rsidRPr="005B6074" w:rsidTr="005B6074">
        <w:trPr>
          <w:trHeight w:val="223"/>
          <w:jc w:val="center"/>
        </w:trPr>
        <w:tc>
          <w:tcPr>
            <w:tcW w:w="3784" w:type="dxa"/>
            <w:tcBorders>
              <w:top w:val="single" w:sz="4" w:space="0" w:color="auto"/>
              <w:left w:val="single" w:sz="4" w:space="0" w:color="auto"/>
              <w:bottom w:val="single" w:sz="4" w:space="0" w:color="auto"/>
              <w:right w:val="single" w:sz="4" w:space="0" w:color="auto"/>
            </w:tcBorders>
            <w:shd w:val="clear" w:color="auto" w:fill="FFFF00"/>
            <w:hideMark/>
          </w:tcPr>
          <w:p w:rsidR="00F71FE2" w:rsidRPr="005B6074" w:rsidRDefault="00F71FE2" w:rsidP="005B6074">
            <w:pPr>
              <w:pStyle w:val="BodyText"/>
              <w:tabs>
                <w:tab w:val="left" w:pos="0"/>
                <w:tab w:val="right" w:pos="9214"/>
              </w:tabs>
              <w:spacing w:before="120" w:line="276" w:lineRule="auto"/>
              <w:jc w:val="both"/>
              <w:rPr>
                <w:rFonts w:ascii="Verdana" w:hAnsi="Verdana"/>
                <w:bCs/>
                <w:color w:val="000000"/>
                <w:sz w:val="16"/>
                <w:szCs w:val="16"/>
              </w:rPr>
            </w:pPr>
            <w:r w:rsidRPr="005B6074">
              <w:rPr>
                <w:rFonts w:ascii="Verdana" w:hAnsi="Verdana"/>
                <w:bCs/>
                <w:color w:val="000000"/>
                <w:sz w:val="16"/>
                <w:szCs w:val="16"/>
              </w:rPr>
              <w:t>Below medium probability</w:t>
            </w:r>
          </w:p>
        </w:tc>
        <w:tc>
          <w:tcPr>
            <w:tcW w:w="3022" w:type="dxa"/>
            <w:tcBorders>
              <w:top w:val="single" w:sz="4" w:space="0" w:color="auto"/>
              <w:left w:val="single" w:sz="4" w:space="0" w:color="auto"/>
              <w:bottom w:val="single" w:sz="4" w:space="0" w:color="auto"/>
              <w:right w:val="single" w:sz="4" w:space="0" w:color="auto"/>
            </w:tcBorders>
            <w:shd w:val="clear" w:color="auto" w:fill="FFFF00"/>
            <w:hideMark/>
          </w:tcPr>
          <w:p w:rsidR="00F71FE2" w:rsidRPr="005B6074" w:rsidRDefault="00F71FE2" w:rsidP="005B6074">
            <w:pPr>
              <w:pStyle w:val="BodyText"/>
              <w:tabs>
                <w:tab w:val="left" w:pos="0"/>
                <w:tab w:val="right" w:pos="9214"/>
              </w:tabs>
              <w:spacing w:before="120" w:line="276" w:lineRule="auto"/>
              <w:jc w:val="both"/>
              <w:rPr>
                <w:rFonts w:ascii="Verdana" w:hAnsi="Verdana"/>
                <w:bCs/>
                <w:color w:val="000000"/>
                <w:sz w:val="16"/>
                <w:szCs w:val="16"/>
              </w:rPr>
            </w:pPr>
            <w:r w:rsidRPr="005B6074">
              <w:rPr>
                <w:rFonts w:ascii="Verdana" w:hAnsi="Verdana"/>
                <w:bCs/>
                <w:color w:val="000000"/>
                <w:sz w:val="16"/>
                <w:szCs w:val="16"/>
              </w:rPr>
              <w:t>Below medium impact</w:t>
            </w:r>
          </w:p>
        </w:tc>
        <w:tc>
          <w:tcPr>
            <w:tcW w:w="1472" w:type="dxa"/>
            <w:tcBorders>
              <w:top w:val="single" w:sz="4" w:space="0" w:color="auto"/>
              <w:left w:val="single" w:sz="4" w:space="0" w:color="auto"/>
              <w:bottom w:val="single" w:sz="4" w:space="0" w:color="auto"/>
              <w:right w:val="single" w:sz="4" w:space="0" w:color="auto"/>
            </w:tcBorders>
            <w:shd w:val="clear" w:color="auto" w:fill="FFFF00"/>
            <w:hideMark/>
          </w:tcPr>
          <w:p w:rsidR="00F71FE2" w:rsidRPr="005B6074" w:rsidRDefault="00F71FE2" w:rsidP="005B6074">
            <w:pPr>
              <w:pStyle w:val="BodyText"/>
              <w:tabs>
                <w:tab w:val="left" w:pos="0"/>
                <w:tab w:val="right" w:pos="9214"/>
              </w:tabs>
              <w:spacing w:before="120" w:line="276" w:lineRule="auto"/>
              <w:jc w:val="both"/>
              <w:rPr>
                <w:rFonts w:ascii="Verdana" w:hAnsi="Verdana"/>
                <w:bCs/>
                <w:color w:val="000000"/>
                <w:sz w:val="16"/>
                <w:szCs w:val="16"/>
              </w:rPr>
            </w:pPr>
            <w:r w:rsidRPr="005B6074">
              <w:rPr>
                <w:rFonts w:ascii="Verdana" w:hAnsi="Verdana"/>
                <w:bCs/>
                <w:color w:val="000000"/>
                <w:sz w:val="16"/>
                <w:szCs w:val="16"/>
              </w:rPr>
              <w:t>2</w:t>
            </w:r>
          </w:p>
        </w:tc>
      </w:tr>
      <w:tr w:rsidR="00F71FE2" w:rsidRPr="005B6074" w:rsidTr="005B6074">
        <w:trPr>
          <w:trHeight w:val="77"/>
          <w:jc w:val="center"/>
        </w:trPr>
        <w:tc>
          <w:tcPr>
            <w:tcW w:w="3784"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F71FE2" w:rsidRPr="005B6074" w:rsidRDefault="00F71FE2" w:rsidP="005B6074">
            <w:pPr>
              <w:pStyle w:val="BodyText"/>
              <w:tabs>
                <w:tab w:val="left" w:pos="0"/>
                <w:tab w:val="right" w:pos="9214"/>
              </w:tabs>
              <w:spacing w:before="120" w:line="276" w:lineRule="auto"/>
              <w:jc w:val="both"/>
              <w:rPr>
                <w:rFonts w:ascii="Verdana" w:hAnsi="Verdana"/>
                <w:bCs/>
                <w:color w:val="000000"/>
                <w:sz w:val="16"/>
                <w:szCs w:val="16"/>
              </w:rPr>
            </w:pPr>
            <w:r w:rsidRPr="005B6074">
              <w:rPr>
                <w:rFonts w:ascii="Verdana" w:hAnsi="Verdana"/>
                <w:bCs/>
                <w:color w:val="000000"/>
                <w:sz w:val="16"/>
                <w:szCs w:val="16"/>
              </w:rPr>
              <w:t>Small probability</w:t>
            </w:r>
          </w:p>
        </w:tc>
        <w:tc>
          <w:tcPr>
            <w:tcW w:w="302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F71FE2" w:rsidRPr="005B6074" w:rsidRDefault="00F71FE2" w:rsidP="005B6074">
            <w:pPr>
              <w:pStyle w:val="BodyText"/>
              <w:tabs>
                <w:tab w:val="left" w:pos="0"/>
                <w:tab w:val="right" w:pos="9214"/>
              </w:tabs>
              <w:spacing w:before="120" w:line="276" w:lineRule="auto"/>
              <w:jc w:val="both"/>
              <w:rPr>
                <w:rFonts w:ascii="Verdana" w:hAnsi="Verdana"/>
                <w:bCs/>
                <w:color w:val="000000"/>
                <w:sz w:val="16"/>
                <w:szCs w:val="16"/>
              </w:rPr>
            </w:pPr>
            <w:r w:rsidRPr="005B6074">
              <w:rPr>
                <w:rFonts w:ascii="Verdana" w:hAnsi="Verdana"/>
                <w:bCs/>
                <w:color w:val="000000"/>
                <w:sz w:val="16"/>
                <w:szCs w:val="16"/>
              </w:rPr>
              <w:t>Insignificant impact</w:t>
            </w:r>
          </w:p>
        </w:tc>
        <w:tc>
          <w:tcPr>
            <w:tcW w:w="1472"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F71FE2" w:rsidRPr="005B6074" w:rsidRDefault="00F71FE2" w:rsidP="005B6074">
            <w:pPr>
              <w:pStyle w:val="BodyText"/>
              <w:tabs>
                <w:tab w:val="left" w:pos="0"/>
                <w:tab w:val="right" w:pos="9214"/>
              </w:tabs>
              <w:spacing w:before="120" w:line="276" w:lineRule="auto"/>
              <w:jc w:val="both"/>
              <w:rPr>
                <w:rFonts w:ascii="Verdana" w:hAnsi="Verdana"/>
                <w:bCs/>
                <w:color w:val="000000"/>
                <w:sz w:val="16"/>
                <w:szCs w:val="16"/>
              </w:rPr>
            </w:pPr>
            <w:r w:rsidRPr="005B6074">
              <w:rPr>
                <w:rFonts w:ascii="Verdana" w:hAnsi="Verdana"/>
                <w:bCs/>
                <w:color w:val="000000"/>
                <w:sz w:val="16"/>
                <w:szCs w:val="16"/>
              </w:rPr>
              <w:t>1</w:t>
            </w:r>
          </w:p>
        </w:tc>
      </w:tr>
    </w:tbl>
    <w:p w:rsidR="00F71FE2" w:rsidRPr="005B6074" w:rsidRDefault="00F71FE2" w:rsidP="00F71FE2">
      <w:pPr>
        <w:pStyle w:val="BodyText"/>
        <w:tabs>
          <w:tab w:val="left" w:pos="0"/>
          <w:tab w:val="right" w:pos="9214"/>
        </w:tabs>
        <w:spacing w:before="120" w:line="276" w:lineRule="auto"/>
        <w:jc w:val="both"/>
        <w:rPr>
          <w:rFonts w:ascii="Verdana" w:hAnsi="Verdana"/>
          <w:bCs/>
          <w:color w:val="000000"/>
          <w:sz w:val="20"/>
          <w:szCs w:val="20"/>
        </w:rPr>
      </w:pPr>
    </w:p>
    <w:p w:rsidR="00F71FE2" w:rsidRPr="005B6074" w:rsidRDefault="00F71FE2" w:rsidP="00F71FE2">
      <w:pPr>
        <w:pStyle w:val="BodyText"/>
        <w:tabs>
          <w:tab w:val="left" w:pos="0"/>
          <w:tab w:val="right" w:pos="9214"/>
        </w:tabs>
        <w:spacing w:before="120" w:line="276" w:lineRule="auto"/>
        <w:jc w:val="both"/>
        <w:rPr>
          <w:rFonts w:ascii="Verdana" w:hAnsi="Verdana"/>
          <w:bCs/>
          <w:color w:val="000000"/>
          <w:sz w:val="20"/>
          <w:szCs w:val="20"/>
        </w:rPr>
      </w:pPr>
      <w:r w:rsidRPr="005B6074">
        <w:rPr>
          <w:rFonts w:ascii="Verdana" w:hAnsi="Verdana"/>
          <w:bCs/>
          <w:color w:val="000000"/>
          <w:sz w:val="20"/>
          <w:szCs w:val="20"/>
        </w:rPr>
        <w:t>The values of probability and impact for all risks are then multiplied and risk intensity is obtained. Risks are arranged in a descending order based on their intensity. On this basis that the table below with assessed risks was drawn up.</w:t>
      </w:r>
    </w:p>
    <w:p w:rsidR="00F71FE2" w:rsidRPr="005B6074" w:rsidRDefault="00F71FE2" w:rsidP="00F71FE2">
      <w:pPr>
        <w:pStyle w:val="Caption"/>
        <w:keepNext/>
        <w:rPr>
          <w:rFonts w:ascii="Verdana" w:hAnsi="Verdana"/>
          <w:color w:val="548DD4" w:themeColor="text2" w:themeTint="99"/>
        </w:rPr>
      </w:pPr>
      <w:bookmarkStart w:id="224" w:name="_Toc381712222"/>
      <w:bookmarkStart w:id="225" w:name="_Toc373747283"/>
      <w:bookmarkStart w:id="226" w:name="_Toc390257094"/>
      <w:bookmarkStart w:id="227" w:name="_Toc394505737"/>
      <w:bookmarkStart w:id="228" w:name="_Toc396225635"/>
      <w:r w:rsidRPr="005B6074">
        <w:rPr>
          <w:rFonts w:ascii="Verdana" w:hAnsi="Verdana"/>
          <w:color w:val="548DD4" w:themeColor="text2" w:themeTint="99"/>
        </w:rPr>
        <w:t xml:space="preserve">Table </w:t>
      </w:r>
      <w:r w:rsidRPr="005B6074">
        <w:fldChar w:fldCharType="begin"/>
      </w:r>
      <w:r w:rsidRPr="005B6074">
        <w:rPr>
          <w:rFonts w:ascii="Verdana" w:hAnsi="Verdana"/>
          <w:color w:val="548DD4" w:themeColor="text2" w:themeTint="99"/>
        </w:rPr>
        <w:instrText xml:space="preserve"> SEQ таблица \* ARABIC </w:instrText>
      </w:r>
      <w:r w:rsidRPr="005B6074">
        <w:fldChar w:fldCharType="separate"/>
      </w:r>
      <w:r w:rsidR="009330F5">
        <w:rPr>
          <w:rFonts w:ascii="Verdana" w:hAnsi="Verdana"/>
          <w:noProof/>
          <w:color w:val="548DD4" w:themeColor="text2" w:themeTint="99"/>
        </w:rPr>
        <w:t>40</w:t>
      </w:r>
      <w:r w:rsidRPr="005B6074">
        <w:fldChar w:fldCharType="end"/>
      </w:r>
      <w:r w:rsidRPr="005B6074">
        <w:rPr>
          <w:rFonts w:ascii="Verdana" w:hAnsi="Verdana"/>
          <w:color w:val="548DD4" w:themeColor="text2" w:themeTint="99"/>
        </w:rPr>
        <w:t xml:space="preserve">. Risks related to the administrative capacity of </w:t>
      </w:r>
      <w:r w:rsidR="005B35A7">
        <w:rPr>
          <w:rFonts w:ascii="Verdana" w:hAnsi="Verdana"/>
          <w:color w:val="548DD4" w:themeColor="text2" w:themeTint="99"/>
        </w:rPr>
        <w:t>OPSESG</w:t>
      </w:r>
      <w:r w:rsidRPr="005B6074">
        <w:rPr>
          <w:rFonts w:ascii="Verdana" w:hAnsi="Verdana"/>
          <w:color w:val="548DD4" w:themeColor="text2" w:themeTint="99"/>
        </w:rPr>
        <w:t xml:space="preserve"> 2014-2020</w:t>
      </w:r>
      <w:bookmarkEnd w:id="224"/>
      <w:bookmarkEnd w:id="225"/>
      <w:bookmarkEnd w:id="226"/>
      <w:bookmarkEnd w:id="227"/>
      <w:bookmarkEnd w:id="228"/>
    </w:p>
    <w:tbl>
      <w:tblPr>
        <w:tblStyle w:val="TableGrid"/>
        <w:tblW w:w="10770" w:type="dxa"/>
        <w:tblInd w:w="-601" w:type="dxa"/>
        <w:tblLayout w:type="fixed"/>
        <w:tblLook w:val="04A0" w:firstRow="1" w:lastRow="0" w:firstColumn="1" w:lastColumn="0" w:noHBand="0" w:noVBand="1"/>
      </w:tblPr>
      <w:tblGrid>
        <w:gridCol w:w="1870"/>
        <w:gridCol w:w="2833"/>
        <w:gridCol w:w="1134"/>
        <w:gridCol w:w="1276"/>
        <w:gridCol w:w="1105"/>
        <w:gridCol w:w="851"/>
        <w:gridCol w:w="850"/>
        <w:gridCol w:w="851"/>
      </w:tblGrid>
      <w:tr w:rsidR="00F71FE2" w:rsidRPr="00A11546" w:rsidTr="005B6074">
        <w:trPr>
          <w:tblHeader/>
        </w:trPr>
        <w:tc>
          <w:tcPr>
            <w:tcW w:w="1870"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rsidR="00F71FE2" w:rsidRPr="00A11546" w:rsidRDefault="00F71FE2" w:rsidP="00A11546">
            <w:pPr>
              <w:rPr>
                <w:rFonts w:ascii="Verdana" w:hAnsi="Verdana"/>
                <w:b/>
                <w:sz w:val="16"/>
                <w:szCs w:val="16"/>
                <w:lang w:eastAsia="ko-KR"/>
              </w:rPr>
            </w:pPr>
            <w:r w:rsidRPr="00A11546">
              <w:rPr>
                <w:rFonts w:ascii="Verdana" w:hAnsi="Verdana"/>
                <w:b/>
                <w:sz w:val="16"/>
                <w:szCs w:val="16"/>
                <w:lang w:eastAsia="ko-KR"/>
              </w:rPr>
              <w:t>Goals</w:t>
            </w:r>
          </w:p>
        </w:tc>
        <w:tc>
          <w:tcPr>
            <w:tcW w:w="2833"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rsidR="00F71FE2" w:rsidRPr="00A11546" w:rsidRDefault="00F71FE2" w:rsidP="00A11546">
            <w:pPr>
              <w:rPr>
                <w:rFonts w:ascii="Verdana" w:hAnsi="Verdana"/>
                <w:b/>
                <w:sz w:val="16"/>
                <w:szCs w:val="16"/>
                <w:lang w:eastAsia="ko-KR"/>
              </w:rPr>
            </w:pPr>
            <w:r w:rsidRPr="00A11546">
              <w:rPr>
                <w:rFonts w:ascii="Verdana" w:hAnsi="Verdana"/>
                <w:b/>
                <w:sz w:val="16"/>
                <w:szCs w:val="16"/>
                <w:lang w:eastAsia="ko-KR"/>
              </w:rPr>
              <w:t>Risks</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rsidR="00F71FE2" w:rsidRPr="00A11546" w:rsidRDefault="00F71FE2" w:rsidP="00A11546">
            <w:pPr>
              <w:rPr>
                <w:rFonts w:ascii="Verdana" w:hAnsi="Verdana"/>
                <w:b/>
                <w:sz w:val="16"/>
                <w:szCs w:val="16"/>
                <w:lang w:eastAsia="ko-KR"/>
              </w:rPr>
            </w:pPr>
            <w:r w:rsidRPr="00A11546">
              <w:rPr>
                <w:rFonts w:ascii="Verdana" w:hAnsi="Verdana"/>
                <w:b/>
                <w:sz w:val="16"/>
                <w:szCs w:val="16"/>
                <w:lang w:eastAsia="ko-KR"/>
              </w:rPr>
              <w:t>Source</w:t>
            </w:r>
          </w:p>
        </w:tc>
        <w:tc>
          <w:tcPr>
            <w:tcW w:w="1276"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rsidR="00F71FE2" w:rsidRPr="00A11546" w:rsidRDefault="00F71FE2" w:rsidP="00A11546">
            <w:pPr>
              <w:rPr>
                <w:rFonts w:ascii="Verdana" w:hAnsi="Verdana"/>
                <w:b/>
                <w:sz w:val="16"/>
                <w:szCs w:val="16"/>
                <w:lang w:eastAsia="ko-KR"/>
              </w:rPr>
            </w:pPr>
            <w:r w:rsidRPr="00A11546">
              <w:rPr>
                <w:rFonts w:ascii="Verdana" w:hAnsi="Verdana"/>
                <w:b/>
                <w:sz w:val="16"/>
                <w:szCs w:val="16"/>
                <w:lang w:eastAsia="ko-KR"/>
              </w:rPr>
              <w:t>Occurrence</w:t>
            </w:r>
          </w:p>
        </w:tc>
        <w:tc>
          <w:tcPr>
            <w:tcW w:w="1105"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rsidR="00F71FE2" w:rsidRPr="00A11546" w:rsidRDefault="00F71FE2" w:rsidP="00A11546">
            <w:pPr>
              <w:rPr>
                <w:rFonts w:ascii="Verdana" w:hAnsi="Verdana"/>
                <w:b/>
                <w:sz w:val="16"/>
                <w:szCs w:val="16"/>
                <w:lang w:eastAsia="ko-KR"/>
              </w:rPr>
            </w:pPr>
            <w:r w:rsidRPr="00A11546">
              <w:rPr>
                <w:rFonts w:ascii="Verdana" w:hAnsi="Verdana"/>
                <w:b/>
                <w:sz w:val="16"/>
                <w:szCs w:val="16"/>
                <w:lang w:eastAsia="ko-KR"/>
              </w:rPr>
              <w:t xml:space="preserve">Scope </w:t>
            </w:r>
          </w:p>
        </w:tc>
        <w:tc>
          <w:tcPr>
            <w:tcW w:w="851"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rsidR="00F71FE2" w:rsidRPr="00A11546" w:rsidRDefault="00F71FE2" w:rsidP="00A11546">
            <w:pPr>
              <w:rPr>
                <w:rFonts w:ascii="Verdana" w:hAnsi="Verdana"/>
                <w:b/>
                <w:sz w:val="16"/>
                <w:szCs w:val="16"/>
                <w:lang w:eastAsia="ko-KR"/>
              </w:rPr>
            </w:pPr>
            <w:r w:rsidRPr="00A11546">
              <w:rPr>
                <w:rFonts w:ascii="Verdana" w:hAnsi="Verdana"/>
                <w:b/>
                <w:sz w:val="16"/>
                <w:szCs w:val="16"/>
                <w:lang w:eastAsia="ko-KR"/>
              </w:rPr>
              <w:t>Probability</w:t>
            </w:r>
          </w:p>
        </w:tc>
        <w:tc>
          <w:tcPr>
            <w:tcW w:w="850"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rsidR="00F71FE2" w:rsidRPr="00A11546" w:rsidRDefault="00F71FE2" w:rsidP="00A11546">
            <w:pPr>
              <w:rPr>
                <w:rFonts w:ascii="Verdana" w:hAnsi="Verdana"/>
                <w:b/>
                <w:sz w:val="16"/>
                <w:szCs w:val="16"/>
                <w:lang w:eastAsia="ko-KR"/>
              </w:rPr>
            </w:pPr>
            <w:r w:rsidRPr="00A11546">
              <w:rPr>
                <w:rFonts w:ascii="Verdana" w:hAnsi="Verdana"/>
                <w:b/>
                <w:sz w:val="16"/>
                <w:szCs w:val="16"/>
                <w:lang w:eastAsia="ko-KR"/>
              </w:rPr>
              <w:t>Impact</w:t>
            </w:r>
          </w:p>
        </w:tc>
        <w:tc>
          <w:tcPr>
            <w:tcW w:w="851" w:type="dxa"/>
            <w:tcBorders>
              <w:top w:val="single" w:sz="4" w:space="0" w:color="auto"/>
              <w:left w:val="single" w:sz="4" w:space="0" w:color="auto"/>
              <w:bottom w:val="single" w:sz="4" w:space="0" w:color="auto"/>
              <w:right w:val="single" w:sz="4" w:space="0" w:color="auto"/>
            </w:tcBorders>
            <w:shd w:val="clear" w:color="auto" w:fill="17365D" w:themeFill="text2" w:themeFillShade="BF"/>
            <w:hideMark/>
          </w:tcPr>
          <w:p w:rsidR="00F71FE2" w:rsidRPr="00A11546" w:rsidRDefault="00F71FE2" w:rsidP="00A11546">
            <w:pPr>
              <w:rPr>
                <w:rFonts w:ascii="Verdana" w:hAnsi="Verdana"/>
                <w:b/>
                <w:sz w:val="16"/>
                <w:szCs w:val="16"/>
                <w:lang w:eastAsia="ko-KR"/>
              </w:rPr>
            </w:pPr>
            <w:r w:rsidRPr="00A11546">
              <w:rPr>
                <w:rFonts w:ascii="Verdana" w:hAnsi="Verdana"/>
                <w:b/>
                <w:sz w:val="16"/>
                <w:szCs w:val="16"/>
                <w:lang w:eastAsia="ko-KR"/>
              </w:rPr>
              <w:t>Intensity</w:t>
            </w:r>
          </w:p>
        </w:tc>
      </w:tr>
      <w:tr w:rsidR="00F71FE2" w:rsidRPr="005B6074" w:rsidTr="005B6074">
        <w:tc>
          <w:tcPr>
            <w:tcW w:w="1870" w:type="dxa"/>
            <w:vMerge w:val="restart"/>
            <w:tcBorders>
              <w:top w:val="single" w:sz="4" w:space="0" w:color="auto"/>
              <w:left w:val="single" w:sz="4" w:space="0" w:color="auto"/>
              <w:bottom w:val="single" w:sz="4" w:space="0" w:color="auto"/>
              <w:right w:val="single" w:sz="4" w:space="0" w:color="auto"/>
            </w:tcBorders>
            <w:vAlign w:val="center"/>
            <w:hideMark/>
          </w:tcPr>
          <w:p w:rsidR="00F71FE2" w:rsidRPr="00A11546" w:rsidRDefault="00F71FE2" w:rsidP="00181A22">
            <w:pPr>
              <w:pStyle w:val="ListParagraph"/>
              <w:numPr>
                <w:ilvl w:val="0"/>
                <w:numId w:val="76"/>
              </w:numPr>
              <w:spacing w:before="60" w:after="60" w:line="240" w:lineRule="auto"/>
              <w:ind w:left="170" w:hanging="170"/>
              <w:rPr>
                <w:rFonts w:ascii="Verdana" w:hAnsi="Verdana"/>
                <w:bCs/>
                <w:color w:val="000000"/>
                <w:sz w:val="16"/>
                <w:szCs w:val="16"/>
                <w:lang w:eastAsia="bg-BG"/>
              </w:rPr>
            </w:pPr>
            <w:r w:rsidRPr="005B6074">
              <w:rPr>
                <w:rFonts w:ascii="Verdana" w:hAnsi="Verdana"/>
                <w:bCs/>
                <w:color w:val="000000"/>
                <w:sz w:val="16"/>
                <w:szCs w:val="16"/>
                <w:lang w:eastAsia="bg-BG"/>
              </w:rPr>
              <w:t xml:space="preserve"> Timely launch of </w:t>
            </w:r>
            <w:r w:rsidR="005B35A7">
              <w:rPr>
                <w:rFonts w:ascii="Verdana" w:hAnsi="Verdana"/>
                <w:bCs/>
                <w:color w:val="000000"/>
                <w:sz w:val="16"/>
                <w:szCs w:val="16"/>
                <w:lang w:eastAsia="bg-BG"/>
              </w:rPr>
              <w:t>OPSESG</w:t>
            </w:r>
            <w:r w:rsidRPr="005B6074">
              <w:rPr>
                <w:rFonts w:ascii="Verdana" w:hAnsi="Verdana"/>
                <w:bCs/>
                <w:color w:val="000000"/>
                <w:sz w:val="16"/>
                <w:szCs w:val="16"/>
                <w:lang w:eastAsia="bg-BG"/>
              </w:rPr>
              <w:t xml:space="preserve"> 2014-2020 implementation </w:t>
            </w:r>
          </w:p>
          <w:p w:rsidR="00F71FE2" w:rsidRPr="005B6074" w:rsidRDefault="00F71FE2" w:rsidP="005B6074">
            <w:pPr>
              <w:spacing w:before="60" w:after="60"/>
              <w:rPr>
                <w:rFonts w:ascii="Verdana" w:eastAsia="Malgun Gothic" w:hAnsi="Verdana"/>
                <w:bCs/>
                <w:color w:val="000000"/>
                <w:sz w:val="16"/>
                <w:szCs w:val="16"/>
                <w:lang w:eastAsia="ko-KR"/>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Delay of EC approval of the programme</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External/ 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Programme</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Overall</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4</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12</w:t>
            </w:r>
          </w:p>
        </w:tc>
      </w:tr>
      <w:tr w:rsidR="00F71FE2" w:rsidRPr="005B6074" w:rsidTr="005B6074">
        <w:tc>
          <w:tcPr>
            <w:tcW w:w="1870" w:type="dxa"/>
            <w:vMerge/>
            <w:tcBorders>
              <w:top w:val="single" w:sz="4" w:space="0" w:color="auto"/>
              <w:left w:val="single" w:sz="4" w:space="0" w:color="auto"/>
              <w:bottom w:val="single" w:sz="4" w:space="0" w:color="auto"/>
              <w:right w:val="single" w:sz="4" w:space="0" w:color="auto"/>
            </w:tcBorders>
            <w:vAlign w:val="center"/>
            <w:hideMark/>
          </w:tcPr>
          <w:p w:rsidR="00F71FE2" w:rsidRPr="005B6074" w:rsidRDefault="00F71FE2" w:rsidP="005B6074">
            <w:pPr>
              <w:rPr>
                <w:rFonts w:ascii="Verdana" w:eastAsia="Malgun Gothic" w:hAnsi="Verdana"/>
                <w:bCs/>
                <w:color w:val="000000"/>
                <w:sz w:val="16"/>
                <w:szCs w:val="16"/>
                <w:lang w:eastAsia="ko-KR"/>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Delay in the accreditation of control and management systems</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External/ 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Programme</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Overall</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2</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4</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8</w:t>
            </w:r>
          </w:p>
        </w:tc>
      </w:tr>
      <w:tr w:rsidR="00F71FE2" w:rsidRPr="005B6074" w:rsidTr="005B6074">
        <w:tc>
          <w:tcPr>
            <w:tcW w:w="1870" w:type="dxa"/>
            <w:vMerge w:val="restart"/>
            <w:tcBorders>
              <w:top w:val="single" w:sz="4" w:space="0" w:color="auto"/>
              <w:left w:val="single" w:sz="4" w:space="0" w:color="auto"/>
              <w:bottom w:val="single" w:sz="4" w:space="0" w:color="auto"/>
              <w:right w:val="single" w:sz="4" w:space="0" w:color="auto"/>
            </w:tcBorders>
          </w:tcPr>
          <w:p w:rsidR="00F71FE2" w:rsidRPr="005B6074" w:rsidRDefault="00F71FE2" w:rsidP="00181A22">
            <w:pPr>
              <w:pStyle w:val="ListParagraph"/>
              <w:numPr>
                <w:ilvl w:val="0"/>
                <w:numId w:val="76"/>
              </w:numPr>
              <w:spacing w:before="60" w:after="60" w:line="240" w:lineRule="auto"/>
              <w:ind w:left="170" w:hanging="170"/>
              <w:rPr>
                <w:rFonts w:ascii="Verdana" w:hAnsi="Verdana"/>
                <w:bCs/>
                <w:color w:val="000000"/>
                <w:sz w:val="16"/>
                <w:szCs w:val="16"/>
                <w:lang w:eastAsia="bg-BG"/>
              </w:rPr>
            </w:pPr>
            <w:r w:rsidRPr="005B6074">
              <w:rPr>
                <w:rFonts w:ascii="Verdana" w:hAnsi="Verdana"/>
                <w:bCs/>
                <w:color w:val="000000"/>
                <w:sz w:val="16"/>
                <w:szCs w:val="16"/>
                <w:lang w:eastAsia="bg-BG"/>
              </w:rPr>
              <w:t>Ensure interest in the programme and availability of sufficient number of high-quality project proposals</w:t>
            </w:r>
          </w:p>
          <w:p w:rsidR="00F71FE2" w:rsidRPr="005B6074" w:rsidRDefault="00F71FE2" w:rsidP="005B6074">
            <w:pPr>
              <w:spacing w:before="60" w:after="60"/>
              <w:ind w:left="170" w:hanging="170"/>
              <w:jc w:val="both"/>
              <w:rPr>
                <w:rFonts w:ascii="Verdana" w:hAnsi="Verdana"/>
                <w:bCs/>
                <w:color w:val="000000"/>
                <w:sz w:val="16"/>
                <w:szCs w:val="16"/>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Poor quality information campaign on the launching of the programme</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Project</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Limited</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1</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r>
      <w:tr w:rsidR="00F71FE2" w:rsidRPr="005B6074" w:rsidTr="005B6074">
        <w:tc>
          <w:tcPr>
            <w:tcW w:w="1870" w:type="dxa"/>
            <w:vMerge/>
            <w:tcBorders>
              <w:top w:val="single" w:sz="4" w:space="0" w:color="auto"/>
              <w:left w:val="single" w:sz="4" w:space="0" w:color="auto"/>
              <w:bottom w:val="single" w:sz="4" w:space="0" w:color="auto"/>
              <w:right w:val="single" w:sz="4" w:space="0" w:color="auto"/>
            </w:tcBorders>
            <w:vAlign w:val="center"/>
            <w:hideMark/>
          </w:tcPr>
          <w:p w:rsidR="00F71FE2" w:rsidRPr="005B6074" w:rsidRDefault="00F71FE2" w:rsidP="005B6074">
            <w:pPr>
              <w:rPr>
                <w:rFonts w:ascii="Verdana" w:hAnsi="Verdana"/>
                <w:bCs/>
                <w:color w:val="000000"/>
                <w:sz w:val="16"/>
                <w:szCs w:val="16"/>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Lack of beneficiaries’ administrative capacity for preparing project proposals</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External/ 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Project</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Limited</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5</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15</w:t>
            </w:r>
          </w:p>
        </w:tc>
      </w:tr>
      <w:tr w:rsidR="00F71FE2" w:rsidRPr="005B6074" w:rsidTr="005B6074">
        <w:tc>
          <w:tcPr>
            <w:tcW w:w="1870" w:type="dxa"/>
            <w:vMerge/>
            <w:tcBorders>
              <w:top w:val="single" w:sz="4" w:space="0" w:color="auto"/>
              <w:left w:val="single" w:sz="4" w:space="0" w:color="auto"/>
              <w:bottom w:val="single" w:sz="4" w:space="0" w:color="auto"/>
              <w:right w:val="single" w:sz="4" w:space="0" w:color="auto"/>
            </w:tcBorders>
            <w:vAlign w:val="center"/>
            <w:hideMark/>
          </w:tcPr>
          <w:p w:rsidR="00F71FE2" w:rsidRPr="005B6074" w:rsidRDefault="00F71FE2" w:rsidP="005B6074">
            <w:pPr>
              <w:rPr>
                <w:rFonts w:ascii="Verdana" w:hAnsi="Verdana"/>
                <w:bCs/>
                <w:color w:val="000000"/>
                <w:sz w:val="16"/>
                <w:szCs w:val="16"/>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Poor programming and design of the support schemes</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Project</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Limited</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2</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6</w:t>
            </w:r>
          </w:p>
        </w:tc>
      </w:tr>
      <w:tr w:rsidR="00F71FE2" w:rsidRPr="005B6074" w:rsidTr="005B6074">
        <w:tc>
          <w:tcPr>
            <w:tcW w:w="1870" w:type="dxa"/>
            <w:vMerge w:val="restart"/>
            <w:tcBorders>
              <w:top w:val="single" w:sz="4" w:space="0" w:color="auto"/>
              <w:left w:val="single" w:sz="4" w:space="0" w:color="auto"/>
              <w:bottom w:val="single" w:sz="4" w:space="0" w:color="auto"/>
              <w:right w:val="single" w:sz="4" w:space="0" w:color="auto"/>
            </w:tcBorders>
          </w:tcPr>
          <w:p w:rsidR="00F71FE2" w:rsidRPr="005B6074" w:rsidRDefault="00F71FE2" w:rsidP="00181A22">
            <w:pPr>
              <w:pStyle w:val="ListParagraph"/>
              <w:numPr>
                <w:ilvl w:val="0"/>
                <w:numId w:val="76"/>
              </w:numPr>
              <w:spacing w:before="60" w:after="60" w:line="240" w:lineRule="auto"/>
              <w:ind w:left="170" w:hanging="170"/>
              <w:rPr>
                <w:rFonts w:ascii="Verdana" w:hAnsi="Verdana"/>
                <w:bCs/>
                <w:color w:val="000000"/>
                <w:sz w:val="16"/>
                <w:szCs w:val="16"/>
                <w:lang w:eastAsia="bg-BG"/>
              </w:rPr>
            </w:pPr>
            <w:r w:rsidRPr="005B6074">
              <w:rPr>
                <w:rFonts w:ascii="Verdana" w:hAnsi="Verdana"/>
                <w:bCs/>
                <w:color w:val="000000"/>
                <w:sz w:val="16"/>
                <w:szCs w:val="16"/>
                <w:lang w:eastAsia="bg-BG"/>
              </w:rPr>
              <w:t>Ensure correct and speedy process of evaluation of submitted project proposals in conformity with the national and European rules</w:t>
            </w:r>
          </w:p>
          <w:p w:rsidR="00F71FE2" w:rsidRPr="005B6074" w:rsidRDefault="00F71FE2" w:rsidP="005B6074">
            <w:pPr>
              <w:spacing w:before="60" w:after="60"/>
              <w:ind w:left="170" w:hanging="170"/>
              <w:jc w:val="both"/>
              <w:rPr>
                <w:rFonts w:ascii="Verdana" w:hAnsi="Verdana"/>
                <w:bCs/>
                <w:color w:val="000000"/>
                <w:sz w:val="16"/>
                <w:szCs w:val="16"/>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Poor quality of evaluation by the evaluation commissions</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Project</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Limited</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9</w:t>
            </w:r>
          </w:p>
        </w:tc>
      </w:tr>
      <w:tr w:rsidR="00F71FE2" w:rsidRPr="005B6074" w:rsidTr="005B6074">
        <w:tc>
          <w:tcPr>
            <w:tcW w:w="1870" w:type="dxa"/>
            <w:vMerge/>
            <w:tcBorders>
              <w:top w:val="single" w:sz="4" w:space="0" w:color="auto"/>
              <w:left w:val="single" w:sz="4" w:space="0" w:color="auto"/>
              <w:bottom w:val="single" w:sz="4" w:space="0" w:color="auto"/>
              <w:right w:val="single" w:sz="4" w:space="0" w:color="auto"/>
            </w:tcBorders>
            <w:vAlign w:val="center"/>
            <w:hideMark/>
          </w:tcPr>
          <w:p w:rsidR="00F71FE2" w:rsidRPr="005B6074" w:rsidRDefault="00F71FE2" w:rsidP="005B6074">
            <w:pPr>
              <w:rPr>
                <w:rFonts w:ascii="Verdana" w:hAnsi="Verdana"/>
                <w:bCs/>
                <w:color w:val="000000"/>
                <w:sz w:val="16"/>
                <w:szCs w:val="16"/>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Lack of qualified evaluators</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External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Project</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Limited</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9</w:t>
            </w:r>
          </w:p>
        </w:tc>
      </w:tr>
      <w:tr w:rsidR="00F71FE2" w:rsidRPr="005B6074" w:rsidTr="005B6074">
        <w:tc>
          <w:tcPr>
            <w:tcW w:w="1870" w:type="dxa"/>
            <w:vMerge/>
            <w:tcBorders>
              <w:top w:val="single" w:sz="4" w:space="0" w:color="auto"/>
              <w:left w:val="single" w:sz="4" w:space="0" w:color="auto"/>
              <w:bottom w:val="single" w:sz="4" w:space="0" w:color="auto"/>
              <w:right w:val="single" w:sz="4" w:space="0" w:color="auto"/>
            </w:tcBorders>
            <w:vAlign w:val="center"/>
            <w:hideMark/>
          </w:tcPr>
          <w:p w:rsidR="00F71FE2" w:rsidRPr="005B6074" w:rsidRDefault="00F71FE2" w:rsidP="005B6074">
            <w:pPr>
              <w:rPr>
                <w:rFonts w:ascii="Verdana" w:hAnsi="Verdana"/>
                <w:bCs/>
                <w:color w:val="000000"/>
                <w:sz w:val="16"/>
                <w:szCs w:val="16"/>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Lack of funds for payment to external evaluators</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Project</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Limited</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2</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4</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8</w:t>
            </w:r>
          </w:p>
        </w:tc>
      </w:tr>
      <w:tr w:rsidR="00F71FE2" w:rsidRPr="005B6074" w:rsidTr="005B6074">
        <w:tc>
          <w:tcPr>
            <w:tcW w:w="1870" w:type="dxa"/>
            <w:vMerge/>
            <w:tcBorders>
              <w:top w:val="single" w:sz="4" w:space="0" w:color="auto"/>
              <w:left w:val="single" w:sz="4" w:space="0" w:color="auto"/>
              <w:bottom w:val="single" w:sz="4" w:space="0" w:color="auto"/>
              <w:right w:val="single" w:sz="4" w:space="0" w:color="auto"/>
            </w:tcBorders>
            <w:vAlign w:val="center"/>
            <w:hideMark/>
          </w:tcPr>
          <w:p w:rsidR="00F71FE2" w:rsidRPr="005B6074" w:rsidRDefault="00F71FE2" w:rsidP="005B6074">
            <w:pPr>
              <w:rPr>
                <w:rFonts w:ascii="Verdana" w:hAnsi="Verdana"/>
                <w:bCs/>
                <w:color w:val="000000"/>
                <w:sz w:val="16"/>
                <w:szCs w:val="16"/>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Lack of technical means for ensuring normal work of the evaluation commissions (rooms, computers)</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Project</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Limited</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9</w:t>
            </w:r>
          </w:p>
        </w:tc>
      </w:tr>
      <w:tr w:rsidR="00F71FE2" w:rsidRPr="005B6074" w:rsidTr="005B6074">
        <w:trPr>
          <w:trHeight w:val="694"/>
        </w:trPr>
        <w:tc>
          <w:tcPr>
            <w:tcW w:w="1870" w:type="dxa"/>
            <w:vMerge w:val="restart"/>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0"/>
                <w:numId w:val="76"/>
              </w:numPr>
              <w:spacing w:before="60" w:after="60" w:line="240" w:lineRule="auto"/>
              <w:ind w:left="170" w:hanging="170"/>
              <w:rPr>
                <w:rFonts w:ascii="Verdana" w:hAnsi="Verdana"/>
                <w:bCs/>
                <w:color w:val="000000"/>
                <w:sz w:val="16"/>
                <w:szCs w:val="16"/>
                <w:lang w:eastAsia="bg-BG"/>
              </w:rPr>
            </w:pPr>
            <w:r w:rsidRPr="005B6074">
              <w:rPr>
                <w:rFonts w:ascii="Verdana" w:hAnsi="Verdana"/>
                <w:bCs/>
                <w:color w:val="000000"/>
                <w:sz w:val="16"/>
                <w:szCs w:val="16"/>
                <w:lang w:eastAsia="bg-BG"/>
              </w:rPr>
              <w:lastRenderedPageBreak/>
              <w:t>Ensure appropriate contract implementation by the beneficiaries in conformity with the national and European rules</w:t>
            </w: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Lack of project management and implementation knowledge and skills of beneficiaries</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External/ 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Project</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Overall</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5</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15</w:t>
            </w:r>
          </w:p>
        </w:tc>
      </w:tr>
      <w:tr w:rsidR="00F71FE2" w:rsidRPr="005B6074" w:rsidTr="005B6074">
        <w:trPr>
          <w:trHeight w:val="833"/>
        </w:trPr>
        <w:tc>
          <w:tcPr>
            <w:tcW w:w="1870" w:type="dxa"/>
            <w:vMerge/>
            <w:tcBorders>
              <w:top w:val="single" w:sz="4" w:space="0" w:color="auto"/>
              <w:left w:val="single" w:sz="4" w:space="0" w:color="auto"/>
              <w:bottom w:val="single" w:sz="4" w:space="0" w:color="auto"/>
              <w:right w:val="single" w:sz="4" w:space="0" w:color="auto"/>
            </w:tcBorders>
            <w:vAlign w:val="center"/>
            <w:hideMark/>
          </w:tcPr>
          <w:p w:rsidR="00F71FE2" w:rsidRPr="005B6074" w:rsidRDefault="00F71FE2" w:rsidP="005B6074">
            <w:pPr>
              <w:rPr>
                <w:rFonts w:ascii="Verdana" w:hAnsi="Verdana"/>
                <w:bCs/>
                <w:color w:val="000000"/>
                <w:sz w:val="16"/>
                <w:szCs w:val="16"/>
                <w:lang w:eastAsia="bg-BG"/>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Project implementation rules are too burdensome and clumsy</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Project</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Limited</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5</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15</w:t>
            </w:r>
          </w:p>
        </w:tc>
      </w:tr>
      <w:tr w:rsidR="00F71FE2" w:rsidRPr="005B6074" w:rsidTr="005B6074">
        <w:trPr>
          <w:trHeight w:val="959"/>
        </w:trPr>
        <w:tc>
          <w:tcPr>
            <w:tcW w:w="1870" w:type="dxa"/>
            <w:vMerge/>
            <w:tcBorders>
              <w:top w:val="single" w:sz="4" w:space="0" w:color="auto"/>
              <w:left w:val="single" w:sz="4" w:space="0" w:color="auto"/>
              <w:bottom w:val="single" w:sz="4" w:space="0" w:color="auto"/>
              <w:right w:val="single" w:sz="4" w:space="0" w:color="auto"/>
            </w:tcBorders>
            <w:vAlign w:val="center"/>
            <w:hideMark/>
          </w:tcPr>
          <w:p w:rsidR="00F71FE2" w:rsidRPr="005B6074" w:rsidRDefault="00F71FE2" w:rsidP="005B6074">
            <w:pPr>
              <w:rPr>
                <w:rFonts w:ascii="Verdana" w:hAnsi="Verdana"/>
                <w:bCs/>
                <w:color w:val="000000"/>
                <w:sz w:val="16"/>
                <w:szCs w:val="16"/>
                <w:lang w:eastAsia="bg-BG"/>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Lack of familiarity with /infringement of the selection rules and procedures in public procurement</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External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Project</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Limited</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5</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15</w:t>
            </w:r>
          </w:p>
        </w:tc>
      </w:tr>
      <w:tr w:rsidR="00F71FE2" w:rsidRPr="005B6074" w:rsidTr="005B6074">
        <w:trPr>
          <w:trHeight w:val="532"/>
        </w:trPr>
        <w:tc>
          <w:tcPr>
            <w:tcW w:w="1870" w:type="dxa"/>
            <w:vMerge/>
            <w:tcBorders>
              <w:top w:val="single" w:sz="4" w:space="0" w:color="auto"/>
              <w:left w:val="single" w:sz="4" w:space="0" w:color="auto"/>
              <w:bottom w:val="single" w:sz="4" w:space="0" w:color="auto"/>
              <w:right w:val="single" w:sz="4" w:space="0" w:color="auto"/>
            </w:tcBorders>
            <w:vAlign w:val="center"/>
            <w:hideMark/>
          </w:tcPr>
          <w:p w:rsidR="00F71FE2" w:rsidRPr="005B6074" w:rsidRDefault="00F71FE2" w:rsidP="005B6074">
            <w:pPr>
              <w:rPr>
                <w:rFonts w:ascii="Verdana" w:hAnsi="Verdana"/>
                <w:bCs/>
                <w:color w:val="000000"/>
                <w:sz w:val="16"/>
                <w:szCs w:val="16"/>
                <w:lang w:eastAsia="bg-BG"/>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Delay of the project implementation process</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External/ 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Project</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Limited</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5</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15</w:t>
            </w:r>
          </w:p>
        </w:tc>
      </w:tr>
      <w:tr w:rsidR="00F71FE2" w:rsidRPr="005B6074" w:rsidTr="005B6074">
        <w:tc>
          <w:tcPr>
            <w:tcW w:w="1870" w:type="dxa"/>
            <w:vMerge w:val="restart"/>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0"/>
                <w:numId w:val="76"/>
              </w:numPr>
              <w:spacing w:before="60" w:after="60" w:line="240" w:lineRule="auto"/>
              <w:ind w:left="170" w:hanging="170"/>
              <w:rPr>
                <w:rFonts w:ascii="Verdana" w:hAnsi="Verdana"/>
                <w:bCs/>
                <w:color w:val="000000"/>
                <w:sz w:val="16"/>
                <w:szCs w:val="16"/>
                <w:lang w:eastAsia="bg-BG"/>
              </w:rPr>
            </w:pPr>
            <w:r w:rsidRPr="005B6074">
              <w:rPr>
                <w:rFonts w:ascii="Verdana" w:hAnsi="Verdana"/>
                <w:bCs/>
                <w:color w:val="000000"/>
                <w:sz w:val="16"/>
                <w:szCs w:val="16"/>
                <w:lang w:eastAsia="bg-BG"/>
              </w:rPr>
              <w:t xml:space="preserve">Ensure efficient functioning of </w:t>
            </w:r>
            <w:r w:rsidR="005B35A7">
              <w:rPr>
                <w:rFonts w:ascii="Verdana" w:hAnsi="Verdana"/>
                <w:bCs/>
                <w:color w:val="000000"/>
                <w:sz w:val="16"/>
                <w:szCs w:val="16"/>
                <w:lang w:eastAsia="bg-BG"/>
              </w:rPr>
              <w:t>OPSESG</w:t>
            </w:r>
            <w:r w:rsidRPr="005B6074">
              <w:rPr>
                <w:rFonts w:ascii="Verdana" w:hAnsi="Verdana"/>
                <w:bCs/>
                <w:color w:val="000000"/>
                <w:sz w:val="16"/>
                <w:szCs w:val="16"/>
                <w:lang w:eastAsia="bg-BG"/>
              </w:rPr>
              <w:t xml:space="preserve"> 2014-2020 control and management systems</w:t>
            </w: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Lack of qualified personnel</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Programme</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Overall</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2</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4</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8</w:t>
            </w:r>
          </w:p>
        </w:tc>
      </w:tr>
      <w:tr w:rsidR="00F71FE2" w:rsidRPr="005B6074" w:rsidTr="005B6074">
        <w:tc>
          <w:tcPr>
            <w:tcW w:w="1870" w:type="dxa"/>
            <w:vMerge/>
            <w:tcBorders>
              <w:top w:val="single" w:sz="4" w:space="0" w:color="auto"/>
              <w:left w:val="single" w:sz="4" w:space="0" w:color="auto"/>
              <w:bottom w:val="single" w:sz="4" w:space="0" w:color="auto"/>
              <w:right w:val="single" w:sz="4" w:space="0" w:color="auto"/>
            </w:tcBorders>
            <w:vAlign w:val="center"/>
            <w:hideMark/>
          </w:tcPr>
          <w:p w:rsidR="00F71FE2" w:rsidRPr="005B6074" w:rsidRDefault="00F71FE2" w:rsidP="005B6074">
            <w:pPr>
              <w:rPr>
                <w:rFonts w:ascii="Verdana" w:hAnsi="Verdana"/>
                <w:bCs/>
                <w:color w:val="000000"/>
                <w:sz w:val="16"/>
                <w:szCs w:val="16"/>
                <w:lang w:eastAsia="bg-BG"/>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Failure to comply with audit recommendations</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Programme</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Overall</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1</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4</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4</w:t>
            </w:r>
          </w:p>
        </w:tc>
      </w:tr>
      <w:tr w:rsidR="00F71FE2" w:rsidRPr="005B6074" w:rsidTr="005B6074">
        <w:tc>
          <w:tcPr>
            <w:tcW w:w="1870" w:type="dxa"/>
            <w:vMerge/>
            <w:tcBorders>
              <w:top w:val="single" w:sz="4" w:space="0" w:color="auto"/>
              <w:left w:val="single" w:sz="4" w:space="0" w:color="auto"/>
              <w:bottom w:val="single" w:sz="4" w:space="0" w:color="auto"/>
              <w:right w:val="single" w:sz="4" w:space="0" w:color="auto"/>
            </w:tcBorders>
            <w:vAlign w:val="center"/>
            <w:hideMark/>
          </w:tcPr>
          <w:p w:rsidR="00F71FE2" w:rsidRPr="005B6074" w:rsidRDefault="00F71FE2" w:rsidP="005B6074">
            <w:pPr>
              <w:rPr>
                <w:rFonts w:ascii="Verdana" w:hAnsi="Verdana"/>
                <w:bCs/>
                <w:color w:val="000000"/>
                <w:sz w:val="16"/>
                <w:szCs w:val="16"/>
                <w:lang w:eastAsia="bg-BG"/>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Staff turnover</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External/ 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Programme</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Overall</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1</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5</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5</w:t>
            </w:r>
          </w:p>
        </w:tc>
      </w:tr>
      <w:tr w:rsidR="00F71FE2" w:rsidRPr="005B6074" w:rsidTr="005B6074">
        <w:tc>
          <w:tcPr>
            <w:tcW w:w="1870" w:type="dxa"/>
            <w:vMerge w:val="restart"/>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0"/>
                <w:numId w:val="76"/>
              </w:numPr>
              <w:spacing w:before="60" w:after="60" w:line="240" w:lineRule="auto"/>
              <w:ind w:left="170" w:hanging="170"/>
              <w:rPr>
                <w:rFonts w:ascii="Verdana" w:hAnsi="Verdana"/>
                <w:bCs/>
                <w:color w:val="000000"/>
                <w:sz w:val="16"/>
                <w:szCs w:val="16"/>
                <w:lang w:eastAsia="bg-BG"/>
              </w:rPr>
            </w:pPr>
            <w:r w:rsidRPr="005B6074">
              <w:rPr>
                <w:rFonts w:ascii="Verdana" w:hAnsi="Verdana"/>
                <w:bCs/>
                <w:color w:val="000000"/>
                <w:sz w:val="16"/>
                <w:szCs w:val="16"/>
                <w:lang w:eastAsia="bg-BG"/>
              </w:rPr>
              <w:t xml:space="preserve">Prevent </w:t>
            </w:r>
            <w:proofErr w:type="spellStart"/>
            <w:r w:rsidRPr="005B6074">
              <w:rPr>
                <w:rFonts w:ascii="Verdana" w:hAnsi="Verdana"/>
                <w:bCs/>
                <w:color w:val="000000"/>
                <w:sz w:val="16"/>
                <w:szCs w:val="16"/>
                <w:lang w:eastAsia="bg-BG"/>
              </w:rPr>
              <w:t>decommitment</w:t>
            </w:r>
            <w:proofErr w:type="spellEnd"/>
            <w:r w:rsidRPr="005B6074">
              <w:rPr>
                <w:rFonts w:ascii="Verdana" w:hAnsi="Verdana"/>
                <w:bCs/>
                <w:color w:val="000000"/>
                <w:sz w:val="16"/>
                <w:szCs w:val="16"/>
                <w:lang w:eastAsia="bg-BG"/>
              </w:rPr>
              <w:t xml:space="preserve"> of funds, observing the n+3 rule</w:t>
            </w: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Insufficient administrative capacity of MA in terms of numbers and skills</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External/ 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Project</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Overall</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5</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15</w:t>
            </w:r>
          </w:p>
        </w:tc>
      </w:tr>
      <w:tr w:rsidR="00F71FE2" w:rsidRPr="005B6074" w:rsidTr="005B6074">
        <w:tc>
          <w:tcPr>
            <w:tcW w:w="1870" w:type="dxa"/>
            <w:vMerge/>
            <w:tcBorders>
              <w:top w:val="single" w:sz="4" w:space="0" w:color="auto"/>
              <w:left w:val="single" w:sz="4" w:space="0" w:color="auto"/>
              <w:bottom w:val="single" w:sz="4" w:space="0" w:color="auto"/>
              <w:right w:val="single" w:sz="4" w:space="0" w:color="auto"/>
            </w:tcBorders>
            <w:vAlign w:val="center"/>
            <w:hideMark/>
          </w:tcPr>
          <w:p w:rsidR="00F71FE2" w:rsidRPr="005B6074" w:rsidRDefault="00F71FE2" w:rsidP="005B6074">
            <w:pPr>
              <w:rPr>
                <w:rFonts w:ascii="Verdana" w:hAnsi="Verdana"/>
                <w:bCs/>
                <w:color w:val="000000"/>
                <w:sz w:val="16"/>
                <w:szCs w:val="16"/>
                <w:lang w:eastAsia="bg-BG"/>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Financial corrections</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External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Programme</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Limited</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2</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5</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10</w:t>
            </w:r>
          </w:p>
        </w:tc>
      </w:tr>
      <w:tr w:rsidR="00F71FE2" w:rsidRPr="005B6074" w:rsidTr="005B6074">
        <w:tc>
          <w:tcPr>
            <w:tcW w:w="1870" w:type="dxa"/>
            <w:vMerge w:val="restart"/>
            <w:tcBorders>
              <w:top w:val="single" w:sz="4" w:space="0" w:color="auto"/>
              <w:left w:val="single" w:sz="4" w:space="0" w:color="auto"/>
              <w:right w:val="single" w:sz="4" w:space="0" w:color="auto"/>
            </w:tcBorders>
            <w:hideMark/>
          </w:tcPr>
          <w:p w:rsidR="00F71FE2" w:rsidRPr="005B6074" w:rsidRDefault="00F71FE2" w:rsidP="00181A22">
            <w:pPr>
              <w:pStyle w:val="ListParagraph"/>
              <w:numPr>
                <w:ilvl w:val="0"/>
                <w:numId w:val="76"/>
              </w:numPr>
              <w:spacing w:before="60" w:after="60" w:line="240" w:lineRule="auto"/>
              <w:ind w:left="170" w:hanging="170"/>
              <w:rPr>
                <w:rFonts w:ascii="Verdana" w:hAnsi="Verdana"/>
                <w:bCs/>
                <w:color w:val="000000"/>
                <w:sz w:val="16"/>
                <w:szCs w:val="16"/>
                <w:lang w:eastAsia="bg-BG"/>
              </w:rPr>
            </w:pPr>
            <w:r w:rsidRPr="005B6074">
              <w:rPr>
                <w:rFonts w:ascii="Verdana" w:hAnsi="Verdana"/>
                <w:bCs/>
                <w:color w:val="000000"/>
                <w:sz w:val="16"/>
                <w:szCs w:val="16"/>
                <w:lang w:eastAsia="bg-BG"/>
              </w:rPr>
              <w:t xml:space="preserve">Attain the goals and achieve the target values of </w:t>
            </w:r>
            <w:r w:rsidR="005B35A7">
              <w:rPr>
                <w:rFonts w:ascii="Verdana" w:hAnsi="Verdana"/>
                <w:bCs/>
                <w:color w:val="000000"/>
                <w:sz w:val="16"/>
                <w:szCs w:val="16"/>
                <w:lang w:eastAsia="bg-BG"/>
              </w:rPr>
              <w:t>OPSESG</w:t>
            </w:r>
            <w:r w:rsidRPr="005B6074">
              <w:rPr>
                <w:rFonts w:ascii="Verdana" w:hAnsi="Verdana"/>
                <w:bCs/>
                <w:color w:val="000000"/>
                <w:sz w:val="16"/>
                <w:szCs w:val="16"/>
                <w:lang w:eastAsia="bg-BG"/>
              </w:rPr>
              <w:t xml:space="preserve"> 2014-2020 indicators</w:t>
            </w: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Poor programme  monitoring procedures</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External/ 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Programme</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Limited</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2</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6</w:t>
            </w:r>
          </w:p>
        </w:tc>
      </w:tr>
      <w:tr w:rsidR="00F71FE2" w:rsidRPr="005B6074" w:rsidTr="005B6074">
        <w:tc>
          <w:tcPr>
            <w:tcW w:w="1870" w:type="dxa"/>
            <w:vMerge/>
            <w:tcBorders>
              <w:left w:val="single" w:sz="4" w:space="0" w:color="auto"/>
              <w:right w:val="single" w:sz="4" w:space="0" w:color="auto"/>
            </w:tcBorders>
            <w:vAlign w:val="center"/>
            <w:hideMark/>
          </w:tcPr>
          <w:p w:rsidR="00F71FE2" w:rsidRPr="005B6074" w:rsidRDefault="00F71FE2" w:rsidP="005B6074">
            <w:pPr>
              <w:rPr>
                <w:rFonts w:ascii="Verdana" w:hAnsi="Verdana"/>
                <w:bCs/>
                <w:color w:val="000000"/>
                <w:sz w:val="16"/>
                <w:szCs w:val="16"/>
                <w:lang w:eastAsia="bg-BG"/>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Difficulties in collecting necessary data for monitoring and evaluation</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Programme</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Limited</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9</w:t>
            </w:r>
          </w:p>
        </w:tc>
      </w:tr>
      <w:tr w:rsidR="00F71FE2" w:rsidRPr="005B6074" w:rsidTr="005B6074">
        <w:tc>
          <w:tcPr>
            <w:tcW w:w="1870" w:type="dxa"/>
            <w:vMerge/>
            <w:tcBorders>
              <w:left w:val="single" w:sz="4" w:space="0" w:color="auto"/>
              <w:right w:val="single" w:sz="4" w:space="0" w:color="auto"/>
            </w:tcBorders>
            <w:vAlign w:val="center"/>
            <w:hideMark/>
          </w:tcPr>
          <w:p w:rsidR="00F71FE2" w:rsidRPr="005B6074" w:rsidRDefault="00F71FE2" w:rsidP="005B6074">
            <w:pPr>
              <w:rPr>
                <w:rFonts w:ascii="Verdana" w:hAnsi="Verdana"/>
                <w:bCs/>
                <w:color w:val="000000"/>
                <w:sz w:val="16"/>
                <w:szCs w:val="16"/>
                <w:lang w:eastAsia="bg-BG"/>
              </w:rPr>
            </w:pPr>
          </w:p>
        </w:tc>
        <w:tc>
          <w:tcPr>
            <w:tcW w:w="2833" w:type="dxa"/>
            <w:tcBorders>
              <w:top w:val="single" w:sz="4" w:space="0" w:color="auto"/>
              <w:left w:val="single" w:sz="4" w:space="0" w:color="auto"/>
              <w:bottom w:val="single" w:sz="4" w:space="0" w:color="auto"/>
              <w:right w:val="single" w:sz="4" w:space="0" w:color="auto"/>
            </w:tcBorders>
            <w:hideMark/>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 xml:space="preserve">Difficulties in achieving the target values of the indicators </w:t>
            </w:r>
          </w:p>
        </w:tc>
        <w:tc>
          <w:tcPr>
            <w:tcW w:w="1134"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External/ Internal</w:t>
            </w:r>
          </w:p>
        </w:tc>
        <w:tc>
          <w:tcPr>
            <w:tcW w:w="127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Project</w:t>
            </w:r>
          </w:p>
        </w:tc>
        <w:tc>
          <w:tcPr>
            <w:tcW w:w="1105"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Overall</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0"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9</w:t>
            </w:r>
          </w:p>
        </w:tc>
      </w:tr>
      <w:tr w:rsidR="00F71FE2" w:rsidRPr="005B6074" w:rsidTr="005B6074">
        <w:tc>
          <w:tcPr>
            <w:tcW w:w="1870" w:type="dxa"/>
            <w:vMerge/>
            <w:tcBorders>
              <w:left w:val="single" w:sz="4" w:space="0" w:color="auto"/>
              <w:bottom w:val="single" w:sz="4" w:space="0" w:color="auto"/>
              <w:right w:val="single" w:sz="4" w:space="0" w:color="auto"/>
            </w:tcBorders>
            <w:vAlign w:val="center"/>
          </w:tcPr>
          <w:p w:rsidR="00F71FE2" w:rsidRPr="005B6074" w:rsidRDefault="00F71FE2" w:rsidP="005B6074">
            <w:pPr>
              <w:rPr>
                <w:rFonts w:ascii="Verdana" w:hAnsi="Verdana"/>
                <w:bCs/>
                <w:color w:val="000000"/>
                <w:sz w:val="16"/>
                <w:szCs w:val="16"/>
                <w:lang w:eastAsia="bg-BG"/>
              </w:rPr>
            </w:pPr>
          </w:p>
        </w:tc>
        <w:tc>
          <w:tcPr>
            <w:tcW w:w="2833" w:type="dxa"/>
            <w:tcBorders>
              <w:top w:val="single" w:sz="4" w:space="0" w:color="auto"/>
              <w:left w:val="single" w:sz="4" w:space="0" w:color="auto"/>
              <w:bottom w:val="single" w:sz="4" w:space="0" w:color="auto"/>
              <w:right w:val="single" w:sz="4" w:space="0" w:color="auto"/>
            </w:tcBorders>
          </w:tcPr>
          <w:p w:rsidR="00F71FE2" w:rsidRPr="005B6074" w:rsidRDefault="00F71FE2" w:rsidP="00181A22">
            <w:pPr>
              <w:pStyle w:val="ListParagraph"/>
              <w:numPr>
                <w:ilvl w:val="1"/>
                <w:numId w:val="76"/>
              </w:numPr>
              <w:spacing w:before="60" w:after="60" w:line="240" w:lineRule="auto"/>
              <w:ind w:left="0" w:firstLine="0"/>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 xml:space="preserve">Difficulties in achieve the milestones set </w:t>
            </w:r>
          </w:p>
        </w:tc>
        <w:tc>
          <w:tcPr>
            <w:tcW w:w="1134" w:type="dxa"/>
            <w:tcBorders>
              <w:top w:val="single" w:sz="4" w:space="0" w:color="auto"/>
              <w:left w:val="single" w:sz="4" w:space="0" w:color="auto"/>
              <w:bottom w:val="single" w:sz="4" w:space="0" w:color="auto"/>
              <w:right w:val="single" w:sz="4" w:space="0" w:color="auto"/>
            </w:tcBorders>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External/ Internal</w:t>
            </w:r>
          </w:p>
        </w:tc>
        <w:tc>
          <w:tcPr>
            <w:tcW w:w="1276" w:type="dxa"/>
            <w:tcBorders>
              <w:top w:val="single" w:sz="4" w:space="0" w:color="auto"/>
              <w:left w:val="single" w:sz="4" w:space="0" w:color="auto"/>
              <w:bottom w:val="single" w:sz="4" w:space="0" w:color="auto"/>
              <w:right w:val="single" w:sz="4" w:space="0" w:color="auto"/>
            </w:tcBorders>
          </w:tcPr>
          <w:p w:rsidR="00F71FE2" w:rsidRPr="005B6074" w:rsidRDefault="00F71FE2" w:rsidP="005B6074">
            <w:pPr>
              <w:spacing w:before="60" w:after="6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Project</w:t>
            </w:r>
          </w:p>
        </w:tc>
        <w:tc>
          <w:tcPr>
            <w:tcW w:w="1105" w:type="dxa"/>
            <w:tcBorders>
              <w:top w:val="single" w:sz="4" w:space="0" w:color="auto"/>
              <w:left w:val="single" w:sz="4" w:space="0" w:color="auto"/>
              <w:bottom w:val="single" w:sz="4" w:space="0" w:color="auto"/>
              <w:right w:val="single" w:sz="4" w:space="0" w:color="auto"/>
            </w:tcBorders>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Overall</w:t>
            </w:r>
          </w:p>
        </w:tc>
        <w:tc>
          <w:tcPr>
            <w:tcW w:w="851" w:type="dxa"/>
            <w:tcBorders>
              <w:top w:val="single" w:sz="4" w:space="0" w:color="auto"/>
              <w:left w:val="single" w:sz="4" w:space="0" w:color="auto"/>
              <w:bottom w:val="single" w:sz="4" w:space="0" w:color="auto"/>
              <w:right w:val="single" w:sz="4" w:space="0" w:color="auto"/>
            </w:tcBorders>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0" w:type="dxa"/>
            <w:tcBorders>
              <w:top w:val="single" w:sz="4" w:space="0" w:color="auto"/>
              <w:left w:val="single" w:sz="4" w:space="0" w:color="auto"/>
              <w:bottom w:val="single" w:sz="4" w:space="0" w:color="auto"/>
              <w:right w:val="single" w:sz="4" w:space="0" w:color="auto"/>
            </w:tcBorders>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3</w:t>
            </w:r>
          </w:p>
        </w:tc>
        <w:tc>
          <w:tcPr>
            <w:tcW w:w="851" w:type="dxa"/>
            <w:tcBorders>
              <w:top w:val="single" w:sz="4" w:space="0" w:color="auto"/>
              <w:left w:val="single" w:sz="4" w:space="0" w:color="auto"/>
              <w:bottom w:val="single" w:sz="4" w:space="0" w:color="auto"/>
              <w:right w:val="single" w:sz="4" w:space="0" w:color="auto"/>
            </w:tcBorders>
          </w:tcPr>
          <w:p w:rsidR="00F71FE2" w:rsidRPr="005B6074" w:rsidRDefault="00F71FE2" w:rsidP="005B6074">
            <w:pPr>
              <w:pStyle w:val="ListParagraph"/>
              <w:spacing w:before="60" w:after="60"/>
              <w:ind w:left="0"/>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9</w:t>
            </w:r>
          </w:p>
        </w:tc>
      </w:tr>
    </w:tbl>
    <w:p w:rsidR="00F71FE2" w:rsidRPr="005B6074" w:rsidRDefault="00F71FE2" w:rsidP="00F71FE2">
      <w:pPr>
        <w:pStyle w:val="BodyText"/>
        <w:spacing w:before="120" w:line="276" w:lineRule="auto"/>
        <w:ind w:left="720"/>
        <w:jc w:val="both"/>
        <w:rPr>
          <w:rFonts w:ascii="Verdana" w:hAnsi="Verdana"/>
          <w:bCs/>
          <w:color w:val="000000"/>
          <w:sz w:val="20"/>
          <w:szCs w:val="20"/>
        </w:rPr>
      </w:pPr>
    </w:p>
    <w:p w:rsidR="00F71FE2" w:rsidRPr="005B6074" w:rsidRDefault="00F71FE2" w:rsidP="00181A22">
      <w:pPr>
        <w:pStyle w:val="BodyText"/>
        <w:numPr>
          <w:ilvl w:val="0"/>
          <w:numId w:val="73"/>
        </w:numPr>
        <w:spacing w:before="120" w:line="276" w:lineRule="auto"/>
        <w:jc w:val="both"/>
        <w:rPr>
          <w:rFonts w:ascii="Verdana" w:hAnsi="Verdana"/>
          <w:bCs/>
          <w:color w:val="000000"/>
          <w:sz w:val="20"/>
          <w:szCs w:val="20"/>
        </w:rPr>
      </w:pPr>
      <w:r w:rsidRPr="005B6074">
        <w:rPr>
          <w:rFonts w:ascii="Verdana" w:hAnsi="Verdana"/>
          <w:bCs/>
          <w:i/>
          <w:color w:val="548DD4" w:themeColor="text2" w:themeTint="99"/>
          <w:sz w:val="20"/>
          <w:szCs w:val="20"/>
        </w:rPr>
        <w:t>Suggestions for treatment of risks.</w:t>
      </w:r>
      <w:r w:rsidRPr="005B6074">
        <w:rPr>
          <w:rFonts w:ascii="Verdana" w:hAnsi="Verdana"/>
          <w:bCs/>
          <w:color w:val="000000"/>
          <w:sz w:val="20"/>
          <w:szCs w:val="20"/>
        </w:rPr>
        <w:t xml:space="preserve"> The suggestions for treatment of risks have been prepared based on the risk tolerance levels, taking average values (3/3) and suggesting measures for treatment of risks of intensity 10 and above.</w:t>
      </w:r>
    </w:p>
    <w:p w:rsidR="00F71FE2" w:rsidRPr="005B6074" w:rsidRDefault="00F71FE2" w:rsidP="00F71FE2">
      <w:pPr>
        <w:pStyle w:val="BodyText"/>
        <w:spacing w:before="120" w:line="276" w:lineRule="auto"/>
        <w:jc w:val="center"/>
        <w:rPr>
          <w:rFonts w:ascii="Verdana" w:hAnsi="Verdana"/>
          <w:bCs/>
          <w:color w:val="000000"/>
          <w:sz w:val="20"/>
          <w:szCs w:val="20"/>
        </w:rPr>
      </w:pPr>
      <w:r w:rsidRPr="005B6074">
        <w:rPr>
          <w:noProof/>
          <w:lang w:val="bg-BG" w:eastAsia="bg-BG"/>
        </w:rPr>
        <w:lastRenderedPageBreak/>
        <w:drawing>
          <wp:inline distT="0" distB="0" distL="0" distR="0" wp14:anchorId="16B981CB" wp14:editId="65B4F7CD">
            <wp:extent cx="5724525" cy="2476500"/>
            <wp:effectExtent l="19050" t="0" r="9525" b="0"/>
            <wp:docPr id="30"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71FE2" w:rsidRPr="005B6074" w:rsidRDefault="00F71FE2" w:rsidP="00F71FE2">
      <w:pPr>
        <w:pStyle w:val="Caption"/>
        <w:spacing w:before="240"/>
        <w:jc w:val="center"/>
        <w:rPr>
          <w:rFonts w:ascii="Verdana" w:hAnsi="Verdana"/>
          <w:bCs w:val="0"/>
          <w:color w:val="548DD4" w:themeColor="text2" w:themeTint="99"/>
          <w:lang w:eastAsia="en-US"/>
        </w:rPr>
      </w:pPr>
      <w:bookmarkStart w:id="229" w:name="_Toc381712253"/>
      <w:bookmarkStart w:id="230" w:name="_Toc390257340"/>
      <w:bookmarkStart w:id="231" w:name="_Toc394505812"/>
      <w:bookmarkStart w:id="232" w:name="_Toc396225650"/>
      <w:r w:rsidRPr="005B6074">
        <w:rPr>
          <w:rFonts w:ascii="Verdana" w:hAnsi="Verdana"/>
          <w:bCs w:val="0"/>
          <w:color w:val="548DD4" w:themeColor="text2" w:themeTint="99"/>
          <w:lang w:eastAsia="en-US"/>
        </w:rPr>
        <w:t xml:space="preserve">Figure </w:t>
      </w:r>
      <w:r w:rsidRPr="005B6074">
        <w:fldChar w:fldCharType="begin"/>
      </w:r>
      <w:r w:rsidRPr="005B6074">
        <w:rPr>
          <w:rFonts w:ascii="Verdana" w:hAnsi="Verdana"/>
          <w:bCs w:val="0"/>
          <w:color w:val="548DD4" w:themeColor="text2" w:themeTint="99"/>
          <w:lang w:eastAsia="en-US"/>
        </w:rPr>
        <w:instrText>SEQ фигура \* ARABIC</w:instrText>
      </w:r>
      <w:r w:rsidRPr="005B6074">
        <w:fldChar w:fldCharType="separate"/>
      </w:r>
      <w:r w:rsidR="009330F5">
        <w:rPr>
          <w:rFonts w:ascii="Verdana" w:hAnsi="Verdana"/>
          <w:bCs w:val="0"/>
          <w:noProof/>
          <w:color w:val="548DD4" w:themeColor="text2" w:themeTint="99"/>
          <w:lang w:eastAsia="en-US"/>
        </w:rPr>
        <w:t>14</w:t>
      </w:r>
      <w:r w:rsidRPr="005B6074">
        <w:fldChar w:fldCharType="end"/>
      </w:r>
      <w:r w:rsidRPr="005B6074">
        <w:rPr>
          <w:rFonts w:ascii="Verdana" w:hAnsi="Verdana"/>
          <w:bCs w:val="0"/>
          <w:color w:val="548DD4" w:themeColor="text2" w:themeTint="99"/>
          <w:lang w:eastAsia="en-US"/>
        </w:rPr>
        <w:t xml:space="preserve">: </w:t>
      </w:r>
      <w:bookmarkEnd w:id="229"/>
      <w:bookmarkEnd w:id="230"/>
      <w:r w:rsidRPr="005B6074">
        <w:rPr>
          <w:rFonts w:ascii="Verdana" w:hAnsi="Verdana"/>
          <w:bCs w:val="0"/>
          <w:color w:val="548DD4" w:themeColor="text2" w:themeTint="99"/>
          <w:lang w:eastAsia="en-US"/>
        </w:rPr>
        <w:t>Risk assessment</w:t>
      </w:r>
      <w:bookmarkEnd w:id="231"/>
      <w:bookmarkEnd w:id="232"/>
    </w:p>
    <w:p w:rsidR="00F71FE2" w:rsidRPr="005B6074" w:rsidRDefault="00F71FE2" w:rsidP="00F71FE2">
      <w:pPr>
        <w:pStyle w:val="BodyText"/>
        <w:tabs>
          <w:tab w:val="left" w:pos="0"/>
          <w:tab w:val="right" w:pos="9214"/>
        </w:tabs>
        <w:spacing w:before="120" w:line="276" w:lineRule="auto"/>
        <w:jc w:val="both"/>
        <w:rPr>
          <w:rFonts w:ascii="Verdana" w:hAnsi="Verdana"/>
          <w:bCs/>
          <w:color w:val="000000"/>
          <w:sz w:val="20"/>
          <w:szCs w:val="20"/>
        </w:rPr>
      </w:pPr>
      <w:r w:rsidRPr="005B6074">
        <w:rPr>
          <w:rFonts w:ascii="Verdana" w:hAnsi="Verdana"/>
          <w:bCs/>
          <w:color w:val="000000"/>
          <w:sz w:val="20"/>
          <w:szCs w:val="20"/>
        </w:rPr>
        <w:t>The table below shows the risks of intensity 10 and above and the respective measures to be undertaken for treating each risk. The suggested risk treatment measures are included in the evaluation recommendations.</w:t>
      </w:r>
    </w:p>
    <w:p w:rsidR="00F71FE2" w:rsidRPr="005B6074" w:rsidRDefault="00F71FE2" w:rsidP="00F71FE2">
      <w:pPr>
        <w:pStyle w:val="Caption"/>
        <w:keepNext/>
        <w:rPr>
          <w:rFonts w:ascii="Verdana" w:hAnsi="Verdana"/>
          <w:color w:val="548DD4" w:themeColor="text2" w:themeTint="99"/>
        </w:rPr>
      </w:pPr>
      <w:bookmarkStart w:id="233" w:name="_Toc381712223"/>
      <w:bookmarkStart w:id="234" w:name="_Toc373747284"/>
      <w:bookmarkStart w:id="235" w:name="_Toc390257095"/>
      <w:bookmarkStart w:id="236" w:name="_Toc394505738"/>
      <w:bookmarkStart w:id="237" w:name="_Toc396225636"/>
      <w:r w:rsidRPr="005B6074">
        <w:rPr>
          <w:rFonts w:ascii="Verdana" w:hAnsi="Verdana"/>
          <w:color w:val="548DD4" w:themeColor="text2" w:themeTint="99"/>
        </w:rPr>
        <w:t xml:space="preserve">Table </w:t>
      </w:r>
      <w:r w:rsidRPr="005B6074">
        <w:fldChar w:fldCharType="begin"/>
      </w:r>
      <w:r w:rsidRPr="005B6074">
        <w:rPr>
          <w:rFonts w:ascii="Verdana" w:hAnsi="Verdana"/>
          <w:color w:val="548DD4" w:themeColor="text2" w:themeTint="99"/>
        </w:rPr>
        <w:instrText xml:space="preserve"> SEQ таблица \* ARABIC </w:instrText>
      </w:r>
      <w:r w:rsidRPr="005B6074">
        <w:fldChar w:fldCharType="separate"/>
      </w:r>
      <w:r w:rsidR="009330F5">
        <w:rPr>
          <w:rFonts w:ascii="Verdana" w:hAnsi="Verdana"/>
          <w:noProof/>
          <w:color w:val="548DD4" w:themeColor="text2" w:themeTint="99"/>
        </w:rPr>
        <w:t>41</w:t>
      </w:r>
      <w:r w:rsidRPr="005B6074">
        <w:fldChar w:fldCharType="end"/>
      </w:r>
      <w:r w:rsidRPr="005B6074">
        <w:rPr>
          <w:rFonts w:ascii="Verdana" w:hAnsi="Verdana"/>
          <w:color w:val="548DD4" w:themeColor="text2" w:themeTint="99"/>
        </w:rPr>
        <w:t xml:space="preserve">. </w:t>
      </w:r>
      <w:bookmarkEnd w:id="233"/>
      <w:bookmarkEnd w:id="234"/>
      <w:bookmarkEnd w:id="235"/>
      <w:r w:rsidRPr="005B6074">
        <w:rPr>
          <w:rFonts w:ascii="Verdana" w:hAnsi="Verdana"/>
          <w:color w:val="548DD4" w:themeColor="text2" w:themeTint="99"/>
        </w:rPr>
        <w:t>High-intensity risks and their treatment</w:t>
      </w:r>
      <w:bookmarkEnd w:id="236"/>
      <w:bookmarkEnd w:id="237"/>
    </w:p>
    <w:tbl>
      <w:tblPr>
        <w:tblW w:w="9375"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31"/>
        <w:gridCol w:w="1211"/>
        <w:gridCol w:w="851"/>
        <w:gridCol w:w="1056"/>
        <w:gridCol w:w="3626"/>
      </w:tblGrid>
      <w:tr w:rsidR="00F71FE2" w:rsidRPr="005B6074" w:rsidTr="00181A22">
        <w:trPr>
          <w:trHeight w:val="465"/>
        </w:trPr>
        <w:tc>
          <w:tcPr>
            <w:tcW w:w="2631" w:type="dxa"/>
            <w:tcBorders>
              <w:top w:val="single" w:sz="4" w:space="0" w:color="auto"/>
              <w:left w:val="single" w:sz="4" w:space="0" w:color="auto"/>
              <w:bottom w:val="single" w:sz="4" w:space="0" w:color="auto"/>
              <w:right w:val="single" w:sz="4" w:space="0" w:color="auto"/>
            </w:tcBorders>
            <w:shd w:val="clear" w:color="auto" w:fill="17365D"/>
            <w:hideMark/>
          </w:tcPr>
          <w:p w:rsidR="00F71FE2" w:rsidRPr="00A11546" w:rsidRDefault="00F71FE2" w:rsidP="00A11546">
            <w:pPr>
              <w:rPr>
                <w:rFonts w:ascii="Verdana" w:hAnsi="Verdana"/>
                <w:b/>
                <w:sz w:val="16"/>
                <w:szCs w:val="16"/>
              </w:rPr>
            </w:pPr>
            <w:r w:rsidRPr="00A11546">
              <w:rPr>
                <w:rFonts w:ascii="Verdana" w:hAnsi="Verdana"/>
                <w:b/>
                <w:sz w:val="16"/>
                <w:szCs w:val="16"/>
              </w:rPr>
              <w:t>Risks</w:t>
            </w:r>
          </w:p>
        </w:tc>
        <w:tc>
          <w:tcPr>
            <w:tcW w:w="1211" w:type="dxa"/>
            <w:tcBorders>
              <w:top w:val="single" w:sz="4" w:space="0" w:color="auto"/>
              <w:left w:val="single" w:sz="4" w:space="0" w:color="auto"/>
              <w:bottom w:val="single" w:sz="4" w:space="0" w:color="auto"/>
              <w:right w:val="single" w:sz="4" w:space="0" w:color="auto"/>
            </w:tcBorders>
            <w:shd w:val="clear" w:color="auto" w:fill="17365D"/>
            <w:hideMark/>
          </w:tcPr>
          <w:p w:rsidR="00F71FE2" w:rsidRPr="00A11546" w:rsidRDefault="00F71FE2" w:rsidP="00A11546">
            <w:pPr>
              <w:rPr>
                <w:rFonts w:ascii="Verdana" w:hAnsi="Verdana"/>
                <w:b/>
                <w:sz w:val="16"/>
                <w:szCs w:val="16"/>
              </w:rPr>
            </w:pPr>
            <w:r w:rsidRPr="00A11546">
              <w:rPr>
                <w:rFonts w:ascii="Verdana" w:hAnsi="Verdana"/>
                <w:b/>
                <w:sz w:val="16"/>
                <w:szCs w:val="16"/>
              </w:rPr>
              <w:t>Probability</w:t>
            </w:r>
          </w:p>
        </w:tc>
        <w:tc>
          <w:tcPr>
            <w:tcW w:w="851" w:type="dxa"/>
            <w:tcBorders>
              <w:top w:val="single" w:sz="4" w:space="0" w:color="auto"/>
              <w:left w:val="single" w:sz="4" w:space="0" w:color="auto"/>
              <w:bottom w:val="single" w:sz="4" w:space="0" w:color="auto"/>
              <w:right w:val="single" w:sz="4" w:space="0" w:color="auto"/>
            </w:tcBorders>
            <w:shd w:val="clear" w:color="auto" w:fill="17365D"/>
            <w:hideMark/>
          </w:tcPr>
          <w:p w:rsidR="00F71FE2" w:rsidRPr="00A11546" w:rsidRDefault="00F71FE2" w:rsidP="00A11546">
            <w:pPr>
              <w:rPr>
                <w:rFonts w:ascii="Verdana" w:hAnsi="Verdana"/>
                <w:b/>
                <w:sz w:val="16"/>
                <w:szCs w:val="16"/>
              </w:rPr>
            </w:pPr>
            <w:r w:rsidRPr="00A11546">
              <w:rPr>
                <w:rFonts w:ascii="Verdana" w:hAnsi="Verdana"/>
                <w:b/>
                <w:sz w:val="16"/>
                <w:szCs w:val="16"/>
              </w:rPr>
              <w:t>Impact</w:t>
            </w:r>
          </w:p>
        </w:tc>
        <w:tc>
          <w:tcPr>
            <w:tcW w:w="1056" w:type="dxa"/>
            <w:tcBorders>
              <w:top w:val="single" w:sz="4" w:space="0" w:color="auto"/>
              <w:left w:val="single" w:sz="4" w:space="0" w:color="auto"/>
              <w:bottom w:val="single" w:sz="4" w:space="0" w:color="auto"/>
              <w:right w:val="single" w:sz="4" w:space="0" w:color="auto"/>
            </w:tcBorders>
            <w:shd w:val="clear" w:color="auto" w:fill="17365D"/>
            <w:hideMark/>
          </w:tcPr>
          <w:p w:rsidR="00F71FE2" w:rsidRPr="00A11546" w:rsidRDefault="00F71FE2" w:rsidP="00A11546">
            <w:pPr>
              <w:rPr>
                <w:rFonts w:ascii="Verdana" w:hAnsi="Verdana"/>
                <w:b/>
                <w:sz w:val="16"/>
                <w:szCs w:val="16"/>
              </w:rPr>
            </w:pPr>
            <w:r w:rsidRPr="00A11546">
              <w:rPr>
                <w:rFonts w:ascii="Verdana" w:hAnsi="Verdana"/>
                <w:b/>
                <w:sz w:val="16"/>
                <w:szCs w:val="16"/>
              </w:rPr>
              <w:t>Intensity</w:t>
            </w:r>
          </w:p>
        </w:tc>
        <w:tc>
          <w:tcPr>
            <w:tcW w:w="3626" w:type="dxa"/>
            <w:tcBorders>
              <w:top w:val="single" w:sz="4" w:space="0" w:color="auto"/>
              <w:left w:val="single" w:sz="4" w:space="0" w:color="auto"/>
              <w:bottom w:val="single" w:sz="4" w:space="0" w:color="auto"/>
              <w:right w:val="single" w:sz="4" w:space="0" w:color="auto"/>
            </w:tcBorders>
            <w:shd w:val="clear" w:color="auto" w:fill="17365D"/>
            <w:hideMark/>
          </w:tcPr>
          <w:p w:rsidR="00F71FE2" w:rsidRPr="00A11546" w:rsidRDefault="00F71FE2" w:rsidP="00A11546">
            <w:pPr>
              <w:rPr>
                <w:rFonts w:ascii="Verdana" w:hAnsi="Verdana"/>
                <w:b/>
                <w:sz w:val="16"/>
                <w:szCs w:val="16"/>
              </w:rPr>
            </w:pPr>
            <w:r w:rsidRPr="00A11546">
              <w:rPr>
                <w:rFonts w:ascii="Verdana" w:hAnsi="Verdana"/>
                <w:b/>
                <w:sz w:val="16"/>
                <w:szCs w:val="16"/>
              </w:rPr>
              <w:t>Risk treatment</w:t>
            </w:r>
          </w:p>
        </w:tc>
      </w:tr>
      <w:tr w:rsidR="00F71FE2" w:rsidRPr="005B6074" w:rsidTr="00181A22">
        <w:trPr>
          <w:trHeight w:val="870"/>
        </w:trPr>
        <w:tc>
          <w:tcPr>
            <w:tcW w:w="2631" w:type="dxa"/>
            <w:tcBorders>
              <w:top w:val="single" w:sz="4" w:space="0" w:color="auto"/>
              <w:left w:val="single" w:sz="4" w:space="0" w:color="auto"/>
              <w:bottom w:val="single" w:sz="4" w:space="0" w:color="auto"/>
              <w:right w:val="single" w:sz="4" w:space="0" w:color="auto"/>
            </w:tcBorders>
          </w:tcPr>
          <w:p w:rsidR="00A11546" w:rsidRDefault="00A11546" w:rsidP="00A11546">
            <w:pPr>
              <w:spacing w:after="0" w:line="240" w:lineRule="auto"/>
              <w:rPr>
                <w:rFonts w:ascii="Verdana" w:eastAsia="Times New Roman" w:hAnsi="Verdana" w:cs="Calibri"/>
                <w:color w:val="000000"/>
                <w:sz w:val="16"/>
                <w:szCs w:val="16"/>
              </w:rPr>
            </w:pPr>
          </w:p>
          <w:p w:rsidR="00F71FE2" w:rsidRPr="005B6074" w:rsidRDefault="00F71FE2" w:rsidP="00A11546">
            <w:pPr>
              <w:spacing w:after="0" w:line="240" w:lineRule="auto"/>
              <w:rPr>
                <w:rFonts w:ascii="Verdana" w:eastAsia="Times New Roman" w:hAnsi="Verdana" w:cs="Calibri"/>
                <w:color w:val="000000"/>
                <w:sz w:val="16"/>
                <w:szCs w:val="16"/>
              </w:rPr>
            </w:pPr>
            <w:r w:rsidRPr="005B6074">
              <w:rPr>
                <w:rFonts w:ascii="Verdana" w:eastAsia="Times New Roman" w:hAnsi="Verdana" w:cs="Calibri"/>
                <w:color w:val="000000"/>
                <w:sz w:val="16"/>
                <w:szCs w:val="16"/>
              </w:rPr>
              <w:t>2.2</w:t>
            </w:r>
            <w:r w:rsidRPr="00A11546">
              <w:rPr>
                <w:rFonts w:ascii="Verdana" w:eastAsia="Times New Roman" w:hAnsi="Verdana" w:cs="Calibri"/>
                <w:color w:val="000000"/>
                <w:sz w:val="16"/>
                <w:szCs w:val="16"/>
              </w:rPr>
              <w:t>          Lack of beneficiaries’ administrative capacity for preparing project proposals</w:t>
            </w:r>
          </w:p>
        </w:tc>
        <w:tc>
          <w:tcPr>
            <w:tcW w:w="1211"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spacing w:before="60" w:after="60"/>
              <w:rPr>
                <w:rFonts w:ascii="Verdana" w:hAnsi="Verdana"/>
                <w:sz w:val="16"/>
                <w:szCs w:val="16"/>
              </w:rPr>
            </w:pPr>
            <w:r w:rsidRPr="00181A22">
              <w:rPr>
                <w:rFonts w:ascii="Verdana" w:hAnsi="Verdana"/>
                <w:sz w:val="16"/>
                <w:szCs w:val="16"/>
              </w:rPr>
              <w:t>3</w:t>
            </w:r>
          </w:p>
        </w:tc>
        <w:tc>
          <w:tcPr>
            <w:tcW w:w="851"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spacing w:before="60" w:after="60"/>
              <w:rPr>
                <w:rFonts w:ascii="Verdana" w:hAnsi="Verdana"/>
                <w:sz w:val="16"/>
                <w:szCs w:val="16"/>
              </w:rPr>
            </w:pPr>
            <w:r w:rsidRPr="00181A22">
              <w:rPr>
                <w:rFonts w:ascii="Verdana" w:hAnsi="Verdana"/>
                <w:sz w:val="16"/>
                <w:szCs w:val="16"/>
              </w:rPr>
              <w:t>5</w:t>
            </w:r>
          </w:p>
        </w:tc>
        <w:tc>
          <w:tcPr>
            <w:tcW w:w="1056"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spacing w:before="60" w:after="60"/>
              <w:rPr>
                <w:rFonts w:ascii="Verdana" w:hAnsi="Verdana"/>
                <w:sz w:val="16"/>
                <w:szCs w:val="16"/>
              </w:rPr>
            </w:pPr>
            <w:r w:rsidRPr="00181A22">
              <w:rPr>
                <w:rFonts w:ascii="Verdana" w:hAnsi="Verdana"/>
                <w:sz w:val="16"/>
                <w:szCs w:val="16"/>
              </w:rPr>
              <w:t>15</w:t>
            </w:r>
          </w:p>
        </w:tc>
        <w:tc>
          <w:tcPr>
            <w:tcW w:w="3626"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Organize training courses;</w:t>
            </w:r>
          </w:p>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Undertake measures to reduce the administrative burden.</w:t>
            </w:r>
          </w:p>
        </w:tc>
      </w:tr>
      <w:tr w:rsidR="00F71FE2" w:rsidRPr="005B6074" w:rsidTr="00181A22">
        <w:trPr>
          <w:trHeight w:val="870"/>
        </w:trPr>
        <w:tc>
          <w:tcPr>
            <w:tcW w:w="2631" w:type="dxa"/>
            <w:tcBorders>
              <w:top w:val="single" w:sz="4" w:space="0" w:color="auto"/>
              <w:left w:val="single" w:sz="4" w:space="0" w:color="auto"/>
              <w:bottom w:val="single" w:sz="4" w:space="0" w:color="auto"/>
              <w:right w:val="single" w:sz="4" w:space="0" w:color="auto"/>
            </w:tcBorders>
          </w:tcPr>
          <w:p w:rsidR="00F71FE2" w:rsidRPr="005B6074" w:rsidRDefault="00F71FE2" w:rsidP="005B6074">
            <w:pPr>
              <w:spacing w:after="0" w:line="240" w:lineRule="auto"/>
              <w:rPr>
                <w:rFonts w:ascii="Verdana" w:eastAsia="Times New Roman" w:hAnsi="Verdana" w:cs="Calibri"/>
                <w:color w:val="000000"/>
                <w:sz w:val="16"/>
                <w:szCs w:val="16"/>
              </w:rPr>
            </w:pPr>
            <w:r w:rsidRPr="005B6074">
              <w:rPr>
                <w:rFonts w:ascii="Verdana" w:eastAsia="Times New Roman" w:hAnsi="Verdana" w:cs="Calibri"/>
                <w:color w:val="000000"/>
                <w:sz w:val="16"/>
                <w:szCs w:val="16"/>
              </w:rPr>
              <w:t>4.1</w:t>
            </w:r>
            <w:r w:rsidRPr="005B6074">
              <w:rPr>
                <w:rFonts w:ascii="Times New Roman" w:eastAsia="Times New Roman" w:hAnsi="Times New Roman"/>
                <w:color w:val="000000"/>
                <w:sz w:val="14"/>
                <w:szCs w:val="14"/>
              </w:rPr>
              <w:t xml:space="preserve">          </w:t>
            </w:r>
            <w:r w:rsidRPr="005B6074">
              <w:rPr>
                <w:rFonts w:ascii="Verdana" w:eastAsia="Malgun Gothic" w:hAnsi="Verdana"/>
                <w:bCs/>
                <w:color w:val="000000"/>
                <w:sz w:val="16"/>
                <w:szCs w:val="16"/>
                <w:lang w:eastAsia="ko-KR"/>
              </w:rPr>
              <w:t>Lack of project management and implementation knowledge and skills of beneficiaries</w:t>
            </w:r>
          </w:p>
        </w:tc>
        <w:tc>
          <w:tcPr>
            <w:tcW w:w="1211"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spacing w:before="60" w:after="60"/>
              <w:rPr>
                <w:rFonts w:ascii="Verdana" w:hAnsi="Verdana"/>
                <w:sz w:val="16"/>
                <w:szCs w:val="16"/>
              </w:rPr>
            </w:pPr>
            <w:r w:rsidRPr="00181A22">
              <w:rPr>
                <w:rFonts w:ascii="Verdana" w:hAnsi="Verdana"/>
                <w:sz w:val="16"/>
                <w:szCs w:val="16"/>
              </w:rPr>
              <w:t>3</w:t>
            </w:r>
          </w:p>
        </w:tc>
        <w:tc>
          <w:tcPr>
            <w:tcW w:w="851"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spacing w:before="60" w:after="60"/>
              <w:rPr>
                <w:rFonts w:ascii="Verdana" w:hAnsi="Verdana"/>
                <w:sz w:val="16"/>
                <w:szCs w:val="16"/>
              </w:rPr>
            </w:pPr>
            <w:r w:rsidRPr="00181A22">
              <w:rPr>
                <w:rFonts w:ascii="Verdana" w:hAnsi="Verdana"/>
                <w:sz w:val="16"/>
                <w:szCs w:val="16"/>
              </w:rPr>
              <w:t>5</w:t>
            </w:r>
          </w:p>
        </w:tc>
        <w:tc>
          <w:tcPr>
            <w:tcW w:w="1056"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spacing w:before="60" w:after="60"/>
              <w:rPr>
                <w:rFonts w:ascii="Verdana" w:hAnsi="Verdana"/>
                <w:sz w:val="16"/>
                <w:szCs w:val="16"/>
              </w:rPr>
            </w:pPr>
            <w:r w:rsidRPr="00181A22">
              <w:rPr>
                <w:rFonts w:ascii="Verdana" w:hAnsi="Verdana"/>
                <w:sz w:val="16"/>
                <w:szCs w:val="16"/>
              </w:rPr>
              <w:t>15</w:t>
            </w:r>
          </w:p>
        </w:tc>
        <w:tc>
          <w:tcPr>
            <w:tcW w:w="3626"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Organize training courses;</w:t>
            </w:r>
          </w:p>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Undertake measures to reduce the administrative burden;</w:t>
            </w:r>
          </w:p>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 xml:space="preserve">Establish a Helpdesk for beneficiaries, with clearly specified persons, responsibilities and time limits for responding to questions, and announce it in the project implementation </w:t>
            </w:r>
            <w:proofErr w:type="gramStart"/>
            <w:r w:rsidRPr="00181A22">
              <w:rPr>
                <w:rFonts w:ascii="Verdana" w:hAnsi="Verdana"/>
                <w:sz w:val="16"/>
                <w:szCs w:val="16"/>
              </w:rPr>
              <w:t>manual .</w:t>
            </w:r>
            <w:proofErr w:type="gramEnd"/>
          </w:p>
        </w:tc>
      </w:tr>
      <w:tr w:rsidR="00F71FE2" w:rsidRPr="005B6074" w:rsidTr="00181A22">
        <w:trPr>
          <w:trHeight w:val="870"/>
        </w:trPr>
        <w:tc>
          <w:tcPr>
            <w:tcW w:w="2631" w:type="dxa"/>
            <w:tcBorders>
              <w:top w:val="single" w:sz="4" w:space="0" w:color="auto"/>
              <w:left w:val="single" w:sz="4" w:space="0" w:color="auto"/>
              <w:bottom w:val="single" w:sz="4" w:space="0" w:color="auto"/>
              <w:right w:val="single" w:sz="4" w:space="0" w:color="auto"/>
            </w:tcBorders>
          </w:tcPr>
          <w:p w:rsidR="00F71FE2" w:rsidRPr="005B6074" w:rsidRDefault="00F71FE2" w:rsidP="005B6074">
            <w:pPr>
              <w:spacing w:after="0" w:line="240" w:lineRule="auto"/>
              <w:rPr>
                <w:rFonts w:ascii="Verdana" w:eastAsia="Times New Roman" w:hAnsi="Verdana" w:cs="Calibri"/>
                <w:color w:val="000000"/>
                <w:sz w:val="16"/>
                <w:szCs w:val="16"/>
              </w:rPr>
            </w:pPr>
            <w:r w:rsidRPr="005B6074">
              <w:rPr>
                <w:rFonts w:ascii="Verdana" w:eastAsia="Times New Roman" w:hAnsi="Verdana" w:cs="Calibri"/>
                <w:color w:val="000000"/>
                <w:sz w:val="16"/>
                <w:szCs w:val="16"/>
              </w:rPr>
              <w:t>4.2</w:t>
            </w:r>
            <w:r w:rsidRPr="005B6074">
              <w:rPr>
                <w:rFonts w:ascii="Times New Roman" w:eastAsia="Times New Roman" w:hAnsi="Times New Roman"/>
                <w:color w:val="000000"/>
                <w:sz w:val="14"/>
                <w:szCs w:val="14"/>
              </w:rPr>
              <w:t xml:space="preserve">          </w:t>
            </w:r>
            <w:r w:rsidRPr="005B6074">
              <w:rPr>
                <w:rFonts w:ascii="Verdana" w:eastAsia="Malgun Gothic" w:hAnsi="Verdana"/>
                <w:bCs/>
                <w:color w:val="000000"/>
                <w:sz w:val="16"/>
                <w:szCs w:val="16"/>
                <w:lang w:eastAsia="ko-KR"/>
              </w:rPr>
              <w:t>Project implementation rules are too burdensome and clumsy</w:t>
            </w:r>
            <w:r w:rsidRPr="005B6074">
              <w:rPr>
                <w:rFonts w:ascii="Verdana" w:eastAsia="Times New Roman" w:hAnsi="Verdana" w:cs="Calibri"/>
                <w:color w:val="000000"/>
                <w:sz w:val="16"/>
                <w:szCs w:val="16"/>
              </w:rPr>
              <w:t>.</w:t>
            </w:r>
          </w:p>
        </w:tc>
        <w:tc>
          <w:tcPr>
            <w:tcW w:w="1211"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spacing w:before="60" w:after="60"/>
              <w:rPr>
                <w:rFonts w:ascii="Verdana" w:hAnsi="Verdana"/>
                <w:sz w:val="16"/>
                <w:szCs w:val="16"/>
              </w:rPr>
            </w:pPr>
            <w:r w:rsidRPr="00181A22">
              <w:rPr>
                <w:rFonts w:ascii="Verdana" w:hAnsi="Verdana"/>
                <w:sz w:val="16"/>
                <w:szCs w:val="16"/>
              </w:rPr>
              <w:t>3</w:t>
            </w:r>
          </w:p>
        </w:tc>
        <w:tc>
          <w:tcPr>
            <w:tcW w:w="851"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spacing w:before="60" w:after="60"/>
              <w:rPr>
                <w:rFonts w:ascii="Verdana" w:hAnsi="Verdana"/>
                <w:sz w:val="16"/>
                <w:szCs w:val="16"/>
              </w:rPr>
            </w:pPr>
            <w:r w:rsidRPr="00181A22">
              <w:rPr>
                <w:rFonts w:ascii="Verdana" w:hAnsi="Verdana"/>
                <w:sz w:val="16"/>
                <w:szCs w:val="16"/>
              </w:rPr>
              <w:t>5</w:t>
            </w:r>
          </w:p>
        </w:tc>
        <w:tc>
          <w:tcPr>
            <w:tcW w:w="1056"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spacing w:before="60" w:after="60"/>
              <w:rPr>
                <w:rFonts w:ascii="Verdana" w:hAnsi="Verdana"/>
                <w:sz w:val="16"/>
                <w:szCs w:val="16"/>
              </w:rPr>
            </w:pPr>
            <w:r w:rsidRPr="00181A22">
              <w:rPr>
                <w:rFonts w:ascii="Verdana" w:hAnsi="Verdana"/>
                <w:sz w:val="16"/>
                <w:szCs w:val="16"/>
              </w:rPr>
              <w:t>15</w:t>
            </w:r>
          </w:p>
        </w:tc>
        <w:tc>
          <w:tcPr>
            <w:tcW w:w="3626"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Simplify the project implementation rules;</w:t>
            </w:r>
          </w:p>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Organize training courses for beneficiaries on project implementation;</w:t>
            </w:r>
          </w:p>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Simplify the rules of accounting and verification.</w:t>
            </w:r>
          </w:p>
        </w:tc>
      </w:tr>
      <w:tr w:rsidR="00F71FE2" w:rsidRPr="005B6074" w:rsidTr="00181A22">
        <w:trPr>
          <w:trHeight w:val="870"/>
        </w:trPr>
        <w:tc>
          <w:tcPr>
            <w:tcW w:w="2631" w:type="dxa"/>
            <w:tcBorders>
              <w:top w:val="single" w:sz="4" w:space="0" w:color="auto"/>
              <w:left w:val="single" w:sz="4" w:space="0" w:color="auto"/>
              <w:bottom w:val="single" w:sz="4" w:space="0" w:color="auto"/>
              <w:right w:val="single" w:sz="4" w:space="0" w:color="auto"/>
            </w:tcBorders>
          </w:tcPr>
          <w:p w:rsidR="00F71FE2" w:rsidRPr="005B6074" w:rsidRDefault="00F71FE2" w:rsidP="00181A22">
            <w:pPr>
              <w:pStyle w:val="ListParagraph"/>
              <w:numPr>
                <w:ilvl w:val="1"/>
                <w:numId w:val="77"/>
              </w:numPr>
              <w:spacing w:before="60" w:after="60" w:line="240" w:lineRule="auto"/>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Lack of familiarity with/infringement of the selection rules and procedures in public procurement</w:t>
            </w:r>
          </w:p>
        </w:tc>
        <w:tc>
          <w:tcPr>
            <w:tcW w:w="1211"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spacing w:before="60" w:after="60"/>
              <w:rPr>
                <w:rFonts w:ascii="Verdana" w:eastAsia="Malgun Gothic" w:hAnsi="Verdana"/>
                <w:bCs/>
                <w:sz w:val="16"/>
                <w:szCs w:val="16"/>
                <w:lang w:eastAsia="ko-KR"/>
              </w:rPr>
            </w:pPr>
            <w:r w:rsidRPr="00181A22">
              <w:rPr>
                <w:rFonts w:ascii="Verdana" w:eastAsia="Malgun Gothic" w:hAnsi="Verdana"/>
                <w:bCs/>
                <w:sz w:val="16"/>
                <w:szCs w:val="16"/>
                <w:lang w:eastAsia="ko-KR"/>
              </w:rPr>
              <w:t>3</w:t>
            </w:r>
          </w:p>
        </w:tc>
        <w:tc>
          <w:tcPr>
            <w:tcW w:w="851"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spacing w:before="60" w:after="60"/>
              <w:rPr>
                <w:rFonts w:ascii="Verdana" w:eastAsia="Malgun Gothic" w:hAnsi="Verdana"/>
                <w:bCs/>
                <w:sz w:val="16"/>
                <w:szCs w:val="16"/>
                <w:lang w:eastAsia="ko-KR"/>
              </w:rPr>
            </w:pPr>
            <w:r w:rsidRPr="00181A22">
              <w:rPr>
                <w:rFonts w:ascii="Verdana" w:eastAsia="Malgun Gothic" w:hAnsi="Verdana"/>
                <w:bCs/>
                <w:sz w:val="16"/>
                <w:szCs w:val="16"/>
                <w:lang w:eastAsia="ko-KR"/>
              </w:rPr>
              <w:t>5</w:t>
            </w:r>
          </w:p>
        </w:tc>
        <w:tc>
          <w:tcPr>
            <w:tcW w:w="1056"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spacing w:before="60" w:after="60"/>
              <w:rPr>
                <w:rFonts w:ascii="Verdana" w:eastAsia="Malgun Gothic" w:hAnsi="Verdana"/>
                <w:bCs/>
                <w:sz w:val="16"/>
                <w:szCs w:val="16"/>
                <w:lang w:eastAsia="ko-KR"/>
              </w:rPr>
            </w:pPr>
            <w:r w:rsidRPr="00181A22">
              <w:rPr>
                <w:rFonts w:ascii="Verdana" w:eastAsia="Malgun Gothic" w:hAnsi="Verdana"/>
                <w:bCs/>
                <w:sz w:val="16"/>
                <w:szCs w:val="16"/>
                <w:lang w:eastAsia="ko-KR"/>
              </w:rPr>
              <w:t>15</w:t>
            </w:r>
          </w:p>
        </w:tc>
        <w:tc>
          <w:tcPr>
            <w:tcW w:w="3626"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Simplify the project implementation rules;</w:t>
            </w:r>
          </w:p>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Organize training courses for beneficiaries;</w:t>
            </w:r>
          </w:p>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Raise the thresholds of conducting tender procedures</w:t>
            </w:r>
          </w:p>
        </w:tc>
      </w:tr>
      <w:tr w:rsidR="00F71FE2" w:rsidRPr="005B6074" w:rsidTr="00181A22">
        <w:trPr>
          <w:trHeight w:val="870"/>
        </w:trPr>
        <w:tc>
          <w:tcPr>
            <w:tcW w:w="2631" w:type="dxa"/>
            <w:tcBorders>
              <w:top w:val="single" w:sz="4" w:space="0" w:color="auto"/>
              <w:left w:val="single" w:sz="4" w:space="0" w:color="auto"/>
              <w:bottom w:val="single" w:sz="4" w:space="0" w:color="auto"/>
              <w:right w:val="single" w:sz="4" w:space="0" w:color="auto"/>
            </w:tcBorders>
          </w:tcPr>
          <w:p w:rsidR="00F71FE2" w:rsidRPr="005B6074" w:rsidRDefault="00F71FE2" w:rsidP="005B6074">
            <w:pPr>
              <w:spacing w:after="0" w:line="240" w:lineRule="auto"/>
              <w:rPr>
                <w:rFonts w:ascii="Verdana" w:eastAsia="Times New Roman" w:hAnsi="Verdana" w:cs="Calibri"/>
                <w:color w:val="000000"/>
                <w:sz w:val="16"/>
                <w:szCs w:val="16"/>
              </w:rPr>
            </w:pPr>
            <w:r w:rsidRPr="005B6074">
              <w:rPr>
                <w:rFonts w:ascii="Verdana" w:eastAsia="Times New Roman" w:hAnsi="Verdana" w:cs="Calibri"/>
                <w:color w:val="000000"/>
                <w:sz w:val="16"/>
                <w:szCs w:val="16"/>
              </w:rPr>
              <w:lastRenderedPageBreak/>
              <w:t>4.4</w:t>
            </w:r>
            <w:r w:rsidRPr="005B6074">
              <w:rPr>
                <w:rFonts w:ascii="Times New Roman" w:eastAsia="Times New Roman" w:hAnsi="Times New Roman"/>
                <w:color w:val="000000"/>
                <w:sz w:val="14"/>
                <w:szCs w:val="14"/>
              </w:rPr>
              <w:t xml:space="preserve">          </w:t>
            </w:r>
            <w:r w:rsidRPr="005B6074">
              <w:rPr>
                <w:rFonts w:ascii="Verdana" w:eastAsia="Malgun Gothic" w:hAnsi="Verdana"/>
                <w:bCs/>
                <w:color w:val="000000"/>
                <w:sz w:val="16"/>
                <w:szCs w:val="16"/>
                <w:lang w:eastAsia="ko-KR"/>
              </w:rPr>
              <w:t>Delay of the project implementation process</w:t>
            </w:r>
          </w:p>
        </w:tc>
        <w:tc>
          <w:tcPr>
            <w:tcW w:w="1211"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spacing w:before="60" w:after="60"/>
              <w:rPr>
                <w:rFonts w:ascii="Verdana" w:hAnsi="Verdana"/>
                <w:sz w:val="16"/>
                <w:szCs w:val="16"/>
              </w:rPr>
            </w:pPr>
            <w:r w:rsidRPr="00181A22">
              <w:rPr>
                <w:rFonts w:ascii="Verdana" w:hAnsi="Verdana"/>
                <w:sz w:val="16"/>
                <w:szCs w:val="16"/>
              </w:rPr>
              <w:t>3</w:t>
            </w:r>
          </w:p>
        </w:tc>
        <w:tc>
          <w:tcPr>
            <w:tcW w:w="851"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spacing w:before="60" w:after="60"/>
              <w:rPr>
                <w:rFonts w:ascii="Verdana" w:hAnsi="Verdana"/>
                <w:sz w:val="16"/>
                <w:szCs w:val="16"/>
              </w:rPr>
            </w:pPr>
            <w:r w:rsidRPr="00181A22">
              <w:rPr>
                <w:rFonts w:ascii="Verdana" w:hAnsi="Verdana"/>
                <w:sz w:val="16"/>
                <w:szCs w:val="16"/>
              </w:rPr>
              <w:t>5</w:t>
            </w:r>
          </w:p>
        </w:tc>
        <w:tc>
          <w:tcPr>
            <w:tcW w:w="1056"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spacing w:before="60" w:after="60"/>
              <w:rPr>
                <w:rFonts w:ascii="Verdana" w:hAnsi="Verdana"/>
                <w:sz w:val="16"/>
                <w:szCs w:val="16"/>
              </w:rPr>
            </w:pPr>
            <w:r w:rsidRPr="00181A22">
              <w:rPr>
                <w:rFonts w:ascii="Verdana" w:hAnsi="Verdana"/>
                <w:sz w:val="16"/>
                <w:szCs w:val="16"/>
              </w:rPr>
              <w:t>20</w:t>
            </w:r>
          </w:p>
        </w:tc>
        <w:tc>
          <w:tcPr>
            <w:tcW w:w="3626"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Simplify the project implementation rules;</w:t>
            </w:r>
          </w:p>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Undertake measures to reduce the administrative burden;</w:t>
            </w:r>
          </w:p>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Undertake measures to develop the beneficiaries’ capacity.</w:t>
            </w:r>
          </w:p>
        </w:tc>
      </w:tr>
      <w:tr w:rsidR="00F71FE2" w:rsidRPr="005B6074" w:rsidTr="00181A22">
        <w:trPr>
          <w:trHeight w:val="870"/>
        </w:trPr>
        <w:tc>
          <w:tcPr>
            <w:tcW w:w="2631" w:type="dxa"/>
            <w:tcBorders>
              <w:top w:val="single" w:sz="4" w:space="0" w:color="auto"/>
              <w:left w:val="single" w:sz="4" w:space="0" w:color="auto"/>
              <w:bottom w:val="single" w:sz="4" w:space="0" w:color="auto"/>
              <w:right w:val="single" w:sz="4" w:space="0" w:color="auto"/>
            </w:tcBorders>
          </w:tcPr>
          <w:p w:rsidR="00F71FE2" w:rsidRPr="005B6074" w:rsidRDefault="00F71FE2" w:rsidP="00181A22">
            <w:pPr>
              <w:pStyle w:val="ListParagraph"/>
              <w:numPr>
                <w:ilvl w:val="1"/>
                <w:numId w:val="78"/>
              </w:numPr>
              <w:spacing w:before="60" w:after="60" w:line="240" w:lineRule="auto"/>
              <w:jc w:val="both"/>
              <w:rPr>
                <w:rFonts w:ascii="Verdana" w:eastAsia="Malgun Gothic" w:hAnsi="Verdana"/>
                <w:bCs/>
                <w:color w:val="000000"/>
                <w:sz w:val="16"/>
                <w:szCs w:val="16"/>
                <w:lang w:eastAsia="ko-KR"/>
              </w:rPr>
            </w:pPr>
            <w:r w:rsidRPr="005B6074">
              <w:rPr>
                <w:rFonts w:ascii="Verdana" w:eastAsia="Malgun Gothic" w:hAnsi="Verdana"/>
                <w:bCs/>
                <w:color w:val="000000"/>
                <w:sz w:val="16"/>
                <w:szCs w:val="16"/>
                <w:lang w:eastAsia="ko-KR"/>
              </w:rPr>
              <w:t>Insufficient administrative capacity of MA in terms of numbers and skills</w:t>
            </w:r>
          </w:p>
        </w:tc>
        <w:tc>
          <w:tcPr>
            <w:tcW w:w="1211" w:type="dxa"/>
            <w:tcBorders>
              <w:top w:val="single" w:sz="4" w:space="0" w:color="auto"/>
              <w:left w:val="single" w:sz="4" w:space="0" w:color="auto"/>
              <w:bottom w:val="single" w:sz="4" w:space="0" w:color="auto"/>
              <w:right w:val="single" w:sz="4" w:space="0" w:color="auto"/>
            </w:tcBorders>
          </w:tcPr>
          <w:p w:rsidR="00F71FE2" w:rsidRPr="005B6074" w:rsidRDefault="00F71FE2" w:rsidP="005B6074">
            <w:pPr>
              <w:spacing w:after="0" w:line="240" w:lineRule="auto"/>
              <w:rPr>
                <w:rFonts w:ascii="Verdana" w:eastAsia="Times New Roman" w:hAnsi="Verdana" w:cs="Calibri"/>
                <w:color w:val="000000"/>
                <w:sz w:val="16"/>
                <w:szCs w:val="16"/>
              </w:rPr>
            </w:pPr>
            <w:r w:rsidRPr="005B6074">
              <w:rPr>
                <w:rFonts w:ascii="Verdana" w:eastAsia="Times New Roman" w:hAnsi="Verdana" w:cs="Calibri"/>
                <w:color w:val="000000"/>
                <w:sz w:val="16"/>
                <w:szCs w:val="16"/>
              </w:rPr>
              <w:t>3</w:t>
            </w:r>
          </w:p>
        </w:tc>
        <w:tc>
          <w:tcPr>
            <w:tcW w:w="851" w:type="dxa"/>
            <w:tcBorders>
              <w:top w:val="single" w:sz="4" w:space="0" w:color="auto"/>
              <w:left w:val="single" w:sz="4" w:space="0" w:color="auto"/>
              <w:bottom w:val="single" w:sz="4" w:space="0" w:color="auto"/>
              <w:right w:val="single" w:sz="4" w:space="0" w:color="auto"/>
            </w:tcBorders>
          </w:tcPr>
          <w:p w:rsidR="00F71FE2" w:rsidRPr="005B6074" w:rsidRDefault="00F71FE2" w:rsidP="005B6074">
            <w:pPr>
              <w:spacing w:after="0" w:line="240" w:lineRule="auto"/>
              <w:rPr>
                <w:rFonts w:ascii="Verdana" w:eastAsia="Times New Roman" w:hAnsi="Verdana" w:cs="Calibri"/>
                <w:color w:val="000000"/>
                <w:sz w:val="16"/>
                <w:szCs w:val="16"/>
              </w:rPr>
            </w:pPr>
            <w:r w:rsidRPr="005B6074">
              <w:rPr>
                <w:rFonts w:ascii="Verdana" w:eastAsia="Times New Roman" w:hAnsi="Verdana" w:cs="Calibri"/>
                <w:color w:val="000000"/>
                <w:sz w:val="16"/>
                <w:szCs w:val="16"/>
              </w:rPr>
              <w:t>5</w:t>
            </w:r>
          </w:p>
        </w:tc>
        <w:tc>
          <w:tcPr>
            <w:tcW w:w="1056" w:type="dxa"/>
            <w:tcBorders>
              <w:top w:val="single" w:sz="4" w:space="0" w:color="auto"/>
              <w:left w:val="single" w:sz="4" w:space="0" w:color="auto"/>
              <w:bottom w:val="single" w:sz="4" w:space="0" w:color="auto"/>
              <w:right w:val="single" w:sz="4" w:space="0" w:color="auto"/>
            </w:tcBorders>
          </w:tcPr>
          <w:p w:rsidR="00F71FE2" w:rsidRPr="005B6074" w:rsidRDefault="00F71FE2" w:rsidP="005B6074">
            <w:pPr>
              <w:spacing w:after="0" w:line="240" w:lineRule="auto"/>
              <w:rPr>
                <w:rFonts w:ascii="Verdana" w:eastAsia="Times New Roman" w:hAnsi="Verdana" w:cs="Calibri"/>
                <w:color w:val="000000"/>
                <w:sz w:val="16"/>
                <w:szCs w:val="16"/>
              </w:rPr>
            </w:pPr>
            <w:r w:rsidRPr="005B6074">
              <w:rPr>
                <w:rFonts w:ascii="Verdana" w:eastAsia="Times New Roman" w:hAnsi="Verdana" w:cs="Calibri"/>
                <w:color w:val="000000"/>
                <w:sz w:val="16"/>
                <w:szCs w:val="16"/>
              </w:rPr>
              <w:t>15</w:t>
            </w:r>
          </w:p>
        </w:tc>
        <w:tc>
          <w:tcPr>
            <w:tcW w:w="3626"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Improve the capacity by means of training courses, systems and procedures for work facilitation and clear and effective allocation of responsibilities;</w:t>
            </w:r>
          </w:p>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Undertake measures to motivate the staff.</w:t>
            </w:r>
          </w:p>
        </w:tc>
      </w:tr>
      <w:tr w:rsidR="00F71FE2" w:rsidRPr="005B6074" w:rsidTr="00181A22">
        <w:trPr>
          <w:trHeight w:val="660"/>
        </w:trPr>
        <w:tc>
          <w:tcPr>
            <w:tcW w:w="263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after="0" w:line="240" w:lineRule="auto"/>
              <w:rPr>
                <w:rFonts w:ascii="Verdana" w:eastAsia="Times New Roman" w:hAnsi="Verdana" w:cs="Calibri"/>
                <w:color w:val="000000"/>
                <w:sz w:val="16"/>
                <w:szCs w:val="16"/>
              </w:rPr>
            </w:pPr>
            <w:r w:rsidRPr="005B6074">
              <w:rPr>
                <w:rFonts w:ascii="Verdana" w:eastAsia="Times New Roman" w:hAnsi="Verdana" w:cs="Calibri"/>
                <w:color w:val="000000"/>
                <w:sz w:val="16"/>
                <w:szCs w:val="16"/>
              </w:rPr>
              <w:t>1.1</w:t>
            </w:r>
            <w:r w:rsidRPr="005B6074">
              <w:rPr>
                <w:rFonts w:ascii="Times New Roman" w:eastAsia="Times New Roman" w:hAnsi="Times New Roman"/>
                <w:color w:val="000000"/>
                <w:sz w:val="14"/>
                <w:szCs w:val="14"/>
              </w:rPr>
              <w:t xml:space="preserve">          </w:t>
            </w:r>
            <w:r w:rsidRPr="005B6074">
              <w:rPr>
                <w:rFonts w:ascii="Verdana" w:eastAsia="Malgun Gothic" w:hAnsi="Verdana"/>
                <w:bCs/>
                <w:color w:val="000000"/>
                <w:sz w:val="16"/>
                <w:szCs w:val="16"/>
                <w:lang w:eastAsia="ko-KR"/>
              </w:rPr>
              <w:t>Delay of EC approval of the programme</w:t>
            </w:r>
          </w:p>
        </w:tc>
        <w:tc>
          <w:tcPr>
            <w:tcW w:w="121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after="0" w:line="240" w:lineRule="auto"/>
              <w:rPr>
                <w:rFonts w:ascii="Verdana" w:eastAsia="Times New Roman" w:hAnsi="Verdana" w:cs="Calibri"/>
                <w:color w:val="000000"/>
                <w:sz w:val="16"/>
                <w:szCs w:val="16"/>
              </w:rPr>
            </w:pPr>
            <w:r w:rsidRPr="005B6074">
              <w:rPr>
                <w:rFonts w:ascii="Verdana" w:eastAsia="Times New Roman" w:hAnsi="Verdana" w:cs="Calibri"/>
                <w:color w:val="000000"/>
                <w:sz w:val="16"/>
                <w:szCs w:val="16"/>
              </w:rPr>
              <w:t>3</w:t>
            </w:r>
          </w:p>
        </w:tc>
        <w:tc>
          <w:tcPr>
            <w:tcW w:w="851"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after="0" w:line="240" w:lineRule="auto"/>
              <w:rPr>
                <w:rFonts w:ascii="Verdana" w:eastAsia="Times New Roman" w:hAnsi="Verdana" w:cs="Calibri"/>
                <w:color w:val="000000"/>
                <w:sz w:val="16"/>
                <w:szCs w:val="16"/>
              </w:rPr>
            </w:pPr>
            <w:r w:rsidRPr="005B6074">
              <w:rPr>
                <w:rFonts w:ascii="Verdana" w:eastAsia="Times New Roman" w:hAnsi="Verdana" w:cs="Calibri"/>
                <w:color w:val="000000"/>
                <w:sz w:val="16"/>
                <w:szCs w:val="16"/>
              </w:rPr>
              <w:t>4</w:t>
            </w:r>
          </w:p>
        </w:tc>
        <w:tc>
          <w:tcPr>
            <w:tcW w:w="1056" w:type="dxa"/>
            <w:tcBorders>
              <w:top w:val="single" w:sz="4" w:space="0" w:color="auto"/>
              <w:left w:val="single" w:sz="4" w:space="0" w:color="auto"/>
              <w:bottom w:val="single" w:sz="4" w:space="0" w:color="auto"/>
              <w:right w:val="single" w:sz="4" w:space="0" w:color="auto"/>
            </w:tcBorders>
            <w:hideMark/>
          </w:tcPr>
          <w:p w:rsidR="00F71FE2" w:rsidRPr="005B6074" w:rsidRDefault="00F71FE2" w:rsidP="005B6074">
            <w:pPr>
              <w:spacing w:after="0" w:line="240" w:lineRule="auto"/>
              <w:rPr>
                <w:rFonts w:ascii="Verdana" w:eastAsia="Times New Roman" w:hAnsi="Verdana" w:cs="Calibri"/>
                <w:color w:val="000000"/>
                <w:sz w:val="16"/>
                <w:szCs w:val="16"/>
              </w:rPr>
            </w:pPr>
            <w:r w:rsidRPr="005B6074">
              <w:rPr>
                <w:rFonts w:ascii="Verdana" w:eastAsia="Times New Roman" w:hAnsi="Verdana" w:cs="Calibri"/>
                <w:color w:val="000000"/>
                <w:sz w:val="16"/>
                <w:szCs w:val="16"/>
              </w:rPr>
              <w:t>12</w:t>
            </w:r>
          </w:p>
        </w:tc>
        <w:tc>
          <w:tcPr>
            <w:tcW w:w="3626" w:type="dxa"/>
            <w:tcBorders>
              <w:top w:val="single" w:sz="4" w:space="0" w:color="auto"/>
              <w:left w:val="single" w:sz="4" w:space="0" w:color="auto"/>
              <w:bottom w:val="single" w:sz="4" w:space="0" w:color="auto"/>
              <w:right w:val="single" w:sz="4" w:space="0" w:color="auto"/>
            </w:tcBorders>
            <w:hideMark/>
          </w:tcPr>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Prepare a high-quality strategic document;</w:t>
            </w:r>
          </w:p>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Active collaboration with the rest of the administration and with stakeholders</w:t>
            </w:r>
          </w:p>
        </w:tc>
      </w:tr>
      <w:tr w:rsidR="00F71FE2" w:rsidRPr="005B6074" w:rsidTr="00181A22">
        <w:trPr>
          <w:trHeight w:val="653"/>
        </w:trPr>
        <w:tc>
          <w:tcPr>
            <w:tcW w:w="2631" w:type="dxa"/>
            <w:tcBorders>
              <w:top w:val="single" w:sz="4" w:space="0" w:color="auto"/>
              <w:left w:val="single" w:sz="4" w:space="0" w:color="auto"/>
              <w:bottom w:val="single" w:sz="4" w:space="0" w:color="auto"/>
              <w:right w:val="single" w:sz="4" w:space="0" w:color="auto"/>
            </w:tcBorders>
          </w:tcPr>
          <w:p w:rsidR="00F71FE2" w:rsidRPr="005B6074" w:rsidRDefault="00F71FE2" w:rsidP="005B6074">
            <w:pPr>
              <w:spacing w:after="0" w:line="240" w:lineRule="auto"/>
              <w:rPr>
                <w:rFonts w:ascii="Verdana" w:eastAsia="Times New Roman" w:hAnsi="Verdana" w:cs="Calibri"/>
                <w:color w:val="000000"/>
                <w:sz w:val="16"/>
                <w:szCs w:val="16"/>
              </w:rPr>
            </w:pPr>
            <w:r w:rsidRPr="005B6074">
              <w:rPr>
                <w:rFonts w:ascii="Verdana" w:eastAsia="Malgun Gothic" w:hAnsi="Verdana"/>
                <w:bCs/>
                <w:color w:val="000000"/>
                <w:sz w:val="16"/>
                <w:szCs w:val="16"/>
                <w:lang w:eastAsia="ko-KR"/>
              </w:rPr>
              <w:t>6.2 Financial corrections</w:t>
            </w:r>
          </w:p>
        </w:tc>
        <w:tc>
          <w:tcPr>
            <w:tcW w:w="1211" w:type="dxa"/>
            <w:tcBorders>
              <w:top w:val="single" w:sz="4" w:space="0" w:color="auto"/>
              <w:left w:val="single" w:sz="4" w:space="0" w:color="auto"/>
              <w:bottom w:val="single" w:sz="4" w:space="0" w:color="auto"/>
              <w:right w:val="single" w:sz="4" w:space="0" w:color="auto"/>
            </w:tcBorders>
          </w:tcPr>
          <w:p w:rsidR="00F71FE2" w:rsidRPr="005B6074" w:rsidRDefault="00F71FE2" w:rsidP="005B6074">
            <w:pPr>
              <w:spacing w:after="0" w:line="240" w:lineRule="auto"/>
              <w:rPr>
                <w:rFonts w:ascii="Verdana" w:eastAsia="Times New Roman" w:hAnsi="Verdana" w:cs="Calibri"/>
                <w:color w:val="000000"/>
                <w:sz w:val="16"/>
                <w:szCs w:val="16"/>
              </w:rPr>
            </w:pPr>
            <w:r w:rsidRPr="005B6074">
              <w:rPr>
                <w:rFonts w:ascii="Verdana" w:eastAsia="Times New Roman" w:hAnsi="Verdana" w:cs="Calibri"/>
                <w:color w:val="000000"/>
                <w:sz w:val="16"/>
                <w:szCs w:val="16"/>
              </w:rPr>
              <w:t>2</w:t>
            </w:r>
          </w:p>
        </w:tc>
        <w:tc>
          <w:tcPr>
            <w:tcW w:w="851" w:type="dxa"/>
            <w:tcBorders>
              <w:top w:val="single" w:sz="4" w:space="0" w:color="auto"/>
              <w:left w:val="single" w:sz="4" w:space="0" w:color="auto"/>
              <w:bottom w:val="single" w:sz="4" w:space="0" w:color="auto"/>
              <w:right w:val="single" w:sz="4" w:space="0" w:color="auto"/>
            </w:tcBorders>
          </w:tcPr>
          <w:p w:rsidR="00F71FE2" w:rsidRPr="005B6074" w:rsidRDefault="00F71FE2" w:rsidP="005B6074">
            <w:pPr>
              <w:spacing w:after="0" w:line="240" w:lineRule="auto"/>
              <w:rPr>
                <w:rFonts w:ascii="Verdana" w:eastAsia="Times New Roman" w:hAnsi="Verdana" w:cs="Calibri"/>
                <w:color w:val="000000"/>
                <w:sz w:val="16"/>
                <w:szCs w:val="16"/>
              </w:rPr>
            </w:pPr>
            <w:r w:rsidRPr="005B6074">
              <w:rPr>
                <w:rFonts w:ascii="Verdana" w:eastAsia="Times New Roman" w:hAnsi="Verdana" w:cs="Calibri"/>
                <w:color w:val="000000"/>
                <w:sz w:val="16"/>
                <w:szCs w:val="16"/>
              </w:rPr>
              <w:t>5</w:t>
            </w:r>
          </w:p>
        </w:tc>
        <w:tc>
          <w:tcPr>
            <w:tcW w:w="1056" w:type="dxa"/>
            <w:tcBorders>
              <w:top w:val="single" w:sz="4" w:space="0" w:color="auto"/>
              <w:left w:val="single" w:sz="4" w:space="0" w:color="auto"/>
              <w:bottom w:val="single" w:sz="4" w:space="0" w:color="auto"/>
              <w:right w:val="single" w:sz="4" w:space="0" w:color="auto"/>
            </w:tcBorders>
          </w:tcPr>
          <w:p w:rsidR="00F71FE2" w:rsidRPr="005B6074" w:rsidRDefault="00F71FE2" w:rsidP="005B6074">
            <w:pPr>
              <w:spacing w:after="0" w:line="240" w:lineRule="auto"/>
              <w:rPr>
                <w:rFonts w:ascii="Verdana" w:eastAsia="Times New Roman" w:hAnsi="Verdana" w:cs="Calibri"/>
                <w:color w:val="000000"/>
                <w:sz w:val="16"/>
                <w:szCs w:val="16"/>
              </w:rPr>
            </w:pPr>
            <w:r w:rsidRPr="005B6074">
              <w:rPr>
                <w:rFonts w:ascii="Verdana" w:eastAsia="Times New Roman" w:hAnsi="Verdana" w:cs="Calibri"/>
                <w:color w:val="000000"/>
                <w:sz w:val="16"/>
                <w:szCs w:val="16"/>
              </w:rPr>
              <w:t>10</w:t>
            </w:r>
          </w:p>
        </w:tc>
        <w:tc>
          <w:tcPr>
            <w:tcW w:w="3626" w:type="dxa"/>
            <w:tcBorders>
              <w:top w:val="single" w:sz="4" w:space="0" w:color="auto"/>
              <w:left w:val="single" w:sz="4" w:space="0" w:color="auto"/>
              <w:bottom w:val="single" w:sz="4" w:space="0" w:color="auto"/>
              <w:right w:val="single" w:sz="4" w:space="0" w:color="auto"/>
            </w:tcBorders>
          </w:tcPr>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Improve the administrative capacity of MA;</w:t>
            </w:r>
          </w:p>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Improve the capacity of beneficiaries;</w:t>
            </w:r>
          </w:p>
          <w:p w:rsidR="00F71FE2" w:rsidRPr="00181A22" w:rsidRDefault="00F71FE2" w:rsidP="00181A22">
            <w:pPr>
              <w:pStyle w:val="ListParagraph"/>
              <w:numPr>
                <w:ilvl w:val="0"/>
                <w:numId w:val="99"/>
              </w:numPr>
              <w:spacing w:before="60" w:after="60"/>
              <w:ind w:left="330" w:hanging="142"/>
              <w:rPr>
                <w:rFonts w:ascii="Verdana" w:hAnsi="Verdana"/>
                <w:sz w:val="16"/>
                <w:szCs w:val="16"/>
              </w:rPr>
            </w:pPr>
            <w:r w:rsidRPr="00181A22">
              <w:rPr>
                <w:rFonts w:ascii="Verdana" w:hAnsi="Verdana"/>
                <w:sz w:val="16"/>
                <w:szCs w:val="16"/>
              </w:rPr>
              <w:t xml:space="preserve">Compliance with the verification rules and procedures </w:t>
            </w:r>
          </w:p>
        </w:tc>
      </w:tr>
    </w:tbl>
    <w:p w:rsidR="00F71FE2" w:rsidRPr="005B6074" w:rsidRDefault="00F71FE2" w:rsidP="00F71FE2">
      <w:pPr>
        <w:pStyle w:val="BodyText"/>
        <w:widowControl w:val="0"/>
        <w:tabs>
          <w:tab w:val="left" w:pos="0"/>
          <w:tab w:val="right" w:pos="9214"/>
        </w:tabs>
        <w:spacing w:before="120" w:line="276" w:lineRule="auto"/>
        <w:jc w:val="both"/>
        <w:rPr>
          <w:rFonts w:ascii="Verdana" w:hAnsi="Verdana"/>
          <w:bCs/>
          <w:color w:val="000000"/>
          <w:sz w:val="20"/>
          <w:szCs w:val="20"/>
        </w:rPr>
      </w:pPr>
      <w:r w:rsidRPr="005B6074">
        <w:rPr>
          <w:rFonts w:ascii="Verdana" w:hAnsi="Verdana"/>
          <w:bCs/>
          <w:color w:val="000000"/>
          <w:sz w:val="16"/>
          <w:szCs w:val="16"/>
        </w:rPr>
        <w:t xml:space="preserve"> </w:t>
      </w:r>
    </w:p>
    <w:tbl>
      <w:tblPr>
        <w:tblW w:w="9090" w:type="dxa"/>
        <w:tblInd w:w="108" w:type="dxa"/>
        <w:tblBorders>
          <w:top w:val="single" w:sz="4" w:space="0" w:color="auto"/>
          <w:bottom w:val="single" w:sz="4" w:space="0" w:color="auto"/>
        </w:tblBorders>
        <w:tblLook w:val="04A0" w:firstRow="1" w:lastRow="0" w:firstColumn="1" w:lastColumn="0" w:noHBand="0" w:noVBand="1"/>
      </w:tblPr>
      <w:tblGrid>
        <w:gridCol w:w="531"/>
        <w:gridCol w:w="8559"/>
      </w:tblGrid>
      <w:tr w:rsidR="00F71FE2" w:rsidRPr="005B6074" w:rsidTr="005B6074">
        <w:tc>
          <w:tcPr>
            <w:tcW w:w="531" w:type="dxa"/>
            <w:vAlign w:val="center"/>
          </w:tcPr>
          <w:p w:rsidR="00F71FE2" w:rsidRPr="005B6074" w:rsidRDefault="00F71FE2" w:rsidP="005B6074">
            <w:pPr>
              <w:pStyle w:val="BodyText"/>
              <w:keepNext/>
              <w:spacing w:before="120" w:line="276" w:lineRule="auto"/>
              <w:jc w:val="center"/>
              <w:rPr>
                <w:rFonts w:ascii="Verdana" w:hAnsi="Verdana"/>
                <w:color w:val="548DD4"/>
                <w:sz w:val="36"/>
                <w:szCs w:val="36"/>
              </w:rPr>
            </w:pPr>
            <w:r w:rsidRPr="005B6074">
              <w:rPr>
                <w:rFonts w:ascii="Verdana" w:hAnsi="Verdana"/>
                <w:color w:val="548DD4"/>
                <w:sz w:val="36"/>
                <w:szCs w:val="36"/>
              </w:rPr>
              <w:t>?</w:t>
            </w:r>
          </w:p>
        </w:tc>
        <w:tc>
          <w:tcPr>
            <w:tcW w:w="8559" w:type="dxa"/>
            <w:shd w:val="clear" w:color="auto" w:fill="B8CCE4"/>
          </w:tcPr>
          <w:p w:rsidR="00F71FE2" w:rsidRPr="005B6074" w:rsidRDefault="00F71FE2" w:rsidP="005B6074">
            <w:pPr>
              <w:keepNext/>
              <w:autoSpaceDE w:val="0"/>
              <w:autoSpaceDN w:val="0"/>
              <w:adjustRightInd w:val="0"/>
              <w:spacing w:before="120" w:after="120"/>
              <w:rPr>
                <w:rFonts w:ascii="Verdana" w:hAnsi="Verdana"/>
                <w:sz w:val="20"/>
                <w:szCs w:val="20"/>
              </w:rPr>
            </w:pPr>
            <w:r w:rsidRPr="005B6074">
              <w:rPr>
                <w:rFonts w:ascii="Verdana" w:hAnsi="Verdana"/>
                <w:sz w:val="20"/>
                <w:szCs w:val="20"/>
              </w:rPr>
              <w:t>Relevance of the procedures for programme monitoring and for collecting the data necessary to carry out evaluations</w:t>
            </w:r>
          </w:p>
        </w:tc>
      </w:tr>
    </w:tbl>
    <w:p w:rsidR="00F71FE2" w:rsidRPr="005B6074" w:rsidRDefault="00F71FE2" w:rsidP="00F71FE2">
      <w:pPr>
        <w:pStyle w:val="BodyText"/>
        <w:widowControl w:val="0"/>
        <w:tabs>
          <w:tab w:val="left" w:pos="0"/>
          <w:tab w:val="right" w:pos="9214"/>
        </w:tabs>
        <w:spacing w:before="120" w:line="276" w:lineRule="auto"/>
        <w:jc w:val="both"/>
        <w:rPr>
          <w:rFonts w:ascii="Verdana" w:hAnsi="Verdana"/>
          <w:bCs/>
          <w:color w:val="000000"/>
          <w:sz w:val="20"/>
          <w:szCs w:val="20"/>
        </w:rPr>
      </w:pPr>
      <w:r w:rsidRPr="005B6074">
        <w:rPr>
          <w:rFonts w:ascii="Verdana" w:eastAsia="Malgun Gothic" w:hAnsi="Verdana"/>
          <w:bCs/>
          <w:color w:val="000000"/>
          <w:sz w:val="20"/>
          <w:szCs w:val="20"/>
          <w:lang w:eastAsia="ko-KR"/>
        </w:rPr>
        <w:t xml:space="preserve">According to Article 125 of Regulation 1303/2013 the functions of MA related to monitoring of </w:t>
      </w:r>
      <w:r w:rsidR="005B35A7">
        <w:rPr>
          <w:rFonts w:ascii="Verdana" w:eastAsia="Malgun Gothic" w:hAnsi="Verdana"/>
          <w:bCs/>
          <w:color w:val="000000"/>
          <w:sz w:val="20"/>
          <w:szCs w:val="20"/>
          <w:lang w:eastAsia="ko-KR"/>
        </w:rPr>
        <w:t>OPSESG</w:t>
      </w:r>
      <w:r w:rsidRPr="005B6074">
        <w:rPr>
          <w:rFonts w:ascii="Verdana" w:eastAsia="Malgun Gothic" w:hAnsi="Verdana"/>
          <w:bCs/>
          <w:color w:val="000000"/>
          <w:sz w:val="20"/>
          <w:szCs w:val="20"/>
          <w:lang w:eastAsia="ko-KR"/>
        </w:rPr>
        <w:t xml:space="preserve"> 2014-2020 are as follows:</w:t>
      </w:r>
    </w:p>
    <w:p w:rsidR="00F71FE2" w:rsidRPr="005B6074" w:rsidRDefault="00F71FE2" w:rsidP="00181A22">
      <w:pPr>
        <w:pStyle w:val="ListParagraph"/>
        <w:numPr>
          <w:ilvl w:val="0"/>
          <w:numId w:val="80"/>
        </w:numPr>
        <w:autoSpaceDE w:val="0"/>
        <w:autoSpaceDN w:val="0"/>
        <w:adjustRightInd w:val="0"/>
        <w:spacing w:before="120" w:after="120" w:line="240" w:lineRule="auto"/>
        <w:jc w:val="both"/>
        <w:rPr>
          <w:rFonts w:ascii="Verdana" w:hAnsi="Verdana"/>
          <w:i/>
          <w:sz w:val="20"/>
          <w:szCs w:val="20"/>
        </w:rPr>
      </w:pPr>
      <w:r w:rsidRPr="005B6074">
        <w:rPr>
          <w:rFonts w:ascii="Verdana" w:hAnsi="Verdana"/>
          <w:i/>
          <w:sz w:val="20"/>
          <w:szCs w:val="20"/>
        </w:rPr>
        <w:t>draw up and, after approval by the monitoring committee, submit to the Commission annual and final implementation reports;</w:t>
      </w:r>
      <w:r w:rsidRPr="005B6074">
        <w:t xml:space="preserve"> </w:t>
      </w:r>
    </w:p>
    <w:p w:rsidR="00F71FE2" w:rsidRPr="005B6074" w:rsidRDefault="00F71FE2" w:rsidP="00181A22">
      <w:pPr>
        <w:pStyle w:val="ListParagraph"/>
        <w:numPr>
          <w:ilvl w:val="0"/>
          <w:numId w:val="80"/>
        </w:numPr>
        <w:autoSpaceDE w:val="0"/>
        <w:autoSpaceDN w:val="0"/>
        <w:adjustRightInd w:val="0"/>
        <w:spacing w:before="120" w:after="120" w:line="240" w:lineRule="auto"/>
        <w:jc w:val="both"/>
        <w:rPr>
          <w:rFonts w:ascii="Verdana" w:hAnsi="Verdana"/>
          <w:i/>
          <w:sz w:val="20"/>
          <w:szCs w:val="20"/>
        </w:rPr>
      </w:pPr>
      <w:r w:rsidRPr="005B6074">
        <w:rPr>
          <w:rFonts w:ascii="Verdana" w:hAnsi="Verdana"/>
          <w:i/>
          <w:sz w:val="20"/>
          <w:szCs w:val="20"/>
        </w:rPr>
        <w:t>establish a system to record and store in computerized form data on each operation necessary for monitoring, evaluation, financial management, verification and audit, including data about individual participants in operations, where applicable;</w:t>
      </w:r>
    </w:p>
    <w:p w:rsidR="00F71FE2" w:rsidRPr="005B6074" w:rsidRDefault="00F71FE2" w:rsidP="00181A22">
      <w:pPr>
        <w:pStyle w:val="ListParagraph"/>
        <w:numPr>
          <w:ilvl w:val="0"/>
          <w:numId w:val="80"/>
        </w:numPr>
        <w:autoSpaceDE w:val="0"/>
        <w:autoSpaceDN w:val="0"/>
        <w:adjustRightInd w:val="0"/>
        <w:spacing w:before="120" w:after="120" w:line="240" w:lineRule="auto"/>
        <w:jc w:val="both"/>
        <w:rPr>
          <w:rFonts w:ascii="Verdana" w:hAnsi="Verdana"/>
          <w:i/>
          <w:sz w:val="20"/>
          <w:szCs w:val="20"/>
        </w:rPr>
      </w:pPr>
      <w:r w:rsidRPr="005B6074">
        <w:rPr>
          <w:rFonts w:ascii="Verdana" w:hAnsi="Verdana"/>
          <w:i/>
          <w:sz w:val="20"/>
          <w:szCs w:val="20"/>
        </w:rPr>
        <w:t>ensure that the data referred to in the previous point is collected, entered and stored in the system, and that data on indicators is broken down by gender where required by Annex I of the ESF Regulation.</w:t>
      </w:r>
    </w:p>
    <w:p w:rsidR="00F71FE2" w:rsidRPr="005B6074" w:rsidRDefault="00F71FE2" w:rsidP="00F71FE2">
      <w:pPr>
        <w:autoSpaceDE w:val="0"/>
        <w:autoSpaceDN w:val="0"/>
        <w:adjustRightInd w:val="0"/>
        <w:spacing w:before="120" w:after="120"/>
        <w:jc w:val="both"/>
        <w:rPr>
          <w:rFonts w:ascii="Verdana" w:eastAsia="Malgun Gothic" w:hAnsi="Verdana"/>
          <w:bCs/>
          <w:color w:val="000000"/>
          <w:sz w:val="20"/>
          <w:szCs w:val="20"/>
          <w:lang w:eastAsia="ko-KR"/>
        </w:rPr>
      </w:pPr>
      <w:r w:rsidRPr="005B6074">
        <w:rPr>
          <w:rFonts w:ascii="Verdana" w:eastAsia="Malgun Gothic" w:hAnsi="Verdana"/>
          <w:bCs/>
          <w:sz w:val="20"/>
          <w:szCs w:val="20"/>
          <w:lang w:eastAsia="ko-KR"/>
        </w:rPr>
        <w:t xml:space="preserve">The responses of experts from the online survey show that </w:t>
      </w:r>
      <w:r w:rsidR="005B35A7">
        <w:rPr>
          <w:rFonts w:ascii="Verdana" w:eastAsia="Malgun Gothic" w:hAnsi="Verdana"/>
          <w:bCs/>
          <w:color w:val="000000"/>
          <w:sz w:val="20"/>
          <w:szCs w:val="20"/>
          <w:lang w:eastAsia="ko-KR"/>
        </w:rPr>
        <w:t>OPSESG</w:t>
      </w:r>
      <w:r w:rsidRPr="005B6074">
        <w:rPr>
          <w:rFonts w:ascii="Verdana" w:eastAsia="Malgun Gothic" w:hAnsi="Verdana"/>
          <w:bCs/>
          <w:color w:val="000000"/>
          <w:sz w:val="20"/>
          <w:szCs w:val="20"/>
          <w:lang w:eastAsia="ko-KR"/>
        </w:rPr>
        <w:t xml:space="preserve"> 2014-2020 monitoring system should be strengthened in the following aspects: quality of information provided at project level (67 %); quality of processed information at scheme/priority axis level (possibility for data and information aggregation</w:t>
      </w:r>
      <w:proofErr w:type="gramStart"/>
      <w:r w:rsidRPr="005B6074">
        <w:rPr>
          <w:rFonts w:ascii="Verdana" w:eastAsia="Malgun Gothic" w:hAnsi="Verdana"/>
          <w:bCs/>
          <w:color w:val="000000"/>
          <w:sz w:val="20"/>
          <w:szCs w:val="20"/>
          <w:lang w:eastAsia="ko-KR"/>
        </w:rPr>
        <w:t>)(</w:t>
      </w:r>
      <w:proofErr w:type="gramEnd"/>
      <w:r w:rsidRPr="005B6074">
        <w:rPr>
          <w:rFonts w:ascii="Verdana" w:eastAsia="Malgun Gothic" w:hAnsi="Verdana"/>
          <w:bCs/>
          <w:color w:val="000000"/>
          <w:sz w:val="20"/>
          <w:szCs w:val="20"/>
          <w:lang w:eastAsia="ko-KR"/>
        </w:rPr>
        <w:t xml:space="preserve"> (53 %); use of data collected by the monitoring system for making analysis of the programme implementation (49 %).</w:t>
      </w:r>
    </w:p>
    <w:p w:rsidR="00F71FE2" w:rsidRPr="005B6074" w:rsidRDefault="00F71FE2" w:rsidP="00F71FE2">
      <w:pPr>
        <w:autoSpaceDE w:val="0"/>
        <w:autoSpaceDN w:val="0"/>
        <w:adjustRightInd w:val="0"/>
        <w:spacing w:before="120" w:after="120"/>
        <w:jc w:val="both"/>
        <w:rPr>
          <w:rFonts w:ascii="Verdana" w:eastAsia="Malgun Gothic" w:hAnsi="Verdana"/>
          <w:bCs/>
          <w:sz w:val="20"/>
          <w:szCs w:val="20"/>
          <w:lang w:eastAsia="ko-KR"/>
        </w:rPr>
      </w:pPr>
      <w:r w:rsidRPr="005B6074">
        <w:rPr>
          <w:rFonts w:ascii="Verdana" w:eastAsia="Malgun Gothic" w:hAnsi="Verdana"/>
          <w:bCs/>
          <w:color w:val="000000"/>
          <w:sz w:val="20"/>
          <w:szCs w:val="20"/>
          <w:lang w:eastAsia="ko-KR"/>
        </w:rPr>
        <w:t xml:space="preserve">From the point of view of indicators as a main tool for programme monitoring the main difficulty is the unclear reporting of project-level indicators by the beneficiaries (76 %). The results show that the main difficulties are related to beneficiaries’ understanding of </w:t>
      </w:r>
      <w:r w:rsidRPr="005B6074">
        <w:rPr>
          <w:rFonts w:ascii="Verdana" w:eastAsia="Malgun Gothic" w:hAnsi="Verdana"/>
          <w:bCs/>
          <w:color w:val="000000"/>
          <w:sz w:val="20"/>
          <w:szCs w:val="20"/>
          <w:lang w:eastAsia="ko-KR"/>
        </w:rPr>
        <w:lastRenderedPageBreak/>
        <w:t>indicators and the way beneficiaries apply, valuate and report them; therefore it is recommended that MA develops more detailed guidelines for indicators application, and includes them in the application package under each scheme.</w:t>
      </w:r>
      <w:r w:rsidRPr="005B6074">
        <w:rPr>
          <w:rFonts w:ascii="Verdana" w:eastAsia="Malgun Gothic" w:hAnsi="Verdana"/>
          <w:bCs/>
          <w:sz w:val="20"/>
          <w:szCs w:val="20"/>
          <w:lang w:eastAsia="ko-KR"/>
        </w:rPr>
        <w:t xml:space="preserve"> </w:t>
      </w:r>
    </w:p>
    <w:p w:rsidR="00F71FE2" w:rsidRPr="005B6074" w:rsidRDefault="00F71FE2" w:rsidP="00F71FE2">
      <w:pPr>
        <w:keepNext/>
        <w:pBdr>
          <w:bottom w:val="single" w:sz="12" w:space="1" w:color="0070C0"/>
        </w:pBdr>
        <w:autoSpaceDE w:val="0"/>
        <w:autoSpaceDN w:val="0"/>
        <w:adjustRightInd w:val="0"/>
        <w:spacing w:before="120" w:after="120" w:line="240" w:lineRule="auto"/>
        <w:rPr>
          <w:rFonts w:ascii="Verdana" w:eastAsia="Times New Roman" w:hAnsi="Verdana" w:cs="TimesNewRomanPSMT"/>
          <w:i/>
          <w:color w:val="548DD4" w:themeColor="text2" w:themeTint="99"/>
          <w:sz w:val="20"/>
          <w:szCs w:val="20"/>
          <w:lang w:eastAsia="bg-BG"/>
        </w:rPr>
      </w:pPr>
      <w:r w:rsidRPr="005B6074">
        <w:rPr>
          <w:rFonts w:ascii="Verdana" w:eastAsia="Times New Roman" w:hAnsi="Verdana" w:cs="TimesNewRomanPSMT"/>
          <w:i/>
          <w:color w:val="548DD4" w:themeColor="text2" w:themeTint="99"/>
          <w:sz w:val="20"/>
          <w:szCs w:val="20"/>
          <w:lang w:eastAsia="bg-BG"/>
        </w:rPr>
        <w:t>Monitoring system</w:t>
      </w:r>
    </w:p>
    <w:p w:rsidR="00F71FE2" w:rsidRPr="005B6074" w:rsidRDefault="00F71FE2" w:rsidP="00F71FE2">
      <w:pPr>
        <w:autoSpaceDE w:val="0"/>
        <w:autoSpaceDN w:val="0"/>
        <w:adjustRightInd w:val="0"/>
        <w:spacing w:before="120" w:after="120" w:line="240" w:lineRule="auto"/>
        <w:jc w:val="both"/>
        <w:rPr>
          <w:rFonts w:ascii="Verdana" w:hAnsi="Verdana"/>
          <w:sz w:val="20"/>
          <w:szCs w:val="20"/>
        </w:rPr>
      </w:pPr>
      <w:r w:rsidRPr="005B6074">
        <w:rPr>
          <w:rFonts w:ascii="Verdana" w:hAnsi="Verdana"/>
          <w:sz w:val="20"/>
          <w:szCs w:val="20"/>
        </w:rPr>
        <w:t>An efficient monitoring system shall monitor the following elements:</w:t>
      </w:r>
    </w:p>
    <w:p w:rsidR="00F71FE2" w:rsidRPr="005B6074" w:rsidRDefault="00F71FE2" w:rsidP="00181A22">
      <w:pPr>
        <w:pStyle w:val="ListParagraph"/>
        <w:numPr>
          <w:ilvl w:val="0"/>
          <w:numId w:val="81"/>
        </w:numPr>
        <w:autoSpaceDE w:val="0"/>
        <w:autoSpaceDN w:val="0"/>
        <w:adjustRightInd w:val="0"/>
        <w:spacing w:before="120" w:after="120" w:line="240" w:lineRule="auto"/>
        <w:jc w:val="both"/>
        <w:rPr>
          <w:rFonts w:ascii="Verdana" w:hAnsi="Verdana"/>
          <w:sz w:val="20"/>
          <w:szCs w:val="20"/>
        </w:rPr>
      </w:pPr>
      <w:r w:rsidRPr="005B6074">
        <w:rPr>
          <w:rFonts w:ascii="Verdana" w:hAnsi="Verdana"/>
          <w:sz w:val="20"/>
          <w:szCs w:val="20"/>
        </w:rPr>
        <w:t>The achievement of results and their contribution to achieving the objectives of the operational programme;</w:t>
      </w:r>
    </w:p>
    <w:p w:rsidR="00F71FE2" w:rsidRPr="005B6074" w:rsidRDefault="00F71FE2" w:rsidP="00181A22">
      <w:pPr>
        <w:pStyle w:val="ListParagraph"/>
        <w:numPr>
          <w:ilvl w:val="0"/>
          <w:numId w:val="81"/>
        </w:numPr>
        <w:autoSpaceDE w:val="0"/>
        <w:autoSpaceDN w:val="0"/>
        <w:adjustRightInd w:val="0"/>
        <w:spacing w:before="120" w:after="120" w:line="240" w:lineRule="auto"/>
        <w:jc w:val="both"/>
        <w:rPr>
          <w:rFonts w:ascii="Verdana" w:hAnsi="Verdana"/>
          <w:sz w:val="20"/>
          <w:szCs w:val="20"/>
        </w:rPr>
      </w:pPr>
      <w:r w:rsidRPr="005B6074">
        <w:rPr>
          <w:rFonts w:ascii="Verdana" w:hAnsi="Verdana"/>
          <w:sz w:val="20"/>
          <w:szCs w:val="20"/>
        </w:rPr>
        <w:t>The financial progress;</w:t>
      </w:r>
    </w:p>
    <w:p w:rsidR="00F71FE2" w:rsidRPr="005B6074" w:rsidRDefault="00F71FE2" w:rsidP="00181A22">
      <w:pPr>
        <w:pStyle w:val="ListParagraph"/>
        <w:numPr>
          <w:ilvl w:val="0"/>
          <w:numId w:val="81"/>
        </w:numPr>
        <w:autoSpaceDE w:val="0"/>
        <w:autoSpaceDN w:val="0"/>
        <w:adjustRightInd w:val="0"/>
        <w:spacing w:before="120" w:after="120" w:line="240" w:lineRule="auto"/>
        <w:jc w:val="both"/>
        <w:rPr>
          <w:rFonts w:ascii="Verdana" w:hAnsi="Verdana"/>
          <w:sz w:val="20"/>
          <w:szCs w:val="20"/>
        </w:rPr>
      </w:pPr>
      <w:r w:rsidRPr="005B6074">
        <w:rPr>
          <w:rFonts w:ascii="Verdana" w:hAnsi="Verdana"/>
          <w:sz w:val="20"/>
          <w:szCs w:val="20"/>
        </w:rPr>
        <w:t xml:space="preserve">The quality of the management mechanisms – i.e. the monitoring system should be able to identify system errors as well </w:t>
      </w:r>
      <w:proofErr w:type="gramStart"/>
      <w:r w:rsidRPr="005B6074">
        <w:rPr>
          <w:rFonts w:ascii="Verdana" w:hAnsi="Verdana"/>
          <w:sz w:val="20"/>
          <w:szCs w:val="20"/>
        </w:rPr>
        <w:t>as  irrelevant</w:t>
      </w:r>
      <w:proofErr w:type="gramEnd"/>
      <w:r w:rsidRPr="005B6074">
        <w:rPr>
          <w:rFonts w:ascii="Verdana" w:hAnsi="Verdana"/>
          <w:sz w:val="20"/>
          <w:szCs w:val="20"/>
        </w:rPr>
        <w:t xml:space="preserve"> procedures and controls.</w:t>
      </w:r>
    </w:p>
    <w:p w:rsidR="00F71FE2" w:rsidRPr="005B6074" w:rsidRDefault="00F71FE2" w:rsidP="00F71FE2">
      <w:pPr>
        <w:spacing w:before="120" w:after="120"/>
        <w:jc w:val="both"/>
        <w:rPr>
          <w:rFonts w:ascii="Verdana" w:eastAsia="Malgun Gothic" w:hAnsi="Verdana"/>
          <w:bCs/>
          <w:color w:val="000000"/>
          <w:sz w:val="20"/>
          <w:szCs w:val="20"/>
          <w:lang w:eastAsia="ko-KR"/>
        </w:rPr>
      </w:pPr>
      <w:r w:rsidRPr="005B6074">
        <w:rPr>
          <w:rFonts w:ascii="Verdana" w:eastAsia="Malgun Gothic" w:hAnsi="Verdana"/>
          <w:bCs/>
          <w:color w:val="000000"/>
          <w:sz w:val="20"/>
          <w:szCs w:val="20"/>
          <w:lang w:eastAsia="ko-KR"/>
        </w:rPr>
        <w:t>The monitoring system shall gather regular information, establishing the actual progress compared to the planned, and enable timely detection of faults and weaknesses which risk the achievement of objectives. At the same time the gathered information shall be used where necessary for taking decisions for changes in the programme management and implementation. In the recent years stronger relation is sought between monitoring and evaluation</w:t>
      </w:r>
      <w:r w:rsidRPr="005B6074">
        <w:rPr>
          <w:rFonts w:ascii="Verdana" w:eastAsia="Malgun Gothic" w:hAnsi="Verdana"/>
          <w:bCs/>
          <w:color w:val="000000"/>
          <w:sz w:val="20"/>
          <w:szCs w:val="20"/>
          <w:vertAlign w:val="superscript"/>
          <w:lang w:eastAsia="ko-KR"/>
        </w:rPr>
        <w:footnoteReference w:id="13"/>
      </w:r>
      <w:r w:rsidRPr="005B6074">
        <w:rPr>
          <w:rFonts w:ascii="Verdana" w:eastAsia="Malgun Gothic" w:hAnsi="Verdana"/>
          <w:bCs/>
          <w:color w:val="000000"/>
          <w:sz w:val="20"/>
          <w:szCs w:val="20"/>
          <w:lang w:eastAsia="ko-KR"/>
        </w:rPr>
        <w:t xml:space="preserve"> in order to enable taking management decisions in a timely manner.</w:t>
      </w:r>
    </w:p>
    <w:p w:rsidR="00F71FE2" w:rsidRPr="005B6074" w:rsidRDefault="00F71FE2" w:rsidP="00F71FE2">
      <w:pPr>
        <w:autoSpaceDE w:val="0"/>
        <w:autoSpaceDN w:val="0"/>
        <w:adjustRightInd w:val="0"/>
        <w:spacing w:before="120" w:after="120" w:line="240" w:lineRule="auto"/>
        <w:jc w:val="both"/>
        <w:rPr>
          <w:rFonts w:ascii="Verdana" w:hAnsi="Verdana"/>
          <w:sz w:val="20"/>
          <w:szCs w:val="20"/>
        </w:rPr>
      </w:pPr>
      <w:r w:rsidRPr="005B6074">
        <w:rPr>
          <w:rFonts w:ascii="Verdana" w:hAnsi="Verdana"/>
          <w:sz w:val="20"/>
          <w:szCs w:val="20"/>
        </w:rPr>
        <w:t>Furthermore the monitoring systems shall ensure that:</w:t>
      </w:r>
    </w:p>
    <w:p w:rsidR="00F71FE2" w:rsidRPr="005B6074" w:rsidRDefault="00F71FE2" w:rsidP="00181A22">
      <w:pPr>
        <w:pStyle w:val="ListParagraph"/>
        <w:numPr>
          <w:ilvl w:val="0"/>
          <w:numId w:val="82"/>
        </w:numPr>
        <w:autoSpaceDE w:val="0"/>
        <w:autoSpaceDN w:val="0"/>
        <w:adjustRightInd w:val="0"/>
        <w:spacing w:before="120" w:after="120" w:line="240" w:lineRule="auto"/>
        <w:jc w:val="both"/>
        <w:rPr>
          <w:rFonts w:ascii="Verdana" w:hAnsi="Verdana"/>
          <w:sz w:val="20"/>
          <w:szCs w:val="20"/>
        </w:rPr>
      </w:pPr>
      <w:r w:rsidRPr="005B6074">
        <w:rPr>
          <w:rFonts w:ascii="Verdana" w:hAnsi="Verdana"/>
          <w:sz w:val="20"/>
          <w:szCs w:val="20"/>
        </w:rPr>
        <w:t>All elements in the system are covered, including that the monitoring mechanisms are included in the beneficiary application forms and the guidelines with them;</w:t>
      </w:r>
    </w:p>
    <w:p w:rsidR="00F71FE2" w:rsidRPr="005B6074" w:rsidRDefault="00F71FE2" w:rsidP="00181A22">
      <w:pPr>
        <w:pStyle w:val="ListParagraph"/>
        <w:numPr>
          <w:ilvl w:val="0"/>
          <w:numId w:val="82"/>
        </w:numPr>
        <w:autoSpaceDE w:val="0"/>
        <w:autoSpaceDN w:val="0"/>
        <w:adjustRightInd w:val="0"/>
        <w:spacing w:before="120" w:after="120" w:line="240" w:lineRule="auto"/>
        <w:jc w:val="both"/>
        <w:rPr>
          <w:rFonts w:ascii="Verdana" w:hAnsi="Verdana"/>
          <w:sz w:val="20"/>
          <w:szCs w:val="20"/>
        </w:rPr>
      </w:pPr>
      <w:r w:rsidRPr="005B6074">
        <w:rPr>
          <w:rFonts w:ascii="Verdana" w:hAnsi="Verdana"/>
          <w:sz w:val="20"/>
          <w:szCs w:val="20"/>
        </w:rPr>
        <w:t>The application forms specify indicators which are closely related to the indicators set in the operational programme;</w:t>
      </w:r>
    </w:p>
    <w:p w:rsidR="00F71FE2" w:rsidRPr="005B6074" w:rsidRDefault="00F71FE2" w:rsidP="00181A22">
      <w:pPr>
        <w:pStyle w:val="ListParagraph"/>
        <w:numPr>
          <w:ilvl w:val="0"/>
          <w:numId w:val="82"/>
        </w:numPr>
        <w:autoSpaceDE w:val="0"/>
        <w:autoSpaceDN w:val="0"/>
        <w:adjustRightInd w:val="0"/>
        <w:spacing w:before="120" w:after="120" w:line="240" w:lineRule="auto"/>
        <w:jc w:val="both"/>
        <w:rPr>
          <w:rFonts w:ascii="Verdana" w:hAnsi="Verdana"/>
          <w:sz w:val="20"/>
          <w:szCs w:val="20"/>
        </w:rPr>
      </w:pPr>
      <w:r w:rsidRPr="005B6074">
        <w:rPr>
          <w:rFonts w:ascii="Verdana" w:hAnsi="Verdana"/>
          <w:sz w:val="20"/>
          <w:szCs w:val="20"/>
        </w:rPr>
        <w:t>Providing of information for implementation monitoring purposes is stipulated in the contracts with beneficiaries.</w:t>
      </w:r>
    </w:p>
    <w:p w:rsidR="00F71FE2" w:rsidRPr="005B6074" w:rsidRDefault="00F71FE2" w:rsidP="00F71FE2">
      <w:pPr>
        <w:autoSpaceDE w:val="0"/>
        <w:autoSpaceDN w:val="0"/>
        <w:adjustRightInd w:val="0"/>
        <w:spacing w:before="120" w:after="120"/>
        <w:jc w:val="both"/>
        <w:rPr>
          <w:rFonts w:ascii="Verdana" w:hAnsi="Verdana" w:cs="OpalCYR"/>
          <w:sz w:val="20"/>
          <w:szCs w:val="20"/>
        </w:rPr>
      </w:pPr>
      <w:r w:rsidRPr="005B6074">
        <w:rPr>
          <w:rFonts w:ascii="Verdana" w:hAnsi="Verdana" w:cs="OpalCYR"/>
          <w:sz w:val="20"/>
          <w:szCs w:val="20"/>
        </w:rPr>
        <w:t>Below is presented an analysis of the information needs for monitoring of the operational programme, based on the monitoring system of HRDOP 2007 – 2013, as both the beneficiaries and General Directorate “Structural Funds and International Educational Programmes” (GD SFIEP) already have experience in using that system.</w:t>
      </w:r>
    </w:p>
    <w:p w:rsidR="00F71FE2" w:rsidRPr="005B6074" w:rsidRDefault="00F71FE2" w:rsidP="00F71FE2">
      <w:pPr>
        <w:autoSpaceDE w:val="0"/>
        <w:autoSpaceDN w:val="0"/>
        <w:adjustRightInd w:val="0"/>
        <w:spacing w:before="120" w:after="120"/>
        <w:jc w:val="both"/>
        <w:rPr>
          <w:rFonts w:ascii="Verdana" w:hAnsi="Verdana" w:cs="OpalCYR"/>
          <w:sz w:val="20"/>
          <w:szCs w:val="20"/>
        </w:rPr>
      </w:pPr>
      <w:r w:rsidRPr="005B6074">
        <w:rPr>
          <w:rFonts w:ascii="Verdana" w:hAnsi="Verdana" w:cs="OpalCYR"/>
          <w:sz w:val="20"/>
          <w:szCs w:val="20"/>
        </w:rPr>
        <w:t>The monitoring system shall include the following points:</w:t>
      </w:r>
    </w:p>
    <w:p w:rsidR="00F71FE2" w:rsidRPr="005B6074" w:rsidRDefault="00F71FE2" w:rsidP="00181A22">
      <w:pPr>
        <w:pStyle w:val="ListParagraph"/>
        <w:numPr>
          <w:ilvl w:val="0"/>
          <w:numId w:val="84"/>
        </w:numPr>
        <w:autoSpaceDE w:val="0"/>
        <w:autoSpaceDN w:val="0"/>
        <w:adjustRightInd w:val="0"/>
        <w:spacing w:before="120" w:after="120"/>
        <w:contextualSpacing/>
        <w:jc w:val="both"/>
        <w:rPr>
          <w:rFonts w:ascii="Verdana" w:hAnsi="Verdana" w:cs="OpalCYR"/>
          <w:sz w:val="20"/>
          <w:szCs w:val="20"/>
        </w:rPr>
      </w:pPr>
      <w:r w:rsidRPr="005B6074">
        <w:rPr>
          <w:rFonts w:ascii="Verdana" w:hAnsi="Verdana" w:cs="OpalCYR"/>
          <w:sz w:val="20"/>
          <w:szCs w:val="20"/>
        </w:rPr>
        <w:t>what information is gathered;</w:t>
      </w:r>
    </w:p>
    <w:p w:rsidR="00F71FE2" w:rsidRPr="005B6074" w:rsidRDefault="00F71FE2" w:rsidP="00181A22">
      <w:pPr>
        <w:pStyle w:val="ListParagraph"/>
        <w:numPr>
          <w:ilvl w:val="0"/>
          <w:numId w:val="84"/>
        </w:numPr>
        <w:autoSpaceDE w:val="0"/>
        <w:autoSpaceDN w:val="0"/>
        <w:adjustRightInd w:val="0"/>
        <w:spacing w:before="120" w:after="120"/>
        <w:contextualSpacing/>
        <w:jc w:val="both"/>
        <w:rPr>
          <w:rFonts w:ascii="Verdana" w:hAnsi="Verdana" w:cs="OpalCYR"/>
          <w:sz w:val="20"/>
          <w:szCs w:val="20"/>
        </w:rPr>
      </w:pPr>
      <w:r w:rsidRPr="005B6074">
        <w:rPr>
          <w:rFonts w:ascii="Verdana" w:hAnsi="Verdana" w:cs="OpalCYR"/>
          <w:sz w:val="20"/>
          <w:szCs w:val="20"/>
        </w:rPr>
        <w:t>how to gather information;</w:t>
      </w:r>
    </w:p>
    <w:p w:rsidR="00F71FE2" w:rsidRPr="005B6074" w:rsidRDefault="00F71FE2" w:rsidP="00181A22">
      <w:pPr>
        <w:pStyle w:val="ListParagraph"/>
        <w:numPr>
          <w:ilvl w:val="0"/>
          <w:numId w:val="84"/>
        </w:numPr>
        <w:autoSpaceDE w:val="0"/>
        <w:autoSpaceDN w:val="0"/>
        <w:adjustRightInd w:val="0"/>
        <w:spacing w:before="120" w:after="120"/>
        <w:contextualSpacing/>
        <w:jc w:val="both"/>
        <w:rPr>
          <w:rFonts w:ascii="Verdana" w:hAnsi="Verdana" w:cs="OpalCYR"/>
          <w:sz w:val="20"/>
          <w:szCs w:val="20"/>
        </w:rPr>
      </w:pPr>
      <w:r w:rsidRPr="005B6074">
        <w:rPr>
          <w:rFonts w:ascii="Verdana" w:hAnsi="Verdana" w:cs="OpalCYR"/>
          <w:sz w:val="20"/>
          <w:szCs w:val="20"/>
        </w:rPr>
        <w:t>who gathers information;</w:t>
      </w:r>
    </w:p>
    <w:p w:rsidR="00F71FE2" w:rsidRPr="005B6074" w:rsidRDefault="00F71FE2" w:rsidP="00181A22">
      <w:pPr>
        <w:pStyle w:val="ListParagraph"/>
        <w:numPr>
          <w:ilvl w:val="0"/>
          <w:numId w:val="84"/>
        </w:numPr>
        <w:autoSpaceDE w:val="0"/>
        <w:autoSpaceDN w:val="0"/>
        <w:adjustRightInd w:val="0"/>
        <w:spacing w:before="120" w:after="120"/>
        <w:contextualSpacing/>
        <w:jc w:val="both"/>
        <w:rPr>
          <w:rFonts w:ascii="Verdana" w:hAnsi="Verdana" w:cs="OpalCYR"/>
          <w:sz w:val="20"/>
          <w:szCs w:val="20"/>
        </w:rPr>
      </w:pPr>
      <w:proofErr w:type="gramStart"/>
      <w:r w:rsidRPr="005B6074">
        <w:rPr>
          <w:rFonts w:ascii="Verdana" w:hAnsi="Verdana" w:cs="OpalCYR"/>
          <w:sz w:val="20"/>
          <w:szCs w:val="20"/>
        </w:rPr>
        <w:t>who</w:t>
      </w:r>
      <w:proofErr w:type="gramEnd"/>
      <w:r w:rsidRPr="005B6074">
        <w:rPr>
          <w:rFonts w:ascii="Verdana" w:hAnsi="Verdana" w:cs="OpalCYR"/>
          <w:sz w:val="20"/>
          <w:szCs w:val="20"/>
        </w:rPr>
        <w:t xml:space="preserve"> aggregates information.</w:t>
      </w:r>
    </w:p>
    <w:p w:rsidR="00F71FE2" w:rsidRPr="005B6074" w:rsidRDefault="00F71FE2" w:rsidP="00F71FE2">
      <w:pPr>
        <w:spacing w:before="120" w:after="120"/>
        <w:jc w:val="both"/>
        <w:rPr>
          <w:rFonts w:ascii="Verdana" w:hAnsi="Verdana"/>
          <w:color w:val="548DD4" w:themeColor="text2" w:themeTint="99"/>
          <w:sz w:val="20"/>
          <w:szCs w:val="20"/>
        </w:rPr>
      </w:pPr>
      <w:r w:rsidRPr="005B6074">
        <w:rPr>
          <w:rFonts w:ascii="Verdana" w:hAnsi="Verdana"/>
          <w:color w:val="548DD4" w:themeColor="text2" w:themeTint="99"/>
          <w:sz w:val="20"/>
          <w:szCs w:val="20"/>
        </w:rPr>
        <w:t xml:space="preserve">What information is </w:t>
      </w:r>
      <w:proofErr w:type="gramStart"/>
      <w:r w:rsidRPr="005B6074">
        <w:rPr>
          <w:rFonts w:ascii="Verdana" w:hAnsi="Verdana"/>
          <w:color w:val="548DD4" w:themeColor="text2" w:themeTint="99"/>
          <w:sz w:val="20"/>
          <w:szCs w:val="20"/>
        </w:rPr>
        <w:t>gathered</w:t>
      </w:r>
      <w:proofErr w:type="gramEnd"/>
    </w:p>
    <w:p w:rsidR="00F71FE2" w:rsidRPr="005B6074" w:rsidRDefault="00F71FE2" w:rsidP="00F71FE2">
      <w:pPr>
        <w:spacing w:before="120" w:after="120"/>
        <w:jc w:val="both"/>
        <w:rPr>
          <w:rFonts w:ascii="Verdana" w:hAnsi="Verdana"/>
          <w:sz w:val="20"/>
          <w:szCs w:val="20"/>
        </w:rPr>
      </w:pPr>
      <w:r w:rsidRPr="005B6074">
        <w:rPr>
          <w:rFonts w:ascii="Verdana" w:hAnsi="Verdana"/>
          <w:i/>
          <w:sz w:val="20"/>
          <w:szCs w:val="20"/>
          <w:u w:val="single"/>
        </w:rPr>
        <w:t>Information about target groups/end users</w:t>
      </w:r>
      <w:r w:rsidRPr="005B6074">
        <w:rPr>
          <w:rFonts w:ascii="Verdana" w:hAnsi="Verdana"/>
          <w:b/>
          <w:sz w:val="20"/>
          <w:szCs w:val="20"/>
          <w:u w:val="single"/>
        </w:rPr>
        <w:t xml:space="preserve"> </w:t>
      </w:r>
      <w:proofErr w:type="gramStart"/>
      <w:r w:rsidRPr="005B6074">
        <w:rPr>
          <w:rFonts w:ascii="Verdana" w:hAnsi="Verdana"/>
          <w:sz w:val="20"/>
          <w:szCs w:val="20"/>
        </w:rPr>
        <w:t>-  according</w:t>
      </w:r>
      <w:proofErr w:type="gramEnd"/>
      <w:r w:rsidRPr="005B6074">
        <w:rPr>
          <w:rFonts w:ascii="Verdana" w:hAnsi="Verdana"/>
          <w:sz w:val="20"/>
          <w:szCs w:val="20"/>
        </w:rPr>
        <w:t xml:space="preserve"> to the requirements of a questionnaire developed on the basis of Annex XXIII of Regulation 1828/2006. </w:t>
      </w:r>
    </w:p>
    <w:p w:rsidR="00F71FE2" w:rsidRPr="005B6074" w:rsidRDefault="00F71FE2" w:rsidP="00F71FE2">
      <w:pPr>
        <w:spacing w:before="120" w:after="120"/>
        <w:jc w:val="both"/>
        <w:rPr>
          <w:rFonts w:ascii="Verdana" w:eastAsia="Malgun Gothic" w:hAnsi="Verdana"/>
          <w:bCs/>
          <w:color w:val="000000"/>
          <w:sz w:val="20"/>
          <w:szCs w:val="20"/>
          <w:lang w:eastAsia="ko-KR"/>
        </w:rPr>
      </w:pPr>
      <w:r w:rsidRPr="005B6074">
        <w:rPr>
          <w:rFonts w:ascii="Verdana" w:hAnsi="Verdana"/>
          <w:sz w:val="20"/>
          <w:szCs w:val="20"/>
        </w:rPr>
        <w:t xml:space="preserve">Filling in such questionnaires shall continue also in implementation of contracts financed by ESF in the period 2014-2020. That requirement is stipulated in Regulation 1304/2013 on the European Social Fund. As the information from questionnaires will be used also for evaluation purposes, it is recommended that they include, in addition and beyond the </w:t>
      </w:r>
      <w:r w:rsidRPr="005B6074">
        <w:rPr>
          <w:rFonts w:ascii="Verdana" w:hAnsi="Verdana"/>
          <w:sz w:val="20"/>
          <w:szCs w:val="20"/>
        </w:rPr>
        <w:lastRenderedPageBreak/>
        <w:t xml:space="preserve">requirements of the Regulation, contact data of end users, including address, telephone and email. The information thus gathered will enable MA to create a database of the programme end-users, and that database would facilitate quantitative examinations of the implementation of </w:t>
      </w:r>
      <w:r w:rsidR="005B35A7">
        <w:rPr>
          <w:rFonts w:ascii="Verdana" w:eastAsia="Malgun Gothic" w:hAnsi="Verdana"/>
          <w:bCs/>
          <w:color w:val="000000"/>
          <w:sz w:val="20"/>
          <w:szCs w:val="20"/>
          <w:lang w:eastAsia="ko-KR"/>
        </w:rPr>
        <w:t>OPSESG</w:t>
      </w:r>
      <w:r w:rsidRPr="005B6074">
        <w:rPr>
          <w:rFonts w:ascii="Verdana" w:eastAsia="Malgun Gothic" w:hAnsi="Verdana"/>
          <w:bCs/>
          <w:color w:val="000000"/>
          <w:sz w:val="20"/>
          <w:szCs w:val="20"/>
          <w:lang w:eastAsia="ko-KR"/>
        </w:rPr>
        <w:t xml:space="preserve"> 2014-2020.</w:t>
      </w:r>
    </w:p>
    <w:p w:rsidR="00F71FE2" w:rsidRPr="005B6074" w:rsidRDefault="00F71FE2" w:rsidP="00F71FE2">
      <w:pPr>
        <w:spacing w:before="120" w:after="120"/>
        <w:jc w:val="both"/>
        <w:rPr>
          <w:rFonts w:ascii="Verdana" w:hAnsi="Verdana"/>
          <w:sz w:val="20"/>
          <w:szCs w:val="20"/>
        </w:rPr>
      </w:pPr>
      <w:r w:rsidRPr="005B6074">
        <w:rPr>
          <w:rFonts w:ascii="Verdana" w:eastAsia="Malgun Gothic" w:hAnsi="Verdana"/>
          <w:bCs/>
          <w:color w:val="000000"/>
          <w:sz w:val="20"/>
          <w:szCs w:val="20"/>
          <w:lang w:eastAsia="ko-KR"/>
        </w:rPr>
        <w:t xml:space="preserve">In the current programming period </w:t>
      </w:r>
      <w:r w:rsidRPr="005B6074">
        <w:rPr>
          <w:rFonts w:ascii="Verdana" w:hAnsi="Verdana"/>
          <w:sz w:val="20"/>
          <w:szCs w:val="20"/>
        </w:rPr>
        <w:t>there have been no particular difficulties in providing the required information in the questionnaires. A problem is only the provision of personal information like ethnos, disabilities – which is provided only after obtaining the person’s consent. That problem cannot be overcome but its significance can be reduced by reporting about target groups by characteristics which are not personal information, making quality generalizations and drawing conclusions based on additional information – for example in a scheme targeting marginalized communities we could presume that the target groups are of such communities.</w:t>
      </w:r>
    </w:p>
    <w:p w:rsidR="00F71FE2" w:rsidRPr="005B6074" w:rsidRDefault="00F71FE2" w:rsidP="00F71FE2">
      <w:pPr>
        <w:spacing w:before="120" w:after="120"/>
        <w:jc w:val="both"/>
        <w:rPr>
          <w:rFonts w:ascii="Verdana" w:hAnsi="Verdana"/>
          <w:sz w:val="20"/>
          <w:szCs w:val="20"/>
        </w:rPr>
      </w:pPr>
      <w:r w:rsidRPr="005B6074">
        <w:rPr>
          <w:rFonts w:ascii="Verdana" w:hAnsi="Verdana"/>
          <w:sz w:val="20"/>
          <w:szCs w:val="20"/>
          <w:u w:val="single"/>
        </w:rPr>
        <w:t xml:space="preserve">Contract </w:t>
      </w:r>
      <w:proofErr w:type="gramStart"/>
      <w:r w:rsidRPr="005B6074">
        <w:rPr>
          <w:rFonts w:ascii="Verdana" w:hAnsi="Verdana"/>
          <w:sz w:val="20"/>
          <w:szCs w:val="20"/>
          <w:u w:val="single"/>
        </w:rPr>
        <w:t xml:space="preserve">level </w:t>
      </w:r>
      <w:r w:rsidRPr="005B6074">
        <w:rPr>
          <w:rFonts w:ascii="Verdana" w:hAnsi="Verdana"/>
          <w:sz w:val="20"/>
          <w:szCs w:val="20"/>
        </w:rPr>
        <w:t xml:space="preserve"> information</w:t>
      </w:r>
      <w:proofErr w:type="gramEnd"/>
      <w:r w:rsidRPr="005B6074">
        <w:rPr>
          <w:rFonts w:ascii="Verdana" w:hAnsi="Verdana"/>
          <w:sz w:val="20"/>
          <w:szCs w:val="20"/>
        </w:rPr>
        <w:t>:</w:t>
      </w:r>
    </w:p>
    <w:p w:rsidR="00F71FE2" w:rsidRPr="005B6074" w:rsidRDefault="00F71FE2" w:rsidP="00181A22">
      <w:pPr>
        <w:pStyle w:val="ListParagraph"/>
        <w:numPr>
          <w:ilvl w:val="0"/>
          <w:numId w:val="85"/>
        </w:numPr>
        <w:spacing w:before="120" w:after="120"/>
        <w:jc w:val="both"/>
        <w:rPr>
          <w:rFonts w:ascii="Verdana" w:hAnsi="Verdana" w:cs="Arial"/>
          <w:sz w:val="20"/>
          <w:szCs w:val="20"/>
        </w:rPr>
      </w:pPr>
      <w:r w:rsidRPr="005B6074">
        <w:rPr>
          <w:rFonts w:ascii="Verdana" w:hAnsi="Verdana" w:cs="Arial"/>
          <w:sz w:val="20"/>
          <w:szCs w:val="20"/>
        </w:rPr>
        <w:t>Conducted subcontracting procedures and concluded subcontracts;</w:t>
      </w:r>
    </w:p>
    <w:p w:rsidR="00F71FE2" w:rsidRPr="005B6074" w:rsidRDefault="00F71FE2" w:rsidP="00181A22">
      <w:pPr>
        <w:pStyle w:val="ListParagraph"/>
        <w:numPr>
          <w:ilvl w:val="0"/>
          <w:numId w:val="85"/>
        </w:numPr>
        <w:spacing w:before="120" w:after="120"/>
        <w:jc w:val="both"/>
        <w:rPr>
          <w:rFonts w:ascii="Verdana" w:hAnsi="Verdana" w:cs="Arial"/>
          <w:sz w:val="20"/>
          <w:szCs w:val="20"/>
        </w:rPr>
      </w:pPr>
      <w:r w:rsidRPr="005B6074">
        <w:rPr>
          <w:rFonts w:ascii="Verdana" w:hAnsi="Verdana" w:cs="Arial"/>
          <w:sz w:val="20"/>
          <w:szCs w:val="20"/>
        </w:rPr>
        <w:t>Physical progress, including summarized information from questionnaires filled in by end-users, as well as achievement of contract level output indicators and result indicators;</w:t>
      </w:r>
    </w:p>
    <w:p w:rsidR="00F71FE2" w:rsidRPr="005B6074" w:rsidRDefault="00F71FE2" w:rsidP="00181A22">
      <w:pPr>
        <w:pStyle w:val="ListParagraph"/>
        <w:numPr>
          <w:ilvl w:val="0"/>
          <w:numId w:val="85"/>
        </w:numPr>
        <w:spacing w:before="120" w:after="120"/>
        <w:jc w:val="both"/>
        <w:rPr>
          <w:rFonts w:ascii="Verdana" w:hAnsi="Verdana" w:cs="Arial"/>
          <w:sz w:val="20"/>
          <w:szCs w:val="20"/>
        </w:rPr>
      </w:pPr>
      <w:r w:rsidRPr="005B6074">
        <w:rPr>
          <w:rFonts w:ascii="Verdana" w:hAnsi="Verdana" w:cs="Arial"/>
          <w:sz w:val="20"/>
          <w:szCs w:val="20"/>
        </w:rPr>
        <w:t>Financial performance;</w:t>
      </w:r>
    </w:p>
    <w:p w:rsidR="00F71FE2" w:rsidRPr="005B6074" w:rsidRDefault="00F71FE2" w:rsidP="00181A22">
      <w:pPr>
        <w:pStyle w:val="ListParagraph"/>
        <w:numPr>
          <w:ilvl w:val="0"/>
          <w:numId w:val="85"/>
        </w:numPr>
        <w:spacing w:before="120" w:after="120"/>
        <w:jc w:val="both"/>
        <w:rPr>
          <w:rFonts w:ascii="Verdana" w:hAnsi="Verdana" w:cs="Arial"/>
          <w:sz w:val="20"/>
          <w:szCs w:val="20"/>
        </w:rPr>
      </w:pPr>
      <w:r w:rsidRPr="005B6074">
        <w:rPr>
          <w:rFonts w:ascii="Verdana" w:hAnsi="Verdana" w:cs="Arial"/>
          <w:sz w:val="20"/>
          <w:szCs w:val="20"/>
        </w:rPr>
        <w:t>Reporting of irregularities;</w:t>
      </w:r>
    </w:p>
    <w:p w:rsidR="00F71FE2" w:rsidRPr="005B6074" w:rsidRDefault="00F71FE2" w:rsidP="00181A22">
      <w:pPr>
        <w:pStyle w:val="ListParagraph"/>
        <w:numPr>
          <w:ilvl w:val="0"/>
          <w:numId w:val="85"/>
        </w:numPr>
        <w:spacing w:before="120" w:after="120"/>
        <w:jc w:val="both"/>
        <w:rPr>
          <w:rFonts w:ascii="Verdana" w:hAnsi="Verdana" w:cs="Arial"/>
          <w:sz w:val="20"/>
          <w:szCs w:val="20"/>
        </w:rPr>
      </w:pPr>
      <w:r w:rsidRPr="005B6074">
        <w:rPr>
          <w:rFonts w:ascii="Verdana" w:hAnsi="Verdana" w:cs="Arial"/>
          <w:sz w:val="20"/>
          <w:szCs w:val="20"/>
        </w:rPr>
        <w:t>Reporting on information and publicity measures.</w:t>
      </w:r>
    </w:p>
    <w:p w:rsidR="00F71FE2" w:rsidRPr="005B6074" w:rsidRDefault="00F71FE2" w:rsidP="00F71FE2">
      <w:pPr>
        <w:spacing w:before="120" w:after="120"/>
        <w:jc w:val="both"/>
        <w:rPr>
          <w:rFonts w:ascii="Verdana" w:hAnsi="Verdana"/>
          <w:i/>
          <w:sz w:val="20"/>
          <w:szCs w:val="20"/>
        </w:rPr>
      </w:pPr>
      <w:r w:rsidRPr="005B6074">
        <w:rPr>
          <w:rFonts w:ascii="Verdana" w:hAnsi="Verdana"/>
          <w:sz w:val="20"/>
          <w:szCs w:val="20"/>
        </w:rPr>
        <w:t xml:space="preserve">The following data shall be collected at </w:t>
      </w:r>
      <w:r w:rsidRPr="005B6074">
        <w:rPr>
          <w:rFonts w:ascii="Verdana" w:hAnsi="Verdana"/>
          <w:i/>
          <w:sz w:val="20"/>
          <w:szCs w:val="20"/>
          <w:u w:val="single"/>
        </w:rPr>
        <w:t>grant scheme</w:t>
      </w:r>
      <w:r w:rsidRPr="005B6074">
        <w:rPr>
          <w:rFonts w:ascii="Verdana" w:hAnsi="Verdana"/>
          <w:sz w:val="20"/>
          <w:szCs w:val="20"/>
        </w:rPr>
        <w:t xml:space="preserve"> level and at </w:t>
      </w:r>
      <w:r w:rsidRPr="005B6074">
        <w:rPr>
          <w:rFonts w:ascii="Verdana" w:hAnsi="Verdana"/>
          <w:i/>
          <w:sz w:val="20"/>
          <w:szCs w:val="20"/>
          <w:u w:val="single"/>
        </w:rPr>
        <w:t>direct grant contract</w:t>
      </w:r>
      <w:r w:rsidRPr="005B6074">
        <w:rPr>
          <w:rFonts w:ascii="Verdana" w:hAnsi="Verdana"/>
          <w:i/>
          <w:sz w:val="20"/>
          <w:szCs w:val="20"/>
        </w:rPr>
        <w:t xml:space="preserve"> </w:t>
      </w:r>
      <w:r w:rsidRPr="005B6074">
        <w:rPr>
          <w:rFonts w:ascii="Verdana" w:hAnsi="Verdana"/>
          <w:i/>
          <w:sz w:val="20"/>
          <w:szCs w:val="20"/>
          <w:u w:val="single"/>
        </w:rPr>
        <w:t>level</w:t>
      </w:r>
      <w:r w:rsidRPr="005B6074">
        <w:rPr>
          <w:rFonts w:ascii="Verdana" w:hAnsi="Verdana"/>
          <w:i/>
          <w:sz w:val="20"/>
          <w:szCs w:val="20"/>
        </w:rPr>
        <w:t>:</w:t>
      </w:r>
    </w:p>
    <w:p w:rsidR="00F71FE2" w:rsidRPr="005B6074" w:rsidRDefault="00F71FE2" w:rsidP="00181A22">
      <w:pPr>
        <w:pStyle w:val="ListParagraph"/>
        <w:numPr>
          <w:ilvl w:val="0"/>
          <w:numId w:val="86"/>
        </w:numPr>
        <w:spacing w:before="120" w:after="120"/>
        <w:ind w:left="714" w:hanging="357"/>
        <w:contextualSpacing/>
        <w:jc w:val="both"/>
        <w:rPr>
          <w:rFonts w:ascii="Verdana" w:hAnsi="Verdana"/>
          <w:sz w:val="20"/>
          <w:szCs w:val="20"/>
        </w:rPr>
      </w:pPr>
      <w:r w:rsidRPr="005B6074">
        <w:rPr>
          <w:rFonts w:ascii="Verdana" w:hAnsi="Verdana"/>
          <w:sz w:val="20"/>
          <w:szCs w:val="20"/>
        </w:rPr>
        <w:t>achievement of output indicators and result indicators on monthly basis;</w:t>
      </w:r>
    </w:p>
    <w:p w:rsidR="00F71FE2" w:rsidRPr="005B6074" w:rsidRDefault="00F71FE2" w:rsidP="00181A22">
      <w:pPr>
        <w:pStyle w:val="ListParagraph"/>
        <w:numPr>
          <w:ilvl w:val="0"/>
          <w:numId w:val="86"/>
        </w:numPr>
        <w:spacing w:before="120" w:after="120"/>
        <w:contextualSpacing/>
        <w:jc w:val="both"/>
        <w:rPr>
          <w:rFonts w:ascii="Verdana" w:hAnsi="Verdana"/>
          <w:sz w:val="20"/>
          <w:szCs w:val="20"/>
        </w:rPr>
      </w:pPr>
      <w:r w:rsidRPr="005B6074">
        <w:rPr>
          <w:rFonts w:ascii="Verdana" w:hAnsi="Verdana"/>
          <w:sz w:val="20"/>
          <w:szCs w:val="20"/>
        </w:rPr>
        <w:t>achievement of financial indicators at grant scheme level / direct grant contract level;</w:t>
      </w:r>
    </w:p>
    <w:p w:rsidR="00F71FE2" w:rsidRPr="005B6074" w:rsidRDefault="00F71FE2" w:rsidP="00181A22">
      <w:pPr>
        <w:pStyle w:val="ListParagraph"/>
        <w:numPr>
          <w:ilvl w:val="0"/>
          <w:numId w:val="86"/>
        </w:numPr>
        <w:spacing w:before="120" w:after="120"/>
        <w:contextualSpacing/>
        <w:jc w:val="both"/>
        <w:rPr>
          <w:rFonts w:ascii="Verdana" w:hAnsi="Verdana"/>
          <w:sz w:val="20"/>
          <w:szCs w:val="20"/>
        </w:rPr>
      </w:pPr>
      <w:proofErr w:type="gramStart"/>
      <w:r w:rsidRPr="005B6074">
        <w:rPr>
          <w:rFonts w:ascii="Verdana" w:hAnsi="Verdana"/>
          <w:sz w:val="20"/>
          <w:szCs w:val="20"/>
        </w:rPr>
        <w:t>a</w:t>
      </w:r>
      <w:proofErr w:type="gramEnd"/>
      <w:r w:rsidRPr="005B6074">
        <w:rPr>
          <w:rFonts w:ascii="Verdana" w:hAnsi="Verdana"/>
          <w:sz w:val="20"/>
          <w:szCs w:val="20"/>
        </w:rPr>
        <w:t xml:space="preserve"> summary table as per the requirements of Annex XXIII of regulation 1828/2006 at grant scheme level/ direct grant contract level on monthly basis.</w:t>
      </w:r>
    </w:p>
    <w:p w:rsidR="00F71FE2" w:rsidRPr="005B6074" w:rsidRDefault="00F71FE2" w:rsidP="00F71FE2">
      <w:pPr>
        <w:spacing w:before="120" w:after="120"/>
        <w:ind w:right="-383"/>
        <w:jc w:val="both"/>
        <w:rPr>
          <w:rFonts w:ascii="Verdana" w:hAnsi="Verdana"/>
          <w:i/>
          <w:sz w:val="20"/>
          <w:szCs w:val="20"/>
          <w:u w:val="single"/>
        </w:rPr>
      </w:pPr>
      <w:r w:rsidRPr="005B6074">
        <w:rPr>
          <w:rFonts w:ascii="Verdana" w:hAnsi="Verdana"/>
          <w:sz w:val="20"/>
          <w:szCs w:val="20"/>
        </w:rPr>
        <w:t xml:space="preserve">Information at </w:t>
      </w:r>
      <w:r w:rsidRPr="005B6074">
        <w:rPr>
          <w:rFonts w:ascii="Verdana" w:hAnsi="Verdana"/>
          <w:i/>
          <w:sz w:val="20"/>
          <w:szCs w:val="20"/>
          <w:u w:val="single"/>
        </w:rPr>
        <w:t>specific objective and investment priority level:</w:t>
      </w:r>
    </w:p>
    <w:p w:rsidR="00F71FE2" w:rsidRPr="005B6074" w:rsidRDefault="00F71FE2" w:rsidP="00181A22">
      <w:pPr>
        <w:pStyle w:val="ListParagraph"/>
        <w:numPr>
          <w:ilvl w:val="0"/>
          <w:numId w:val="87"/>
        </w:numPr>
        <w:spacing w:before="120" w:after="120"/>
        <w:ind w:right="108"/>
        <w:jc w:val="both"/>
        <w:rPr>
          <w:rFonts w:ascii="Verdana" w:hAnsi="Verdana"/>
          <w:sz w:val="20"/>
          <w:szCs w:val="20"/>
        </w:rPr>
      </w:pPr>
      <w:r w:rsidRPr="005B6074">
        <w:rPr>
          <w:rFonts w:ascii="Verdana" w:hAnsi="Verdana"/>
          <w:sz w:val="20"/>
          <w:szCs w:val="20"/>
        </w:rPr>
        <w:t xml:space="preserve">achievement of output indicators and result indicators </w:t>
      </w:r>
    </w:p>
    <w:p w:rsidR="00F71FE2" w:rsidRPr="005B6074" w:rsidRDefault="00F71FE2" w:rsidP="00181A22">
      <w:pPr>
        <w:pStyle w:val="ListParagraph"/>
        <w:numPr>
          <w:ilvl w:val="0"/>
          <w:numId w:val="87"/>
        </w:numPr>
        <w:spacing w:before="120" w:after="120"/>
        <w:ind w:right="108"/>
        <w:jc w:val="both"/>
        <w:rPr>
          <w:rFonts w:ascii="Verdana" w:hAnsi="Verdana"/>
          <w:sz w:val="20"/>
          <w:szCs w:val="20"/>
        </w:rPr>
      </w:pPr>
      <w:proofErr w:type="gramStart"/>
      <w:r w:rsidRPr="005B6074">
        <w:rPr>
          <w:rFonts w:ascii="Verdana" w:hAnsi="Verdana"/>
          <w:sz w:val="20"/>
          <w:szCs w:val="20"/>
        </w:rPr>
        <w:t>integrated</w:t>
      </w:r>
      <w:proofErr w:type="gramEnd"/>
      <w:r w:rsidRPr="005B6074">
        <w:rPr>
          <w:rFonts w:ascii="Verdana" w:hAnsi="Verdana"/>
          <w:sz w:val="20"/>
          <w:szCs w:val="20"/>
        </w:rPr>
        <w:t xml:space="preserve"> information about the financial performance per investment priority.</w:t>
      </w:r>
    </w:p>
    <w:p w:rsidR="00F71FE2" w:rsidRPr="005B6074" w:rsidRDefault="00F71FE2" w:rsidP="00F71FE2">
      <w:pPr>
        <w:spacing w:before="120" w:after="120"/>
        <w:jc w:val="both"/>
        <w:rPr>
          <w:rFonts w:ascii="Verdana" w:hAnsi="Verdana"/>
          <w:sz w:val="20"/>
          <w:szCs w:val="20"/>
        </w:rPr>
      </w:pPr>
      <w:r w:rsidRPr="005B6074">
        <w:rPr>
          <w:rFonts w:ascii="Verdana" w:hAnsi="Verdana"/>
          <w:sz w:val="20"/>
          <w:szCs w:val="20"/>
        </w:rPr>
        <w:t>At priority axis level MA can gather integrated information to be used in examining and assessing the effect of the programme on various target groups. On that basis general information about the programme implementation is obtained.</w:t>
      </w:r>
    </w:p>
    <w:p w:rsidR="00F71FE2" w:rsidRPr="005B6074" w:rsidRDefault="00F71FE2" w:rsidP="00F71FE2">
      <w:pPr>
        <w:spacing w:before="120" w:after="120"/>
        <w:jc w:val="both"/>
        <w:rPr>
          <w:rFonts w:ascii="Verdana" w:hAnsi="Verdana"/>
          <w:sz w:val="20"/>
          <w:szCs w:val="20"/>
        </w:rPr>
      </w:pPr>
      <w:r w:rsidRPr="005B6074">
        <w:rPr>
          <w:rFonts w:ascii="Verdana" w:hAnsi="Verdana"/>
          <w:sz w:val="20"/>
          <w:szCs w:val="20"/>
        </w:rPr>
        <w:t>Major components of the monitoring system are the programme indicators as well as the obtaining of additional qualitative information. Such information can be used to explain the reasons for achievement or failure to achieve the objectives set and enable further understanding of the implementation efficiency. A major problem in gathering and reporting of information on the indicators in some cases is the lack of common understanding of the meaning of the indicators.</w:t>
      </w:r>
    </w:p>
    <w:p w:rsidR="00F71FE2" w:rsidRPr="005B6074" w:rsidRDefault="00F71FE2" w:rsidP="00F71FE2">
      <w:pPr>
        <w:spacing w:before="120" w:after="120"/>
        <w:jc w:val="both"/>
        <w:rPr>
          <w:rFonts w:ascii="Verdana" w:hAnsi="Verdana"/>
          <w:sz w:val="20"/>
          <w:szCs w:val="20"/>
        </w:rPr>
      </w:pPr>
      <w:r w:rsidRPr="005B6074">
        <w:rPr>
          <w:rFonts w:ascii="Verdana" w:hAnsi="Verdana"/>
          <w:sz w:val="20"/>
          <w:szCs w:val="20"/>
        </w:rPr>
        <w:lastRenderedPageBreak/>
        <w:t>In this report the programme indicators are discussed in details in Evaluation 3 – “Analysis of the system of indicators”, and it is also envisaged that detailed indicator fiches are developed, which shall be the basic part of the monitoring system. Indicator fiches shall provide a definition of each programme indicator so as to guarantee unambiguous interpretation and understanding by all stakeholders of the target value of an indicator and the methods of calculating that value. The fiches shall also provide guidelines on the methods of calculating an indicator value, the necessary frequency of reporting an indicator and the sources of information for its reporting.</w:t>
      </w:r>
    </w:p>
    <w:p w:rsidR="00F71FE2" w:rsidRPr="005B6074" w:rsidRDefault="00F71FE2" w:rsidP="00F71FE2">
      <w:pPr>
        <w:keepNext/>
        <w:spacing w:before="360" w:after="120"/>
        <w:jc w:val="both"/>
        <w:rPr>
          <w:rFonts w:ascii="Verdana" w:hAnsi="Verdana"/>
          <w:color w:val="548DD4" w:themeColor="text2" w:themeTint="99"/>
          <w:sz w:val="20"/>
          <w:szCs w:val="20"/>
        </w:rPr>
      </w:pPr>
      <w:r w:rsidRPr="005B6074">
        <w:rPr>
          <w:rFonts w:ascii="Verdana" w:hAnsi="Verdana"/>
          <w:color w:val="548DD4" w:themeColor="text2" w:themeTint="99"/>
          <w:sz w:val="20"/>
          <w:szCs w:val="20"/>
        </w:rPr>
        <w:t xml:space="preserve">How to gather information </w:t>
      </w:r>
    </w:p>
    <w:p w:rsidR="00F71FE2" w:rsidRPr="005B6074" w:rsidRDefault="00F71FE2" w:rsidP="00F71FE2">
      <w:pPr>
        <w:autoSpaceDE w:val="0"/>
        <w:autoSpaceDN w:val="0"/>
        <w:adjustRightInd w:val="0"/>
        <w:spacing w:before="120" w:after="120"/>
        <w:jc w:val="both"/>
        <w:rPr>
          <w:rFonts w:ascii="Verdana" w:hAnsi="Verdana" w:cs="OpalCYR"/>
          <w:sz w:val="20"/>
          <w:szCs w:val="20"/>
        </w:rPr>
      </w:pPr>
      <w:r w:rsidRPr="005B6074">
        <w:rPr>
          <w:rFonts w:ascii="Verdana" w:hAnsi="Verdana" w:cs="OpalCYR"/>
          <w:sz w:val="20"/>
          <w:szCs w:val="20"/>
        </w:rPr>
        <w:t>A key factor for successful monitoring is the selection of an appropriate methodology, which includes a set of monitoring tools and ensures balance between:</w:t>
      </w:r>
    </w:p>
    <w:p w:rsidR="00F71FE2" w:rsidRPr="005B6074" w:rsidRDefault="00F71FE2" w:rsidP="00181A22">
      <w:pPr>
        <w:pStyle w:val="ListParagraph"/>
        <w:numPr>
          <w:ilvl w:val="0"/>
          <w:numId w:val="83"/>
        </w:numPr>
        <w:autoSpaceDE w:val="0"/>
        <w:autoSpaceDN w:val="0"/>
        <w:adjustRightInd w:val="0"/>
        <w:spacing w:before="120" w:after="120"/>
        <w:contextualSpacing/>
        <w:jc w:val="both"/>
        <w:rPr>
          <w:rFonts w:ascii="Verdana" w:hAnsi="Verdana" w:cs="OpalCYR"/>
          <w:sz w:val="20"/>
          <w:szCs w:val="20"/>
        </w:rPr>
      </w:pPr>
      <w:r w:rsidRPr="005B6074">
        <w:rPr>
          <w:rFonts w:ascii="Verdana" w:hAnsi="Verdana" w:cs="OpalCYR"/>
          <w:sz w:val="20"/>
          <w:szCs w:val="20"/>
        </w:rPr>
        <w:t>data received in hard copy and by electronic means of communication;</w:t>
      </w:r>
    </w:p>
    <w:p w:rsidR="00F71FE2" w:rsidRPr="005B6074" w:rsidRDefault="00F71FE2" w:rsidP="00181A22">
      <w:pPr>
        <w:pStyle w:val="ListParagraph"/>
        <w:numPr>
          <w:ilvl w:val="0"/>
          <w:numId w:val="83"/>
        </w:numPr>
        <w:autoSpaceDE w:val="0"/>
        <w:autoSpaceDN w:val="0"/>
        <w:adjustRightInd w:val="0"/>
        <w:spacing w:before="120" w:after="120"/>
        <w:contextualSpacing/>
        <w:jc w:val="both"/>
        <w:rPr>
          <w:rFonts w:ascii="Verdana" w:hAnsi="Verdana" w:cs="OpalCYR"/>
          <w:sz w:val="20"/>
          <w:szCs w:val="20"/>
        </w:rPr>
      </w:pPr>
      <w:r w:rsidRPr="005B6074">
        <w:rPr>
          <w:rFonts w:ascii="Verdana" w:hAnsi="Verdana" w:cs="OpalCYR"/>
          <w:sz w:val="20"/>
          <w:szCs w:val="20"/>
        </w:rPr>
        <w:t>feedback by beneficiaries;</w:t>
      </w:r>
    </w:p>
    <w:p w:rsidR="00F71FE2" w:rsidRPr="005B6074" w:rsidRDefault="00F71FE2" w:rsidP="00181A22">
      <w:pPr>
        <w:pStyle w:val="ListParagraph"/>
        <w:numPr>
          <w:ilvl w:val="0"/>
          <w:numId w:val="83"/>
        </w:numPr>
        <w:autoSpaceDE w:val="0"/>
        <w:autoSpaceDN w:val="0"/>
        <w:adjustRightInd w:val="0"/>
        <w:spacing w:before="120" w:after="120"/>
        <w:contextualSpacing/>
        <w:jc w:val="both"/>
        <w:rPr>
          <w:rFonts w:ascii="Verdana" w:hAnsi="Verdana" w:cs="OpalCYR"/>
          <w:sz w:val="20"/>
          <w:szCs w:val="20"/>
        </w:rPr>
      </w:pPr>
      <w:proofErr w:type="gramStart"/>
      <w:r w:rsidRPr="005B6074">
        <w:rPr>
          <w:rFonts w:ascii="Verdana" w:hAnsi="Verdana" w:cs="OpalCYR"/>
          <w:sz w:val="20"/>
          <w:szCs w:val="20"/>
        </w:rPr>
        <w:t>validation</w:t>
      </w:r>
      <w:proofErr w:type="gramEnd"/>
      <w:r w:rsidRPr="005B6074">
        <w:rPr>
          <w:rFonts w:ascii="Verdana" w:hAnsi="Verdana" w:cs="OpalCYR"/>
          <w:sz w:val="20"/>
          <w:szCs w:val="20"/>
        </w:rPr>
        <w:t xml:space="preserve"> of obtained data.</w:t>
      </w:r>
    </w:p>
    <w:p w:rsidR="00F71FE2" w:rsidRPr="005B6074" w:rsidRDefault="00F71FE2" w:rsidP="00F71FE2">
      <w:pPr>
        <w:autoSpaceDE w:val="0"/>
        <w:autoSpaceDN w:val="0"/>
        <w:adjustRightInd w:val="0"/>
        <w:spacing w:before="120" w:after="120"/>
        <w:jc w:val="both"/>
        <w:rPr>
          <w:rFonts w:ascii="Verdana" w:hAnsi="Verdana" w:cs="OpalCYR"/>
          <w:sz w:val="20"/>
          <w:szCs w:val="20"/>
        </w:rPr>
      </w:pPr>
      <w:r w:rsidRPr="005B6074">
        <w:rPr>
          <w:rFonts w:ascii="Verdana" w:hAnsi="Verdana" w:cs="OpalCYR"/>
          <w:sz w:val="20"/>
          <w:szCs w:val="20"/>
        </w:rPr>
        <w:t>The methodology selection depends also on the capacity and available resources for receiving and processing of sufficient amount of exhaustive information, which would enable formulation of correct conclusions, analyses and recommendations.</w:t>
      </w:r>
    </w:p>
    <w:p w:rsidR="00F71FE2" w:rsidRPr="005B6074" w:rsidRDefault="00F71FE2" w:rsidP="00F71FE2">
      <w:pPr>
        <w:autoSpaceDE w:val="0"/>
        <w:autoSpaceDN w:val="0"/>
        <w:adjustRightInd w:val="0"/>
        <w:spacing w:before="120" w:after="120"/>
        <w:jc w:val="both"/>
        <w:rPr>
          <w:rFonts w:ascii="Verdana" w:hAnsi="Verdana" w:cs="OpalCYR"/>
          <w:sz w:val="20"/>
          <w:szCs w:val="20"/>
        </w:rPr>
      </w:pPr>
      <w:r w:rsidRPr="005B6074">
        <w:rPr>
          <w:rFonts w:ascii="Verdana" w:hAnsi="Verdana" w:cs="OpalCYR"/>
          <w:sz w:val="20"/>
          <w:szCs w:val="20"/>
        </w:rPr>
        <w:t>The basic rules of good information gathering and reporting practices include:</w:t>
      </w:r>
    </w:p>
    <w:p w:rsidR="00F71FE2" w:rsidRPr="005B6074" w:rsidRDefault="00F71FE2" w:rsidP="00181A22">
      <w:pPr>
        <w:pStyle w:val="ListParagraph"/>
        <w:numPr>
          <w:ilvl w:val="0"/>
          <w:numId w:val="88"/>
        </w:numPr>
        <w:tabs>
          <w:tab w:val="left" w:pos="426"/>
        </w:tabs>
        <w:autoSpaceDE w:val="0"/>
        <w:autoSpaceDN w:val="0"/>
        <w:adjustRightInd w:val="0"/>
        <w:spacing w:before="120" w:after="120"/>
        <w:jc w:val="both"/>
        <w:rPr>
          <w:rFonts w:ascii="Verdana" w:hAnsi="Verdana"/>
          <w:sz w:val="20"/>
          <w:szCs w:val="20"/>
        </w:rPr>
      </w:pPr>
      <w:r w:rsidRPr="005B6074">
        <w:rPr>
          <w:rFonts w:ascii="Verdana" w:hAnsi="Verdana" w:cs="OpalCYR"/>
          <w:sz w:val="20"/>
          <w:szCs w:val="20"/>
        </w:rPr>
        <w:t>Collecting only information that is really necessary. Collecting of unnecessary data encumbers the system.</w:t>
      </w:r>
    </w:p>
    <w:p w:rsidR="00F71FE2" w:rsidRPr="005B6074" w:rsidRDefault="00F71FE2" w:rsidP="00181A22">
      <w:pPr>
        <w:pStyle w:val="ListParagraph"/>
        <w:numPr>
          <w:ilvl w:val="0"/>
          <w:numId w:val="88"/>
        </w:numPr>
        <w:tabs>
          <w:tab w:val="left" w:pos="426"/>
        </w:tabs>
        <w:autoSpaceDE w:val="0"/>
        <w:autoSpaceDN w:val="0"/>
        <w:adjustRightInd w:val="0"/>
        <w:spacing w:before="120" w:after="120"/>
        <w:jc w:val="both"/>
        <w:rPr>
          <w:rFonts w:ascii="Verdana" w:hAnsi="Verdana"/>
          <w:sz w:val="20"/>
          <w:szCs w:val="20"/>
        </w:rPr>
      </w:pPr>
      <w:r w:rsidRPr="005B6074">
        <w:rPr>
          <w:rFonts w:ascii="Verdana" w:hAnsi="Verdana" w:cs="OpalCYR"/>
          <w:sz w:val="20"/>
          <w:szCs w:val="20"/>
        </w:rPr>
        <w:t>Avoiding to collect twice information that has already been collected. A good monitoring system should enable summarizing data from one level to another without gathering additional information.</w:t>
      </w:r>
    </w:p>
    <w:p w:rsidR="00F71FE2" w:rsidRPr="005B6074" w:rsidRDefault="00F71FE2" w:rsidP="00181A22">
      <w:pPr>
        <w:pStyle w:val="ListParagraph"/>
        <w:numPr>
          <w:ilvl w:val="0"/>
          <w:numId w:val="88"/>
        </w:numPr>
        <w:tabs>
          <w:tab w:val="left" w:pos="426"/>
        </w:tabs>
        <w:autoSpaceDE w:val="0"/>
        <w:autoSpaceDN w:val="0"/>
        <w:adjustRightInd w:val="0"/>
        <w:spacing w:before="120" w:after="120"/>
        <w:jc w:val="both"/>
        <w:rPr>
          <w:rFonts w:ascii="Verdana" w:hAnsi="Verdana"/>
          <w:sz w:val="20"/>
          <w:szCs w:val="20"/>
        </w:rPr>
      </w:pPr>
      <w:r w:rsidRPr="005B6074">
        <w:rPr>
          <w:rFonts w:ascii="Verdana" w:hAnsi="Verdana" w:cs="OpalCYR"/>
          <w:sz w:val="20"/>
          <w:szCs w:val="20"/>
        </w:rPr>
        <w:t>The program monitoring system should have a hierarchical structure, involving data processing, summarizing and verification before delivering it to the following level. Data shall be collected and reported in the following hierarchical sequence</w:t>
      </w:r>
      <w:r w:rsidRPr="005B6074">
        <w:rPr>
          <w:rFonts w:ascii="Verdana" w:hAnsi="Verdana"/>
          <w:sz w:val="20"/>
          <w:szCs w:val="20"/>
        </w:rPr>
        <w:t>:</w:t>
      </w:r>
    </w:p>
    <w:p w:rsidR="00F71FE2" w:rsidRPr="005B6074" w:rsidRDefault="00F71FE2" w:rsidP="00181A22">
      <w:pPr>
        <w:pStyle w:val="ListParagraph"/>
        <w:numPr>
          <w:ilvl w:val="0"/>
          <w:numId w:val="89"/>
        </w:numPr>
        <w:tabs>
          <w:tab w:val="left" w:pos="567"/>
        </w:tabs>
        <w:autoSpaceDE w:val="0"/>
        <w:autoSpaceDN w:val="0"/>
        <w:adjustRightInd w:val="0"/>
        <w:spacing w:before="120" w:after="120"/>
        <w:contextualSpacing/>
        <w:jc w:val="both"/>
        <w:rPr>
          <w:rFonts w:ascii="Verdana" w:hAnsi="Verdana"/>
          <w:sz w:val="20"/>
          <w:szCs w:val="20"/>
        </w:rPr>
      </w:pPr>
      <w:r w:rsidRPr="005B6074">
        <w:rPr>
          <w:rFonts w:ascii="Verdana" w:hAnsi="Verdana"/>
          <w:sz w:val="20"/>
          <w:szCs w:val="20"/>
        </w:rPr>
        <w:t>at end-user level;</w:t>
      </w:r>
    </w:p>
    <w:p w:rsidR="00F71FE2" w:rsidRPr="005B6074" w:rsidRDefault="00F71FE2" w:rsidP="00181A22">
      <w:pPr>
        <w:pStyle w:val="ListParagraph"/>
        <w:numPr>
          <w:ilvl w:val="0"/>
          <w:numId w:val="89"/>
        </w:numPr>
        <w:tabs>
          <w:tab w:val="left" w:pos="567"/>
        </w:tabs>
        <w:autoSpaceDE w:val="0"/>
        <w:autoSpaceDN w:val="0"/>
        <w:adjustRightInd w:val="0"/>
        <w:spacing w:before="120" w:after="120"/>
        <w:contextualSpacing/>
        <w:jc w:val="both"/>
        <w:rPr>
          <w:rFonts w:ascii="Verdana" w:hAnsi="Verdana"/>
          <w:sz w:val="20"/>
          <w:szCs w:val="20"/>
        </w:rPr>
      </w:pPr>
      <w:r w:rsidRPr="005B6074">
        <w:rPr>
          <w:rFonts w:ascii="Verdana" w:hAnsi="Verdana"/>
          <w:sz w:val="20"/>
          <w:szCs w:val="20"/>
        </w:rPr>
        <w:t>at contract level;</w:t>
      </w:r>
    </w:p>
    <w:p w:rsidR="00F71FE2" w:rsidRPr="005B6074" w:rsidRDefault="00F71FE2" w:rsidP="00181A22">
      <w:pPr>
        <w:pStyle w:val="ListParagraph"/>
        <w:numPr>
          <w:ilvl w:val="0"/>
          <w:numId w:val="89"/>
        </w:numPr>
        <w:tabs>
          <w:tab w:val="left" w:pos="567"/>
        </w:tabs>
        <w:autoSpaceDE w:val="0"/>
        <w:autoSpaceDN w:val="0"/>
        <w:adjustRightInd w:val="0"/>
        <w:spacing w:before="120" w:after="120"/>
        <w:contextualSpacing/>
        <w:jc w:val="both"/>
        <w:rPr>
          <w:rFonts w:ascii="Verdana" w:hAnsi="Verdana"/>
          <w:sz w:val="20"/>
          <w:szCs w:val="20"/>
        </w:rPr>
      </w:pPr>
      <w:r w:rsidRPr="005B6074">
        <w:rPr>
          <w:rFonts w:ascii="Verdana" w:hAnsi="Verdana"/>
          <w:sz w:val="20"/>
          <w:szCs w:val="20"/>
        </w:rPr>
        <w:t>at grant scheme / direct grant contract level;</w:t>
      </w:r>
    </w:p>
    <w:p w:rsidR="00F71FE2" w:rsidRPr="005B6074" w:rsidRDefault="00F71FE2" w:rsidP="00181A22">
      <w:pPr>
        <w:pStyle w:val="ListParagraph"/>
        <w:numPr>
          <w:ilvl w:val="0"/>
          <w:numId w:val="89"/>
        </w:numPr>
        <w:tabs>
          <w:tab w:val="left" w:pos="567"/>
        </w:tabs>
        <w:autoSpaceDE w:val="0"/>
        <w:autoSpaceDN w:val="0"/>
        <w:adjustRightInd w:val="0"/>
        <w:spacing w:before="120" w:after="120"/>
        <w:contextualSpacing/>
        <w:jc w:val="both"/>
        <w:rPr>
          <w:rFonts w:ascii="Verdana" w:hAnsi="Verdana"/>
          <w:sz w:val="20"/>
          <w:szCs w:val="20"/>
        </w:rPr>
      </w:pPr>
      <w:r w:rsidRPr="005B6074">
        <w:rPr>
          <w:rFonts w:ascii="Verdana" w:hAnsi="Verdana"/>
          <w:sz w:val="20"/>
          <w:szCs w:val="20"/>
        </w:rPr>
        <w:t>at investment priority and specific objective level;</w:t>
      </w:r>
    </w:p>
    <w:p w:rsidR="00F71FE2" w:rsidRPr="005B6074" w:rsidRDefault="00F71FE2" w:rsidP="00181A22">
      <w:pPr>
        <w:pStyle w:val="ListParagraph"/>
        <w:numPr>
          <w:ilvl w:val="0"/>
          <w:numId w:val="89"/>
        </w:numPr>
        <w:tabs>
          <w:tab w:val="left" w:pos="567"/>
        </w:tabs>
        <w:autoSpaceDE w:val="0"/>
        <w:autoSpaceDN w:val="0"/>
        <w:adjustRightInd w:val="0"/>
        <w:spacing w:before="120" w:after="120"/>
        <w:contextualSpacing/>
        <w:jc w:val="both"/>
        <w:rPr>
          <w:rFonts w:ascii="Verdana" w:hAnsi="Verdana"/>
          <w:sz w:val="20"/>
          <w:szCs w:val="20"/>
        </w:rPr>
      </w:pPr>
      <w:proofErr w:type="gramStart"/>
      <w:r w:rsidRPr="005B6074">
        <w:rPr>
          <w:rFonts w:ascii="Verdana" w:hAnsi="Verdana"/>
          <w:sz w:val="20"/>
          <w:szCs w:val="20"/>
        </w:rPr>
        <w:t>at</w:t>
      </w:r>
      <w:proofErr w:type="gramEnd"/>
      <w:r w:rsidRPr="005B6074">
        <w:rPr>
          <w:rFonts w:ascii="Verdana" w:hAnsi="Verdana"/>
          <w:sz w:val="20"/>
          <w:szCs w:val="20"/>
        </w:rPr>
        <w:t xml:space="preserve"> PA or programme level.</w:t>
      </w:r>
    </w:p>
    <w:p w:rsidR="00F71FE2" w:rsidRPr="005B6074" w:rsidRDefault="00F71FE2" w:rsidP="00F71FE2">
      <w:pPr>
        <w:keepNext/>
        <w:spacing w:before="120" w:after="120"/>
        <w:jc w:val="both"/>
        <w:rPr>
          <w:rFonts w:ascii="Verdana" w:hAnsi="Verdana"/>
          <w:color w:val="548DD4" w:themeColor="text2" w:themeTint="99"/>
          <w:sz w:val="20"/>
          <w:szCs w:val="20"/>
        </w:rPr>
      </w:pPr>
      <w:r w:rsidRPr="005B6074">
        <w:rPr>
          <w:rFonts w:ascii="Verdana" w:hAnsi="Verdana"/>
          <w:color w:val="548DD4" w:themeColor="text2" w:themeTint="99"/>
          <w:sz w:val="20"/>
          <w:szCs w:val="20"/>
        </w:rPr>
        <w:t xml:space="preserve">Who gathers information and who aggregates </w:t>
      </w:r>
      <w:proofErr w:type="gramStart"/>
      <w:r w:rsidRPr="005B6074">
        <w:rPr>
          <w:rFonts w:ascii="Verdana" w:hAnsi="Verdana"/>
          <w:color w:val="548DD4" w:themeColor="text2" w:themeTint="99"/>
          <w:sz w:val="20"/>
          <w:szCs w:val="20"/>
        </w:rPr>
        <w:t>information</w:t>
      </w:r>
      <w:proofErr w:type="gramEnd"/>
      <w:r w:rsidRPr="005B6074">
        <w:rPr>
          <w:rFonts w:ascii="Verdana" w:hAnsi="Verdana"/>
          <w:color w:val="548DD4" w:themeColor="text2" w:themeTint="99"/>
          <w:sz w:val="20"/>
          <w:szCs w:val="20"/>
        </w:rPr>
        <w:t xml:space="preserve">  </w:t>
      </w:r>
    </w:p>
    <w:p w:rsidR="00F71FE2" w:rsidRPr="005B6074" w:rsidRDefault="00F71FE2" w:rsidP="00F71FE2">
      <w:pPr>
        <w:spacing w:before="120" w:after="120"/>
        <w:jc w:val="both"/>
        <w:rPr>
          <w:rFonts w:ascii="Verdana" w:hAnsi="Verdana"/>
          <w:sz w:val="20"/>
          <w:szCs w:val="20"/>
        </w:rPr>
      </w:pPr>
      <w:r w:rsidRPr="005B6074">
        <w:rPr>
          <w:rFonts w:ascii="Verdana" w:hAnsi="Verdana"/>
          <w:sz w:val="20"/>
          <w:szCs w:val="20"/>
        </w:rPr>
        <w:t>The diagram below illustrates the idea of the Contractor’s team for data collection and aggregation in a monitoring system. The diagram follows the EC guidance document on monitoring and evaluation of ESF.</w:t>
      </w:r>
    </w:p>
    <w:p w:rsidR="00F71FE2" w:rsidRPr="005B6074" w:rsidRDefault="00F71FE2" w:rsidP="00F71FE2">
      <w:pPr>
        <w:spacing w:before="120" w:after="120"/>
        <w:jc w:val="both"/>
        <w:rPr>
          <w:rFonts w:ascii="Verdana" w:eastAsia="Malgun Gothic" w:hAnsi="Verdana"/>
          <w:sz w:val="20"/>
          <w:szCs w:val="20"/>
          <w:lang w:eastAsia="ko-KR"/>
        </w:rPr>
      </w:pPr>
      <w:r w:rsidRPr="005B6074">
        <w:rPr>
          <w:rFonts w:ascii="Verdana" w:hAnsi="Verdana"/>
          <w:sz w:val="20"/>
          <w:szCs w:val="20"/>
        </w:rPr>
        <w:lastRenderedPageBreak/>
        <w:t>According to the guidance document “Monitoring and Evaluation of European Cohesion Policy, European Social Fund”</w:t>
      </w:r>
      <w:r w:rsidRPr="005B6074">
        <w:rPr>
          <w:rStyle w:val="FootnoteReference"/>
          <w:rFonts w:ascii="Verdana" w:hAnsi="Verdana"/>
          <w:sz w:val="20"/>
          <w:szCs w:val="20"/>
        </w:rPr>
        <w:footnoteReference w:id="14"/>
      </w:r>
      <w:r w:rsidRPr="005B6074">
        <w:rPr>
          <w:rFonts w:ascii="Verdana" w:eastAsia="Malgun Gothic" w:hAnsi="Verdana"/>
          <w:sz w:val="20"/>
          <w:szCs w:val="20"/>
          <w:lang w:eastAsia="ko-KR"/>
        </w:rPr>
        <w:t xml:space="preserve"> the programme monitoring is built on three types of indicators:</w:t>
      </w:r>
    </w:p>
    <w:p w:rsidR="00F71FE2" w:rsidRPr="005B6074" w:rsidRDefault="00F71FE2" w:rsidP="00181A22">
      <w:pPr>
        <w:pStyle w:val="ListParagraph"/>
        <w:numPr>
          <w:ilvl w:val="0"/>
          <w:numId w:val="91"/>
        </w:numPr>
        <w:spacing w:before="120" w:after="120"/>
        <w:rPr>
          <w:rFonts w:ascii="Verdana" w:eastAsia="Malgun Gothic" w:hAnsi="Verdana"/>
          <w:sz w:val="20"/>
          <w:szCs w:val="20"/>
          <w:lang w:eastAsia="ko-KR"/>
        </w:rPr>
      </w:pPr>
      <w:r w:rsidRPr="005B6074">
        <w:rPr>
          <w:rFonts w:ascii="Verdana" w:eastAsia="Malgun Gothic" w:hAnsi="Verdana"/>
          <w:sz w:val="20"/>
          <w:szCs w:val="20"/>
          <w:lang w:eastAsia="ko-KR"/>
        </w:rPr>
        <w:t>financial indicators;</w:t>
      </w:r>
    </w:p>
    <w:p w:rsidR="00F71FE2" w:rsidRPr="005B6074" w:rsidRDefault="00F71FE2" w:rsidP="00181A22">
      <w:pPr>
        <w:pStyle w:val="ListParagraph"/>
        <w:numPr>
          <w:ilvl w:val="0"/>
          <w:numId w:val="91"/>
        </w:numPr>
        <w:spacing w:before="120" w:after="120"/>
        <w:rPr>
          <w:rFonts w:ascii="Verdana" w:eastAsia="Malgun Gothic" w:hAnsi="Verdana"/>
          <w:sz w:val="20"/>
          <w:szCs w:val="20"/>
          <w:lang w:eastAsia="ko-KR"/>
        </w:rPr>
      </w:pPr>
      <w:r w:rsidRPr="005B6074">
        <w:rPr>
          <w:rFonts w:ascii="Verdana" w:eastAsia="Malgun Gothic" w:hAnsi="Verdana"/>
          <w:sz w:val="20"/>
          <w:szCs w:val="20"/>
          <w:lang w:eastAsia="ko-KR"/>
        </w:rPr>
        <w:t>output indicators;</w:t>
      </w:r>
    </w:p>
    <w:p w:rsidR="00F71FE2" w:rsidRPr="005B6074" w:rsidRDefault="00F71FE2" w:rsidP="00181A22">
      <w:pPr>
        <w:pStyle w:val="ListParagraph"/>
        <w:numPr>
          <w:ilvl w:val="0"/>
          <w:numId w:val="91"/>
        </w:numPr>
        <w:spacing w:before="120" w:after="120"/>
        <w:rPr>
          <w:rFonts w:ascii="Verdana" w:eastAsia="Malgun Gothic" w:hAnsi="Verdana"/>
          <w:sz w:val="20"/>
          <w:szCs w:val="20"/>
          <w:lang w:eastAsia="ko-KR"/>
        </w:rPr>
      </w:pPr>
      <w:proofErr w:type="gramStart"/>
      <w:r w:rsidRPr="005B6074">
        <w:rPr>
          <w:rFonts w:ascii="Verdana" w:eastAsia="Malgun Gothic" w:hAnsi="Verdana"/>
          <w:sz w:val="20"/>
          <w:szCs w:val="20"/>
          <w:lang w:eastAsia="ko-KR"/>
        </w:rPr>
        <w:t>result</w:t>
      </w:r>
      <w:proofErr w:type="gramEnd"/>
      <w:r w:rsidRPr="005B6074">
        <w:rPr>
          <w:rFonts w:ascii="Verdana" w:eastAsia="Malgun Gothic" w:hAnsi="Verdana"/>
          <w:sz w:val="20"/>
          <w:szCs w:val="20"/>
          <w:lang w:eastAsia="ko-KR"/>
        </w:rPr>
        <w:t xml:space="preserve"> indicators.</w:t>
      </w:r>
    </w:p>
    <w:p w:rsidR="00F71FE2" w:rsidRPr="005B6074" w:rsidRDefault="00F71FE2" w:rsidP="00F71FE2">
      <w:pPr>
        <w:jc w:val="both"/>
        <w:rPr>
          <w:rFonts w:ascii="Verdana" w:hAnsi="Verdana"/>
          <w:sz w:val="20"/>
          <w:szCs w:val="20"/>
        </w:rPr>
      </w:pPr>
      <w:r w:rsidRPr="005B6074">
        <w:rPr>
          <w:rFonts w:ascii="Verdana" w:hAnsi="Verdana"/>
          <w:sz w:val="20"/>
          <w:szCs w:val="20"/>
        </w:rPr>
        <w:t>Primary information on the progress shall be collected at grant contract level by the programme beneficiaries. The beneficiaries shall report on implementation by achieved results and achieved values of output indicators.</w:t>
      </w:r>
    </w:p>
    <w:p w:rsidR="00F71FE2" w:rsidRPr="005B6074" w:rsidRDefault="00F71FE2" w:rsidP="00F71FE2">
      <w:pPr>
        <w:tabs>
          <w:tab w:val="left" w:pos="1680"/>
        </w:tabs>
        <w:autoSpaceDE w:val="0"/>
        <w:autoSpaceDN w:val="0"/>
        <w:adjustRightInd w:val="0"/>
        <w:spacing w:after="0" w:line="240" w:lineRule="auto"/>
        <w:ind w:left="851"/>
      </w:pPr>
      <w:r w:rsidRPr="005B6074">
        <w:tab/>
      </w:r>
      <w:r w:rsidRPr="005B6074">
        <w:object w:dxaOrig="11649" w:dyaOrig="8304">
          <v:shape id="_x0000_i1113" type="#_x0000_t75" style="width:468pt;height:309.75pt" o:ole="">
            <v:imagedata r:id="rId60" o:title=""/>
          </v:shape>
          <o:OLEObject Type="Embed" ProgID="Visio.Drawing.11" ShapeID="_x0000_i1113" DrawAspect="Content" ObjectID="_1469971869" r:id="rId61"/>
        </w:object>
      </w:r>
    </w:p>
    <w:p w:rsidR="00F71FE2" w:rsidRPr="005B6074" w:rsidRDefault="00F71FE2" w:rsidP="00F71FE2">
      <w:pPr>
        <w:pStyle w:val="Caption"/>
        <w:jc w:val="center"/>
        <w:rPr>
          <w:rFonts w:ascii="Verdana" w:hAnsi="Verdana"/>
          <w:bCs w:val="0"/>
          <w:color w:val="548DD4" w:themeColor="text2" w:themeTint="99"/>
          <w:lang w:eastAsia="en-US"/>
        </w:rPr>
      </w:pPr>
      <w:bookmarkStart w:id="238" w:name="_Toc381712254"/>
      <w:bookmarkStart w:id="239" w:name="_Toc388432011"/>
      <w:bookmarkStart w:id="240" w:name="_Toc390257341"/>
      <w:bookmarkStart w:id="241" w:name="_Toc394505813"/>
      <w:bookmarkStart w:id="242" w:name="_Toc396225651"/>
      <w:r w:rsidRPr="005B6074">
        <w:rPr>
          <w:rFonts w:ascii="Verdana" w:hAnsi="Verdana"/>
          <w:bCs w:val="0"/>
          <w:color w:val="548DD4" w:themeColor="text2" w:themeTint="99"/>
          <w:lang w:eastAsia="en-US"/>
        </w:rPr>
        <w:t xml:space="preserve">Figure </w:t>
      </w:r>
      <w:r w:rsidRPr="005B6074">
        <w:rPr>
          <w:rFonts w:ascii="Verdana" w:hAnsi="Verdana"/>
          <w:bCs w:val="0"/>
          <w:color w:val="548DD4" w:themeColor="text2" w:themeTint="99"/>
          <w:lang w:eastAsia="en-US"/>
        </w:rPr>
        <w:fldChar w:fldCharType="begin"/>
      </w:r>
      <w:r w:rsidRPr="005B6074">
        <w:rPr>
          <w:rFonts w:ascii="Verdana" w:hAnsi="Verdana"/>
          <w:bCs w:val="0"/>
          <w:color w:val="548DD4" w:themeColor="text2" w:themeTint="99"/>
          <w:lang w:eastAsia="en-US"/>
        </w:rPr>
        <w:instrText>SEQ фигура \* ARABIC</w:instrText>
      </w:r>
      <w:r w:rsidRPr="005B6074">
        <w:rPr>
          <w:rFonts w:ascii="Verdana" w:hAnsi="Verdana"/>
          <w:bCs w:val="0"/>
          <w:color w:val="548DD4" w:themeColor="text2" w:themeTint="99"/>
          <w:lang w:eastAsia="en-US"/>
        </w:rPr>
        <w:fldChar w:fldCharType="separate"/>
      </w:r>
      <w:r w:rsidR="009330F5">
        <w:rPr>
          <w:rFonts w:ascii="Verdana" w:hAnsi="Verdana"/>
          <w:bCs w:val="0"/>
          <w:noProof/>
          <w:color w:val="548DD4" w:themeColor="text2" w:themeTint="99"/>
          <w:lang w:eastAsia="en-US"/>
        </w:rPr>
        <w:t>15</w:t>
      </w:r>
      <w:r w:rsidRPr="005B6074">
        <w:rPr>
          <w:rFonts w:ascii="Verdana" w:hAnsi="Verdana"/>
          <w:bCs w:val="0"/>
          <w:color w:val="548DD4" w:themeColor="text2" w:themeTint="99"/>
          <w:lang w:eastAsia="en-US"/>
        </w:rPr>
        <w:fldChar w:fldCharType="end"/>
      </w:r>
      <w:r w:rsidRPr="005B6074">
        <w:rPr>
          <w:rFonts w:ascii="Verdana" w:hAnsi="Verdana"/>
          <w:bCs w:val="0"/>
          <w:color w:val="548DD4" w:themeColor="text2" w:themeTint="99"/>
          <w:lang w:eastAsia="en-US"/>
        </w:rPr>
        <w:t xml:space="preserve">: </w:t>
      </w:r>
      <w:bookmarkEnd w:id="238"/>
      <w:bookmarkEnd w:id="239"/>
      <w:bookmarkEnd w:id="240"/>
      <w:r w:rsidRPr="005B6074">
        <w:rPr>
          <w:rFonts w:ascii="Verdana" w:hAnsi="Verdana"/>
          <w:bCs w:val="0"/>
          <w:color w:val="548DD4" w:themeColor="text2" w:themeTint="99"/>
          <w:lang w:eastAsia="en-US"/>
        </w:rPr>
        <w:t>Data collection and aggregation system</w:t>
      </w:r>
      <w:bookmarkEnd w:id="241"/>
      <w:bookmarkEnd w:id="242"/>
    </w:p>
    <w:p w:rsidR="00F71FE2" w:rsidRPr="005B6074" w:rsidRDefault="00F71FE2" w:rsidP="00F71FE2">
      <w:pPr>
        <w:autoSpaceDE w:val="0"/>
        <w:autoSpaceDN w:val="0"/>
        <w:adjustRightInd w:val="0"/>
        <w:spacing w:before="120" w:after="120"/>
        <w:jc w:val="center"/>
        <w:rPr>
          <w:rFonts w:ascii="Verdana" w:hAnsi="Verdana" w:cs="TimesNewRomanPSMT"/>
          <w:sz w:val="16"/>
          <w:szCs w:val="16"/>
          <w:lang w:eastAsia="bg-BG"/>
        </w:rPr>
      </w:pPr>
      <w:r w:rsidRPr="005B6074">
        <w:rPr>
          <w:rFonts w:ascii="Verdana" w:hAnsi="Verdana" w:cs="TimesNewRomanPSMT"/>
          <w:sz w:val="16"/>
          <w:szCs w:val="16"/>
          <w:lang w:eastAsia="bg-BG"/>
        </w:rPr>
        <w:t>Source: Ecorys, based on good practices of monitoring systems</w:t>
      </w:r>
    </w:p>
    <w:p w:rsidR="00F71FE2" w:rsidRPr="005B6074" w:rsidRDefault="00F71FE2" w:rsidP="00F71FE2">
      <w:pPr>
        <w:jc w:val="both"/>
        <w:rPr>
          <w:rFonts w:ascii="Verdana" w:hAnsi="Verdana"/>
          <w:sz w:val="20"/>
          <w:szCs w:val="20"/>
        </w:rPr>
      </w:pPr>
    </w:p>
    <w:p w:rsidR="00F71FE2" w:rsidRPr="005B6074" w:rsidRDefault="00F71FE2" w:rsidP="00F71FE2">
      <w:pPr>
        <w:autoSpaceDE w:val="0"/>
        <w:autoSpaceDN w:val="0"/>
        <w:adjustRightInd w:val="0"/>
        <w:spacing w:after="120"/>
        <w:jc w:val="both"/>
        <w:rPr>
          <w:rFonts w:ascii="Verdana" w:hAnsi="Verdana"/>
          <w:sz w:val="20"/>
          <w:szCs w:val="20"/>
        </w:rPr>
      </w:pPr>
      <w:r w:rsidRPr="005B6074">
        <w:rPr>
          <w:rFonts w:ascii="Verdana" w:hAnsi="Verdana"/>
          <w:sz w:val="20"/>
          <w:szCs w:val="20"/>
        </w:rPr>
        <w:t xml:space="preserve">It is recommended that there is possibility to enter in UMIS all numerical values of indicators when a respective grant contract is concluded, and the system sums up the achieved indicator values for the next reporting level. It is very important that there is </w:t>
      </w:r>
      <w:r w:rsidRPr="005B6074">
        <w:rPr>
          <w:rFonts w:ascii="Verdana" w:hAnsi="Verdana"/>
          <w:sz w:val="20"/>
          <w:szCs w:val="20"/>
        </w:rPr>
        <w:lastRenderedPageBreak/>
        <w:t>good coordination between departments as regards data collection and aggregation, and it should be clear which department collects which indicator data, which department aggregates it, and which one summarizes and analy</w:t>
      </w:r>
      <w:r w:rsidR="00845752">
        <w:rPr>
          <w:rFonts w:ascii="Verdana" w:hAnsi="Verdana"/>
          <w:sz w:val="20"/>
          <w:szCs w:val="20"/>
        </w:rPr>
        <w:t>s</w:t>
      </w:r>
      <w:r w:rsidRPr="005B6074">
        <w:rPr>
          <w:rFonts w:ascii="Verdana" w:hAnsi="Verdana"/>
          <w:sz w:val="20"/>
          <w:szCs w:val="20"/>
        </w:rPr>
        <w:t>es the achieved values.</w:t>
      </w:r>
    </w:p>
    <w:p w:rsidR="00F71FE2" w:rsidRPr="005B6074" w:rsidRDefault="00F71FE2" w:rsidP="00F71FE2">
      <w:pPr>
        <w:autoSpaceDE w:val="0"/>
        <w:autoSpaceDN w:val="0"/>
        <w:adjustRightInd w:val="0"/>
        <w:spacing w:after="120"/>
        <w:jc w:val="both"/>
        <w:rPr>
          <w:rFonts w:ascii="Verdana" w:hAnsi="Verdana"/>
          <w:sz w:val="20"/>
          <w:szCs w:val="20"/>
        </w:rPr>
      </w:pPr>
      <w:r w:rsidRPr="005B6074">
        <w:rPr>
          <w:rFonts w:ascii="Verdana" w:hAnsi="Verdana"/>
          <w:sz w:val="20"/>
          <w:szCs w:val="20"/>
        </w:rPr>
        <w:t xml:space="preserve">The aggregated data at grant/ activity level shall be analysed, and its contribution to the achievement of financial indices and common result indicators shall be evaluated. The aggregated values of result indicators will show the achievement of the specific objectives of investment priorities. </w:t>
      </w:r>
    </w:p>
    <w:p w:rsidR="00F71FE2" w:rsidRPr="005B6074" w:rsidRDefault="00F71FE2" w:rsidP="00F71FE2">
      <w:pPr>
        <w:autoSpaceDE w:val="0"/>
        <w:autoSpaceDN w:val="0"/>
        <w:adjustRightInd w:val="0"/>
        <w:spacing w:after="120"/>
        <w:jc w:val="both"/>
        <w:rPr>
          <w:rFonts w:ascii="Verdana" w:hAnsi="Verdana"/>
          <w:sz w:val="20"/>
          <w:szCs w:val="20"/>
        </w:rPr>
      </w:pPr>
      <w:r w:rsidRPr="005B6074">
        <w:rPr>
          <w:rFonts w:ascii="Verdana" w:hAnsi="Verdana"/>
          <w:sz w:val="20"/>
          <w:szCs w:val="20"/>
        </w:rPr>
        <w:t xml:space="preserve">Based on aggregated values of result indicators MA shall correlate the achieved results with the measures of the National Reform Programme, Strategy Bulgaria 2020, the Partnership Agreement and other national strategic documents. </w:t>
      </w:r>
    </w:p>
    <w:p w:rsidR="00F71FE2" w:rsidRPr="005B6074" w:rsidRDefault="00F71FE2" w:rsidP="00F71FE2">
      <w:pPr>
        <w:autoSpaceDE w:val="0"/>
        <w:autoSpaceDN w:val="0"/>
        <w:adjustRightInd w:val="0"/>
        <w:spacing w:after="120"/>
        <w:jc w:val="both"/>
        <w:rPr>
          <w:rFonts w:ascii="Verdana" w:hAnsi="Verdana"/>
          <w:sz w:val="20"/>
          <w:szCs w:val="20"/>
        </w:rPr>
      </w:pPr>
      <w:r w:rsidRPr="005B6074">
        <w:rPr>
          <w:rFonts w:ascii="Verdana" w:hAnsi="Verdana"/>
          <w:sz w:val="20"/>
          <w:szCs w:val="20"/>
        </w:rPr>
        <w:t>Depending on the time limits, set for reporting to the national authorities responsible for management of ESIF, CA, AA, MC and EC and the evaluation timeframe indicated in the evaluation plan, MA shall specify the frequency of reporting by beneficiaries and for preparing reports by the MA departments responsible for the programme monitoring.</w:t>
      </w:r>
    </w:p>
    <w:p w:rsidR="00F71FE2" w:rsidRPr="005B6074" w:rsidRDefault="00F71FE2" w:rsidP="00F71FE2">
      <w:pPr>
        <w:autoSpaceDE w:val="0"/>
        <w:autoSpaceDN w:val="0"/>
        <w:adjustRightInd w:val="0"/>
        <w:spacing w:after="120"/>
        <w:jc w:val="both"/>
        <w:rPr>
          <w:rFonts w:ascii="Verdana" w:hAnsi="Verdana"/>
          <w:sz w:val="20"/>
          <w:szCs w:val="20"/>
        </w:rPr>
      </w:pPr>
      <w:r w:rsidRPr="005B6074">
        <w:rPr>
          <w:rFonts w:ascii="Verdana" w:hAnsi="Verdana"/>
          <w:sz w:val="20"/>
          <w:szCs w:val="20"/>
        </w:rPr>
        <w:t>Data about achievement of the target values of longer-term result indicators is usually collected through investigations and evaluations and not through the established monitoring system</w:t>
      </w:r>
      <w:r w:rsidRPr="005B6074">
        <w:rPr>
          <w:rFonts w:ascii="Verdana" w:hAnsi="Verdana" w:cs="TimesNewRomanPSMT"/>
          <w:sz w:val="20"/>
          <w:szCs w:val="20"/>
          <w:lang w:eastAsia="bg-BG"/>
        </w:rPr>
        <w:t xml:space="preserve">. </w:t>
      </w:r>
    </w:p>
    <w:p w:rsidR="00F71FE2" w:rsidRPr="005B6074" w:rsidRDefault="00F71FE2" w:rsidP="00F71FE2">
      <w:pPr>
        <w:autoSpaceDE w:val="0"/>
        <w:autoSpaceDN w:val="0"/>
        <w:adjustRightInd w:val="0"/>
        <w:spacing w:before="120" w:after="120"/>
        <w:jc w:val="center"/>
        <w:rPr>
          <w:rFonts w:ascii="Verdana" w:hAnsi="Verdana" w:cs="TimesNewRomanPSMT"/>
          <w:sz w:val="16"/>
          <w:szCs w:val="16"/>
          <w:lang w:eastAsia="bg-BG"/>
        </w:rPr>
      </w:pPr>
    </w:p>
    <w:p w:rsidR="00F71FE2" w:rsidRPr="005B6074" w:rsidRDefault="00F71FE2" w:rsidP="00F71FE2">
      <w:pPr>
        <w:keepNext/>
        <w:pBdr>
          <w:bottom w:val="single" w:sz="12" w:space="1" w:color="0070C0"/>
        </w:pBdr>
        <w:autoSpaceDE w:val="0"/>
        <w:autoSpaceDN w:val="0"/>
        <w:adjustRightInd w:val="0"/>
        <w:spacing w:before="120" w:after="120" w:line="240" w:lineRule="auto"/>
        <w:rPr>
          <w:rFonts w:ascii="Verdana" w:eastAsia="Times New Roman" w:hAnsi="Verdana" w:cs="TimesNewRomanPSMT"/>
          <w:i/>
          <w:color w:val="548DD4" w:themeColor="text2" w:themeTint="99"/>
          <w:sz w:val="20"/>
          <w:szCs w:val="20"/>
          <w:lang w:eastAsia="bg-BG"/>
        </w:rPr>
      </w:pPr>
      <w:r w:rsidRPr="005B6074">
        <w:rPr>
          <w:rFonts w:ascii="Verdana" w:eastAsia="Times New Roman" w:hAnsi="Verdana" w:cs="TimesNewRomanPSMT"/>
          <w:i/>
          <w:color w:val="548DD4" w:themeColor="text2" w:themeTint="99"/>
          <w:sz w:val="20"/>
          <w:szCs w:val="20"/>
          <w:lang w:eastAsia="bg-BG"/>
        </w:rPr>
        <w:t xml:space="preserve">Data necessary to carry out evaluations </w:t>
      </w:r>
    </w:p>
    <w:p w:rsidR="00F71FE2" w:rsidRPr="005B6074" w:rsidRDefault="00F71FE2" w:rsidP="00F71FE2">
      <w:pPr>
        <w:autoSpaceDE w:val="0"/>
        <w:autoSpaceDN w:val="0"/>
        <w:adjustRightInd w:val="0"/>
        <w:spacing w:before="120" w:after="120"/>
        <w:jc w:val="both"/>
        <w:rPr>
          <w:rFonts w:ascii="Verdana" w:hAnsi="Verdana" w:cs="TimesNewRomanPSMT"/>
          <w:sz w:val="20"/>
          <w:szCs w:val="20"/>
          <w:lang w:eastAsia="bg-BG"/>
        </w:rPr>
      </w:pPr>
      <w:r w:rsidRPr="005B6074">
        <w:rPr>
          <w:rFonts w:ascii="Verdana" w:hAnsi="Verdana" w:cs="TimesNewRomanPSMT"/>
          <w:sz w:val="20"/>
          <w:szCs w:val="20"/>
          <w:lang w:eastAsia="bg-BG"/>
        </w:rPr>
        <w:t>The main data source for carrying out of evaluations will be the program monitoring system, including administrative, quantity and quality data like:</w:t>
      </w:r>
    </w:p>
    <w:p w:rsidR="00F71FE2" w:rsidRPr="005B6074" w:rsidRDefault="00F71FE2" w:rsidP="00181A22">
      <w:pPr>
        <w:pStyle w:val="ListParagraph"/>
        <w:numPr>
          <w:ilvl w:val="0"/>
          <w:numId w:val="90"/>
        </w:numPr>
        <w:autoSpaceDE w:val="0"/>
        <w:autoSpaceDN w:val="0"/>
        <w:adjustRightInd w:val="0"/>
        <w:spacing w:before="120" w:after="120" w:line="240" w:lineRule="auto"/>
        <w:jc w:val="both"/>
        <w:rPr>
          <w:rFonts w:ascii="Verdana" w:hAnsi="Verdana" w:cs="TimesNewRomanPSMT"/>
          <w:sz w:val="20"/>
          <w:szCs w:val="20"/>
          <w:lang w:eastAsia="bg-BG"/>
        </w:rPr>
      </w:pPr>
      <w:r w:rsidRPr="005B6074">
        <w:rPr>
          <w:rFonts w:ascii="Verdana" w:hAnsi="Verdana" w:cs="TimesNewRomanPSMT"/>
          <w:sz w:val="20"/>
          <w:szCs w:val="20"/>
          <w:lang w:eastAsia="bg-BG"/>
        </w:rPr>
        <w:t>Indicators data;</w:t>
      </w:r>
    </w:p>
    <w:p w:rsidR="00F71FE2" w:rsidRPr="005B6074" w:rsidRDefault="00F71FE2" w:rsidP="00181A22">
      <w:pPr>
        <w:pStyle w:val="ListParagraph"/>
        <w:numPr>
          <w:ilvl w:val="0"/>
          <w:numId w:val="90"/>
        </w:numPr>
        <w:autoSpaceDE w:val="0"/>
        <w:autoSpaceDN w:val="0"/>
        <w:adjustRightInd w:val="0"/>
        <w:spacing w:before="120" w:after="120" w:line="240" w:lineRule="auto"/>
        <w:jc w:val="both"/>
        <w:rPr>
          <w:rFonts w:ascii="Verdana" w:hAnsi="Verdana" w:cs="TimesNewRomanPSMT"/>
          <w:sz w:val="20"/>
          <w:szCs w:val="20"/>
          <w:lang w:eastAsia="bg-BG"/>
        </w:rPr>
      </w:pPr>
      <w:r w:rsidRPr="005B6074">
        <w:rPr>
          <w:rFonts w:ascii="Verdana" w:hAnsi="Verdana" w:cs="TimesNewRomanPSMT"/>
          <w:sz w:val="20"/>
          <w:szCs w:val="20"/>
          <w:lang w:eastAsia="bg-BG"/>
        </w:rPr>
        <w:t>Data about the financial progress;</w:t>
      </w:r>
    </w:p>
    <w:p w:rsidR="00F71FE2" w:rsidRPr="005B6074" w:rsidRDefault="00F71FE2" w:rsidP="00181A22">
      <w:pPr>
        <w:pStyle w:val="ListParagraph"/>
        <w:numPr>
          <w:ilvl w:val="0"/>
          <w:numId w:val="90"/>
        </w:numPr>
        <w:autoSpaceDE w:val="0"/>
        <w:autoSpaceDN w:val="0"/>
        <w:adjustRightInd w:val="0"/>
        <w:spacing w:before="120" w:after="120" w:line="240" w:lineRule="auto"/>
        <w:jc w:val="both"/>
        <w:rPr>
          <w:rFonts w:ascii="Verdana" w:hAnsi="Verdana" w:cs="TimesNewRomanPSMT"/>
          <w:sz w:val="20"/>
          <w:szCs w:val="20"/>
          <w:lang w:eastAsia="bg-BG"/>
        </w:rPr>
      </w:pPr>
      <w:r w:rsidRPr="005B6074">
        <w:rPr>
          <w:rFonts w:ascii="Verdana" w:hAnsi="Verdana" w:cs="TimesNewRomanPSMT"/>
          <w:sz w:val="20"/>
          <w:szCs w:val="20"/>
          <w:lang w:eastAsia="bg-BG"/>
        </w:rPr>
        <w:t>Administrative data about concluded contracts, completed contracts, time limits for review and assessment of project proposals, time limits for verification and payment;</w:t>
      </w:r>
    </w:p>
    <w:p w:rsidR="00F71FE2" w:rsidRPr="005B6074" w:rsidRDefault="00F71FE2" w:rsidP="00181A22">
      <w:pPr>
        <w:pStyle w:val="ListParagraph"/>
        <w:numPr>
          <w:ilvl w:val="0"/>
          <w:numId w:val="90"/>
        </w:numPr>
        <w:autoSpaceDE w:val="0"/>
        <w:autoSpaceDN w:val="0"/>
        <w:adjustRightInd w:val="0"/>
        <w:spacing w:before="120" w:after="120" w:line="240" w:lineRule="auto"/>
        <w:jc w:val="both"/>
        <w:rPr>
          <w:rFonts w:ascii="Verdana" w:hAnsi="Verdana" w:cs="TimesNewRomanPSMT"/>
          <w:sz w:val="20"/>
          <w:szCs w:val="20"/>
          <w:lang w:eastAsia="bg-BG"/>
        </w:rPr>
      </w:pPr>
      <w:r w:rsidRPr="005B6074">
        <w:rPr>
          <w:rFonts w:ascii="Verdana" w:hAnsi="Verdana" w:cs="TimesNewRomanPSMT"/>
          <w:sz w:val="20"/>
          <w:szCs w:val="20"/>
          <w:lang w:eastAsia="bg-BG"/>
        </w:rPr>
        <w:t>Programme documents and manuals;</w:t>
      </w:r>
    </w:p>
    <w:p w:rsidR="00F71FE2" w:rsidRPr="005B6074" w:rsidRDefault="00F71FE2" w:rsidP="00181A22">
      <w:pPr>
        <w:pStyle w:val="ListParagraph"/>
        <w:numPr>
          <w:ilvl w:val="0"/>
          <w:numId w:val="90"/>
        </w:numPr>
        <w:autoSpaceDE w:val="0"/>
        <w:autoSpaceDN w:val="0"/>
        <w:adjustRightInd w:val="0"/>
        <w:spacing w:before="120" w:after="120" w:line="240" w:lineRule="auto"/>
        <w:jc w:val="both"/>
        <w:rPr>
          <w:rFonts w:ascii="Verdana" w:hAnsi="Verdana" w:cs="TimesNewRomanPSMT"/>
          <w:sz w:val="20"/>
          <w:szCs w:val="20"/>
          <w:lang w:eastAsia="bg-BG"/>
        </w:rPr>
      </w:pPr>
      <w:r w:rsidRPr="005B6074">
        <w:rPr>
          <w:rFonts w:ascii="Verdana" w:hAnsi="Verdana" w:cs="TimesNewRomanPSMT"/>
          <w:sz w:val="20"/>
          <w:szCs w:val="20"/>
          <w:lang w:eastAsia="bg-BG"/>
        </w:rPr>
        <w:t>Annual reports on the programme and reports to the MC;</w:t>
      </w:r>
    </w:p>
    <w:p w:rsidR="00F71FE2" w:rsidRPr="005B6074" w:rsidRDefault="00F71FE2" w:rsidP="00181A22">
      <w:pPr>
        <w:pStyle w:val="ListParagraph"/>
        <w:numPr>
          <w:ilvl w:val="0"/>
          <w:numId w:val="90"/>
        </w:numPr>
        <w:autoSpaceDE w:val="0"/>
        <w:autoSpaceDN w:val="0"/>
        <w:adjustRightInd w:val="0"/>
        <w:spacing w:before="120" w:after="120" w:line="240" w:lineRule="auto"/>
        <w:jc w:val="both"/>
        <w:rPr>
          <w:rFonts w:ascii="Verdana" w:hAnsi="Verdana" w:cs="TimesNewRomanPSMT"/>
          <w:sz w:val="20"/>
          <w:szCs w:val="20"/>
          <w:lang w:eastAsia="bg-BG"/>
        </w:rPr>
      </w:pPr>
      <w:r w:rsidRPr="005B6074">
        <w:rPr>
          <w:rFonts w:ascii="Verdana" w:hAnsi="Verdana" w:cs="TimesNewRomanPSMT"/>
          <w:sz w:val="20"/>
          <w:szCs w:val="20"/>
          <w:lang w:eastAsia="bg-BG"/>
        </w:rPr>
        <w:t>Final reports at scheme level;</w:t>
      </w:r>
    </w:p>
    <w:p w:rsidR="00F71FE2" w:rsidRPr="005B6074" w:rsidRDefault="00F71FE2" w:rsidP="00181A22">
      <w:pPr>
        <w:pStyle w:val="ListParagraph"/>
        <w:numPr>
          <w:ilvl w:val="0"/>
          <w:numId w:val="90"/>
        </w:numPr>
        <w:autoSpaceDE w:val="0"/>
        <w:autoSpaceDN w:val="0"/>
        <w:adjustRightInd w:val="0"/>
        <w:spacing w:before="120" w:after="120" w:line="240" w:lineRule="auto"/>
        <w:jc w:val="both"/>
        <w:rPr>
          <w:rFonts w:ascii="Verdana" w:hAnsi="Verdana" w:cs="TimesNewRomanPSMT"/>
          <w:sz w:val="20"/>
          <w:szCs w:val="20"/>
          <w:lang w:eastAsia="bg-BG"/>
        </w:rPr>
      </w:pPr>
      <w:r w:rsidRPr="005B6074">
        <w:rPr>
          <w:rFonts w:ascii="Verdana" w:hAnsi="Verdana" w:cs="TimesNewRomanPSMT"/>
          <w:sz w:val="20"/>
          <w:szCs w:val="20"/>
          <w:lang w:eastAsia="bg-BG"/>
        </w:rPr>
        <w:t>Intermediate and final reports on contracts.</w:t>
      </w:r>
    </w:p>
    <w:p w:rsidR="00F71FE2" w:rsidRPr="005B6074" w:rsidRDefault="00F71FE2" w:rsidP="00F71FE2">
      <w:pPr>
        <w:autoSpaceDE w:val="0"/>
        <w:autoSpaceDN w:val="0"/>
        <w:adjustRightInd w:val="0"/>
        <w:spacing w:before="120" w:after="120"/>
        <w:jc w:val="both"/>
        <w:rPr>
          <w:rFonts w:ascii="Verdana" w:hAnsi="Verdana" w:cs="TimesNewRomanPSMT"/>
          <w:sz w:val="20"/>
          <w:szCs w:val="20"/>
          <w:lang w:eastAsia="bg-BG"/>
        </w:rPr>
      </w:pPr>
      <w:r w:rsidRPr="005B6074">
        <w:rPr>
          <w:rFonts w:ascii="Verdana" w:hAnsi="Verdana" w:cs="TimesNewRomanPSMT"/>
          <w:sz w:val="20"/>
          <w:szCs w:val="20"/>
          <w:lang w:eastAsia="bg-BG"/>
        </w:rPr>
        <w:t>Additional data will also be necessary for carrying out the evaluations; such data shall in most cases be collected by the evaluation team and shall include data from investigations, on-site visits, interviews, and administrative data obtained from other institutions. In the current programming period, based on the experience from carrying out evaluations under HRD OP 2007-2014 where MES was an intermediate body for the measures in the area of education, difficulties have been experienced with providing data for evaluation purposes, mostly regarding data which would enable the evaluators to gather additional information from end-beneficiaries.</w:t>
      </w:r>
    </w:p>
    <w:p w:rsidR="00F71FE2" w:rsidRPr="005B6074" w:rsidRDefault="00F71FE2" w:rsidP="00F71FE2">
      <w:pPr>
        <w:autoSpaceDE w:val="0"/>
        <w:autoSpaceDN w:val="0"/>
        <w:adjustRightInd w:val="0"/>
        <w:spacing w:before="120" w:after="120"/>
        <w:jc w:val="both"/>
        <w:rPr>
          <w:rFonts w:ascii="Verdana" w:hAnsi="Verdana" w:cs="TimesNewRomanPSMT"/>
          <w:sz w:val="20"/>
          <w:szCs w:val="20"/>
          <w:lang w:eastAsia="bg-BG"/>
        </w:rPr>
      </w:pPr>
      <w:r w:rsidRPr="005B6074">
        <w:rPr>
          <w:rFonts w:ascii="Verdana" w:hAnsi="Verdana" w:cs="TimesNewRomanPSMT"/>
          <w:sz w:val="20"/>
          <w:szCs w:val="20"/>
          <w:lang w:eastAsia="bg-BG"/>
        </w:rPr>
        <w:t xml:space="preserve">MA should be ready to provide qualitative and quantitative data from the monitoring system and envisage the need for obtaining additional information, providing support for the team </w:t>
      </w:r>
      <w:r w:rsidRPr="005B6074">
        <w:rPr>
          <w:rFonts w:ascii="Verdana" w:hAnsi="Verdana" w:cs="TimesNewRomanPSMT"/>
          <w:sz w:val="20"/>
          <w:szCs w:val="20"/>
          <w:lang w:eastAsia="bg-BG"/>
        </w:rPr>
        <w:lastRenderedPageBreak/>
        <w:t xml:space="preserve">of evaluators for the purpose. That means that, besides the matters discussed above, the monitoring system shall be designed in such a way as to provide the necessary contact details of end-beneficiaries. </w:t>
      </w:r>
    </w:p>
    <w:p w:rsidR="00F71FE2" w:rsidRPr="005B6074" w:rsidRDefault="00F71FE2" w:rsidP="00F71FE2">
      <w:pPr>
        <w:pStyle w:val="BodyText"/>
        <w:widowControl w:val="0"/>
        <w:tabs>
          <w:tab w:val="left" w:pos="0"/>
          <w:tab w:val="right" w:pos="9214"/>
        </w:tabs>
        <w:spacing w:before="120" w:line="276" w:lineRule="auto"/>
        <w:jc w:val="both"/>
        <w:rPr>
          <w:rFonts w:ascii="Verdana" w:hAnsi="Verdana"/>
          <w:bCs/>
          <w:color w:val="000000"/>
          <w:sz w:val="20"/>
          <w:szCs w:val="20"/>
        </w:rPr>
      </w:pPr>
    </w:p>
    <w:tbl>
      <w:tblPr>
        <w:tblW w:w="0" w:type="auto"/>
        <w:tblInd w:w="108" w:type="dxa"/>
        <w:tblBorders>
          <w:top w:val="single" w:sz="4" w:space="0" w:color="auto"/>
          <w:bottom w:val="single" w:sz="4" w:space="0" w:color="auto"/>
        </w:tblBorders>
        <w:tblLook w:val="04A0" w:firstRow="1" w:lastRow="0" w:firstColumn="1" w:lastColumn="0" w:noHBand="0" w:noVBand="1"/>
      </w:tblPr>
      <w:tblGrid>
        <w:gridCol w:w="525"/>
        <w:gridCol w:w="8457"/>
      </w:tblGrid>
      <w:tr w:rsidR="00F71FE2" w:rsidRPr="005B6074" w:rsidTr="005B6074">
        <w:tc>
          <w:tcPr>
            <w:tcW w:w="527" w:type="dxa"/>
            <w:vAlign w:val="center"/>
          </w:tcPr>
          <w:p w:rsidR="00F71FE2" w:rsidRPr="005B6074" w:rsidRDefault="00F71FE2" w:rsidP="005B6074">
            <w:pPr>
              <w:pStyle w:val="BodyText"/>
              <w:spacing w:before="120" w:line="276" w:lineRule="auto"/>
              <w:jc w:val="center"/>
              <w:rPr>
                <w:rFonts w:ascii="Verdana" w:hAnsi="Verdana"/>
                <w:color w:val="548DD4"/>
                <w:sz w:val="36"/>
                <w:szCs w:val="36"/>
              </w:rPr>
            </w:pPr>
            <w:r w:rsidRPr="005B6074">
              <w:rPr>
                <w:rFonts w:ascii="Verdana" w:hAnsi="Verdana"/>
                <w:color w:val="548DD4"/>
                <w:sz w:val="36"/>
                <w:szCs w:val="36"/>
              </w:rPr>
              <w:t>?</w:t>
            </w:r>
          </w:p>
        </w:tc>
        <w:tc>
          <w:tcPr>
            <w:tcW w:w="8563" w:type="dxa"/>
            <w:shd w:val="clear" w:color="auto" w:fill="B8CCE4"/>
          </w:tcPr>
          <w:p w:rsidR="00F71FE2" w:rsidRPr="005B6074" w:rsidRDefault="00F71FE2" w:rsidP="005B6074">
            <w:pPr>
              <w:autoSpaceDE w:val="0"/>
              <w:autoSpaceDN w:val="0"/>
              <w:adjustRightInd w:val="0"/>
              <w:spacing w:before="120" w:after="120"/>
              <w:rPr>
                <w:rFonts w:ascii="Verdana" w:hAnsi="Verdana"/>
                <w:sz w:val="20"/>
                <w:szCs w:val="20"/>
              </w:rPr>
            </w:pPr>
            <w:r w:rsidRPr="005B6074">
              <w:rPr>
                <w:rFonts w:ascii="Verdana" w:hAnsi="Verdana"/>
                <w:sz w:val="20"/>
                <w:szCs w:val="20"/>
              </w:rPr>
              <w:t>Adequacy of the evaluation plan and formulation of recommendations</w:t>
            </w:r>
          </w:p>
        </w:tc>
      </w:tr>
    </w:tbl>
    <w:p w:rsidR="00F71FE2" w:rsidRPr="005B6074" w:rsidRDefault="00F71FE2" w:rsidP="00F71FE2">
      <w:pPr>
        <w:pStyle w:val="BodyText"/>
        <w:widowControl w:val="0"/>
        <w:tabs>
          <w:tab w:val="left" w:pos="0"/>
          <w:tab w:val="right" w:pos="9214"/>
        </w:tabs>
        <w:spacing w:before="120" w:after="0" w:line="276" w:lineRule="auto"/>
        <w:jc w:val="both"/>
        <w:rPr>
          <w:rFonts w:ascii="Verdana" w:eastAsia="Malgun Gothic" w:hAnsi="Verdana"/>
          <w:bCs/>
          <w:color w:val="000000"/>
          <w:sz w:val="20"/>
          <w:szCs w:val="20"/>
          <w:lang w:eastAsia="ko-KR"/>
        </w:rPr>
      </w:pPr>
      <w:r w:rsidRPr="005B6074">
        <w:rPr>
          <w:rFonts w:ascii="Verdana" w:hAnsi="Verdana" w:cs="TimesNewRomanPSMT"/>
          <w:sz w:val="20"/>
          <w:szCs w:val="20"/>
        </w:rPr>
        <w:t xml:space="preserve">The </w:t>
      </w:r>
      <w:r w:rsidR="005B35A7">
        <w:rPr>
          <w:rFonts w:ascii="Verdana" w:eastAsia="Malgun Gothic" w:hAnsi="Verdana"/>
          <w:bCs/>
          <w:color w:val="000000"/>
          <w:sz w:val="20"/>
          <w:szCs w:val="20"/>
          <w:lang w:eastAsia="ko-KR"/>
        </w:rPr>
        <w:t>OPSESG</w:t>
      </w:r>
      <w:r w:rsidRPr="005B6074">
        <w:rPr>
          <w:rFonts w:ascii="Verdana" w:eastAsia="Malgun Gothic" w:hAnsi="Verdana"/>
          <w:bCs/>
          <w:color w:val="000000"/>
          <w:sz w:val="20"/>
          <w:szCs w:val="20"/>
          <w:lang w:eastAsia="ko-KR"/>
        </w:rPr>
        <w:t xml:space="preserve"> 2014-2020 evaluation plan has not been drawn up yet. It is envisaged that the plan will be developed after completing the work under the operational programme and in the time limits specified under art. 114 (1) of Regulation 1303/2013 (general provisions). That is why it was impossible to review the evaluation plan within the ex-ante evaluation.</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cs="TimesNewRomanPSMT"/>
          <w:sz w:val="20"/>
          <w:szCs w:val="20"/>
        </w:rPr>
      </w:pPr>
      <w:r w:rsidRPr="005B6074">
        <w:rPr>
          <w:rFonts w:ascii="Verdana" w:eastAsia="Malgun Gothic" w:hAnsi="Verdana"/>
          <w:bCs/>
          <w:color w:val="000000"/>
          <w:sz w:val="20"/>
          <w:szCs w:val="20"/>
          <w:lang w:eastAsia="ko-KR"/>
        </w:rPr>
        <w:t xml:space="preserve">In order to meet the contracting authority’s technical specification and make the ex-ante evaluation useful in the preparation process of the </w:t>
      </w:r>
      <w:r w:rsidR="005B35A7">
        <w:rPr>
          <w:rFonts w:ascii="Verdana" w:eastAsia="Malgun Gothic" w:hAnsi="Verdana"/>
          <w:bCs/>
          <w:color w:val="000000"/>
          <w:sz w:val="20"/>
          <w:szCs w:val="20"/>
          <w:lang w:eastAsia="ko-KR"/>
        </w:rPr>
        <w:t>OPSESG</w:t>
      </w:r>
      <w:r w:rsidRPr="005B6074">
        <w:rPr>
          <w:rFonts w:ascii="Verdana" w:eastAsia="Malgun Gothic" w:hAnsi="Verdana"/>
          <w:bCs/>
          <w:color w:val="000000"/>
          <w:sz w:val="20"/>
          <w:szCs w:val="20"/>
          <w:lang w:eastAsia="ko-KR"/>
        </w:rPr>
        <w:t xml:space="preserve"> 2014-2020 evaluation plan, below are presented guidelines on the plan preparation, based on the requirements of regulations for the period 2014-2020, EC guidance on monitoring and evaluation, and on development of evaluation plans</w:t>
      </w:r>
      <w:r w:rsidRPr="005B6074">
        <w:rPr>
          <w:rStyle w:val="FootnoteReference"/>
          <w:rFonts w:ascii="Verdana" w:hAnsi="Verdana" w:cs="TimesNewRomanPSMT"/>
          <w:sz w:val="20"/>
          <w:szCs w:val="20"/>
        </w:rPr>
        <w:footnoteReference w:id="15"/>
      </w:r>
      <w:r w:rsidRPr="005B6074">
        <w:rPr>
          <w:rFonts w:ascii="Verdana" w:hAnsi="Verdana" w:cs="TimesNewRomanPSMT"/>
          <w:sz w:val="20"/>
          <w:szCs w:val="20"/>
        </w:rPr>
        <w:t xml:space="preserve">. </w:t>
      </w:r>
    </w:p>
    <w:p w:rsidR="00F71FE2" w:rsidRPr="005B6074" w:rsidRDefault="00F71FE2" w:rsidP="00F71FE2">
      <w:pPr>
        <w:keepNext/>
        <w:pBdr>
          <w:bottom w:val="single" w:sz="12" w:space="1" w:color="0070C0"/>
        </w:pBdr>
        <w:autoSpaceDE w:val="0"/>
        <w:autoSpaceDN w:val="0"/>
        <w:adjustRightInd w:val="0"/>
        <w:spacing w:before="120" w:after="120" w:line="240" w:lineRule="auto"/>
        <w:rPr>
          <w:rFonts w:ascii="Verdana" w:eastAsia="Times New Roman" w:hAnsi="Verdana" w:cs="TimesNewRomanPSMT"/>
          <w:i/>
          <w:color w:val="548DD4" w:themeColor="text2" w:themeTint="99"/>
          <w:sz w:val="20"/>
          <w:szCs w:val="20"/>
          <w:lang w:eastAsia="bg-BG"/>
        </w:rPr>
      </w:pPr>
      <w:r w:rsidRPr="005B6074">
        <w:rPr>
          <w:rFonts w:ascii="Verdana" w:eastAsia="Times New Roman" w:hAnsi="Verdana" w:cs="TimesNewRomanPSMT"/>
          <w:i/>
          <w:color w:val="548DD4" w:themeColor="text2" w:themeTint="99"/>
          <w:sz w:val="20"/>
          <w:szCs w:val="20"/>
          <w:lang w:eastAsia="bg-BG"/>
        </w:rPr>
        <w:t>Requirements of the regulations for the programming period 2014-2020 regarding development of operational programmes evaluation plans</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cs="TimesNewRomanPSMT"/>
          <w:sz w:val="20"/>
          <w:szCs w:val="20"/>
        </w:rPr>
      </w:pPr>
      <w:r w:rsidRPr="005B6074">
        <w:rPr>
          <w:rFonts w:ascii="Verdana" w:hAnsi="Verdana" w:cs="TimesNewRomanPSMT"/>
          <w:sz w:val="20"/>
          <w:szCs w:val="20"/>
        </w:rPr>
        <w:t xml:space="preserve">The regulatory requirements for the period 2014-2020 regarding evaluations in the programming period, related to </w:t>
      </w:r>
      <w:r w:rsidR="005B35A7">
        <w:rPr>
          <w:rFonts w:ascii="Verdana" w:eastAsia="Malgun Gothic" w:hAnsi="Verdana"/>
          <w:bCs/>
          <w:color w:val="000000"/>
          <w:sz w:val="20"/>
          <w:szCs w:val="20"/>
          <w:lang w:eastAsia="ko-KR"/>
        </w:rPr>
        <w:t>OPSESG</w:t>
      </w:r>
      <w:r w:rsidRPr="005B6074">
        <w:rPr>
          <w:rFonts w:ascii="Verdana" w:eastAsia="Malgun Gothic" w:hAnsi="Verdana"/>
          <w:bCs/>
          <w:color w:val="000000"/>
          <w:sz w:val="20"/>
          <w:szCs w:val="20"/>
          <w:lang w:eastAsia="ko-KR"/>
        </w:rPr>
        <w:t xml:space="preserve"> 2014-2020 evaluation plans, are specified in regulations 1303/2013 (general provisions) and 1304 (the ESF regulation). Like for the previous programming period, possibility is provided for flexibility of planning of evaluations in the course of programme implementation depending on the needs.</w:t>
      </w:r>
    </w:p>
    <w:p w:rsidR="00F71FE2" w:rsidRPr="005B6074" w:rsidRDefault="00F71FE2" w:rsidP="00F71FE2">
      <w:pPr>
        <w:pStyle w:val="BodyText"/>
        <w:widowControl w:val="0"/>
        <w:shd w:val="clear" w:color="auto" w:fill="FDE9D9" w:themeFill="accent6" w:themeFillTint="33"/>
        <w:tabs>
          <w:tab w:val="left" w:pos="0"/>
          <w:tab w:val="right" w:pos="9214"/>
        </w:tabs>
        <w:spacing w:before="120" w:after="0"/>
        <w:jc w:val="both"/>
        <w:rPr>
          <w:rFonts w:ascii="Verdana" w:hAnsi="Verdana" w:cs="TimesNewRomanPSMT"/>
          <w:i/>
          <w:sz w:val="20"/>
          <w:szCs w:val="20"/>
        </w:rPr>
      </w:pPr>
      <w:r w:rsidRPr="005B6074">
        <w:rPr>
          <w:rFonts w:ascii="Verdana" w:hAnsi="Verdana" w:cs="TimesNewRomanPSMT"/>
          <w:sz w:val="20"/>
          <w:szCs w:val="20"/>
        </w:rPr>
        <w:t xml:space="preserve">Art. 54 (1) of Regulation 1303 stipulates </w:t>
      </w:r>
      <w:proofErr w:type="gramStart"/>
      <w:r w:rsidRPr="005B6074">
        <w:rPr>
          <w:rFonts w:ascii="Verdana" w:hAnsi="Verdana" w:cs="TimesNewRomanPSMT"/>
          <w:sz w:val="20"/>
          <w:szCs w:val="20"/>
        </w:rPr>
        <w:t>that  „</w:t>
      </w:r>
      <w:proofErr w:type="gramEnd"/>
      <w:r w:rsidRPr="005B6074">
        <w:rPr>
          <w:rFonts w:ascii="Verdana" w:hAnsi="Verdana" w:cs="TimesNewRomanPSMT"/>
          <w:i/>
          <w:sz w:val="20"/>
          <w:szCs w:val="20"/>
        </w:rPr>
        <w:t>Evaluations shall be carried out to improve the quality of the design and implementation of programmes, as well as to assess their effectiveness, efficiency and impact. The impact of programmes shall be evaluated, in the light of the mission of each ESI Fund, in relation to the targets under the Union strategy for smart, sustainable and inclusive growth and, having regard to the size of the programme, in relation to GDP and unemployment in the programme area concerned, where appropriate.</w:t>
      </w:r>
    </w:p>
    <w:p w:rsidR="00F71FE2" w:rsidRPr="005B6074" w:rsidRDefault="00F71FE2" w:rsidP="00F71FE2">
      <w:pPr>
        <w:pStyle w:val="BodyText"/>
        <w:widowControl w:val="0"/>
        <w:shd w:val="clear" w:color="auto" w:fill="FDE9D9" w:themeFill="accent6" w:themeFillTint="33"/>
        <w:tabs>
          <w:tab w:val="left" w:pos="0"/>
          <w:tab w:val="right" w:pos="9214"/>
        </w:tabs>
        <w:spacing w:before="120" w:after="0"/>
        <w:jc w:val="both"/>
        <w:rPr>
          <w:rFonts w:ascii="Verdana" w:hAnsi="Verdana" w:cs="TimesNewRomanPSMT"/>
          <w:sz w:val="20"/>
          <w:szCs w:val="20"/>
        </w:rPr>
      </w:pPr>
      <w:r w:rsidRPr="005B6074">
        <w:rPr>
          <w:rFonts w:ascii="Verdana" w:hAnsi="Verdana" w:cs="TimesNewRomanPSMT"/>
          <w:i/>
          <w:sz w:val="20"/>
          <w:szCs w:val="20"/>
        </w:rPr>
        <w:t xml:space="preserve">Member States shall provide the resources necessary for carrying out evaluations, and shall ensure that procedures are in place to produce and collect the data necessary for evaluations, including data related to common and where appropriate programme-specific indicators </w:t>
      </w:r>
      <w:r w:rsidRPr="005B6074">
        <w:rPr>
          <w:rFonts w:ascii="Verdana" w:hAnsi="Verdana" w:cs="TimesNewRomanPSMT"/>
          <w:sz w:val="20"/>
          <w:szCs w:val="20"/>
        </w:rPr>
        <w:t>(Art. 54 (2))</w:t>
      </w:r>
    </w:p>
    <w:p w:rsidR="00F71FE2" w:rsidRPr="005B6074" w:rsidRDefault="00F71FE2" w:rsidP="00F71FE2">
      <w:pPr>
        <w:pStyle w:val="BodyText"/>
        <w:widowControl w:val="0"/>
        <w:shd w:val="clear" w:color="auto" w:fill="FDE9D9" w:themeFill="accent6" w:themeFillTint="33"/>
        <w:tabs>
          <w:tab w:val="left" w:pos="0"/>
          <w:tab w:val="right" w:pos="9214"/>
        </w:tabs>
        <w:spacing w:before="120" w:after="0"/>
        <w:jc w:val="both"/>
        <w:rPr>
          <w:rFonts w:ascii="Verdana" w:hAnsi="Verdana" w:cs="TimesNewRomanPSMT"/>
          <w:i/>
          <w:sz w:val="20"/>
          <w:szCs w:val="20"/>
        </w:rPr>
      </w:pPr>
      <w:r w:rsidRPr="005B6074">
        <w:rPr>
          <w:rFonts w:ascii="Verdana" w:hAnsi="Verdana" w:cs="TimesNewRomanPSMT"/>
          <w:sz w:val="20"/>
          <w:szCs w:val="20"/>
        </w:rPr>
        <w:t>The same article under (3) provides that</w:t>
      </w:r>
      <w:r w:rsidRPr="005B6074">
        <w:rPr>
          <w:rFonts w:ascii="Verdana" w:hAnsi="Verdana" w:cs="TimesNewRomanPSMT"/>
          <w:i/>
          <w:sz w:val="20"/>
          <w:szCs w:val="20"/>
        </w:rPr>
        <w:t xml:space="preserve"> “Evaluations shall be carried out by internal or external experts that are functionally independent of the authorities responsible for programme implementation. The Commission shall provide guidance on how to carry out evaluations, immediately following the entry into force of this Regulation.”</w:t>
      </w:r>
    </w:p>
    <w:p w:rsidR="00F71FE2" w:rsidRPr="005B6074" w:rsidRDefault="00F71FE2" w:rsidP="00F71FE2">
      <w:pPr>
        <w:pStyle w:val="BodyText"/>
        <w:widowControl w:val="0"/>
        <w:shd w:val="clear" w:color="auto" w:fill="FDE9D9" w:themeFill="accent6" w:themeFillTint="33"/>
        <w:tabs>
          <w:tab w:val="left" w:pos="0"/>
          <w:tab w:val="right" w:pos="9214"/>
        </w:tabs>
        <w:spacing w:before="120" w:after="0" w:line="276" w:lineRule="auto"/>
        <w:jc w:val="both"/>
        <w:rPr>
          <w:rFonts w:ascii="Verdana" w:hAnsi="Verdana" w:cs="TimesNewRomanPSMT"/>
          <w:sz w:val="20"/>
          <w:szCs w:val="20"/>
        </w:rPr>
      </w:pPr>
      <w:r w:rsidRPr="005B6074">
        <w:rPr>
          <w:rFonts w:ascii="Verdana" w:hAnsi="Verdana" w:cs="TimesNewRomanPSMT"/>
          <w:sz w:val="20"/>
          <w:szCs w:val="20"/>
        </w:rPr>
        <w:t>According to art. 54 (4)</w:t>
      </w:r>
      <w:r w:rsidRPr="005B6074">
        <w:rPr>
          <w:rFonts w:ascii="Verdana" w:hAnsi="Verdana" w:cs="TimesNewRomanPSMT"/>
          <w:i/>
          <w:sz w:val="20"/>
          <w:szCs w:val="20"/>
        </w:rPr>
        <w:t xml:space="preserve"> All evaluations shall be made available to the public</w:t>
      </w:r>
      <w:r w:rsidRPr="005B6074">
        <w:rPr>
          <w:rFonts w:ascii="Verdana" w:hAnsi="Verdana" w:cs="TimesNewRomanPSMT"/>
          <w:sz w:val="20"/>
          <w:szCs w:val="20"/>
        </w:rPr>
        <w:t>.</w:t>
      </w:r>
    </w:p>
    <w:p w:rsidR="00F71FE2" w:rsidRPr="005B6074" w:rsidRDefault="00F71FE2" w:rsidP="00F71FE2">
      <w:pPr>
        <w:pStyle w:val="BodyText"/>
        <w:widowControl w:val="0"/>
        <w:shd w:val="clear" w:color="auto" w:fill="FDE9D9" w:themeFill="accent6" w:themeFillTint="33"/>
        <w:tabs>
          <w:tab w:val="left" w:pos="0"/>
          <w:tab w:val="right" w:pos="9214"/>
        </w:tabs>
        <w:spacing w:before="120" w:after="0"/>
        <w:jc w:val="both"/>
        <w:rPr>
          <w:rFonts w:ascii="Verdana" w:hAnsi="Verdana" w:cs="TimesNewRomanPSMT"/>
          <w:i/>
          <w:sz w:val="20"/>
          <w:szCs w:val="20"/>
        </w:rPr>
      </w:pPr>
      <w:r w:rsidRPr="005B6074">
        <w:rPr>
          <w:rFonts w:ascii="Verdana" w:hAnsi="Verdana" w:cs="TimesNewRomanPSMT"/>
          <w:sz w:val="20"/>
          <w:szCs w:val="20"/>
        </w:rPr>
        <w:t xml:space="preserve">Art.56 (3) of the same regulation stipulates that </w:t>
      </w:r>
      <w:r w:rsidRPr="005B6074">
        <w:rPr>
          <w:rFonts w:ascii="Verdana" w:hAnsi="Verdana" w:cs="TimesNewRomanPSMT"/>
          <w:i/>
          <w:sz w:val="20"/>
          <w:szCs w:val="20"/>
        </w:rPr>
        <w:t xml:space="preserve">“During the programming period, the </w:t>
      </w:r>
      <w:r w:rsidRPr="005B6074">
        <w:rPr>
          <w:rFonts w:ascii="Verdana" w:hAnsi="Verdana" w:cs="TimesNewRomanPSMT"/>
          <w:i/>
          <w:sz w:val="20"/>
          <w:szCs w:val="20"/>
        </w:rPr>
        <w:lastRenderedPageBreak/>
        <w:t>managing authority shall ensure that evaluations, including evaluations to assess effectiveness, efficiency and impact, are carried out for each programme on the basis of the evaluation plan and that each evaluation is subject to appropriate follow-up in accordance with the Fund-specific rules. At least once during the programming period, an evaluation shall assess how support from the ESI Funds has contributed to the objectives for each priority. All evaluations shall be examined by the monitoring committee and sent to the Commission.”</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cs="TimesNewRomanPSMT"/>
          <w:sz w:val="20"/>
          <w:szCs w:val="20"/>
        </w:rPr>
      </w:pPr>
      <w:r w:rsidRPr="005B6074">
        <w:rPr>
          <w:rFonts w:ascii="Verdana" w:hAnsi="Verdana" w:cs="TimesNewRomanPSMT"/>
          <w:sz w:val="20"/>
          <w:szCs w:val="20"/>
        </w:rPr>
        <w:t>According to the EC guidelines an evaluation plan should include the following</w:t>
      </w:r>
      <w:r w:rsidRPr="005B6074">
        <w:rPr>
          <w:rStyle w:val="FootnoteReference"/>
          <w:rFonts w:ascii="Verdana" w:hAnsi="Verdana" w:cs="TimesNewRomanPSMT"/>
          <w:sz w:val="20"/>
          <w:szCs w:val="20"/>
        </w:rPr>
        <w:footnoteReference w:id="16"/>
      </w:r>
      <w:r w:rsidRPr="005B6074">
        <w:rPr>
          <w:rFonts w:ascii="Verdana" w:hAnsi="Verdana" w:cs="TimesNewRomanPSMT"/>
          <w:sz w:val="20"/>
          <w:szCs w:val="20"/>
        </w:rPr>
        <w:t>:</w:t>
      </w:r>
    </w:p>
    <w:p w:rsidR="00F71FE2" w:rsidRPr="005B6074" w:rsidRDefault="00F71FE2" w:rsidP="00181A22">
      <w:pPr>
        <w:pStyle w:val="BodyText"/>
        <w:widowControl w:val="0"/>
        <w:numPr>
          <w:ilvl w:val="0"/>
          <w:numId w:val="58"/>
        </w:numPr>
        <w:tabs>
          <w:tab w:val="left" w:pos="0"/>
          <w:tab w:val="right" w:pos="9214"/>
        </w:tabs>
        <w:spacing w:before="120" w:after="0" w:line="276" w:lineRule="auto"/>
        <w:ind w:left="714" w:hanging="357"/>
        <w:jc w:val="both"/>
        <w:rPr>
          <w:rFonts w:ascii="Verdana" w:hAnsi="Verdana" w:cs="TimesNewRomanPSMT"/>
          <w:sz w:val="20"/>
          <w:szCs w:val="20"/>
        </w:rPr>
      </w:pPr>
      <w:r w:rsidRPr="005B6074">
        <w:rPr>
          <w:rFonts w:ascii="Verdana" w:hAnsi="Verdana" w:cs="TimesNewRomanPSMT"/>
          <w:sz w:val="20"/>
          <w:szCs w:val="20"/>
        </w:rPr>
        <w:t xml:space="preserve">an indicative list of evaluations to be undertaken, their subject and rationale; </w:t>
      </w:r>
    </w:p>
    <w:p w:rsidR="00F71FE2" w:rsidRPr="005B6074" w:rsidRDefault="00F71FE2" w:rsidP="00181A22">
      <w:pPr>
        <w:pStyle w:val="BodyText"/>
        <w:widowControl w:val="0"/>
        <w:numPr>
          <w:ilvl w:val="0"/>
          <w:numId w:val="58"/>
        </w:numPr>
        <w:tabs>
          <w:tab w:val="left" w:pos="0"/>
          <w:tab w:val="right" w:pos="9214"/>
        </w:tabs>
        <w:spacing w:before="120" w:after="0" w:line="276" w:lineRule="auto"/>
        <w:ind w:left="714" w:hanging="357"/>
        <w:jc w:val="both"/>
        <w:rPr>
          <w:rFonts w:ascii="Verdana" w:hAnsi="Verdana" w:cs="TimesNewRomanPSMT"/>
          <w:sz w:val="20"/>
          <w:szCs w:val="20"/>
        </w:rPr>
      </w:pPr>
      <w:r w:rsidRPr="005B6074">
        <w:rPr>
          <w:rFonts w:ascii="Verdana" w:hAnsi="Verdana" w:cs="TimesNewRomanPSMT"/>
          <w:sz w:val="20"/>
          <w:szCs w:val="20"/>
        </w:rPr>
        <w:t xml:space="preserve">methods to be used for the individual evaluations and their data requirements; </w:t>
      </w:r>
    </w:p>
    <w:p w:rsidR="00F71FE2" w:rsidRPr="005B6074" w:rsidRDefault="00F71FE2" w:rsidP="00181A22">
      <w:pPr>
        <w:pStyle w:val="BodyText"/>
        <w:widowControl w:val="0"/>
        <w:numPr>
          <w:ilvl w:val="0"/>
          <w:numId w:val="58"/>
        </w:numPr>
        <w:tabs>
          <w:tab w:val="left" w:pos="0"/>
          <w:tab w:val="right" w:pos="9214"/>
        </w:tabs>
        <w:spacing w:before="120" w:after="0" w:line="276" w:lineRule="auto"/>
        <w:ind w:left="714" w:hanging="357"/>
        <w:jc w:val="both"/>
        <w:rPr>
          <w:rFonts w:ascii="Verdana" w:hAnsi="Verdana" w:cs="TimesNewRomanPSMT"/>
          <w:sz w:val="20"/>
          <w:szCs w:val="20"/>
        </w:rPr>
      </w:pPr>
      <w:r w:rsidRPr="005B6074">
        <w:rPr>
          <w:rFonts w:ascii="Verdana" w:hAnsi="Verdana" w:cs="TimesNewRomanPSMT"/>
          <w:sz w:val="20"/>
          <w:szCs w:val="20"/>
        </w:rPr>
        <w:t xml:space="preserve">provisions that data required for certain evaluations will be available or will be collected, including for long-term result indicators, if data is provided through investigation; </w:t>
      </w:r>
    </w:p>
    <w:p w:rsidR="00F71FE2" w:rsidRPr="005B6074" w:rsidRDefault="00F71FE2" w:rsidP="00181A22">
      <w:pPr>
        <w:pStyle w:val="BodyText"/>
        <w:widowControl w:val="0"/>
        <w:numPr>
          <w:ilvl w:val="0"/>
          <w:numId w:val="58"/>
        </w:numPr>
        <w:tabs>
          <w:tab w:val="left" w:pos="0"/>
          <w:tab w:val="right" w:pos="9214"/>
        </w:tabs>
        <w:spacing w:before="120" w:after="0" w:line="276" w:lineRule="auto"/>
        <w:ind w:left="714" w:hanging="357"/>
        <w:jc w:val="both"/>
        <w:rPr>
          <w:rFonts w:ascii="Verdana" w:hAnsi="Verdana" w:cs="TimesNewRomanPSMT"/>
          <w:sz w:val="20"/>
          <w:szCs w:val="20"/>
        </w:rPr>
      </w:pPr>
      <w:r w:rsidRPr="005B6074">
        <w:rPr>
          <w:rFonts w:ascii="Verdana" w:hAnsi="Verdana" w:cs="TimesNewRomanPSMT"/>
          <w:sz w:val="20"/>
          <w:szCs w:val="20"/>
        </w:rPr>
        <w:t xml:space="preserve">a timetable for evaluations; </w:t>
      </w:r>
    </w:p>
    <w:p w:rsidR="00F71FE2" w:rsidRPr="005B6074" w:rsidRDefault="00F71FE2" w:rsidP="00181A22">
      <w:pPr>
        <w:pStyle w:val="BodyText"/>
        <w:widowControl w:val="0"/>
        <w:numPr>
          <w:ilvl w:val="0"/>
          <w:numId w:val="58"/>
        </w:numPr>
        <w:tabs>
          <w:tab w:val="left" w:pos="0"/>
          <w:tab w:val="right" w:pos="9214"/>
        </w:tabs>
        <w:spacing w:before="120" w:after="0" w:line="276" w:lineRule="auto"/>
        <w:ind w:left="714" w:hanging="357"/>
        <w:jc w:val="both"/>
        <w:rPr>
          <w:rFonts w:ascii="Verdana" w:hAnsi="Verdana" w:cs="TimesNewRomanPSMT"/>
          <w:sz w:val="20"/>
          <w:szCs w:val="20"/>
        </w:rPr>
      </w:pPr>
      <w:r w:rsidRPr="005B6074">
        <w:rPr>
          <w:rFonts w:ascii="Verdana" w:hAnsi="Verdana" w:cs="TimesNewRomanPSMT"/>
          <w:sz w:val="20"/>
          <w:szCs w:val="20"/>
        </w:rPr>
        <w:t xml:space="preserve">a strategy to ensure use and publicity of evaluations; </w:t>
      </w:r>
    </w:p>
    <w:p w:rsidR="00F71FE2" w:rsidRPr="005B6074" w:rsidRDefault="00F71FE2" w:rsidP="00181A22">
      <w:pPr>
        <w:pStyle w:val="BodyText"/>
        <w:widowControl w:val="0"/>
        <w:numPr>
          <w:ilvl w:val="0"/>
          <w:numId w:val="58"/>
        </w:numPr>
        <w:tabs>
          <w:tab w:val="left" w:pos="0"/>
          <w:tab w:val="right" w:pos="9214"/>
        </w:tabs>
        <w:spacing w:before="120" w:after="0" w:line="276" w:lineRule="auto"/>
        <w:ind w:left="714" w:hanging="357"/>
        <w:jc w:val="both"/>
        <w:rPr>
          <w:rFonts w:ascii="Verdana" w:hAnsi="Verdana" w:cs="TimesNewRomanPSMT"/>
          <w:sz w:val="20"/>
          <w:szCs w:val="20"/>
        </w:rPr>
      </w:pPr>
      <w:r w:rsidRPr="005B6074">
        <w:rPr>
          <w:rFonts w:ascii="Verdana" w:hAnsi="Verdana" w:cs="TimesNewRomanPSMT"/>
          <w:sz w:val="20"/>
          <w:szCs w:val="20"/>
        </w:rPr>
        <w:t xml:space="preserve">human resources involved; </w:t>
      </w:r>
    </w:p>
    <w:p w:rsidR="00F71FE2" w:rsidRPr="005B6074" w:rsidRDefault="00F71FE2" w:rsidP="00181A22">
      <w:pPr>
        <w:pStyle w:val="BodyText"/>
        <w:widowControl w:val="0"/>
        <w:numPr>
          <w:ilvl w:val="0"/>
          <w:numId w:val="58"/>
        </w:numPr>
        <w:tabs>
          <w:tab w:val="left" w:pos="0"/>
          <w:tab w:val="right" w:pos="9214"/>
        </w:tabs>
        <w:spacing w:before="120" w:after="0" w:line="276" w:lineRule="auto"/>
        <w:ind w:left="714" w:hanging="357"/>
        <w:jc w:val="both"/>
        <w:rPr>
          <w:rFonts w:ascii="Verdana" w:hAnsi="Verdana" w:cs="TimesNewRomanPSMT"/>
          <w:sz w:val="20"/>
          <w:szCs w:val="20"/>
        </w:rPr>
      </w:pPr>
      <w:r w:rsidRPr="005B6074">
        <w:rPr>
          <w:rFonts w:ascii="Verdana" w:hAnsi="Verdana" w:cs="TimesNewRomanPSMT"/>
          <w:sz w:val="20"/>
          <w:szCs w:val="20"/>
        </w:rPr>
        <w:t xml:space="preserve">the indicative budget; </w:t>
      </w:r>
    </w:p>
    <w:p w:rsidR="00F71FE2" w:rsidRPr="005B6074" w:rsidRDefault="00F71FE2" w:rsidP="00181A22">
      <w:pPr>
        <w:pStyle w:val="BodyText"/>
        <w:widowControl w:val="0"/>
        <w:numPr>
          <w:ilvl w:val="0"/>
          <w:numId w:val="58"/>
        </w:numPr>
        <w:tabs>
          <w:tab w:val="left" w:pos="0"/>
          <w:tab w:val="right" w:pos="9214"/>
        </w:tabs>
        <w:spacing w:before="120" w:after="0" w:line="276" w:lineRule="auto"/>
        <w:ind w:left="714" w:hanging="357"/>
        <w:jc w:val="both"/>
        <w:rPr>
          <w:rFonts w:ascii="Verdana" w:hAnsi="Verdana" w:cs="TimesNewRomanPSMT"/>
          <w:sz w:val="20"/>
          <w:szCs w:val="20"/>
        </w:rPr>
      </w:pPr>
      <w:proofErr w:type="gramStart"/>
      <w:r w:rsidRPr="005B6074">
        <w:rPr>
          <w:rFonts w:ascii="Verdana" w:hAnsi="Verdana" w:cs="TimesNewRomanPSMT"/>
          <w:sz w:val="20"/>
          <w:szCs w:val="20"/>
        </w:rPr>
        <w:t>a</w:t>
      </w:r>
      <w:proofErr w:type="gramEnd"/>
      <w:r w:rsidRPr="005B6074">
        <w:rPr>
          <w:rFonts w:ascii="Verdana" w:hAnsi="Verdana" w:cs="TimesNewRomanPSMT"/>
          <w:sz w:val="20"/>
          <w:szCs w:val="20"/>
        </w:rPr>
        <w:t xml:space="preserve"> training plan (an option). </w:t>
      </w:r>
    </w:p>
    <w:p w:rsidR="00F71FE2" w:rsidRPr="005B6074" w:rsidRDefault="00F71FE2" w:rsidP="00F71FE2">
      <w:pPr>
        <w:keepNext/>
        <w:pBdr>
          <w:bottom w:val="single" w:sz="12" w:space="1" w:color="0070C0"/>
        </w:pBdr>
        <w:autoSpaceDE w:val="0"/>
        <w:autoSpaceDN w:val="0"/>
        <w:adjustRightInd w:val="0"/>
        <w:spacing w:before="120" w:after="120" w:line="240" w:lineRule="auto"/>
        <w:rPr>
          <w:rFonts w:ascii="Verdana" w:eastAsia="Times New Roman" w:hAnsi="Verdana" w:cs="TimesNewRomanPSMT"/>
          <w:i/>
          <w:color w:val="548DD4" w:themeColor="text2" w:themeTint="99"/>
          <w:sz w:val="20"/>
          <w:szCs w:val="20"/>
          <w:lang w:eastAsia="bg-BG"/>
        </w:rPr>
      </w:pPr>
      <w:r w:rsidRPr="005B6074">
        <w:rPr>
          <w:rFonts w:ascii="Verdana" w:eastAsia="Times New Roman" w:hAnsi="Verdana" w:cs="TimesNewRomanPSMT"/>
          <w:i/>
          <w:color w:val="548DD4" w:themeColor="text2" w:themeTint="99"/>
          <w:sz w:val="20"/>
          <w:szCs w:val="20"/>
          <w:lang w:eastAsia="bg-BG"/>
        </w:rPr>
        <w:t xml:space="preserve">Recommendations regarding the </w:t>
      </w:r>
      <w:r w:rsidR="005B35A7">
        <w:rPr>
          <w:rFonts w:ascii="Verdana" w:eastAsia="Times New Roman" w:hAnsi="Verdana" w:cs="TimesNewRomanPSMT"/>
          <w:i/>
          <w:color w:val="548DD4" w:themeColor="text2" w:themeTint="99"/>
          <w:sz w:val="20"/>
          <w:szCs w:val="20"/>
          <w:lang w:eastAsia="bg-BG"/>
        </w:rPr>
        <w:t>OPSESG</w:t>
      </w:r>
      <w:r w:rsidRPr="005B6074">
        <w:rPr>
          <w:rFonts w:ascii="Verdana" w:eastAsia="Times New Roman" w:hAnsi="Verdana" w:cs="TimesNewRomanPSMT"/>
          <w:i/>
          <w:color w:val="548DD4" w:themeColor="text2" w:themeTint="99"/>
          <w:sz w:val="20"/>
          <w:szCs w:val="20"/>
          <w:lang w:eastAsia="bg-BG"/>
        </w:rPr>
        <w:t xml:space="preserve"> 2014-2020 evaluation plan</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bCs/>
          <w:color w:val="000000"/>
          <w:sz w:val="20"/>
          <w:szCs w:val="20"/>
        </w:rPr>
        <w:t>The recommendations below refer to the content of the evaluation plan concerning evaluations in the course of programme implementation. EC has the responsibility to carry out ex-post evaluation, but member states are encouraged to carry out their own ex-post evaluations (art.57 and art.114 of Regulation 1303/2013)</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bCs/>
          <w:color w:val="000000"/>
          <w:sz w:val="20"/>
          <w:szCs w:val="20"/>
        </w:rPr>
        <w:t xml:space="preserve">The evaluation plan should meet the needs for information and evaluation, which are expected during the programme implementation. Evaluations should provide to the management authorities information, which will be used for management purposes. </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bCs/>
          <w:color w:val="000000"/>
          <w:sz w:val="20"/>
          <w:szCs w:val="20"/>
        </w:rPr>
        <w:t>In the first years of the programme implementation it is of particular importance to obtain information to what extent the established systems are efficient and operative and how appropriate the design of the support is. Towards the middle of the programme implementation period it is important to know how objectives set</w:t>
      </w:r>
      <w:r w:rsidRPr="005B6074">
        <w:rPr>
          <w:rStyle w:val="FootnoteReference"/>
          <w:rFonts w:ascii="Verdana" w:hAnsi="Verdana"/>
          <w:bCs/>
          <w:color w:val="000000"/>
          <w:sz w:val="20"/>
          <w:szCs w:val="20"/>
        </w:rPr>
        <w:footnoteReference w:id="17"/>
      </w:r>
      <w:r w:rsidRPr="005B6074">
        <w:rPr>
          <w:rFonts w:ascii="Verdana" w:hAnsi="Verdana"/>
          <w:bCs/>
          <w:color w:val="000000"/>
          <w:sz w:val="20"/>
          <w:szCs w:val="20"/>
        </w:rPr>
        <w:t>. Towards the end of the period it is already important to know what the impact would be in order to undertake last corrective actions for achieving a maximum impact. In this relation we can provisionally divide the programme implementation period and the necessary information into three parts as shown below:</w:t>
      </w:r>
    </w:p>
    <w:p w:rsidR="00F71FE2" w:rsidRPr="005B6074" w:rsidRDefault="00F71FE2" w:rsidP="00F71FE2">
      <w:pPr>
        <w:pStyle w:val="BodyText"/>
        <w:widowControl w:val="0"/>
        <w:tabs>
          <w:tab w:val="left" w:pos="0"/>
          <w:tab w:val="right" w:pos="9214"/>
        </w:tabs>
        <w:spacing w:before="120" w:after="0" w:line="276" w:lineRule="auto"/>
        <w:jc w:val="center"/>
        <w:rPr>
          <w:rFonts w:ascii="Verdana" w:hAnsi="Verdana"/>
          <w:bCs/>
          <w:color w:val="000000"/>
          <w:sz w:val="20"/>
          <w:szCs w:val="20"/>
        </w:rPr>
      </w:pPr>
      <w:r w:rsidRPr="005B6074">
        <w:object w:dxaOrig="14421" w:dyaOrig="2152">
          <v:shape id="_x0000_i1114" type="#_x0000_t75" style="width:460.5pt;height:1in" o:ole="">
            <v:imagedata r:id="rId62" o:title=""/>
          </v:shape>
          <o:OLEObject Type="Embed" ProgID="Visio.Drawing.11" ShapeID="_x0000_i1114" DrawAspect="Content" ObjectID="_1469971870" r:id="rId63"/>
        </w:objec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bCs/>
          <w:color w:val="000000"/>
          <w:sz w:val="20"/>
          <w:szCs w:val="20"/>
        </w:rPr>
        <w:t>Considering the above the following recommendations can be made regarding the content of the evaluation plan:</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bCs/>
          <w:color w:val="365F91"/>
          <w:sz w:val="20"/>
          <w:szCs w:val="20"/>
        </w:rPr>
      </w:pPr>
      <w:r w:rsidRPr="005B6074">
        <w:rPr>
          <w:rFonts w:ascii="Verdana" w:hAnsi="Verdana"/>
          <w:bCs/>
          <w:color w:val="365F91"/>
          <w:sz w:val="20"/>
          <w:szCs w:val="20"/>
        </w:rPr>
        <w:t>With regard to the indicative list of evaluations with their subject and rationale and a schedule for implementation of the evaluations</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bCs/>
          <w:color w:val="000000"/>
          <w:sz w:val="20"/>
          <w:szCs w:val="20"/>
        </w:rPr>
        <w:t>It is recommended that in the initial years of the programme implementation (2014-2015) evaluations are planned which would provide information and answers to questions related to the relevance and implementation efficiency, like for example:</w:t>
      </w:r>
    </w:p>
    <w:p w:rsidR="00F71FE2" w:rsidRPr="005B6074" w:rsidRDefault="00F71FE2" w:rsidP="00181A22">
      <w:pPr>
        <w:pStyle w:val="BodyText"/>
        <w:widowControl w:val="0"/>
        <w:numPr>
          <w:ilvl w:val="0"/>
          <w:numId w:val="55"/>
        </w:numPr>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bCs/>
          <w:color w:val="000000"/>
          <w:sz w:val="20"/>
          <w:szCs w:val="20"/>
        </w:rPr>
        <w:t>Adequacy of the management and control systems;</w:t>
      </w:r>
    </w:p>
    <w:p w:rsidR="00F71FE2" w:rsidRPr="005B6074" w:rsidRDefault="00F71FE2" w:rsidP="00181A22">
      <w:pPr>
        <w:pStyle w:val="BodyText"/>
        <w:widowControl w:val="0"/>
        <w:numPr>
          <w:ilvl w:val="0"/>
          <w:numId w:val="55"/>
        </w:numPr>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bCs/>
          <w:color w:val="000000"/>
          <w:sz w:val="20"/>
          <w:szCs w:val="20"/>
        </w:rPr>
        <w:t>Adequacy of the monitoring systems;</w:t>
      </w:r>
    </w:p>
    <w:p w:rsidR="00F71FE2" w:rsidRPr="005B6074" w:rsidRDefault="00F71FE2" w:rsidP="00181A22">
      <w:pPr>
        <w:pStyle w:val="BodyText"/>
        <w:widowControl w:val="0"/>
        <w:numPr>
          <w:ilvl w:val="0"/>
          <w:numId w:val="55"/>
        </w:numPr>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bCs/>
          <w:color w:val="000000"/>
          <w:sz w:val="20"/>
          <w:szCs w:val="20"/>
        </w:rPr>
        <w:t>Adequacy of the design of procedures;</w:t>
      </w:r>
    </w:p>
    <w:p w:rsidR="00F71FE2" w:rsidRPr="005B6074" w:rsidRDefault="00F71FE2" w:rsidP="00181A22">
      <w:pPr>
        <w:pStyle w:val="BodyText"/>
        <w:widowControl w:val="0"/>
        <w:numPr>
          <w:ilvl w:val="0"/>
          <w:numId w:val="55"/>
        </w:numPr>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bCs/>
          <w:color w:val="000000"/>
          <w:sz w:val="20"/>
          <w:szCs w:val="20"/>
        </w:rPr>
        <w:t>Adequacy of the available administrative capacity;</w:t>
      </w:r>
    </w:p>
    <w:p w:rsidR="00F71FE2" w:rsidRPr="005B6074" w:rsidRDefault="00F71FE2" w:rsidP="00181A22">
      <w:pPr>
        <w:pStyle w:val="BodyText"/>
        <w:widowControl w:val="0"/>
        <w:numPr>
          <w:ilvl w:val="0"/>
          <w:numId w:val="55"/>
        </w:numPr>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bCs/>
          <w:color w:val="000000"/>
          <w:sz w:val="20"/>
          <w:szCs w:val="20"/>
        </w:rPr>
        <w:t>Efficiency of the grant provision.</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bCs/>
          <w:color w:val="000000"/>
          <w:sz w:val="20"/>
          <w:szCs w:val="20"/>
        </w:rPr>
        <w:t>That would enable improvement of the design of the schemes – i.e. their relevance as well as eliminate faults connected with the programme management and implementation.</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cs="TimesNewRomanPSMT"/>
          <w:sz w:val="20"/>
          <w:szCs w:val="20"/>
        </w:rPr>
      </w:pPr>
      <w:r w:rsidRPr="005B6074">
        <w:rPr>
          <w:rFonts w:ascii="Verdana" w:hAnsi="Verdana"/>
          <w:bCs/>
          <w:color w:val="000000"/>
          <w:sz w:val="20"/>
          <w:szCs w:val="20"/>
        </w:rPr>
        <w:t>With the progress of the programme implementation (2016-2018) it is appropriate to undertake evaluations which would provide information about actual achievement/failure to achieve objectives in order to enable undertaking of timely and adequate measures to correct the planning of spending of funds and the programme implementation so as to ensure achievement of objectives set in accordance with the requirements. Therefore in the period 2016-2018 evaluation of the following would be appropriate</w:t>
      </w:r>
      <w:r w:rsidRPr="005B6074">
        <w:rPr>
          <w:rFonts w:ascii="Verdana" w:hAnsi="Verdana" w:cs="TimesNewRomanPSMT"/>
          <w:sz w:val="20"/>
          <w:szCs w:val="20"/>
        </w:rPr>
        <w:t>:</w:t>
      </w:r>
    </w:p>
    <w:p w:rsidR="00F71FE2" w:rsidRPr="005B6074" w:rsidRDefault="00F71FE2" w:rsidP="00181A22">
      <w:pPr>
        <w:pStyle w:val="BodyText"/>
        <w:widowControl w:val="0"/>
        <w:numPr>
          <w:ilvl w:val="0"/>
          <w:numId w:val="56"/>
        </w:numPr>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cs="TimesNewRomanPSMT"/>
          <w:sz w:val="20"/>
          <w:szCs w:val="20"/>
        </w:rPr>
        <w:t>Contribution of the support from ESIF for achieving the objectives of each investment priority (art.56 (3) of Regulation 1303 /2013);</w:t>
      </w:r>
    </w:p>
    <w:p w:rsidR="00F71FE2" w:rsidRPr="005B6074" w:rsidRDefault="00F71FE2" w:rsidP="00181A22">
      <w:pPr>
        <w:pStyle w:val="BodyText"/>
        <w:widowControl w:val="0"/>
        <w:numPr>
          <w:ilvl w:val="0"/>
          <w:numId w:val="56"/>
        </w:numPr>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cs="TimesNewRomanPSMT"/>
          <w:sz w:val="20"/>
          <w:szCs w:val="20"/>
        </w:rPr>
        <w:t>Efficiency and effectiveness of application of horizontal principles;</w:t>
      </w:r>
    </w:p>
    <w:p w:rsidR="00F71FE2" w:rsidRPr="005B6074" w:rsidRDefault="00F71FE2" w:rsidP="00181A22">
      <w:pPr>
        <w:pStyle w:val="BodyText"/>
        <w:widowControl w:val="0"/>
        <w:numPr>
          <w:ilvl w:val="0"/>
          <w:numId w:val="56"/>
        </w:numPr>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cs="TimesNewRomanPSMT"/>
          <w:sz w:val="20"/>
          <w:szCs w:val="20"/>
        </w:rPr>
        <w:t>Effectiveness of achievement of milestones and assessment of the likelihood of achievement of the targets.</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bCs/>
          <w:color w:val="000000"/>
          <w:sz w:val="20"/>
          <w:szCs w:val="20"/>
        </w:rPr>
        <w:t>In the last years of the programme implementation period evaluations should be oriented to evaluating the achievement of objectives and the expected impact, in terms not only of an overall assessment of the Programme implementation, but also summative and thematic evaluations that may have a direct contribution to the development of the next OP because this is the period in which work for the following programming period begins. Appropriate evaluations are:</w:t>
      </w:r>
    </w:p>
    <w:p w:rsidR="00F71FE2" w:rsidRPr="005B6074" w:rsidRDefault="00F71FE2" w:rsidP="00181A22">
      <w:pPr>
        <w:pStyle w:val="BodyText"/>
        <w:widowControl w:val="0"/>
        <w:numPr>
          <w:ilvl w:val="0"/>
          <w:numId w:val="57"/>
        </w:numPr>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bCs/>
          <w:color w:val="000000"/>
          <w:sz w:val="20"/>
          <w:szCs w:val="20"/>
        </w:rPr>
        <w:t>Contribution of the programme to achievement of the strategic goals of Bulgaria 2020 / Europe 2020;</w:t>
      </w:r>
    </w:p>
    <w:p w:rsidR="00F71FE2" w:rsidRPr="005B6074" w:rsidRDefault="00F71FE2" w:rsidP="00181A22">
      <w:pPr>
        <w:pStyle w:val="BodyText"/>
        <w:widowControl w:val="0"/>
        <w:numPr>
          <w:ilvl w:val="0"/>
          <w:numId w:val="57"/>
        </w:numPr>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bCs/>
          <w:color w:val="000000"/>
          <w:sz w:val="20"/>
          <w:szCs w:val="20"/>
        </w:rPr>
        <w:lastRenderedPageBreak/>
        <w:t>Thematic evaluations of interest for the programming of the next operational programme.</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bCs/>
          <w:color w:val="000000"/>
          <w:sz w:val="20"/>
          <w:szCs w:val="20"/>
        </w:rPr>
      </w:pPr>
      <w:r w:rsidRPr="005B6074">
        <w:rPr>
          <w:rFonts w:ascii="Verdana" w:hAnsi="Verdana"/>
          <w:bCs/>
          <w:color w:val="000000"/>
          <w:sz w:val="20"/>
          <w:szCs w:val="20"/>
        </w:rPr>
        <w:t>The scope of the evaluation plan shall correspond to the capacity of MA to effectively manage and use the results from the evaluations, and to the need to use resources efficiently, without overlapping of subjects and evaluations. For greater flexibility of the plan it would be appropriate to envisage possibilities and resources for carrying out unplanned (ad hoc) evaluations, in case for example specific information is needed in order to take management decisions, or the operational programme needs to be amended.</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cs="TimesNewRomanPSMT"/>
          <w:sz w:val="20"/>
          <w:szCs w:val="20"/>
        </w:rPr>
      </w:pPr>
      <w:r w:rsidRPr="005B6074">
        <w:rPr>
          <w:rFonts w:ascii="Verdana" w:hAnsi="Verdana"/>
          <w:bCs/>
          <w:color w:val="365F91" w:themeColor="accent1" w:themeShade="BF"/>
          <w:sz w:val="20"/>
          <w:szCs w:val="20"/>
        </w:rPr>
        <w:t>As regards methods to be used in each evaluation and the data needs for carrying out evaluations</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cs="TimesNewRomanPSMT"/>
          <w:sz w:val="20"/>
          <w:szCs w:val="20"/>
        </w:rPr>
      </w:pPr>
      <w:r w:rsidRPr="005B6074">
        <w:rPr>
          <w:rFonts w:ascii="Verdana" w:hAnsi="Verdana" w:cs="TimesNewRomanPSMT"/>
          <w:sz w:val="20"/>
          <w:szCs w:val="20"/>
        </w:rPr>
        <w:t>The evaluation methods will depend on the type and the objectives of the evaluations and on the data that is or is expected to be available. EC guidelines on evaluation EVALSED</w:t>
      </w:r>
      <w:r w:rsidRPr="005B6074">
        <w:rPr>
          <w:rStyle w:val="FootnoteReference"/>
          <w:rFonts w:ascii="Verdana" w:hAnsi="Verdana" w:cs="TimesNewRomanPSMT"/>
          <w:sz w:val="20"/>
          <w:szCs w:val="20"/>
        </w:rPr>
        <w:footnoteReference w:id="18"/>
      </w:r>
      <w:r w:rsidRPr="005B6074">
        <w:rPr>
          <w:rFonts w:ascii="Verdana" w:hAnsi="Verdana" w:cs="TimesNewRomanPSMT"/>
          <w:sz w:val="20"/>
          <w:szCs w:val="20"/>
        </w:rPr>
        <w:t xml:space="preserve"> provide detailed directions about evaluation methods and their application, including on the selection of evaluation methods and techniques.</w:t>
      </w:r>
    </w:p>
    <w:p w:rsidR="00F71FE2" w:rsidRPr="005B6074" w:rsidRDefault="00F71FE2" w:rsidP="00F71FE2">
      <w:pPr>
        <w:pStyle w:val="BodyText"/>
        <w:keepNext/>
        <w:tabs>
          <w:tab w:val="left" w:pos="0"/>
          <w:tab w:val="right" w:pos="9214"/>
        </w:tabs>
        <w:spacing w:before="120" w:after="0" w:line="276" w:lineRule="auto"/>
        <w:jc w:val="both"/>
        <w:rPr>
          <w:rFonts w:ascii="Verdana" w:hAnsi="Verdana"/>
          <w:bCs/>
          <w:color w:val="365F91"/>
          <w:sz w:val="20"/>
          <w:szCs w:val="20"/>
        </w:rPr>
      </w:pPr>
      <w:r w:rsidRPr="005B6074">
        <w:rPr>
          <w:rFonts w:ascii="Verdana" w:hAnsi="Verdana"/>
          <w:bCs/>
          <w:color w:val="365F91"/>
          <w:sz w:val="20"/>
          <w:szCs w:val="20"/>
        </w:rPr>
        <w:t>In terms of planning how the necessary data will be provided or will be obtained</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cs="TimesNewRomanPSMT"/>
          <w:sz w:val="20"/>
          <w:szCs w:val="20"/>
        </w:rPr>
      </w:pPr>
      <w:r w:rsidRPr="005B6074">
        <w:rPr>
          <w:rFonts w:ascii="Verdana" w:hAnsi="Verdana" w:cs="TimesNewRomanPSMT"/>
          <w:sz w:val="20"/>
          <w:szCs w:val="20"/>
        </w:rPr>
        <w:t xml:space="preserve">For each evaluation, depending on its type and subject, the main data necessary for carrying it out needs to be specified, the data source, and whether the data is expected to be available from the programme’s monitoring system or from other sources, or needs to be provided additionally. If the latter is apply, it shall be indicated whether the data is expected to be provided in the course of evaluation by the evaluators – as that would affect both the duration of evaluation and its budget. </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bCs/>
          <w:color w:val="365F91" w:themeColor="accent1" w:themeShade="BF"/>
          <w:sz w:val="20"/>
          <w:szCs w:val="20"/>
        </w:rPr>
      </w:pPr>
      <w:r w:rsidRPr="005B6074">
        <w:rPr>
          <w:rFonts w:ascii="Verdana" w:hAnsi="Verdana"/>
          <w:bCs/>
          <w:color w:val="365F91" w:themeColor="accent1" w:themeShade="BF"/>
          <w:sz w:val="20"/>
          <w:szCs w:val="20"/>
        </w:rPr>
        <w:t>As regards the strategy for ensuring the use of the evaluation results and publicity of evaluations</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cs="TimesNewRomanPSMT"/>
          <w:sz w:val="20"/>
          <w:szCs w:val="20"/>
        </w:rPr>
      </w:pPr>
      <w:r w:rsidRPr="005B6074">
        <w:rPr>
          <w:rFonts w:ascii="Verdana" w:hAnsi="Verdana" w:cs="TimesNewRomanPSMT"/>
          <w:sz w:val="20"/>
          <w:szCs w:val="20"/>
        </w:rPr>
        <w:t>According to art. 54 (4) of Regulation 1303/2013 all evaluations shall be made available to the public. That involves publishing the evaluations in the programme’s website.</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cs="TimesNewRomanPSMT"/>
          <w:sz w:val="20"/>
          <w:szCs w:val="20"/>
        </w:rPr>
      </w:pPr>
      <w:r w:rsidRPr="005B6074">
        <w:rPr>
          <w:rFonts w:ascii="Verdana" w:hAnsi="Verdana" w:cs="TimesNewRomanPSMT"/>
          <w:sz w:val="20"/>
          <w:szCs w:val="20"/>
        </w:rPr>
        <w:t>As regards the strategy for using the results from evaluations - it should describe how recommendations from evaluations would be discussed and adopted, and their implementation – monitored, reported and accounted for.</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cs="TimesNewRomanPSMT"/>
          <w:sz w:val="20"/>
          <w:szCs w:val="20"/>
        </w:rPr>
      </w:pPr>
      <w:r w:rsidRPr="005B6074">
        <w:rPr>
          <w:rFonts w:ascii="Verdana" w:hAnsi="Verdana" w:cs="TimesNewRomanPSMT"/>
          <w:sz w:val="20"/>
          <w:szCs w:val="20"/>
        </w:rPr>
        <w:t>Also it should be specified how the results from evaluations would reach the stakeholders and how the possible actions would be discussed with them.</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bCs/>
          <w:color w:val="365F91" w:themeColor="accent1" w:themeShade="BF"/>
          <w:sz w:val="20"/>
          <w:szCs w:val="20"/>
        </w:rPr>
      </w:pPr>
      <w:r w:rsidRPr="005B6074">
        <w:rPr>
          <w:rFonts w:ascii="Verdana" w:hAnsi="Verdana"/>
          <w:bCs/>
          <w:color w:val="365F91" w:themeColor="accent1" w:themeShade="BF"/>
          <w:sz w:val="20"/>
          <w:szCs w:val="20"/>
        </w:rPr>
        <w:t>As regards the need for human resources</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cs="TimesNewRomanPSMT"/>
          <w:sz w:val="20"/>
          <w:szCs w:val="20"/>
        </w:rPr>
      </w:pPr>
      <w:r w:rsidRPr="005B6074">
        <w:rPr>
          <w:rFonts w:ascii="Verdana" w:hAnsi="Verdana" w:cs="TimesNewRomanPSMT"/>
          <w:sz w:val="20"/>
          <w:szCs w:val="20"/>
        </w:rPr>
        <w:t xml:space="preserve">It is important to allocate responsibilities and determine whether establishing a specific working/coordination group is envisaged (for each evaluation). </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bCs/>
          <w:color w:val="365F91" w:themeColor="accent1" w:themeShade="BF"/>
          <w:sz w:val="20"/>
          <w:szCs w:val="20"/>
        </w:rPr>
      </w:pPr>
      <w:r w:rsidRPr="005B6074">
        <w:rPr>
          <w:rFonts w:ascii="Verdana" w:hAnsi="Verdana"/>
          <w:bCs/>
          <w:color w:val="365F91" w:themeColor="accent1" w:themeShade="BF"/>
          <w:sz w:val="20"/>
          <w:szCs w:val="20"/>
        </w:rPr>
        <w:t>As regards the indicative budget</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cs="TimesNewRomanPSMT"/>
          <w:sz w:val="20"/>
          <w:szCs w:val="20"/>
        </w:rPr>
      </w:pPr>
      <w:r w:rsidRPr="005B6074">
        <w:rPr>
          <w:rFonts w:ascii="Verdana" w:hAnsi="Verdana" w:cs="TimesNewRomanPSMT"/>
          <w:sz w:val="20"/>
          <w:szCs w:val="20"/>
        </w:rPr>
        <w:t xml:space="preserve">It is recommended that an indicative budget is determined for each evaluation, based on the envisaged duration, methods of carrying out the evaluation, and on whether or not it is envisaged to collect additional data apart from the available, because that enables more precise planning. At the same time some reserve funds may be allocated or a budget for </w:t>
      </w:r>
      <w:r w:rsidRPr="005B6074">
        <w:rPr>
          <w:rFonts w:ascii="Verdana" w:hAnsi="Verdana" w:cs="TimesNewRomanPSMT"/>
          <w:sz w:val="20"/>
          <w:szCs w:val="20"/>
        </w:rPr>
        <w:lastRenderedPageBreak/>
        <w:t xml:space="preserve">non-planned evaluations, which, if not used, would be redirected to other activities within the technical assistance priority axis. </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bCs/>
          <w:color w:val="365F91" w:themeColor="accent1" w:themeShade="BF"/>
          <w:sz w:val="20"/>
          <w:szCs w:val="20"/>
        </w:rPr>
      </w:pPr>
      <w:r w:rsidRPr="005B6074">
        <w:rPr>
          <w:rFonts w:ascii="Verdana" w:hAnsi="Verdana"/>
          <w:bCs/>
          <w:color w:val="365F91" w:themeColor="accent1" w:themeShade="BF"/>
          <w:sz w:val="20"/>
          <w:szCs w:val="20"/>
        </w:rPr>
        <w:t>As regards a Training Plan (optional)</w:t>
      </w:r>
    </w:p>
    <w:p w:rsidR="00F71FE2" w:rsidRPr="005B6074" w:rsidRDefault="00F71FE2" w:rsidP="00F71FE2">
      <w:pPr>
        <w:pStyle w:val="BodyText"/>
        <w:widowControl w:val="0"/>
        <w:tabs>
          <w:tab w:val="left" w:pos="0"/>
          <w:tab w:val="right" w:pos="9214"/>
        </w:tabs>
        <w:spacing w:before="120" w:after="0" w:line="276" w:lineRule="auto"/>
        <w:jc w:val="both"/>
        <w:rPr>
          <w:rFonts w:ascii="Verdana" w:hAnsi="Verdana" w:cs="TimesNewRomanPSMT"/>
          <w:sz w:val="20"/>
          <w:szCs w:val="20"/>
        </w:rPr>
      </w:pPr>
      <w:r w:rsidRPr="005B6074">
        <w:rPr>
          <w:rFonts w:ascii="Verdana" w:hAnsi="Verdana" w:cs="TimesNewRomanPSMT"/>
          <w:sz w:val="20"/>
          <w:szCs w:val="20"/>
        </w:rPr>
        <w:t xml:space="preserve">Depending on the needs, training can be envisaged of the human resources responsible for evaluations planning/implementation/management. As </w:t>
      </w:r>
      <w:r w:rsidR="005B35A7">
        <w:rPr>
          <w:rFonts w:ascii="Verdana" w:eastAsia="Malgun Gothic" w:hAnsi="Verdana"/>
          <w:bCs/>
          <w:color w:val="000000"/>
          <w:sz w:val="20"/>
          <w:szCs w:val="20"/>
          <w:lang w:eastAsia="ko-KR"/>
        </w:rPr>
        <w:t>OPSESG</w:t>
      </w:r>
      <w:r w:rsidRPr="005B6074">
        <w:rPr>
          <w:rFonts w:ascii="Verdana" w:eastAsia="Malgun Gothic" w:hAnsi="Verdana"/>
          <w:bCs/>
          <w:color w:val="000000"/>
          <w:sz w:val="20"/>
          <w:szCs w:val="20"/>
          <w:lang w:eastAsia="ko-KR"/>
        </w:rPr>
        <w:t xml:space="preserve"> is a new programme, that possibility should be considered in the light of activities for improving the capacity of MA experts. Part of that training can be implemented by the evaluators</w:t>
      </w:r>
      <w:r w:rsidRPr="005B6074">
        <w:rPr>
          <w:rFonts w:ascii="Verdana" w:hAnsi="Verdana" w:cs="TimesNewRomanPSMT"/>
          <w:sz w:val="20"/>
          <w:szCs w:val="20"/>
        </w:rPr>
        <w:t>.</w:t>
      </w:r>
    </w:p>
    <w:p w:rsidR="00F71FE2" w:rsidRPr="005B6074" w:rsidRDefault="00F71FE2" w:rsidP="00F71FE2">
      <w:pPr>
        <w:widowControl w:val="0"/>
        <w:tabs>
          <w:tab w:val="left" w:pos="1276"/>
        </w:tabs>
        <w:overflowPunct w:val="0"/>
        <w:autoSpaceDE w:val="0"/>
        <w:autoSpaceDN w:val="0"/>
        <w:adjustRightInd w:val="0"/>
        <w:spacing w:before="360" w:after="120"/>
        <w:jc w:val="both"/>
        <w:textAlignment w:val="baseline"/>
        <w:outlineLvl w:val="2"/>
        <w:rPr>
          <w:rFonts w:ascii="Verdana" w:eastAsia="Times New Roman" w:hAnsi="Verdana" w:cs="Calibri"/>
          <w:b/>
          <w:color w:val="365F91"/>
          <w:lang w:eastAsia="cs-CZ"/>
        </w:rPr>
      </w:pPr>
      <w:bookmarkStart w:id="243" w:name="_Toc396225567"/>
      <w:r w:rsidRPr="005B6074">
        <w:rPr>
          <w:rFonts w:ascii="Verdana" w:eastAsia="Times New Roman" w:hAnsi="Verdana" w:cs="Calibri"/>
          <w:b/>
          <w:color w:val="365F91"/>
          <w:lang w:eastAsia="cs-CZ"/>
        </w:rPr>
        <w:t>Conclusions and recommendations</w:t>
      </w:r>
      <w:bookmarkEnd w:id="243"/>
    </w:p>
    <w:p w:rsidR="00F71FE2" w:rsidRPr="005B6074" w:rsidRDefault="00F71FE2" w:rsidP="00F71FE2">
      <w:pPr>
        <w:spacing w:before="120" w:after="120"/>
        <w:jc w:val="both"/>
        <w:rPr>
          <w:rFonts w:ascii="Verdana" w:hAnsi="Verdana"/>
          <w:sz w:val="20"/>
          <w:szCs w:val="20"/>
        </w:rPr>
      </w:pPr>
      <w:r w:rsidRPr="005B6074">
        <w:rPr>
          <w:rFonts w:ascii="Verdana" w:hAnsi="Verdana"/>
          <w:sz w:val="20"/>
          <w:szCs w:val="20"/>
        </w:rPr>
        <w:t>The conclusions and recommendations refer not to texts of the report but to the programme implementation and management. The following recommendations are made:</w:t>
      </w:r>
    </w:p>
    <w:p w:rsidR="00F71FE2" w:rsidRPr="005B6074" w:rsidRDefault="00F71FE2" w:rsidP="00181A22">
      <w:pPr>
        <w:pStyle w:val="ListParagraph"/>
        <w:numPr>
          <w:ilvl w:val="0"/>
          <w:numId w:val="61"/>
        </w:numPr>
        <w:jc w:val="both"/>
        <w:rPr>
          <w:rFonts w:ascii="Verdana" w:hAnsi="Verdana"/>
          <w:sz w:val="20"/>
          <w:szCs w:val="20"/>
        </w:rPr>
      </w:pPr>
      <w:r w:rsidRPr="005B6074">
        <w:rPr>
          <w:rFonts w:ascii="Verdana" w:hAnsi="Verdana"/>
          <w:sz w:val="20"/>
          <w:szCs w:val="20"/>
        </w:rPr>
        <w:t xml:space="preserve">The risk management and control department, which includes the irregularity officer, should be directly subordinate to the director general of </w:t>
      </w:r>
      <w:r w:rsidRPr="005B6074">
        <w:rPr>
          <w:rFonts w:ascii="Verdana" w:hAnsi="Verdana" w:cs="OpalCYR"/>
          <w:sz w:val="20"/>
          <w:szCs w:val="20"/>
        </w:rPr>
        <w:t>GD SFIEP</w:t>
      </w:r>
      <w:r w:rsidRPr="005B6074">
        <w:rPr>
          <w:rFonts w:ascii="Verdana" w:hAnsi="Verdana"/>
          <w:sz w:val="20"/>
          <w:szCs w:val="20"/>
        </w:rPr>
        <w:t xml:space="preserve"> and not to a deputy;</w:t>
      </w:r>
    </w:p>
    <w:p w:rsidR="00F71FE2" w:rsidRPr="005B6074" w:rsidRDefault="00F71FE2" w:rsidP="00181A22">
      <w:pPr>
        <w:pStyle w:val="ListParagraph"/>
        <w:numPr>
          <w:ilvl w:val="0"/>
          <w:numId w:val="61"/>
        </w:numPr>
        <w:jc w:val="both"/>
        <w:rPr>
          <w:rFonts w:ascii="Verdana" w:hAnsi="Verdana"/>
          <w:sz w:val="20"/>
          <w:szCs w:val="20"/>
        </w:rPr>
      </w:pPr>
      <w:r w:rsidRPr="005B6074">
        <w:rPr>
          <w:rFonts w:ascii="Verdana" w:hAnsi="Verdana"/>
          <w:sz w:val="20"/>
          <w:szCs w:val="20"/>
        </w:rPr>
        <w:t>Adequate resources shall be provided to the “Programming and Contracting”, “Financial Planning, Financial Reporting and Payments” and “Risk Management and Control” departments considering their responsibilities;</w:t>
      </w:r>
    </w:p>
    <w:p w:rsidR="00F71FE2" w:rsidRPr="005B6074" w:rsidRDefault="00F71FE2" w:rsidP="00181A22">
      <w:pPr>
        <w:pStyle w:val="ListParagraph"/>
        <w:numPr>
          <w:ilvl w:val="0"/>
          <w:numId w:val="61"/>
        </w:numPr>
        <w:jc w:val="both"/>
        <w:rPr>
          <w:rFonts w:ascii="Verdana" w:hAnsi="Verdana"/>
          <w:sz w:val="20"/>
          <w:szCs w:val="20"/>
        </w:rPr>
      </w:pPr>
      <w:r w:rsidRPr="005B6074">
        <w:rPr>
          <w:rFonts w:ascii="Verdana" w:hAnsi="Verdana"/>
          <w:sz w:val="20"/>
          <w:szCs w:val="20"/>
        </w:rPr>
        <w:t>The necessary technical means for programme management and implementation shall be provided;</w:t>
      </w:r>
    </w:p>
    <w:p w:rsidR="00F71FE2" w:rsidRPr="005B6074" w:rsidRDefault="00F71FE2" w:rsidP="00181A22">
      <w:pPr>
        <w:pStyle w:val="ListParagraph"/>
        <w:numPr>
          <w:ilvl w:val="0"/>
          <w:numId w:val="61"/>
        </w:numPr>
        <w:jc w:val="both"/>
        <w:rPr>
          <w:rFonts w:ascii="Verdana" w:hAnsi="Verdana"/>
          <w:sz w:val="20"/>
          <w:szCs w:val="20"/>
        </w:rPr>
      </w:pPr>
      <w:r w:rsidRPr="005B6074">
        <w:rPr>
          <w:rFonts w:ascii="Verdana" w:hAnsi="Verdana"/>
          <w:sz w:val="20"/>
          <w:szCs w:val="20"/>
        </w:rPr>
        <w:t>Training courses related to the new responsibilities as MA shall start as soon as possible;</w:t>
      </w:r>
    </w:p>
    <w:p w:rsidR="00F71FE2" w:rsidRPr="005B6074" w:rsidRDefault="00F71FE2" w:rsidP="00181A22">
      <w:pPr>
        <w:pStyle w:val="ListParagraph"/>
        <w:numPr>
          <w:ilvl w:val="0"/>
          <w:numId w:val="61"/>
        </w:numPr>
        <w:jc w:val="both"/>
        <w:rPr>
          <w:rFonts w:ascii="Verdana" w:hAnsi="Verdana"/>
          <w:sz w:val="20"/>
          <w:szCs w:val="20"/>
        </w:rPr>
      </w:pPr>
      <w:r w:rsidRPr="005B6074">
        <w:rPr>
          <w:rFonts w:ascii="Verdana" w:hAnsi="Verdana"/>
          <w:sz w:val="20"/>
          <w:szCs w:val="20"/>
        </w:rPr>
        <w:t>An attractive incentives and remuneration package for the staff shall be developed so as to improve their motivation;</w:t>
      </w:r>
    </w:p>
    <w:p w:rsidR="00F71FE2" w:rsidRPr="005B6074" w:rsidRDefault="00F71FE2" w:rsidP="00181A22">
      <w:pPr>
        <w:pStyle w:val="ListParagraph"/>
        <w:numPr>
          <w:ilvl w:val="0"/>
          <w:numId w:val="61"/>
        </w:numPr>
        <w:jc w:val="both"/>
        <w:rPr>
          <w:rFonts w:ascii="Verdana" w:hAnsi="Verdana"/>
          <w:sz w:val="20"/>
          <w:szCs w:val="20"/>
        </w:rPr>
      </w:pPr>
      <w:r w:rsidRPr="005B6074">
        <w:rPr>
          <w:rFonts w:ascii="Verdana" w:hAnsi="Verdana"/>
          <w:sz w:val="20"/>
          <w:szCs w:val="20"/>
        </w:rPr>
        <w:t>Points of contact for beneficiaries shall be specified in the Project Implementation Manual, with clearly indicated persons, responsibilities and time limits for response to questions.</w:t>
      </w:r>
    </w:p>
    <w:p w:rsidR="00CF3EE2" w:rsidRPr="005B6074" w:rsidRDefault="00CF3EE2" w:rsidP="00CF3EE2">
      <w:pPr>
        <w:spacing w:before="120" w:after="120"/>
        <w:jc w:val="both"/>
        <w:rPr>
          <w:rFonts w:ascii="Verdana" w:hAnsi="Verdana"/>
          <w:sz w:val="20"/>
          <w:szCs w:val="20"/>
        </w:rPr>
      </w:pPr>
    </w:p>
    <w:p w:rsidR="00CF3EE2" w:rsidRPr="005B6074" w:rsidRDefault="00CF3EE2" w:rsidP="00CF3EE2">
      <w:pPr>
        <w:pStyle w:val="BodyText"/>
        <w:widowControl w:val="0"/>
        <w:tabs>
          <w:tab w:val="left" w:pos="0"/>
          <w:tab w:val="right" w:pos="9214"/>
        </w:tabs>
        <w:spacing w:before="120" w:after="0" w:line="276" w:lineRule="auto"/>
        <w:jc w:val="both"/>
        <w:rPr>
          <w:rFonts w:ascii="Verdana" w:hAnsi="Verdana"/>
          <w:bCs/>
          <w:color w:val="000000"/>
          <w:sz w:val="20"/>
          <w:szCs w:val="20"/>
        </w:rPr>
        <w:sectPr w:rsidR="00CF3EE2" w:rsidRPr="005B6074" w:rsidSect="007C4363">
          <w:pgSz w:w="11907" w:h="16839" w:code="9"/>
          <w:pgMar w:top="2085" w:right="1377" w:bottom="1440" w:left="1440" w:header="720" w:footer="726" w:gutter="0"/>
          <w:cols w:space="720"/>
          <w:docGrid w:linePitch="360"/>
        </w:sectPr>
      </w:pPr>
    </w:p>
    <w:p w:rsidR="00CF3EE2" w:rsidRPr="005B6074" w:rsidRDefault="00A35E98" w:rsidP="00CF3EE2">
      <w:pPr>
        <w:pStyle w:val="Heading1"/>
        <w:shd w:val="clear" w:color="auto" w:fill="0063B8"/>
        <w:tabs>
          <w:tab w:val="num" w:pos="720"/>
        </w:tabs>
        <w:spacing w:before="0" w:line="276" w:lineRule="auto"/>
        <w:ind w:left="720" w:hanging="720"/>
        <w:rPr>
          <w:rFonts w:ascii="Verdana" w:hAnsi="Verdana"/>
          <w:b w:val="0"/>
        </w:rPr>
      </w:pPr>
      <w:bookmarkStart w:id="244" w:name="_Toc319344751"/>
      <w:bookmarkStart w:id="245" w:name="_Toc362617907"/>
      <w:bookmarkStart w:id="246" w:name="_Toc379372163"/>
      <w:bookmarkStart w:id="247" w:name="_Toc390262454"/>
      <w:bookmarkStart w:id="248" w:name="_Toc396225568"/>
      <w:r w:rsidRPr="005B6074">
        <w:rPr>
          <w:rFonts w:ascii="Verdana" w:hAnsi="Verdana"/>
          <w:b w:val="0"/>
          <w:color w:val="FFFFFF"/>
        </w:rPr>
        <w:lastRenderedPageBreak/>
        <w:t>IV.</w:t>
      </w:r>
      <w:r w:rsidRPr="005B6074">
        <w:rPr>
          <w:rFonts w:ascii="Verdana" w:hAnsi="Verdana"/>
          <w:b w:val="0"/>
          <w:color w:val="FFFFFF"/>
        </w:rPr>
        <w:tab/>
      </w:r>
      <w:bookmarkEnd w:id="244"/>
      <w:bookmarkEnd w:id="245"/>
      <w:bookmarkEnd w:id="246"/>
      <w:bookmarkEnd w:id="247"/>
      <w:r w:rsidRPr="005B6074">
        <w:rPr>
          <w:rFonts w:ascii="Verdana" w:hAnsi="Verdana"/>
          <w:b w:val="0"/>
          <w:color w:val="FFFFFF"/>
        </w:rPr>
        <w:t>Conclusions and recommendations</w:t>
      </w:r>
      <w:bookmarkEnd w:id="248"/>
      <w:r w:rsidRPr="005B6074">
        <w:rPr>
          <w:rFonts w:ascii="Verdana" w:hAnsi="Verdana"/>
          <w:b w:val="0"/>
        </w:rPr>
        <w:tab/>
      </w:r>
    </w:p>
    <w:p w:rsidR="00CF3EE2" w:rsidRPr="005B6074" w:rsidRDefault="00CF3EE2" w:rsidP="00CF3EE2">
      <w:pPr>
        <w:spacing w:after="120"/>
        <w:jc w:val="both"/>
        <w:rPr>
          <w:rFonts w:ascii="Verdana" w:hAnsi="Verdana"/>
          <w:sz w:val="20"/>
          <w:szCs w:val="20"/>
        </w:rPr>
      </w:pPr>
    </w:p>
    <w:p w:rsidR="00CF3EE2" w:rsidRPr="005B6074" w:rsidRDefault="00A35E98" w:rsidP="00CF3EE2">
      <w:pPr>
        <w:pStyle w:val="Heading2"/>
        <w:shd w:val="clear" w:color="auto" w:fill="FFCC99"/>
        <w:spacing w:line="276" w:lineRule="auto"/>
        <w:rPr>
          <w:rFonts w:ascii="Verdana" w:hAnsi="Verdana"/>
          <w:i w:val="0"/>
          <w:iCs/>
          <w:color w:val="0063B8"/>
          <w:sz w:val="26"/>
          <w:szCs w:val="26"/>
        </w:rPr>
      </w:pPr>
      <w:bookmarkStart w:id="249" w:name="_Toc396225569"/>
      <w:r w:rsidRPr="005B6074">
        <w:rPr>
          <w:rFonts w:ascii="Verdana" w:hAnsi="Verdana"/>
          <w:i w:val="0"/>
          <w:iCs/>
          <w:color w:val="0063B8"/>
          <w:sz w:val="26"/>
          <w:szCs w:val="26"/>
        </w:rPr>
        <w:t>Conclusions</w:t>
      </w:r>
      <w:bookmarkEnd w:id="249"/>
    </w:p>
    <w:p w:rsidR="00F71FE2" w:rsidRPr="005B6074" w:rsidRDefault="00F71FE2" w:rsidP="00F71FE2">
      <w:pPr>
        <w:keepNext/>
        <w:spacing w:before="240" w:after="120"/>
        <w:jc w:val="both"/>
        <w:rPr>
          <w:rFonts w:ascii="Verdana" w:hAnsi="Verdana"/>
          <w:color w:val="548DD4" w:themeColor="text2" w:themeTint="99"/>
          <w:sz w:val="20"/>
          <w:szCs w:val="20"/>
        </w:rPr>
      </w:pPr>
      <w:r w:rsidRPr="005B6074">
        <w:rPr>
          <w:rFonts w:ascii="Verdana" w:hAnsi="Verdana"/>
          <w:color w:val="548DD4" w:themeColor="text2" w:themeTint="99"/>
          <w:sz w:val="20"/>
          <w:szCs w:val="20"/>
        </w:rPr>
        <w:t xml:space="preserve">As regards external coherence </w:t>
      </w:r>
    </w:p>
    <w:p w:rsidR="00F71FE2" w:rsidRPr="005B6074" w:rsidRDefault="005B35A7" w:rsidP="00F71FE2">
      <w:pPr>
        <w:pStyle w:val="BodyText"/>
        <w:widowControl w:val="0"/>
        <w:spacing w:line="276" w:lineRule="auto"/>
        <w:jc w:val="both"/>
        <w:rPr>
          <w:rFonts w:ascii="Verdana" w:eastAsia="Malgun Gothic" w:hAnsi="Verdana"/>
          <w:bCs/>
          <w:color w:val="000000"/>
          <w:sz w:val="20"/>
          <w:szCs w:val="20"/>
          <w:lang w:eastAsia="ko-KR"/>
        </w:rPr>
      </w:pPr>
      <w:r>
        <w:rPr>
          <w:rFonts w:ascii="Verdana" w:eastAsia="Malgun Gothic" w:hAnsi="Verdana"/>
          <w:bCs/>
          <w:color w:val="000000"/>
          <w:sz w:val="20"/>
          <w:szCs w:val="20"/>
          <w:lang w:eastAsia="ko-KR"/>
        </w:rPr>
        <w:t>OPSESG</w:t>
      </w:r>
      <w:r w:rsidR="00F71FE2" w:rsidRPr="005B6074">
        <w:rPr>
          <w:rFonts w:ascii="Verdana" w:eastAsia="Malgun Gothic" w:hAnsi="Verdana"/>
          <w:bCs/>
          <w:color w:val="000000"/>
          <w:sz w:val="20"/>
          <w:szCs w:val="20"/>
          <w:lang w:eastAsia="ko-KR"/>
        </w:rPr>
        <w:t xml:space="preserve"> 2014-2020 reflects to a great extent the goals and priorities indicated in major European and national strategic documents in the field of science and education, including the goals of strategy Europe 2020 in that field.</w:t>
      </w:r>
    </w:p>
    <w:p w:rsidR="00F71FE2" w:rsidRPr="005B6074" w:rsidRDefault="00F71FE2" w:rsidP="00F71FE2">
      <w:pPr>
        <w:pStyle w:val="BodyText"/>
        <w:widowControl w:val="0"/>
        <w:spacing w:line="276" w:lineRule="auto"/>
        <w:jc w:val="both"/>
        <w:rPr>
          <w:rFonts w:ascii="Verdana" w:hAnsi="Verdana"/>
          <w:sz w:val="20"/>
          <w:szCs w:val="20"/>
          <w:lang w:eastAsia="en-US"/>
        </w:rPr>
      </w:pPr>
      <w:r w:rsidRPr="005B6074">
        <w:rPr>
          <w:rFonts w:ascii="Verdana" w:hAnsi="Verdana"/>
          <w:sz w:val="20"/>
          <w:szCs w:val="20"/>
          <w:lang w:eastAsia="en-US"/>
        </w:rPr>
        <w:t>At the same time some basic national strategic and regulatory documents are currently being developed or updated, and that hampers to some extent the focusing of the support envisaged under this operational programme.</w:t>
      </w:r>
    </w:p>
    <w:p w:rsidR="00F71FE2" w:rsidRPr="005B6074" w:rsidRDefault="00F71FE2" w:rsidP="00F71FE2">
      <w:pPr>
        <w:pStyle w:val="BodyText"/>
        <w:widowControl w:val="0"/>
        <w:spacing w:line="276" w:lineRule="auto"/>
        <w:jc w:val="both"/>
        <w:rPr>
          <w:rFonts w:ascii="Verdana" w:hAnsi="Verdana"/>
          <w:sz w:val="20"/>
          <w:szCs w:val="20"/>
          <w:lang w:eastAsia="en-US"/>
        </w:rPr>
      </w:pPr>
      <w:r w:rsidRPr="005B6074">
        <w:rPr>
          <w:rFonts w:ascii="Verdana" w:hAnsi="Verdana"/>
          <w:sz w:val="20"/>
          <w:szCs w:val="20"/>
          <w:lang w:eastAsia="en-US"/>
        </w:rPr>
        <w:t xml:space="preserve">Taking into consideration some of the recommendations of the ex-ante evaluation resulted in improving the synergy between this programme and Horizon 2020 and to clearer demarcation and </w:t>
      </w:r>
      <w:r w:rsidR="00845752" w:rsidRPr="005B6074">
        <w:rPr>
          <w:rFonts w:ascii="Verdana" w:hAnsi="Verdana"/>
          <w:sz w:val="20"/>
          <w:szCs w:val="20"/>
          <w:lang w:eastAsia="en-US"/>
        </w:rPr>
        <w:t>complementarity</w:t>
      </w:r>
      <w:r w:rsidRPr="005B6074">
        <w:rPr>
          <w:rFonts w:ascii="Verdana" w:hAnsi="Verdana"/>
          <w:sz w:val="20"/>
          <w:szCs w:val="20"/>
          <w:lang w:eastAsia="en-US"/>
        </w:rPr>
        <w:t xml:space="preserve"> with some other operational programmes. The texts of the programme have been updated in accordance with the latest versions of documents.</w:t>
      </w:r>
    </w:p>
    <w:p w:rsidR="00F71FE2" w:rsidRPr="005B6074" w:rsidRDefault="00F71FE2" w:rsidP="00F71FE2">
      <w:pPr>
        <w:pStyle w:val="BodyText"/>
        <w:widowControl w:val="0"/>
        <w:spacing w:line="276" w:lineRule="auto"/>
        <w:jc w:val="both"/>
        <w:rPr>
          <w:rFonts w:ascii="Verdana" w:hAnsi="Verdana"/>
          <w:sz w:val="20"/>
          <w:szCs w:val="20"/>
          <w:lang w:eastAsia="en-US"/>
        </w:rPr>
      </w:pPr>
      <w:r w:rsidRPr="005B6074">
        <w:rPr>
          <w:rFonts w:ascii="Verdana" w:hAnsi="Verdana"/>
          <w:sz w:val="20"/>
          <w:szCs w:val="20"/>
          <w:lang w:eastAsia="en-US"/>
        </w:rPr>
        <w:t>The programme does not yet address sufficiently the territorial aspects as regards the quality of education in small and large settlements.</w:t>
      </w:r>
    </w:p>
    <w:p w:rsidR="00F71FE2" w:rsidRPr="005B6074" w:rsidRDefault="00F71FE2" w:rsidP="00F71FE2">
      <w:pPr>
        <w:pStyle w:val="BodyText"/>
        <w:widowControl w:val="0"/>
        <w:spacing w:line="276" w:lineRule="auto"/>
        <w:jc w:val="both"/>
        <w:rPr>
          <w:rFonts w:ascii="Verdana" w:hAnsi="Verdana"/>
          <w:sz w:val="20"/>
          <w:szCs w:val="20"/>
          <w:lang w:eastAsia="en-US"/>
        </w:rPr>
      </w:pPr>
      <w:r w:rsidRPr="005B6074">
        <w:rPr>
          <w:rFonts w:ascii="Verdana" w:hAnsi="Verdana"/>
          <w:sz w:val="20"/>
          <w:szCs w:val="20"/>
          <w:lang w:eastAsia="en-US"/>
        </w:rPr>
        <w:t>It is possible to better reflect even in the text of the programme the goals specified in PA concerning partnership between higher education institutions, enterprises and research and concerning improvement of the management capacity of scientific institutes.</w:t>
      </w:r>
    </w:p>
    <w:p w:rsidR="00F71FE2" w:rsidRPr="005B6074" w:rsidRDefault="00F71FE2" w:rsidP="00F71FE2">
      <w:pPr>
        <w:pStyle w:val="BodyText"/>
        <w:widowControl w:val="0"/>
        <w:spacing w:line="276" w:lineRule="auto"/>
        <w:jc w:val="both"/>
        <w:rPr>
          <w:rFonts w:ascii="Verdana" w:hAnsi="Verdana"/>
          <w:sz w:val="20"/>
          <w:szCs w:val="20"/>
          <w:lang w:eastAsia="en-US"/>
        </w:rPr>
      </w:pPr>
      <w:r w:rsidRPr="005B6074">
        <w:rPr>
          <w:rFonts w:ascii="Verdana" w:hAnsi="Verdana"/>
          <w:sz w:val="20"/>
          <w:szCs w:val="20"/>
          <w:lang w:eastAsia="en-US"/>
        </w:rPr>
        <w:t>Distinguishing from and complimenting some other operational programmes has to be made more precise, in particular related to OPIC.</w:t>
      </w:r>
    </w:p>
    <w:p w:rsidR="00F71FE2" w:rsidRPr="005B6074" w:rsidRDefault="00F71FE2" w:rsidP="00F71FE2">
      <w:pPr>
        <w:keepNext/>
        <w:spacing w:before="240" w:after="120"/>
        <w:jc w:val="both"/>
        <w:rPr>
          <w:rFonts w:ascii="Verdana" w:hAnsi="Verdana"/>
          <w:color w:val="548DD4" w:themeColor="text2" w:themeTint="99"/>
          <w:sz w:val="20"/>
          <w:szCs w:val="20"/>
        </w:rPr>
      </w:pPr>
      <w:r w:rsidRPr="005B6074">
        <w:rPr>
          <w:rFonts w:ascii="Verdana" w:hAnsi="Verdana"/>
          <w:color w:val="548DD4" w:themeColor="text2" w:themeTint="99"/>
          <w:sz w:val="20"/>
          <w:szCs w:val="20"/>
        </w:rPr>
        <w:t xml:space="preserve">As regards internal coherence </w:t>
      </w:r>
    </w:p>
    <w:p w:rsidR="00F71FE2" w:rsidRPr="005B6074" w:rsidRDefault="00F71FE2" w:rsidP="00F71FE2">
      <w:pPr>
        <w:autoSpaceDE w:val="0"/>
        <w:autoSpaceDN w:val="0"/>
        <w:adjustRightInd w:val="0"/>
        <w:spacing w:after="120"/>
        <w:jc w:val="both"/>
        <w:rPr>
          <w:rFonts w:ascii="Verdana" w:hAnsi="Verdana"/>
          <w:sz w:val="20"/>
          <w:szCs w:val="20"/>
        </w:rPr>
      </w:pPr>
      <w:r w:rsidRPr="005B6074">
        <w:rPr>
          <w:rFonts w:ascii="Verdana" w:hAnsi="Verdana"/>
          <w:sz w:val="20"/>
          <w:szCs w:val="20"/>
        </w:rPr>
        <w:t>The programme’s strategy is based on the problems in three major areas – science, higher education and school education. The analyses identify the main existing problems and possible approaches for their solution. Including of supplementary information would improve the analyses and could lead to formulation of better targeted measures for addressing the problems. Not all of the identified problems have been addressed with concrete approaches for solving them.</w:t>
      </w:r>
    </w:p>
    <w:p w:rsidR="00F71FE2" w:rsidRPr="005B6074" w:rsidRDefault="00F71FE2" w:rsidP="00F71FE2">
      <w:pPr>
        <w:autoSpaceDE w:val="0"/>
        <w:autoSpaceDN w:val="0"/>
        <w:adjustRightInd w:val="0"/>
        <w:spacing w:after="120"/>
        <w:jc w:val="both"/>
        <w:rPr>
          <w:rFonts w:ascii="Verdana" w:hAnsi="Verdana"/>
          <w:sz w:val="20"/>
          <w:szCs w:val="20"/>
        </w:rPr>
      </w:pPr>
      <w:r w:rsidRPr="005B6074">
        <w:rPr>
          <w:rFonts w:ascii="Verdana" w:hAnsi="Verdana"/>
          <w:sz w:val="20"/>
          <w:szCs w:val="20"/>
        </w:rPr>
        <w:t>The programme’s intervention logic is built in three priority axes, comprising the country‘s major problems in the field of science and technology development, school education and higher education, and social inclusion of vulnerable groups into education.</w:t>
      </w:r>
    </w:p>
    <w:p w:rsidR="00F71FE2" w:rsidRPr="005B6074" w:rsidRDefault="00F71FE2" w:rsidP="00F71FE2">
      <w:pPr>
        <w:autoSpaceDE w:val="0"/>
        <w:autoSpaceDN w:val="0"/>
        <w:adjustRightInd w:val="0"/>
        <w:spacing w:after="120"/>
        <w:jc w:val="both"/>
        <w:rPr>
          <w:rFonts w:ascii="Verdana" w:hAnsi="Verdana"/>
          <w:sz w:val="20"/>
          <w:szCs w:val="20"/>
        </w:rPr>
      </w:pPr>
      <w:r w:rsidRPr="005B6074">
        <w:rPr>
          <w:rFonts w:ascii="Verdana" w:hAnsi="Verdana"/>
          <w:sz w:val="20"/>
          <w:szCs w:val="20"/>
        </w:rPr>
        <w:t>The specified investment priorities are adequately selected and in general well focused by means of the set specific goals. The needs analyses and presentation can be improved, in particular as regards the specific objectives concerning the connection between science, education and business (IP2 of PA1, IP4 of PA2).</w:t>
      </w:r>
    </w:p>
    <w:p w:rsidR="00F71FE2" w:rsidRPr="005B6074" w:rsidRDefault="00F71FE2" w:rsidP="00F71FE2">
      <w:pPr>
        <w:autoSpaceDE w:val="0"/>
        <w:autoSpaceDN w:val="0"/>
        <w:adjustRightInd w:val="0"/>
        <w:spacing w:after="120"/>
        <w:jc w:val="both"/>
        <w:rPr>
          <w:rFonts w:ascii="Verdana" w:hAnsi="Verdana"/>
          <w:sz w:val="20"/>
          <w:szCs w:val="20"/>
        </w:rPr>
      </w:pPr>
      <w:r w:rsidRPr="005B6074">
        <w:rPr>
          <w:rFonts w:ascii="Verdana" w:hAnsi="Verdana"/>
          <w:sz w:val="20"/>
          <w:szCs w:val="20"/>
        </w:rPr>
        <w:lastRenderedPageBreak/>
        <w:t xml:space="preserve">The activities under most of the priorities are relevant. Not sufficient number of adequate activities, addressing the need for better cooperation between science and business, have been envisaged. The activities under PA2 are too many in number and can be integrated. </w:t>
      </w:r>
    </w:p>
    <w:p w:rsidR="00F71FE2" w:rsidRPr="005B6074" w:rsidRDefault="00F71FE2" w:rsidP="00F71FE2">
      <w:pPr>
        <w:autoSpaceDE w:val="0"/>
        <w:autoSpaceDN w:val="0"/>
        <w:adjustRightInd w:val="0"/>
        <w:spacing w:after="120"/>
        <w:jc w:val="both"/>
        <w:rPr>
          <w:rFonts w:ascii="Verdana" w:hAnsi="Verdana"/>
          <w:sz w:val="20"/>
          <w:szCs w:val="20"/>
        </w:rPr>
      </w:pPr>
      <w:r w:rsidRPr="005B6074">
        <w:rPr>
          <w:rFonts w:ascii="Verdana" w:hAnsi="Verdana"/>
          <w:sz w:val="20"/>
          <w:szCs w:val="20"/>
        </w:rPr>
        <w:t>The beneficiaries and target groups are in general appropriate and correspond to the set goals and activities.</w:t>
      </w:r>
    </w:p>
    <w:p w:rsidR="00F71FE2" w:rsidRPr="005B6074" w:rsidRDefault="00F71FE2" w:rsidP="00F71FE2">
      <w:pPr>
        <w:autoSpaceDE w:val="0"/>
        <w:autoSpaceDN w:val="0"/>
        <w:adjustRightInd w:val="0"/>
        <w:spacing w:after="120"/>
        <w:jc w:val="both"/>
        <w:rPr>
          <w:rFonts w:ascii="Verdana" w:hAnsi="Verdana"/>
          <w:sz w:val="20"/>
          <w:szCs w:val="20"/>
        </w:rPr>
      </w:pPr>
      <w:r w:rsidRPr="005B6074">
        <w:rPr>
          <w:rFonts w:ascii="Verdana" w:hAnsi="Verdana"/>
          <w:sz w:val="20"/>
          <w:szCs w:val="20"/>
        </w:rPr>
        <w:t>The programme does not specify approaches for providing the assistance. The expectations are that those approaches would include direct funding and support as well as grants provided based on the principle of competitive selection. The programme does not envisage using of financial instruments. Considering the envisaged activities for providing credits to higher education, and the possibilities for joint business – science and business – higher education initiatives it is recommended to analy</w:t>
      </w:r>
      <w:r w:rsidR="00845752">
        <w:rPr>
          <w:rFonts w:ascii="Verdana" w:hAnsi="Verdana"/>
          <w:sz w:val="20"/>
          <w:szCs w:val="20"/>
        </w:rPr>
        <w:t>s</w:t>
      </w:r>
      <w:r w:rsidRPr="005B6074">
        <w:rPr>
          <w:rFonts w:ascii="Verdana" w:hAnsi="Verdana"/>
          <w:sz w:val="20"/>
          <w:szCs w:val="20"/>
        </w:rPr>
        <w:t>e the possibility of using financial instruments in some of the operations.</w:t>
      </w:r>
    </w:p>
    <w:p w:rsidR="00F71FE2" w:rsidRPr="005B6074" w:rsidRDefault="00F71FE2" w:rsidP="00F71FE2">
      <w:pPr>
        <w:autoSpaceDE w:val="0"/>
        <w:autoSpaceDN w:val="0"/>
        <w:adjustRightInd w:val="0"/>
        <w:spacing w:after="120"/>
        <w:jc w:val="both"/>
        <w:rPr>
          <w:rFonts w:ascii="Verdana" w:hAnsi="Verdana"/>
          <w:color w:val="548DD4" w:themeColor="text2" w:themeTint="99"/>
          <w:sz w:val="20"/>
          <w:szCs w:val="20"/>
        </w:rPr>
      </w:pPr>
      <w:r w:rsidRPr="005B6074">
        <w:rPr>
          <w:rFonts w:ascii="Verdana" w:hAnsi="Verdana"/>
          <w:sz w:val="20"/>
          <w:szCs w:val="20"/>
        </w:rPr>
        <w:t>The programme reflects the main horizontal principles – “partnership”, “sustainable development”, “equality and prevention of discrimination” and “gender equality”. It is necessary to add information on monitoring the application of the “sustainable development” and “gender equality” principles. It is recommended that applying the “equal opportunities and prevention of discrimination” principle is monitored by means of the monitoring system and not through additional inspections as the latter would increase the administrative burden.</w:t>
      </w:r>
    </w:p>
    <w:p w:rsidR="00F71FE2" w:rsidRPr="005B6074" w:rsidRDefault="00F71FE2" w:rsidP="00F71FE2">
      <w:pPr>
        <w:keepNext/>
        <w:spacing w:before="240" w:after="120"/>
        <w:jc w:val="both"/>
        <w:rPr>
          <w:rFonts w:ascii="Verdana" w:hAnsi="Verdana"/>
          <w:color w:val="548DD4" w:themeColor="text2" w:themeTint="99"/>
          <w:sz w:val="20"/>
          <w:szCs w:val="20"/>
        </w:rPr>
      </w:pPr>
      <w:r w:rsidRPr="005B6074">
        <w:rPr>
          <w:rFonts w:ascii="Verdana" w:hAnsi="Verdana"/>
          <w:color w:val="548DD4" w:themeColor="text2" w:themeTint="99"/>
          <w:sz w:val="20"/>
          <w:szCs w:val="20"/>
        </w:rPr>
        <w:t>As regards financial allocation</w:t>
      </w:r>
    </w:p>
    <w:p w:rsidR="00F71FE2" w:rsidRPr="005B6074" w:rsidRDefault="00F71FE2" w:rsidP="00F71FE2">
      <w:pPr>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The financial allocation under the programme is in line with the requirements of EC regulations for the 2014-2020 programming period and the distribution of funds indicated in the PA.</w:t>
      </w:r>
    </w:p>
    <w:p w:rsidR="00F71FE2" w:rsidRPr="005B6074" w:rsidRDefault="00F71FE2" w:rsidP="00F71FE2">
      <w:pPr>
        <w:jc w:val="both"/>
        <w:rPr>
          <w:rFonts w:ascii="Verdana" w:hAnsi="Verdana"/>
          <w:sz w:val="20"/>
          <w:szCs w:val="20"/>
        </w:rPr>
      </w:pPr>
      <w:r w:rsidRPr="005B6074">
        <w:rPr>
          <w:rFonts w:ascii="Verdana" w:eastAsia="Times New Roman" w:hAnsi="Verdana"/>
          <w:bCs/>
          <w:color w:val="000000"/>
          <w:sz w:val="20"/>
          <w:szCs w:val="20"/>
          <w:lang w:eastAsia="bg-BG"/>
        </w:rPr>
        <w:t>The financing is directed to the attainment of the national strategic goals concerning science, innovations and education.</w:t>
      </w:r>
      <w:r w:rsidRPr="005B6074">
        <w:rPr>
          <w:rFonts w:ascii="Verdana" w:hAnsi="Verdana"/>
          <w:sz w:val="20"/>
          <w:szCs w:val="20"/>
        </w:rPr>
        <w:t xml:space="preserve"> Indirectly it is expected to have an effect also on the labour market, social inclusion and economic development.</w:t>
      </w:r>
    </w:p>
    <w:p w:rsidR="00F71FE2" w:rsidRPr="005B6074" w:rsidRDefault="00F71FE2" w:rsidP="00F71FE2">
      <w:pPr>
        <w:jc w:val="both"/>
        <w:rPr>
          <w:rFonts w:ascii="Verdana" w:hAnsi="Verdana"/>
          <w:sz w:val="20"/>
          <w:szCs w:val="20"/>
        </w:rPr>
      </w:pPr>
      <w:r w:rsidRPr="005B6074">
        <w:rPr>
          <w:rFonts w:ascii="Verdana" w:hAnsi="Verdana"/>
          <w:sz w:val="20"/>
          <w:szCs w:val="20"/>
        </w:rPr>
        <w:t>The amount of allocated funds as a whole is insufficient. The distribution of the funds by year is ambitious and there is a risk for automatic loss of funds in the first years of implementation.</w:t>
      </w:r>
    </w:p>
    <w:p w:rsidR="00F71FE2" w:rsidRPr="005B6074" w:rsidRDefault="00F71FE2" w:rsidP="00F71FE2">
      <w:pPr>
        <w:jc w:val="both"/>
        <w:rPr>
          <w:rFonts w:ascii="Verdana" w:hAnsi="Verdana"/>
          <w:sz w:val="20"/>
          <w:szCs w:val="20"/>
        </w:rPr>
      </w:pPr>
      <w:r w:rsidRPr="005B6074">
        <w:rPr>
          <w:rFonts w:ascii="Verdana" w:hAnsi="Verdana"/>
          <w:sz w:val="20"/>
          <w:szCs w:val="20"/>
        </w:rPr>
        <w:t>The May 2014 version of the programme does not provide a financial justification, and that makes it impossible to assess the observance of the thematic concentration requirement.</w:t>
      </w:r>
    </w:p>
    <w:p w:rsidR="00F71FE2" w:rsidRPr="005B6074" w:rsidRDefault="00F71FE2" w:rsidP="00F71FE2">
      <w:pPr>
        <w:keepNext/>
        <w:spacing w:before="240" w:after="120"/>
        <w:jc w:val="both"/>
        <w:rPr>
          <w:rFonts w:ascii="Verdana" w:hAnsi="Verdana"/>
          <w:color w:val="548DD4" w:themeColor="text2" w:themeTint="99"/>
          <w:sz w:val="20"/>
          <w:szCs w:val="20"/>
        </w:rPr>
      </w:pPr>
      <w:r w:rsidRPr="005B6074">
        <w:rPr>
          <w:rFonts w:ascii="Verdana" w:hAnsi="Verdana"/>
          <w:color w:val="548DD4" w:themeColor="text2" w:themeTint="99"/>
          <w:sz w:val="20"/>
          <w:szCs w:val="20"/>
        </w:rPr>
        <w:t>As regards indicators</w:t>
      </w:r>
    </w:p>
    <w:p w:rsidR="00F71FE2" w:rsidRPr="005B6074" w:rsidRDefault="00F71FE2" w:rsidP="00F71FE2">
      <w:pPr>
        <w:widowControl w:val="0"/>
        <w:tabs>
          <w:tab w:val="left" w:pos="0"/>
          <w:tab w:val="right" w:pos="9214"/>
        </w:tabs>
        <w:spacing w:after="12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The indicators system was made more precise and was considerably improved compared to the initial version. Yet further editing of some indicators is expected. No all result indicators have baseline values. Most of the target values seen realistic based on the information currently available. The performance framework has not been elaborated yet and therefore evaluation of the milestones has not been carried out. </w:t>
      </w:r>
    </w:p>
    <w:p w:rsidR="00F71FE2" w:rsidRPr="005B6074" w:rsidRDefault="00F71FE2" w:rsidP="00F71FE2">
      <w:pPr>
        <w:widowControl w:val="0"/>
        <w:tabs>
          <w:tab w:val="left" w:pos="0"/>
          <w:tab w:val="right" w:pos="9214"/>
        </w:tabs>
        <w:spacing w:after="120"/>
        <w:jc w:val="both"/>
        <w:rPr>
          <w:rFonts w:ascii="Verdana" w:eastAsia="Times New Roman" w:hAnsi="Verdana"/>
          <w:bCs/>
          <w:color w:val="000000"/>
          <w:sz w:val="20"/>
          <w:szCs w:val="20"/>
          <w:lang w:eastAsia="bg-BG"/>
        </w:rPr>
      </w:pPr>
      <w:r w:rsidRPr="005B6074">
        <w:rPr>
          <w:rFonts w:ascii="Verdana" w:eastAsia="Times New Roman" w:hAnsi="Verdana"/>
          <w:bCs/>
          <w:color w:val="000000"/>
          <w:sz w:val="20"/>
          <w:szCs w:val="20"/>
          <w:lang w:eastAsia="bg-BG"/>
        </w:rPr>
        <w:t xml:space="preserve">Recommendations have been made regarding the indicators for each priority axis. </w:t>
      </w:r>
    </w:p>
    <w:p w:rsidR="00F71FE2" w:rsidRPr="005B6074" w:rsidRDefault="00F71FE2" w:rsidP="00F71FE2">
      <w:pPr>
        <w:keepNext/>
        <w:spacing w:before="240" w:after="120"/>
        <w:jc w:val="both"/>
        <w:rPr>
          <w:rFonts w:ascii="Verdana" w:hAnsi="Verdana"/>
          <w:color w:val="548DD4" w:themeColor="text2" w:themeTint="99"/>
          <w:sz w:val="20"/>
          <w:szCs w:val="20"/>
        </w:rPr>
      </w:pPr>
      <w:r w:rsidRPr="005B6074">
        <w:rPr>
          <w:rFonts w:ascii="Verdana" w:hAnsi="Verdana"/>
          <w:color w:val="548DD4" w:themeColor="text2" w:themeTint="99"/>
          <w:sz w:val="20"/>
          <w:szCs w:val="20"/>
        </w:rPr>
        <w:lastRenderedPageBreak/>
        <w:t>As regards administrative capacity</w:t>
      </w:r>
    </w:p>
    <w:p w:rsidR="00F71FE2" w:rsidRPr="005B6074" w:rsidRDefault="00F71FE2" w:rsidP="00F71FE2">
      <w:pPr>
        <w:autoSpaceDE w:val="0"/>
        <w:autoSpaceDN w:val="0"/>
        <w:adjustRightInd w:val="0"/>
        <w:spacing w:before="120" w:after="120"/>
        <w:jc w:val="both"/>
        <w:rPr>
          <w:rFonts w:ascii="Verdana" w:hAnsi="Verdana" w:cs="OpalCYR"/>
          <w:sz w:val="20"/>
          <w:szCs w:val="20"/>
        </w:rPr>
      </w:pPr>
      <w:r w:rsidRPr="005B6074">
        <w:rPr>
          <w:rFonts w:ascii="Verdana" w:hAnsi="Verdana"/>
          <w:sz w:val="20"/>
          <w:szCs w:val="20"/>
          <w:lang w:eastAsia="cs-CZ"/>
        </w:rPr>
        <w:t xml:space="preserve">The new structure of </w:t>
      </w:r>
      <w:r w:rsidRPr="005B6074">
        <w:rPr>
          <w:rFonts w:ascii="Verdana" w:hAnsi="Verdana" w:cs="OpalCYR"/>
          <w:sz w:val="20"/>
          <w:szCs w:val="20"/>
        </w:rPr>
        <w:t>GD SFIEP is relevant to the new responsibilities of the directorate as MA of the programme. New departments have been formed to take the additional functions. “Risk Management and Control” department should be directly subordinate to the director general in order to ensure independence of the irregularity officer.</w:t>
      </w:r>
    </w:p>
    <w:p w:rsidR="00F71FE2" w:rsidRPr="005B6074" w:rsidRDefault="00F71FE2" w:rsidP="00F71FE2">
      <w:pPr>
        <w:autoSpaceDE w:val="0"/>
        <w:autoSpaceDN w:val="0"/>
        <w:adjustRightInd w:val="0"/>
        <w:spacing w:before="120" w:after="120"/>
        <w:jc w:val="both"/>
        <w:rPr>
          <w:rFonts w:ascii="Verdana" w:hAnsi="Verdana" w:cs="OpalCYR"/>
          <w:sz w:val="20"/>
          <w:szCs w:val="20"/>
        </w:rPr>
      </w:pPr>
      <w:r w:rsidRPr="005B6074">
        <w:rPr>
          <w:rFonts w:ascii="Verdana" w:hAnsi="Verdana" w:cs="OpalCYR"/>
          <w:sz w:val="20"/>
          <w:szCs w:val="20"/>
        </w:rPr>
        <w:t>As a whole the envisaged human resources are adequate. Problems due to insufficient human resources could arise in “Programming and Contracting” department, “Financial Planning, Financial Reporting and Payments” department and in “Risk Management and Control” department. The first two of those departments need additional staff, who could be ensured also through rearranging the staff within the directorate or by external support. To reduce the load on “Risk Management and Control” department it is recommended that the ex-ante control of beneficiaries’ public procurement in not carried out or a threshold value is introduced over which such control would be exercised.</w:t>
      </w:r>
    </w:p>
    <w:p w:rsidR="00F71FE2" w:rsidRPr="005B6074" w:rsidRDefault="00F71FE2" w:rsidP="00F71FE2">
      <w:pPr>
        <w:autoSpaceDE w:val="0"/>
        <w:autoSpaceDN w:val="0"/>
        <w:adjustRightInd w:val="0"/>
        <w:spacing w:before="120" w:after="120"/>
        <w:jc w:val="both"/>
        <w:rPr>
          <w:rFonts w:ascii="Verdana" w:hAnsi="Verdana" w:cs="OpalCYR"/>
          <w:sz w:val="20"/>
          <w:szCs w:val="20"/>
        </w:rPr>
      </w:pPr>
      <w:r w:rsidRPr="005B6074">
        <w:rPr>
          <w:rFonts w:ascii="Verdana" w:hAnsi="Verdana" w:cs="OpalCYR"/>
          <w:sz w:val="20"/>
          <w:szCs w:val="20"/>
        </w:rPr>
        <w:t>The staff has experience in EU funds management and can receive training. It has experience also in drawing up of procedures and manuals. The work for setting up the management and control systems has started.</w:t>
      </w:r>
    </w:p>
    <w:p w:rsidR="00F71FE2" w:rsidRPr="005B6074" w:rsidRDefault="00F71FE2" w:rsidP="00F71FE2">
      <w:pPr>
        <w:autoSpaceDE w:val="0"/>
        <w:autoSpaceDN w:val="0"/>
        <w:adjustRightInd w:val="0"/>
        <w:spacing w:before="120" w:after="120"/>
        <w:jc w:val="both"/>
        <w:rPr>
          <w:rFonts w:ascii="Verdana" w:hAnsi="Verdana" w:cs="OpalCYR"/>
          <w:sz w:val="20"/>
          <w:szCs w:val="20"/>
        </w:rPr>
      </w:pPr>
      <w:r w:rsidRPr="005B6074">
        <w:rPr>
          <w:rFonts w:ascii="Verdana" w:hAnsi="Verdana" w:cs="OpalCYR"/>
          <w:sz w:val="20"/>
          <w:szCs w:val="20"/>
        </w:rPr>
        <w:t>A significant problem for the programme implementation proves to be the insufficiency of technical equipment at the directorate’s disposal. A procurement procedure has already been launched for providing of equipment.</w:t>
      </w:r>
    </w:p>
    <w:p w:rsidR="00F71FE2" w:rsidRPr="005B6074" w:rsidRDefault="00F71FE2" w:rsidP="00F71FE2">
      <w:pPr>
        <w:autoSpaceDE w:val="0"/>
        <w:autoSpaceDN w:val="0"/>
        <w:adjustRightInd w:val="0"/>
        <w:spacing w:before="120" w:after="120"/>
        <w:jc w:val="both"/>
        <w:rPr>
          <w:rFonts w:ascii="Verdana" w:hAnsi="Verdana" w:cs="OpalCYR"/>
          <w:sz w:val="20"/>
          <w:szCs w:val="20"/>
        </w:rPr>
      </w:pPr>
      <w:r w:rsidRPr="005B6074">
        <w:rPr>
          <w:rFonts w:ascii="Verdana" w:hAnsi="Verdana" w:cs="OpalCYR"/>
          <w:sz w:val="20"/>
          <w:szCs w:val="20"/>
        </w:rPr>
        <w:t>In general the staff are satisfied with working in GD SFIEP but their better motivation would improve the capacity of the directorate.</w:t>
      </w:r>
    </w:p>
    <w:p w:rsidR="00F71FE2" w:rsidRPr="005B6074" w:rsidRDefault="00F71FE2" w:rsidP="00F71FE2">
      <w:pPr>
        <w:autoSpaceDE w:val="0"/>
        <w:autoSpaceDN w:val="0"/>
        <w:adjustRightInd w:val="0"/>
        <w:spacing w:before="120" w:after="120"/>
        <w:jc w:val="both"/>
        <w:rPr>
          <w:rFonts w:ascii="Verdana" w:hAnsi="Verdana" w:cs="OpalCYR"/>
          <w:sz w:val="20"/>
          <w:szCs w:val="20"/>
        </w:rPr>
      </w:pPr>
      <w:r w:rsidRPr="005B6074">
        <w:rPr>
          <w:rFonts w:ascii="Verdana" w:hAnsi="Verdana" w:cs="OpalCYR"/>
          <w:sz w:val="20"/>
          <w:szCs w:val="20"/>
        </w:rPr>
        <w:t>A large number of the potential beneficiaries of the programme already have capacity, built due to implementation of projects in the current programming period.  Yet support is necessary also in this programming period.</w:t>
      </w:r>
    </w:p>
    <w:p w:rsidR="00F71FE2" w:rsidRPr="005B6074" w:rsidRDefault="00F71FE2" w:rsidP="00F71FE2">
      <w:pPr>
        <w:autoSpaceDE w:val="0"/>
        <w:autoSpaceDN w:val="0"/>
        <w:adjustRightInd w:val="0"/>
        <w:spacing w:before="120" w:after="120"/>
        <w:jc w:val="both"/>
        <w:rPr>
          <w:rFonts w:ascii="Verdana" w:hAnsi="Verdana" w:cs="OpalCYR"/>
          <w:sz w:val="20"/>
          <w:szCs w:val="20"/>
        </w:rPr>
      </w:pPr>
      <w:r w:rsidRPr="005B6074">
        <w:rPr>
          <w:rFonts w:ascii="Verdana" w:hAnsi="Verdana" w:cs="OpalCYR"/>
          <w:sz w:val="20"/>
          <w:szCs w:val="20"/>
        </w:rPr>
        <w:t>It is expected that the main problems as regards the monitoring system would refer to the quality of information provided at project level; the quality of information processed at scheme /priority axis level (possibility for data and information aggregation); using the data collected by the monitoring system for analy</w:t>
      </w:r>
      <w:r w:rsidR="00845752">
        <w:rPr>
          <w:rFonts w:ascii="Verdana" w:hAnsi="Verdana" w:cs="OpalCYR"/>
          <w:sz w:val="20"/>
          <w:szCs w:val="20"/>
        </w:rPr>
        <w:t>s</w:t>
      </w:r>
      <w:r w:rsidRPr="005B6074">
        <w:rPr>
          <w:rFonts w:ascii="Verdana" w:hAnsi="Verdana" w:cs="OpalCYR"/>
          <w:sz w:val="20"/>
          <w:szCs w:val="20"/>
        </w:rPr>
        <w:t>ing the programme implementation, and efficient use of the indicators for monitoring and evaluation purposes.</w:t>
      </w:r>
    </w:p>
    <w:p w:rsidR="00F71FE2" w:rsidRPr="005B6074" w:rsidRDefault="00F71FE2" w:rsidP="00F71FE2">
      <w:pPr>
        <w:autoSpaceDE w:val="0"/>
        <w:autoSpaceDN w:val="0"/>
        <w:adjustRightInd w:val="0"/>
        <w:spacing w:before="120" w:after="120"/>
        <w:jc w:val="both"/>
        <w:rPr>
          <w:rFonts w:ascii="Verdana" w:hAnsi="Verdana"/>
          <w:sz w:val="20"/>
          <w:szCs w:val="20"/>
        </w:rPr>
      </w:pPr>
      <w:r w:rsidRPr="005B6074">
        <w:rPr>
          <w:rFonts w:ascii="Verdana" w:hAnsi="Verdana" w:cs="OpalCYR"/>
          <w:sz w:val="20"/>
          <w:szCs w:val="20"/>
        </w:rPr>
        <w:t xml:space="preserve">The evaluation plan of the operational programme has not been drawn up yet. That is why it was not possible to examine it within the ex-ante evaluation. </w:t>
      </w:r>
    </w:p>
    <w:p w:rsidR="00CF3EE2" w:rsidRPr="005B6074" w:rsidRDefault="00A35E98" w:rsidP="00CF3EE2">
      <w:pPr>
        <w:pStyle w:val="Heading2"/>
        <w:shd w:val="clear" w:color="auto" w:fill="FFCC99"/>
        <w:spacing w:line="276" w:lineRule="auto"/>
        <w:rPr>
          <w:rFonts w:ascii="Verdana" w:hAnsi="Verdana"/>
          <w:i w:val="0"/>
          <w:iCs/>
          <w:color w:val="0063B8"/>
          <w:sz w:val="26"/>
          <w:szCs w:val="26"/>
        </w:rPr>
      </w:pPr>
      <w:bookmarkStart w:id="250" w:name="_Toc396225570"/>
      <w:r w:rsidRPr="005B6074">
        <w:rPr>
          <w:rFonts w:ascii="Verdana" w:hAnsi="Verdana"/>
          <w:i w:val="0"/>
          <w:iCs/>
          <w:color w:val="0063B8"/>
          <w:sz w:val="26"/>
          <w:szCs w:val="26"/>
        </w:rPr>
        <w:t>Recommendations</w:t>
      </w:r>
      <w:bookmarkEnd w:id="250"/>
    </w:p>
    <w:p w:rsidR="00CF3EE2" w:rsidRPr="005B6074" w:rsidRDefault="00CF3EE2" w:rsidP="00CF3EE2">
      <w:pPr>
        <w:spacing w:after="120"/>
        <w:jc w:val="both"/>
        <w:rPr>
          <w:rFonts w:ascii="Verdana" w:hAnsi="Verdana"/>
          <w:sz w:val="20"/>
          <w:szCs w:val="20"/>
        </w:rPr>
      </w:pPr>
    </w:p>
    <w:p w:rsidR="00CF3EE2" w:rsidRPr="005B6074" w:rsidRDefault="00A35E98" w:rsidP="00CF3EE2">
      <w:pPr>
        <w:keepNext/>
        <w:spacing w:before="240" w:after="120"/>
        <w:jc w:val="both"/>
        <w:rPr>
          <w:rFonts w:ascii="Verdana" w:hAnsi="Verdana"/>
          <w:color w:val="548DD4" w:themeColor="text2" w:themeTint="99"/>
          <w:sz w:val="20"/>
          <w:szCs w:val="20"/>
        </w:rPr>
      </w:pPr>
      <w:r w:rsidRPr="005B6074">
        <w:rPr>
          <w:rFonts w:ascii="Verdana" w:hAnsi="Verdana"/>
          <w:color w:val="548DD4" w:themeColor="text2" w:themeTint="99"/>
          <w:sz w:val="20"/>
          <w:szCs w:val="20"/>
        </w:rPr>
        <w:t xml:space="preserve">As regards external </w:t>
      </w:r>
      <w:r w:rsidR="00F71FE2" w:rsidRPr="005B6074">
        <w:rPr>
          <w:rFonts w:ascii="Verdana" w:hAnsi="Verdana"/>
          <w:color w:val="548DD4" w:themeColor="text2" w:themeTint="99"/>
          <w:sz w:val="20"/>
          <w:szCs w:val="20"/>
        </w:rPr>
        <w:t>coherence</w:t>
      </w:r>
    </w:p>
    <w:tbl>
      <w:tblPr>
        <w:tblStyle w:val="TableGrid"/>
        <w:tblW w:w="0" w:type="auto"/>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5343"/>
        <w:gridCol w:w="3566"/>
      </w:tblGrid>
      <w:tr w:rsidR="00F71FE2" w:rsidRPr="005B6074" w:rsidTr="005B6074">
        <w:tc>
          <w:tcPr>
            <w:tcW w:w="5387" w:type="dxa"/>
            <w:shd w:val="clear" w:color="auto" w:fill="548DD4" w:themeFill="text2" w:themeFillTint="99"/>
          </w:tcPr>
          <w:p w:rsidR="00F71FE2" w:rsidRPr="005B6074" w:rsidRDefault="00F71FE2" w:rsidP="005B6074">
            <w:pPr>
              <w:spacing w:before="120" w:after="120"/>
              <w:jc w:val="center"/>
              <w:rPr>
                <w:rFonts w:ascii="Verdana" w:hAnsi="Verdana"/>
                <w:b/>
                <w:color w:val="FFFFFF" w:themeColor="background1"/>
                <w:sz w:val="20"/>
                <w:szCs w:val="20"/>
              </w:rPr>
            </w:pPr>
            <w:r w:rsidRPr="005B6074">
              <w:rPr>
                <w:rFonts w:ascii="Verdana" w:hAnsi="Verdana"/>
                <w:b/>
                <w:color w:val="FFFFFF" w:themeColor="background1"/>
                <w:sz w:val="20"/>
                <w:szCs w:val="20"/>
              </w:rPr>
              <w:t xml:space="preserve">Conclusion </w:t>
            </w:r>
          </w:p>
        </w:tc>
        <w:tc>
          <w:tcPr>
            <w:tcW w:w="3585" w:type="dxa"/>
            <w:shd w:val="clear" w:color="auto" w:fill="548DD4" w:themeFill="text2" w:themeFillTint="99"/>
          </w:tcPr>
          <w:p w:rsidR="00F71FE2" w:rsidRPr="005B6074" w:rsidRDefault="00F71FE2" w:rsidP="005B6074">
            <w:pPr>
              <w:spacing w:before="120" w:after="120"/>
              <w:jc w:val="center"/>
              <w:rPr>
                <w:rFonts w:ascii="Verdana" w:hAnsi="Verdana"/>
                <w:b/>
                <w:color w:val="FFFFFF" w:themeColor="background1"/>
                <w:sz w:val="20"/>
                <w:szCs w:val="20"/>
              </w:rPr>
            </w:pPr>
            <w:r w:rsidRPr="005B6074">
              <w:rPr>
                <w:rFonts w:ascii="Verdana" w:hAnsi="Verdana"/>
                <w:b/>
                <w:color w:val="FFFFFF" w:themeColor="background1"/>
                <w:sz w:val="20"/>
                <w:szCs w:val="20"/>
              </w:rPr>
              <w:t>Recommendation</w:t>
            </w:r>
          </w:p>
        </w:tc>
      </w:tr>
      <w:tr w:rsidR="00F71FE2" w:rsidRPr="005B6074" w:rsidTr="005B6074">
        <w:tc>
          <w:tcPr>
            <w:tcW w:w="5387" w:type="dxa"/>
          </w:tcPr>
          <w:p w:rsidR="00F71FE2" w:rsidRPr="005B6074" w:rsidRDefault="00F71FE2" w:rsidP="005B6074">
            <w:pPr>
              <w:autoSpaceDE w:val="0"/>
              <w:autoSpaceDN w:val="0"/>
              <w:adjustRightInd w:val="0"/>
              <w:spacing w:after="60" w:line="240" w:lineRule="auto"/>
              <w:jc w:val="both"/>
              <w:rPr>
                <w:rFonts w:ascii="Verdana" w:eastAsiaTheme="minorHAnsi" w:hAnsi="Verdana"/>
                <w:sz w:val="20"/>
                <w:szCs w:val="20"/>
              </w:rPr>
            </w:pPr>
            <w:r w:rsidRPr="005B6074">
              <w:rPr>
                <w:rFonts w:ascii="Verdana" w:eastAsiaTheme="minorHAnsi" w:hAnsi="Verdana"/>
                <w:sz w:val="20"/>
                <w:szCs w:val="20"/>
              </w:rPr>
              <w:t xml:space="preserve">“Territorial Agenda of the European Union 2020” sets as a common goal “territorial cohesion for a more harmonious and balanced state of Europe”, </w:t>
            </w:r>
            <w:r w:rsidRPr="005B6074">
              <w:rPr>
                <w:rFonts w:ascii="Verdana" w:eastAsiaTheme="minorHAnsi" w:hAnsi="Verdana"/>
                <w:sz w:val="20"/>
                <w:szCs w:val="20"/>
              </w:rPr>
              <w:lastRenderedPageBreak/>
              <w:t xml:space="preserve">including cohesion within countries and intra-regional cohesion within regions. </w:t>
            </w:r>
          </w:p>
          <w:p w:rsidR="00F71FE2" w:rsidRPr="005B6074" w:rsidRDefault="00F71FE2" w:rsidP="005B6074">
            <w:pPr>
              <w:autoSpaceDE w:val="0"/>
              <w:autoSpaceDN w:val="0"/>
              <w:adjustRightInd w:val="0"/>
              <w:spacing w:after="60" w:line="240" w:lineRule="auto"/>
              <w:jc w:val="both"/>
              <w:rPr>
                <w:rFonts w:ascii="Verdana" w:hAnsi="Verdana" w:cs="OpalCYR"/>
                <w:i/>
                <w:sz w:val="20"/>
                <w:szCs w:val="20"/>
              </w:rPr>
            </w:pPr>
            <w:r w:rsidRPr="005B6074">
              <w:rPr>
                <w:rFonts w:ascii="Verdana" w:eastAsiaTheme="minorHAnsi" w:hAnsi="Verdana"/>
                <w:sz w:val="20"/>
                <w:szCs w:val="20"/>
              </w:rPr>
              <w:t>Regarding the field of education the National Demographic Strategy of the republic of Bulgaria envisages “</w:t>
            </w:r>
            <w:r w:rsidRPr="005B6074">
              <w:rPr>
                <w:rFonts w:ascii="Verdana" w:hAnsi="Verdana" w:cs="OpalCYR"/>
                <w:i/>
                <w:sz w:val="20"/>
                <w:szCs w:val="20"/>
              </w:rPr>
              <w:t>Creating conditions for bringing closer the models of education of the inhabitants of big cities and the people residing in small towns and villages, especially the ones in poor rural regions”</w:t>
            </w:r>
          </w:p>
          <w:p w:rsidR="00F71FE2" w:rsidRPr="005B6074" w:rsidRDefault="00F71FE2" w:rsidP="005B6074">
            <w:pPr>
              <w:autoSpaceDE w:val="0"/>
              <w:autoSpaceDN w:val="0"/>
              <w:adjustRightInd w:val="0"/>
              <w:spacing w:after="60" w:line="240" w:lineRule="auto"/>
              <w:jc w:val="both"/>
              <w:rPr>
                <w:rFonts w:ascii="Verdana" w:hAnsi="Verdana"/>
                <w:sz w:val="20"/>
                <w:szCs w:val="20"/>
              </w:rPr>
            </w:pPr>
            <w:r w:rsidRPr="005B6074">
              <w:rPr>
                <w:rFonts w:ascii="Verdana" w:hAnsi="Verdana" w:cs="OpalCYR"/>
                <w:sz w:val="20"/>
                <w:szCs w:val="20"/>
              </w:rPr>
              <w:t xml:space="preserve">The problem of the lower quality of education in small towns and in villages has been mentioned in </w:t>
            </w:r>
            <w:r w:rsidR="005B35A7">
              <w:rPr>
                <w:rFonts w:ascii="Verdana" w:eastAsia="Malgun Gothic" w:hAnsi="Verdana"/>
                <w:bCs/>
                <w:color w:val="000000"/>
                <w:sz w:val="20"/>
                <w:szCs w:val="20"/>
                <w:lang w:eastAsia="ko-KR"/>
              </w:rPr>
              <w:t>OPSESG</w:t>
            </w:r>
            <w:r w:rsidRPr="005B6074">
              <w:rPr>
                <w:rFonts w:ascii="Verdana" w:eastAsia="Malgun Gothic" w:hAnsi="Verdana"/>
                <w:bCs/>
                <w:color w:val="000000"/>
                <w:sz w:val="20"/>
                <w:szCs w:val="20"/>
                <w:lang w:eastAsia="ko-KR"/>
              </w:rPr>
              <w:t xml:space="preserve"> but it has not been addressed clearly.</w:t>
            </w:r>
            <w:r w:rsidRPr="005B6074">
              <w:rPr>
                <w:rFonts w:ascii="Verdana" w:hAnsi="Verdana" w:cs="OpalCYR"/>
                <w:sz w:val="20"/>
                <w:szCs w:val="20"/>
              </w:rPr>
              <w:t xml:space="preserve"> </w:t>
            </w:r>
          </w:p>
        </w:tc>
        <w:tc>
          <w:tcPr>
            <w:tcW w:w="3585" w:type="dxa"/>
          </w:tcPr>
          <w:p w:rsidR="00F71FE2" w:rsidRPr="005B6074" w:rsidRDefault="00F71FE2" w:rsidP="005B6074">
            <w:pPr>
              <w:autoSpaceDE w:val="0"/>
              <w:autoSpaceDN w:val="0"/>
              <w:adjustRightInd w:val="0"/>
              <w:spacing w:after="60" w:line="240" w:lineRule="auto"/>
              <w:jc w:val="both"/>
              <w:rPr>
                <w:rFonts w:ascii="Verdana" w:hAnsi="Verdana"/>
                <w:sz w:val="20"/>
                <w:szCs w:val="20"/>
              </w:rPr>
            </w:pPr>
            <w:r w:rsidRPr="005B6074">
              <w:rPr>
                <w:rFonts w:ascii="Verdana" w:eastAsiaTheme="minorHAnsi" w:hAnsi="Verdana"/>
                <w:sz w:val="20"/>
                <w:szCs w:val="20"/>
              </w:rPr>
              <w:lastRenderedPageBreak/>
              <w:t xml:space="preserve">Seek a greater contribution of </w:t>
            </w:r>
            <w:r w:rsidR="005B35A7">
              <w:rPr>
                <w:rFonts w:ascii="Verdana" w:eastAsia="Malgun Gothic" w:hAnsi="Verdana"/>
                <w:bCs/>
                <w:color w:val="000000"/>
                <w:sz w:val="20"/>
                <w:szCs w:val="20"/>
                <w:lang w:eastAsia="ko-KR"/>
              </w:rPr>
              <w:t>OPSESG</w:t>
            </w:r>
            <w:r w:rsidRPr="005B6074">
              <w:rPr>
                <w:rFonts w:ascii="Verdana" w:eastAsia="Malgun Gothic" w:hAnsi="Verdana"/>
                <w:bCs/>
                <w:color w:val="000000"/>
                <w:sz w:val="20"/>
                <w:szCs w:val="20"/>
                <w:lang w:eastAsia="ko-KR"/>
              </w:rPr>
              <w:t xml:space="preserve"> 2014-2020 to territorial cohesion as far as difference in the quality of education in small </w:t>
            </w:r>
            <w:r w:rsidRPr="005B6074">
              <w:rPr>
                <w:rFonts w:ascii="Verdana" w:eastAsia="Malgun Gothic" w:hAnsi="Verdana"/>
                <w:bCs/>
                <w:color w:val="000000"/>
                <w:sz w:val="20"/>
                <w:szCs w:val="20"/>
                <w:lang w:eastAsia="ko-KR"/>
              </w:rPr>
              <w:lastRenderedPageBreak/>
              <w:t>towns and villages and in big cities is concerned.</w:t>
            </w:r>
          </w:p>
        </w:tc>
      </w:tr>
      <w:tr w:rsidR="00F71FE2" w:rsidRPr="005B6074" w:rsidTr="005B6074">
        <w:tc>
          <w:tcPr>
            <w:tcW w:w="5387" w:type="dxa"/>
          </w:tcPr>
          <w:p w:rsidR="00F71FE2" w:rsidRPr="005B6074" w:rsidRDefault="005B35A7" w:rsidP="005B6074">
            <w:pPr>
              <w:autoSpaceDE w:val="0"/>
              <w:autoSpaceDN w:val="0"/>
              <w:adjustRightInd w:val="0"/>
              <w:spacing w:after="60" w:line="240" w:lineRule="auto"/>
              <w:jc w:val="both"/>
              <w:rPr>
                <w:rFonts w:ascii="Verdana" w:eastAsiaTheme="minorHAnsi" w:hAnsi="Verdana"/>
                <w:sz w:val="20"/>
                <w:szCs w:val="20"/>
              </w:rPr>
            </w:pPr>
            <w:r>
              <w:rPr>
                <w:rFonts w:ascii="Verdana" w:eastAsia="Malgun Gothic" w:hAnsi="Verdana"/>
                <w:bCs/>
                <w:color w:val="000000"/>
                <w:sz w:val="20"/>
                <w:szCs w:val="20"/>
                <w:lang w:eastAsia="ko-KR"/>
              </w:rPr>
              <w:lastRenderedPageBreak/>
              <w:t>OPSESG</w:t>
            </w:r>
            <w:r w:rsidR="00F71FE2" w:rsidRPr="005B6074">
              <w:rPr>
                <w:rFonts w:ascii="Verdana" w:eastAsia="Malgun Gothic" w:hAnsi="Verdana"/>
                <w:bCs/>
                <w:color w:val="000000"/>
                <w:sz w:val="20"/>
                <w:szCs w:val="20"/>
                <w:lang w:eastAsia="ko-KR"/>
              </w:rPr>
              <w:t xml:space="preserve"> 2014-2020 as a whole corresponds to the goals and priorities declared in the Bucharest Communiqué of ministers responsible for higher education </w:t>
            </w:r>
          </w:p>
        </w:tc>
        <w:tc>
          <w:tcPr>
            <w:tcW w:w="3585" w:type="dxa"/>
          </w:tcPr>
          <w:p w:rsidR="00F71FE2" w:rsidRPr="005B6074" w:rsidRDefault="00F71FE2" w:rsidP="00845752">
            <w:pPr>
              <w:autoSpaceDE w:val="0"/>
              <w:autoSpaceDN w:val="0"/>
              <w:adjustRightInd w:val="0"/>
              <w:spacing w:after="60" w:line="240" w:lineRule="auto"/>
              <w:jc w:val="both"/>
              <w:rPr>
                <w:rFonts w:ascii="Verdana" w:eastAsiaTheme="minorHAnsi" w:hAnsi="Verdana"/>
                <w:sz w:val="20"/>
                <w:szCs w:val="20"/>
              </w:rPr>
            </w:pPr>
            <w:r w:rsidRPr="005B6074">
              <w:rPr>
                <w:rFonts w:ascii="Verdana" w:eastAsiaTheme="minorHAnsi" w:hAnsi="Verdana"/>
                <w:sz w:val="20"/>
                <w:szCs w:val="20"/>
              </w:rPr>
              <w:t xml:space="preserve">As a response to the approaches emphasized in the communiqué  </w:t>
            </w:r>
            <w:r w:rsidR="005B35A7">
              <w:rPr>
                <w:rFonts w:ascii="Verdana" w:eastAsia="Malgun Gothic" w:hAnsi="Verdana"/>
                <w:bCs/>
                <w:color w:val="000000"/>
                <w:sz w:val="20"/>
                <w:szCs w:val="20"/>
                <w:lang w:eastAsia="ko-KR"/>
              </w:rPr>
              <w:t>OPSESG</w:t>
            </w:r>
            <w:r w:rsidRPr="005B6074">
              <w:rPr>
                <w:rFonts w:ascii="Verdana" w:eastAsia="Malgun Gothic" w:hAnsi="Verdana"/>
                <w:bCs/>
                <w:color w:val="000000"/>
                <w:sz w:val="20"/>
                <w:szCs w:val="20"/>
                <w:lang w:eastAsia="ko-KR"/>
              </w:rPr>
              <w:t xml:space="preserve"> could analy</w:t>
            </w:r>
            <w:r w:rsidR="00845752">
              <w:rPr>
                <w:rFonts w:ascii="Verdana" w:eastAsia="Malgun Gothic" w:hAnsi="Verdana"/>
                <w:bCs/>
                <w:color w:val="000000"/>
                <w:sz w:val="20"/>
                <w:szCs w:val="20"/>
                <w:lang w:eastAsia="ko-KR"/>
              </w:rPr>
              <w:t>s</w:t>
            </w:r>
            <w:r w:rsidRPr="005B6074">
              <w:rPr>
                <w:rFonts w:ascii="Verdana" w:eastAsia="Malgun Gothic" w:hAnsi="Verdana"/>
                <w:bCs/>
                <w:color w:val="000000"/>
                <w:sz w:val="20"/>
                <w:szCs w:val="20"/>
                <w:lang w:eastAsia="ko-KR"/>
              </w:rPr>
              <w:t>e possible support for development of joint programmes and degrees with other universities, as part of the measures for improving the quality and efficiency of higher education</w:t>
            </w:r>
          </w:p>
        </w:tc>
      </w:tr>
      <w:tr w:rsidR="00F71FE2" w:rsidRPr="005B6074" w:rsidTr="005B6074">
        <w:tc>
          <w:tcPr>
            <w:tcW w:w="5387" w:type="dxa"/>
          </w:tcPr>
          <w:p w:rsidR="00F71FE2" w:rsidRPr="005B6074" w:rsidRDefault="005B35A7" w:rsidP="005B6074">
            <w:pPr>
              <w:autoSpaceDE w:val="0"/>
              <w:autoSpaceDN w:val="0"/>
              <w:adjustRightInd w:val="0"/>
              <w:spacing w:after="60" w:line="240" w:lineRule="auto"/>
              <w:jc w:val="both"/>
              <w:rPr>
                <w:rFonts w:ascii="Verdana" w:eastAsiaTheme="minorHAnsi" w:hAnsi="Verdana"/>
                <w:sz w:val="20"/>
                <w:szCs w:val="20"/>
              </w:rPr>
            </w:pPr>
            <w:r>
              <w:rPr>
                <w:rFonts w:ascii="Verdana" w:eastAsia="Malgun Gothic" w:hAnsi="Verdana"/>
                <w:bCs/>
                <w:color w:val="000000"/>
                <w:sz w:val="20"/>
                <w:szCs w:val="20"/>
                <w:lang w:eastAsia="ko-KR"/>
              </w:rPr>
              <w:t>OPSESG</w:t>
            </w:r>
            <w:r w:rsidR="00F71FE2" w:rsidRPr="005B6074">
              <w:rPr>
                <w:rFonts w:ascii="Verdana" w:eastAsia="Malgun Gothic" w:hAnsi="Verdana"/>
                <w:bCs/>
                <w:color w:val="000000"/>
                <w:sz w:val="20"/>
                <w:szCs w:val="20"/>
                <w:lang w:eastAsia="ko-KR"/>
              </w:rPr>
              <w:t xml:space="preserve"> as a whole is in harmony with the framework determined by PA. The following measures are reflected to a lesser extent or unclearly</w:t>
            </w:r>
            <w:r w:rsidR="00F71FE2" w:rsidRPr="005B6074">
              <w:rPr>
                <w:rFonts w:ascii="Verdana" w:eastAsiaTheme="minorHAnsi" w:hAnsi="Verdana"/>
                <w:sz w:val="20"/>
                <w:szCs w:val="20"/>
              </w:rPr>
              <w:t>:</w:t>
            </w:r>
          </w:p>
          <w:p w:rsidR="00F71FE2" w:rsidRPr="005B6074" w:rsidRDefault="00F71FE2" w:rsidP="00181A22">
            <w:pPr>
              <w:pStyle w:val="ListParagraph"/>
              <w:numPr>
                <w:ilvl w:val="0"/>
                <w:numId w:val="32"/>
              </w:numPr>
              <w:autoSpaceDE w:val="0"/>
              <w:autoSpaceDN w:val="0"/>
              <w:adjustRightInd w:val="0"/>
              <w:spacing w:after="60" w:line="240" w:lineRule="auto"/>
              <w:ind w:left="312" w:hanging="284"/>
              <w:jc w:val="both"/>
              <w:rPr>
                <w:rFonts w:ascii="Verdana" w:eastAsiaTheme="minorHAnsi" w:hAnsi="Verdana"/>
                <w:sz w:val="20"/>
                <w:szCs w:val="20"/>
              </w:rPr>
            </w:pPr>
            <w:r w:rsidRPr="005B6074">
              <w:rPr>
                <w:rFonts w:ascii="Verdana" w:eastAsiaTheme="minorHAnsi" w:hAnsi="Verdana"/>
                <w:sz w:val="20"/>
                <w:szCs w:val="20"/>
              </w:rPr>
              <w:t>Establishing and strengthening of partnerships between higher education institutions, enterprises and research institutes;</w:t>
            </w:r>
          </w:p>
          <w:p w:rsidR="00F71FE2" w:rsidRPr="005B6074" w:rsidRDefault="00F71FE2" w:rsidP="00181A22">
            <w:pPr>
              <w:pStyle w:val="ListParagraph"/>
              <w:numPr>
                <w:ilvl w:val="0"/>
                <w:numId w:val="32"/>
              </w:numPr>
              <w:autoSpaceDE w:val="0"/>
              <w:autoSpaceDN w:val="0"/>
              <w:adjustRightInd w:val="0"/>
              <w:spacing w:after="60" w:line="240" w:lineRule="auto"/>
              <w:ind w:left="312" w:hanging="284"/>
              <w:jc w:val="both"/>
              <w:rPr>
                <w:rFonts w:ascii="Verdana" w:eastAsiaTheme="minorHAnsi" w:hAnsi="Verdana"/>
                <w:sz w:val="20"/>
                <w:szCs w:val="20"/>
              </w:rPr>
            </w:pPr>
            <w:r w:rsidRPr="005B6074">
              <w:rPr>
                <w:rFonts w:ascii="Verdana" w:eastAsiaTheme="minorHAnsi" w:hAnsi="Verdana"/>
                <w:sz w:val="20"/>
                <w:szCs w:val="20"/>
              </w:rPr>
              <w:t>Improving the management capacity of research institutes;</w:t>
            </w:r>
          </w:p>
          <w:p w:rsidR="00F71FE2" w:rsidRPr="005B6074" w:rsidRDefault="00F71FE2" w:rsidP="00181A22">
            <w:pPr>
              <w:pStyle w:val="ListParagraph"/>
              <w:numPr>
                <w:ilvl w:val="0"/>
                <w:numId w:val="32"/>
              </w:numPr>
              <w:autoSpaceDE w:val="0"/>
              <w:autoSpaceDN w:val="0"/>
              <w:adjustRightInd w:val="0"/>
              <w:spacing w:after="60" w:line="240" w:lineRule="auto"/>
              <w:ind w:left="312" w:hanging="284"/>
              <w:jc w:val="both"/>
              <w:rPr>
                <w:rFonts w:ascii="Verdana" w:eastAsiaTheme="minorHAnsi" w:hAnsi="Verdana"/>
                <w:sz w:val="20"/>
                <w:szCs w:val="20"/>
              </w:rPr>
            </w:pPr>
            <w:r w:rsidRPr="005B6074">
              <w:rPr>
                <w:rFonts w:ascii="Verdana" w:eastAsiaTheme="minorHAnsi" w:hAnsi="Verdana"/>
                <w:sz w:val="20"/>
                <w:szCs w:val="20"/>
              </w:rPr>
              <w:t>Creating of opportunities for internships of research workers in enterprises;</w:t>
            </w:r>
          </w:p>
          <w:p w:rsidR="00F71FE2" w:rsidRPr="005B6074" w:rsidRDefault="00F71FE2" w:rsidP="00181A22">
            <w:pPr>
              <w:pStyle w:val="ListParagraph"/>
              <w:numPr>
                <w:ilvl w:val="0"/>
                <w:numId w:val="32"/>
              </w:numPr>
              <w:autoSpaceDE w:val="0"/>
              <w:autoSpaceDN w:val="0"/>
              <w:adjustRightInd w:val="0"/>
              <w:spacing w:after="60" w:line="240" w:lineRule="auto"/>
              <w:ind w:left="312" w:hanging="284"/>
              <w:jc w:val="both"/>
              <w:rPr>
                <w:rFonts w:ascii="Verdana" w:eastAsiaTheme="minorHAnsi" w:hAnsi="Verdana"/>
                <w:sz w:val="20"/>
                <w:szCs w:val="20"/>
              </w:rPr>
            </w:pPr>
            <w:r w:rsidRPr="005B6074">
              <w:rPr>
                <w:rFonts w:ascii="Verdana" w:eastAsiaTheme="minorHAnsi" w:hAnsi="Verdana"/>
                <w:sz w:val="20"/>
                <w:szCs w:val="20"/>
              </w:rPr>
              <w:t>Motivation of education institutions to provide education services beyond their own infrastructure, based on partnerships with employers, government and municipal institutions and other stakeholders;</w:t>
            </w:r>
          </w:p>
          <w:p w:rsidR="00F71FE2" w:rsidRPr="005B6074" w:rsidRDefault="00F71FE2" w:rsidP="00181A22">
            <w:pPr>
              <w:pStyle w:val="ListParagraph"/>
              <w:numPr>
                <w:ilvl w:val="0"/>
                <w:numId w:val="32"/>
              </w:numPr>
              <w:autoSpaceDE w:val="0"/>
              <w:autoSpaceDN w:val="0"/>
              <w:adjustRightInd w:val="0"/>
              <w:spacing w:after="60" w:line="240" w:lineRule="auto"/>
              <w:ind w:left="312" w:hanging="284"/>
              <w:jc w:val="both"/>
              <w:rPr>
                <w:rFonts w:ascii="Verdana" w:eastAsiaTheme="minorHAnsi" w:hAnsi="Verdana"/>
                <w:sz w:val="20"/>
                <w:szCs w:val="20"/>
              </w:rPr>
            </w:pPr>
            <w:r w:rsidRPr="005B6074">
              <w:rPr>
                <w:rFonts w:ascii="Verdana" w:eastAsiaTheme="minorHAnsi" w:hAnsi="Verdana"/>
                <w:sz w:val="20"/>
                <w:szCs w:val="20"/>
              </w:rPr>
              <w:t>Development of partnerships between the businesses and the scientific circles.</w:t>
            </w:r>
          </w:p>
        </w:tc>
        <w:tc>
          <w:tcPr>
            <w:tcW w:w="3585" w:type="dxa"/>
          </w:tcPr>
          <w:p w:rsidR="00F71FE2" w:rsidRPr="005B6074" w:rsidRDefault="00F71FE2" w:rsidP="005B6074">
            <w:pPr>
              <w:autoSpaceDE w:val="0"/>
              <w:autoSpaceDN w:val="0"/>
              <w:adjustRightInd w:val="0"/>
              <w:spacing w:after="60" w:line="240" w:lineRule="auto"/>
              <w:jc w:val="both"/>
              <w:rPr>
                <w:rFonts w:ascii="Verdana" w:eastAsiaTheme="minorHAnsi" w:hAnsi="Verdana"/>
                <w:sz w:val="20"/>
                <w:szCs w:val="20"/>
              </w:rPr>
            </w:pPr>
            <w:r w:rsidRPr="005B6074">
              <w:rPr>
                <w:rFonts w:ascii="Verdana" w:eastAsiaTheme="minorHAnsi" w:hAnsi="Verdana"/>
                <w:sz w:val="20"/>
                <w:szCs w:val="20"/>
              </w:rPr>
              <w:t xml:space="preserve">Seek possibilities for better reflection of the mentioned measures discussed in the PA </w:t>
            </w:r>
          </w:p>
        </w:tc>
      </w:tr>
      <w:tr w:rsidR="00F71FE2" w:rsidRPr="005B6074" w:rsidTr="005B6074">
        <w:tc>
          <w:tcPr>
            <w:tcW w:w="5387" w:type="dxa"/>
          </w:tcPr>
          <w:p w:rsidR="00F71FE2" w:rsidRPr="005B6074" w:rsidRDefault="00F71FE2" w:rsidP="005B6074">
            <w:pPr>
              <w:autoSpaceDE w:val="0"/>
              <w:autoSpaceDN w:val="0"/>
              <w:adjustRightInd w:val="0"/>
              <w:spacing w:after="60" w:line="240" w:lineRule="auto"/>
              <w:jc w:val="both"/>
              <w:rPr>
                <w:rFonts w:ascii="Verdana" w:eastAsiaTheme="minorHAnsi" w:hAnsi="Verdana"/>
                <w:sz w:val="20"/>
                <w:szCs w:val="20"/>
              </w:rPr>
            </w:pPr>
            <w:r w:rsidRPr="005B6074">
              <w:rPr>
                <w:rFonts w:ascii="Verdana" w:eastAsiaTheme="minorHAnsi" w:hAnsi="Verdana"/>
                <w:sz w:val="20"/>
                <w:szCs w:val="20"/>
              </w:rPr>
              <w:t xml:space="preserve">Section 8 of the programme indicates the complementing of and distinguishing between </w:t>
            </w:r>
            <w:r w:rsidR="005B35A7">
              <w:rPr>
                <w:rFonts w:ascii="Verdana" w:eastAsia="Malgun Gothic" w:hAnsi="Verdana"/>
                <w:bCs/>
                <w:color w:val="000000"/>
                <w:sz w:val="20"/>
                <w:szCs w:val="20"/>
                <w:lang w:eastAsia="ko-KR"/>
              </w:rPr>
              <w:t>OPSESG</w:t>
            </w:r>
            <w:r w:rsidRPr="005B6074">
              <w:rPr>
                <w:rFonts w:ascii="Verdana" w:eastAsia="Malgun Gothic" w:hAnsi="Verdana"/>
                <w:bCs/>
                <w:color w:val="000000"/>
                <w:sz w:val="20"/>
                <w:szCs w:val="20"/>
                <w:lang w:eastAsia="ko-KR"/>
              </w:rPr>
              <w:t xml:space="preserve"> and the other operational programmes for the period 2014-2020. Specific recommendations are made concerning some of the programmes.</w:t>
            </w:r>
          </w:p>
        </w:tc>
        <w:tc>
          <w:tcPr>
            <w:tcW w:w="3585" w:type="dxa"/>
          </w:tcPr>
          <w:p w:rsidR="00F71FE2" w:rsidRPr="005B6074" w:rsidRDefault="00F71FE2" w:rsidP="005B6074">
            <w:pPr>
              <w:autoSpaceDE w:val="0"/>
              <w:autoSpaceDN w:val="0"/>
              <w:adjustRightInd w:val="0"/>
              <w:spacing w:after="60" w:line="240" w:lineRule="auto"/>
              <w:jc w:val="both"/>
              <w:rPr>
                <w:rFonts w:ascii="Verdana" w:eastAsiaTheme="minorHAnsi" w:hAnsi="Verdana"/>
                <w:sz w:val="20"/>
                <w:szCs w:val="20"/>
              </w:rPr>
            </w:pPr>
            <w:r w:rsidRPr="005B6074">
              <w:rPr>
                <w:rFonts w:ascii="Verdana" w:eastAsiaTheme="minorHAnsi" w:hAnsi="Verdana"/>
                <w:sz w:val="20"/>
                <w:szCs w:val="20"/>
              </w:rPr>
              <w:t>Take into consideration the specific recommendations indicated in tables 2-16.</w:t>
            </w:r>
          </w:p>
        </w:tc>
      </w:tr>
    </w:tbl>
    <w:p w:rsidR="00F71FE2" w:rsidRPr="005B6074" w:rsidRDefault="00F71FE2" w:rsidP="00F71FE2">
      <w:pPr>
        <w:spacing w:after="120"/>
        <w:jc w:val="both"/>
        <w:rPr>
          <w:rFonts w:ascii="Verdana" w:hAnsi="Verdana"/>
          <w:sz w:val="20"/>
          <w:szCs w:val="20"/>
        </w:rPr>
      </w:pPr>
    </w:p>
    <w:p w:rsidR="00F71FE2" w:rsidRPr="005B6074" w:rsidRDefault="00F71FE2" w:rsidP="00F71FE2">
      <w:pPr>
        <w:autoSpaceDE w:val="0"/>
        <w:autoSpaceDN w:val="0"/>
        <w:adjustRightInd w:val="0"/>
        <w:spacing w:before="120" w:after="120"/>
        <w:jc w:val="both"/>
        <w:rPr>
          <w:rFonts w:ascii="Verdana" w:hAnsi="Verdana" w:cs="OpalCYR"/>
          <w:sz w:val="20"/>
          <w:szCs w:val="20"/>
        </w:rPr>
      </w:pPr>
    </w:p>
    <w:p w:rsidR="00CF3EE2" w:rsidRPr="005B6074" w:rsidRDefault="00A35E98" w:rsidP="00CF3EE2">
      <w:pPr>
        <w:keepNext/>
        <w:spacing w:before="240" w:after="120"/>
        <w:jc w:val="both"/>
        <w:rPr>
          <w:rFonts w:ascii="Verdana" w:hAnsi="Verdana"/>
          <w:color w:val="548DD4" w:themeColor="text2" w:themeTint="99"/>
          <w:sz w:val="20"/>
          <w:szCs w:val="20"/>
        </w:rPr>
      </w:pPr>
      <w:r w:rsidRPr="005B6074">
        <w:rPr>
          <w:rFonts w:ascii="Verdana" w:hAnsi="Verdana"/>
          <w:color w:val="548DD4" w:themeColor="text2" w:themeTint="99"/>
          <w:sz w:val="20"/>
          <w:szCs w:val="20"/>
        </w:rPr>
        <w:lastRenderedPageBreak/>
        <w:t xml:space="preserve">As regards internal </w:t>
      </w:r>
      <w:r w:rsidR="00F71FE2" w:rsidRPr="005B6074">
        <w:rPr>
          <w:rFonts w:ascii="Verdana" w:hAnsi="Verdana"/>
          <w:color w:val="548DD4" w:themeColor="text2" w:themeTint="99"/>
          <w:sz w:val="20"/>
          <w:szCs w:val="20"/>
        </w:rPr>
        <w:t>coherence</w:t>
      </w:r>
    </w:p>
    <w:tbl>
      <w:tblPr>
        <w:tblStyle w:val="TableGrid"/>
        <w:tblW w:w="9090" w:type="dxa"/>
        <w:tblInd w:w="108"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1972"/>
        <w:gridCol w:w="3947"/>
        <w:gridCol w:w="3171"/>
      </w:tblGrid>
      <w:tr w:rsidR="00F71FE2" w:rsidRPr="005B6074" w:rsidTr="005B6074">
        <w:tc>
          <w:tcPr>
            <w:tcW w:w="1972" w:type="dxa"/>
            <w:shd w:val="clear" w:color="auto" w:fill="548DD4" w:themeFill="text2" w:themeFillTint="99"/>
            <w:vAlign w:val="center"/>
          </w:tcPr>
          <w:p w:rsidR="00F71FE2" w:rsidRPr="005B6074" w:rsidRDefault="005B35A7" w:rsidP="005B6074">
            <w:pPr>
              <w:jc w:val="center"/>
              <w:rPr>
                <w:rFonts w:ascii="Verdana" w:hAnsi="Verdana"/>
                <w:b/>
                <w:color w:val="FFFFFF" w:themeColor="background1"/>
                <w:sz w:val="20"/>
                <w:szCs w:val="20"/>
              </w:rPr>
            </w:pPr>
            <w:r>
              <w:rPr>
                <w:rFonts w:ascii="Verdana" w:hAnsi="Verdana"/>
                <w:b/>
                <w:color w:val="FFFFFF" w:themeColor="background1"/>
                <w:sz w:val="20"/>
                <w:szCs w:val="20"/>
              </w:rPr>
              <w:t>OPSESG</w:t>
            </w:r>
            <w:r w:rsidR="00F71FE2" w:rsidRPr="005B6074">
              <w:rPr>
                <w:rFonts w:ascii="Verdana" w:hAnsi="Verdana"/>
                <w:b/>
                <w:color w:val="FFFFFF" w:themeColor="background1"/>
                <w:sz w:val="20"/>
                <w:szCs w:val="20"/>
              </w:rPr>
              <w:t xml:space="preserve"> section </w:t>
            </w:r>
          </w:p>
        </w:tc>
        <w:tc>
          <w:tcPr>
            <w:tcW w:w="3947" w:type="dxa"/>
            <w:shd w:val="clear" w:color="auto" w:fill="548DD4" w:themeFill="text2" w:themeFillTint="99"/>
            <w:vAlign w:val="center"/>
          </w:tcPr>
          <w:p w:rsidR="00F71FE2" w:rsidRPr="005B6074" w:rsidRDefault="00F71FE2" w:rsidP="005B6074">
            <w:pPr>
              <w:jc w:val="center"/>
              <w:rPr>
                <w:rFonts w:ascii="Verdana" w:hAnsi="Verdana"/>
                <w:b/>
                <w:color w:val="FFFFFF" w:themeColor="background1"/>
                <w:sz w:val="20"/>
                <w:szCs w:val="20"/>
              </w:rPr>
            </w:pPr>
            <w:r w:rsidRPr="005B6074">
              <w:rPr>
                <w:rFonts w:ascii="Verdana" w:hAnsi="Verdana"/>
                <w:b/>
                <w:color w:val="FFFFFF" w:themeColor="background1"/>
                <w:sz w:val="20"/>
                <w:szCs w:val="20"/>
              </w:rPr>
              <w:t xml:space="preserve">Conclusion </w:t>
            </w:r>
          </w:p>
        </w:tc>
        <w:tc>
          <w:tcPr>
            <w:tcW w:w="3171" w:type="dxa"/>
            <w:shd w:val="clear" w:color="auto" w:fill="548DD4" w:themeFill="text2" w:themeFillTint="99"/>
            <w:vAlign w:val="center"/>
          </w:tcPr>
          <w:p w:rsidR="00F71FE2" w:rsidRPr="005B6074" w:rsidRDefault="00F71FE2" w:rsidP="005B6074">
            <w:pPr>
              <w:jc w:val="center"/>
              <w:rPr>
                <w:rFonts w:ascii="Verdana" w:hAnsi="Verdana"/>
                <w:b/>
                <w:color w:val="FFFFFF" w:themeColor="background1"/>
                <w:sz w:val="20"/>
                <w:szCs w:val="20"/>
              </w:rPr>
            </w:pPr>
            <w:r w:rsidRPr="005B6074">
              <w:rPr>
                <w:rFonts w:ascii="Verdana" w:hAnsi="Verdana"/>
                <w:b/>
                <w:color w:val="FFFFFF" w:themeColor="background1"/>
                <w:sz w:val="20"/>
                <w:szCs w:val="20"/>
              </w:rPr>
              <w:t>Recommendation</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t>Section 1, point 1.1.2 А. Research activities</w:t>
            </w:r>
          </w:p>
        </w:tc>
        <w:tc>
          <w:tcPr>
            <w:tcW w:w="3947" w:type="dxa"/>
          </w:tcPr>
          <w:p w:rsidR="00F71FE2" w:rsidRPr="005B6074" w:rsidRDefault="00F71FE2" w:rsidP="005B6074">
            <w:pPr>
              <w:rPr>
                <w:rFonts w:ascii="Verdana" w:hAnsi="Verdana"/>
                <w:sz w:val="20"/>
                <w:szCs w:val="20"/>
              </w:rPr>
            </w:pPr>
            <w:r w:rsidRPr="005B6074">
              <w:rPr>
                <w:rFonts w:ascii="Verdana" w:hAnsi="Verdana"/>
                <w:sz w:val="20"/>
                <w:szCs w:val="20"/>
              </w:rPr>
              <w:t>The analysis of human resources in the field of science can be supplemented with data about the people employed in the area of research, by age and by sectors – their enterprise and mobility. The problems of low remuneration and career growth opportunities have not been discussed among the problems and measures for attracting and retaining of scientists and researchers</w:t>
            </w:r>
          </w:p>
        </w:tc>
        <w:tc>
          <w:tcPr>
            <w:tcW w:w="3171" w:type="dxa"/>
          </w:tcPr>
          <w:p w:rsidR="00F71FE2" w:rsidRPr="005B6074" w:rsidRDefault="00F71FE2" w:rsidP="005B6074">
            <w:pPr>
              <w:rPr>
                <w:rFonts w:ascii="Verdana" w:hAnsi="Verdana"/>
                <w:sz w:val="20"/>
                <w:szCs w:val="20"/>
              </w:rPr>
            </w:pPr>
            <w:r w:rsidRPr="005B6074">
              <w:rPr>
                <w:rFonts w:ascii="Verdana" w:hAnsi="Verdana"/>
                <w:sz w:val="20"/>
                <w:szCs w:val="20"/>
              </w:rPr>
              <w:t>Expand the analysis in the aspect of conditions and needs in the area of human resources in research</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t>Section 1, point 1.1.2 А. Research activities</w:t>
            </w:r>
          </w:p>
        </w:tc>
        <w:tc>
          <w:tcPr>
            <w:tcW w:w="3947" w:type="dxa"/>
          </w:tcPr>
          <w:p w:rsidR="00F71FE2" w:rsidRPr="005B6074" w:rsidRDefault="00F71FE2" w:rsidP="005B6074">
            <w:pPr>
              <w:pStyle w:val="BodyText"/>
              <w:tabs>
                <w:tab w:val="left" w:pos="0"/>
                <w:tab w:val="right" w:pos="9214"/>
              </w:tabs>
              <w:spacing w:line="276" w:lineRule="auto"/>
              <w:jc w:val="both"/>
              <w:rPr>
                <w:rFonts w:ascii="Verdana" w:hAnsi="Verdana"/>
                <w:sz w:val="20"/>
                <w:szCs w:val="20"/>
              </w:rPr>
            </w:pPr>
            <w:r w:rsidRPr="005B6074">
              <w:rPr>
                <w:rFonts w:ascii="Verdana" w:hAnsi="Verdana"/>
                <w:sz w:val="20"/>
                <w:szCs w:val="20"/>
              </w:rPr>
              <w:t>As regards the relationship between science and business the envisaged measures do not address the identified weaknesses: lack of commercial realization of scientific research and developments and lack of supporting public policies.</w:t>
            </w:r>
          </w:p>
        </w:tc>
        <w:tc>
          <w:tcPr>
            <w:tcW w:w="3171" w:type="dxa"/>
          </w:tcPr>
          <w:p w:rsidR="00F71FE2" w:rsidRPr="005B6074" w:rsidRDefault="00F71FE2" w:rsidP="005B6074">
            <w:pPr>
              <w:rPr>
                <w:rFonts w:ascii="Verdana" w:hAnsi="Verdana"/>
                <w:sz w:val="20"/>
                <w:szCs w:val="20"/>
              </w:rPr>
            </w:pPr>
            <w:r w:rsidRPr="005B6074">
              <w:rPr>
                <w:rFonts w:ascii="Verdana" w:hAnsi="Verdana"/>
                <w:sz w:val="20"/>
                <w:szCs w:val="20"/>
              </w:rPr>
              <w:t>Envisage measures for addressing the identified needs</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t>Section 1, point 1.1.2 B. Higher education</w:t>
            </w:r>
          </w:p>
        </w:tc>
        <w:tc>
          <w:tcPr>
            <w:tcW w:w="3947" w:type="dxa"/>
          </w:tcPr>
          <w:p w:rsidR="00F71FE2" w:rsidRPr="005B6074" w:rsidRDefault="00F71FE2" w:rsidP="005B6074">
            <w:pPr>
              <w:rPr>
                <w:rFonts w:ascii="Verdana" w:hAnsi="Verdana"/>
                <w:sz w:val="20"/>
                <w:szCs w:val="20"/>
              </w:rPr>
            </w:pPr>
            <w:r w:rsidRPr="005B6074">
              <w:rPr>
                <w:rFonts w:ascii="Verdana" w:hAnsi="Verdana"/>
                <w:sz w:val="20"/>
                <w:szCs w:val="20"/>
              </w:rPr>
              <w:t xml:space="preserve">As regards the improvement of lecturers’ qualifications no analysis has been made of approaches aimed at establishing a closer relationship between academia, science and research, and business, which can contribute to improving the professional competence of lecturers. Possibilities for involvement of graduate and post-graduate students in extracurricular research projects and activities, including for payment, have not been considered; and that would at the same time address the problem of financial support for studies. No analysis has been made of the role and efficiency of the career centres with higher education institutions in </w:t>
            </w:r>
            <w:r w:rsidRPr="005B6074">
              <w:rPr>
                <w:rFonts w:ascii="Verdana" w:hAnsi="Verdana"/>
                <w:sz w:val="20"/>
                <w:szCs w:val="20"/>
              </w:rPr>
              <w:lastRenderedPageBreak/>
              <w:t xml:space="preserve">improving the relationship between higher education and business. </w:t>
            </w:r>
          </w:p>
        </w:tc>
        <w:tc>
          <w:tcPr>
            <w:tcW w:w="3171" w:type="dxa"/>
          </w:tcPr>
          <w:p w:rsidR="00F71FE2" w:rsidRPr="005B6074" w:rsidRDefault="00F71FE2" w:rsidP="005B6074">
            <w:pPr>
              <w:rPr>
                <w:rFonts w:ascii="Verdana" w:hAnsi="Verdana"/>
                <w:sz w:val="20"/>
                <w:szCs w:val="20"/>
              </w:rPr>
            </w:pPr>
            <w:r w:rsidRPr="005B6074">
              <w:rPr>
                <w:rFonts w:ascii="Verdana" w:hAnsi="Verdana"/>
                <w:sz w:val="20"/>
                <w:szCs w:val="20"/>
              </w:rPr>
              <w:lastRenderedPageBreak/>
              <w:t xml:space="preserve">Expand the analyses, adding information about the possibilities for improving the relationship between academia and research work on the one hand and applied research for the business – on the other, including the involvement of graduate and post-graduate students in research and applied research projects. </w:t>
            </w:r>
          </w:p>
          <w:p w:rsidR="00F71FE2" w:rsidRPr="005B6074" w:rsidRDefault="00F71FE2" w:rsidP="005B6074">
            <w:pPr>
              <w:rPr>
                <w:rFonts w:ascii="Verdana" w:hAnsi="Verdana"/>
                <w:sz w:val="20"/>
                <w:szCs w:val="20"/>
              </w:rPr>
            </w:pPr>
            <w:r w:rsidRPr="005B6074">
              <w:rPr>
                <w:rFonts w:ascii="Verdana" w:hAnsi="Verdana"/>
                <w:sz w:val="20"/>
                <w:szCs w:val="20"/>
              </w:rPr>
              <w:t>Add an analysis of the role of career centres and of the connection between possible support under the programme and strengthening the academia – business relationship.</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lastRenderedPageBreak/>
              <w:t>Section 1, point 1.1.2 C. School education and life-long learning</w:t>
            </w:r>
          </w:p>
        </w:tc>
        <w:tc>
          <w:tcPr>
            <w:tcW w:w="3947" w:type="dxa"/>
          </w:tcPr>
          <w:p w:rsidR="00F71FE2" w:rsidRPr="005B6074" w:rsidRDefault="00F71FE2" w:rsidP="005B6074">
            <w:pPr>
              <w:rPr>
                <w:rFonts w:ascii="Verdana" w:hAnsi="Verdana"/>
                <w:sz w:val="20"/>
                <w:szCs w:val="20"/>
              </w:rPr>
            </w:pPr>
            <w:r w:rsidRPr="005B6074">
              <w:rPr>
                <w:rFonts w:ascii="Verdana" w:hAnsi="Verdana"/>
                <w:sz w:val="20"/>
                <w:szCs w:val="20"/>
              </w:rPr>
              <w:t xml:space="preserve">There is no information about the preschool education system and kindergartens in the analysis. </w:t>
            </w:r>
          </w:p>
        </w:tc>
        <w:tc>
          <w:tcPr>
            <w:tcW w:w="3171" w:type="dxa"/>
          </w:tcPr>
          <w:p w:rsidR="00F71FE2" w:rsidRPr="005B6074" w:rsidRDefault="00F71FE2" w:rsidP="005B6074">
            <w:pPr>
              <w:rPr>
                <w:rFonts w:ascii="Verdana" w:hAnsi="Verdana"/>
                <w:sz w:val="20"/>
                <w:szCs w:val="20"/>
              </w:rPr>
            </w:pPr>
            <w:r w:rsidRPr="005B6074">
              <w:rPr>
                <w:rFonts w:ascii="Verdana" w:hAnsi="Verdana"/>
                <w:sz w:val="20"/>
                <w:szCs w:val="20"/>
              </w:rPr>
              <w:t>Add the lacking analyses</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t>Section 1, point 1.1.2 C. School education and life-long learning</w:t>
            </w:r>
          </w:p>
        </w:tc>
        <w:tc>
          <w:tcPr>
            <w:tcW w:w="3947" w:type="dxa"/>
          </w:tcPr>
          <w:p w:rsidR="00F71FE2" w:rsidRPr="005B6074" w:rsidRDefault="00F71FE2" w:rsidP="005B6074">
            <w:pPr>
              <w:spacing w:after="0" w:line="240" w:lineRule="auto"/>
              <w:rPr>
                <w:rFonts w:ascii="Verdana" w:hAnsi="Verdana"/>
                <w:sz w:val="20"/>
                <w:szCs w:val="20"/>
              </w:rPr>
            </w:pPr>
            <w:r w:rsidRPr="005B6074">
              <w:rPr>
                <w:rFonts w:ascii="Verdana" w:eastAsiaTheme="minorHAnsi" w:hAnsi="Verdana" w:cstheme="minorBidi"/>
                <w:sz w:val="20"/>
                <w:szCs w:val="20"/>
              </w:rPr>
              <w:t>The measures related to the teachers’ qualification do not address the main problem – low salaries</w:t>
            </w:r>
          </w:p>
        </w:tc>
        <w:tc>
          <w:tcPr>
            <w:tcW w:w="3171" w:type="dxa"/>
          </w:tcPr>
          <w:p w:rsidR="00F71FE2" w:rsidRPr="005B6074" w:rsidRDefault="00F71FE2" w:rsidP="005B6074">
            <w:pPr>
              <w:rPr>
                <w:rFonts w:ascii="Verdana" w:hAnsi="Verdana"/>
                <w:sz w:val="20"/>
                <w:szCs w:val="20"/>
              </w:rPr>
            </w:pPr>
            <w:r w:rsidRPr="005B6074">
              <w:rPr>
                <w:rFonts w:ascii="Verdana" w:hAnsi="Verdana"/>
                <w:sz w:val="20"/>
                <w:szCs w:val="20"/>
              </w:rPr>
              <w:t>Add an analysis of the possibilities to address the problem of low teacher salaries</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t>Section 1, point 1.1.2 C. School education and life-long learning</w:t>
            </w:r>
          </w:p>
        </w:tc>
        <w:tc>
          <w:tcPr>
            <w:tcW w:w="3947" w:type="dxa"/>
          </w:tcPr>
          <w:p w:rsidR="00F71FE2" w:rsidRPr="005B6074" w:rsidRDefault="00F71FE2" w:rsidP="00845752">
            <w:pPr>
              <w:rPr>
                <w:rFonts w:ascii="Verdana" w:hAnsi="Verdana"/>
                <w:sz w:val="20"/>
                <w:szCs w:val="20"/>
              </w:rPr>
            </w:pPr>
            <w:r w:rsidRPr="005B6074">
              <w:rPr>
                <w:rFonts w:ascii="Verdana" w:hAnsi="Verdana"/>
                <w:sz w:val="20"/>
                <w:szCs w:val="20"/>
              </w:rPr>
              <w:t>The problem of relatively lower quality of education in small and distant towns and villages and the ways to overcome that have not been analy</w:t>
            </w:r>
            <w:r w:rsidR="00845752">
              <w:rPr>
                <w:rFonts w:ascii="Verdana" w:hAnsi="Verdana"/>
                <w:sz w:val="20"/>
                <w:szCs w:val="20"/>
              </w:rPr>
              <w:t>s</w:t>
            </w:r>
            <w:r w:rsidRPr="005B6074">
              <w:rPr>
                <w:rFonts w:ascii="Verdana" w:hAnsi="Verdana"/>
                <w:sz w:val="20"/>
                <w:szCs w:val="20"/>
              </w:rPr>
              <w:t xml:space="preserve">ed. </w:t>
            </w:r>
          </w:p>
        </w:tc>
        <w:tc>
          <w:tcPr>
            <w:tcW w:w="3171" w:type="dxa"/>
          </w:tcPr>
          <w:p w:rsidR="00F71FE2" w:rsidRPr="005B6074" w:rsidRDefault="00F71FE2" w:rsidP="005B6074">
            <w:pPr>
              <w:rPr>
                <w:rFonts w:ascii="Verdana" w:hAnsi="Verdana"/>
                <w:sz w:val="20"/>
                <w:szCs w:val="20"/>
              </w:rPr>
            </w:pPr>
            <w:r w:rsidRPr="005B6074">
              <w:rPr>
                <w:rFonts w:ascii="Verdana" w:hAnsi="Verdana"/>
                <w:sz w:val="20"/>
                <w:szCs w:val="20"/>
              </w:rPr>
              <w:t>Add an analysis of territorial differences in the quality of education.</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t>PA1, IP2</w:t>
            </w:r>
          </w:p>
        </w:tc>
        <w:tc>
          <w:tcPr>
            <w:tcW w:w="3947" w:type="dxa"/>
          </w:tcPr>
          <w:p w:rsidR="00F71FE2" w:rsidRPr="005B6074" w:rsidRDefault="00F71FE2" w:rsidP="005B6074">
            <w:pPr>
              <w:spacing w:after="0" w:line="240" w:lineRule="auto"/>
              <w:rPr>
                <w:rFonts w:ascii="Verdana" w:hAnsi="Verdana"/>
                <w:sz w:val="20"/>
                <w:szCs w:val="20"/>
              </w:rPr>
            </w:pPr>
            <w:r w:rsidRPr="005B6074">
              <w:rPr>
                <w:rFonts w:ascii="Verdana" w:hAnsi="Verdana"/>
                <w:sz w:val="20"/>
                <w:szCs w:val="20"/>
              </w:rPr>
              <w:t>The justification of needs can be improved. No information has been provided about possible synergy effect with OPIC</w:t>
            </w:r>
          </w:p>
        </w:tc>
        <w:tc>
          <w:tcPr>
            <w:tcW w:w="3171" w:type="dxa"/>
          </w:tcPr>
          <w:p w:rsidR="00F71FE2" w:rsidRPr="005B6074" w:rsidRDefault="00F71FE2" w:rsidP="005B6074">
            <w:pPr>
              <w:rPr>
                <w:rFonts w:ascii="Verdana" w:hAnsi="Verdana"/>
                <w:sz w:val="20"/>
                <w:szCs w:val="20"/>
              </w:rPr>
            </w:pPr>
            <w:r w:rsidRPr="005B6074">
              <w:rPr>
                <w:rFonts w:ascii="Verdana" w:hAnsi="Verdana"/>
                <w:sz w:val="20"/>
                <w:szCs w:val="20"/>
              </w:rPr>
              <w:t xml:space="preserve">Extend the justification regarding needs taking into consideration the comments in table 17 of this report. </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t>PA2, IP2</w:t>
            </w:r>
          </w:p>
        </w:tc>
        <w:tc>
          <w:tcPr>
            <w:tcW w:w="3947" w:type="dxa"/>
          </w:tcPr>
          <w:p w:rsidR="00F71FE2" w:rsidRPr="005B6074" w:rsidRDefault="00F71FE2" w:rsidP="005B6074">
            <w:pPr>
              <w:rPr>
                <w:rFonts w:ascii="Verdana" w:hAnsi="Verdana"/>
                <w:sz w:val="20"/>
                <w:szCs w:val="20"/>
              </w:rPr>
            </w:pPr>
            <w:r w:rsidRPr="005B6074">
              <w:rPr>
                <w:rFonts w:ascii="Verdana" w:hAnsi="Verdana"/>
                <w:sz w:val="20"/>
                <w:szCs w:val="20"/>
              </w:rPr>
              <w:t xml:space="preserve">The justification of needs under the second and the third specific objectives can be improved, providing more information about the present state, measures undertaken and achieved results. Illustrating the needs with numbers would make the justification more convincing. </w:t>
            </w:r>
          </w:p>
        </w:tc>
        <w:tc>
          <w:tcPr>
            <w:tcW w:w="3171" w:type="dxa"/>
          </w:tcPr>
          <w:p w:rsidR="00F71FE2" w:rsidRPr="005B6074" w:rsidRDefault="00F71FE2" w:rsidP="005B6074">
            <w:pPr>
              <w:rPr>
                <w:rFonts w:ascii="Verdana" w:hAnsi="Verdana"/>
                <w:sz w:val="20"/>
                <w:szCs w:val="20"/>
              </w:rPr>
            </w:pPr>
            <w:r w:rsidRPr="005B6074">
              <w:rPr>
                <w:rFonts w:ascii="Verdana" w:hAnsi="Verdana"/>
                <w:sz w:val="20"/>
                <w:szCs w:val="20"/>
              </w:rPr>
              <w:t>Supplement the needs justification and make it more precise in accordance with the comments in table 18 of this report.</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t>PA2, IP3</w:t>
            </w:r>
          </w:p>
        </w:tc>
        <w:tc>
          <w:tcPr>
            <w:tcW w:w="3947" w:type="dxa"/>
          </w:tcPr>
          <w:p w:rsidR="00F71FE2" w:rsidRPr="005B6074" w:rsidRDefault="00F71FE2" w:rsidP="005B6074">
            <w:pPr>
              <w:rPr>
                <w:rFonts w:ascii="Verdana" w:hAnsi="Verdana"/>
                <w:sz w:val="20"/>
                <w:szCs w:val="20"/>
              </w:rPr>
            </w:pPr>
            <w:r w:rsidRPr="005B6074">
              <w:rPr>
                <w:rFonts w:ascii="Verdana" w:hAnsi="Verdana"/>
                <w:sz w:val="20"/>
                <w:szCs w:val="20"/>
              </w:rPr>
              <w:t>The texts in the justification of SO2 need to be made more precise in order to avoid the impression of double support with OP HRD 2014-2020</w:t>
            </w:r>
          </w:p>
        </w:tc>
        <w:tc>
          <w:tcPr>
            <w:tcW w:w="3171" w:type="dxa"/>
          </w:tcPr>
          <w:p w:rsidR="00F71FE2" w:rsidRPr="005B6074" w:rsidRDefault="00F71FE2" w:rsidP="005B6074">
            <w:pPr>
              <w:rPr>
                <w:rFonts w:ascii="Verdana" w:hAnsi="Verdana"/>
                <w:sz w:val="20"/>
                <w:szCs w:val="20"/>
              </w:rPr>
            </w:pPr>
            <w:r w:rsidRPr="005B6074">
              <w:rPr>
                <w:rFonts w:ascii="Verdana" w:hAnsi="Verdana"/>
                <w:sz w:val="20"/>
                <w:szCs w:val="20"/>
              </w:rPr>
              <w:t xml:space="preserve">Revise the needs justification in accordance with the comments in table 18 of this report. </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t>PA2, IP4</w:t>
            </w:r>
          </w:p>
        </w:tc>
        <w:tc>
          <w:tcPr>
            <w:tcW w:w="3947" w:type="dxa"/>
          </w:tcPr>
          <w:p w:rsidR="00F71FE2" w:rsidRPr="005B6074" w:rsidRDefault="00F71FE2" w:rsidP="005B6074">
            <w:pPr>
              <w:rPr>
                <w:rFonts w:ascii="Verdana" w:hAnsi="Verdana"/>
                <w:sz w:val="20"/>
                <w:szCs w:val="20"/>
              </w:rPr>
            </w:pPr>
            <w:r w:rsidRPr="005B6074">
              <w:rPr>
                <w:rFonts w:ascii="Verdana" w:hAnsi="Verdana"/>
                <w:sz w:val="20"/>
                <w:szCs w:val="20"/>
              </w:rPr>
              <w:t>The justification of needs under the second specific objective can be improved.</w:t>
            </w:r>
          </w:p>
        </w:tc>
        <w:tc>
          <w:tcPr>
            <w:tcW w:w="3171" w:type="dxa"/>
          </w:tcPr>
          <w:p w:rsidR="00F71FE2" w:rsidRPr="005B6074" w:rsidRDefault="00F71FE2" w:rsidP="005B6074">
            <w:pPr>
              <w:rPr>
                <w:rFonts w:ascii="Verdana" w:hAnsi="Verdana"/>
                <w:sz w:val="20"/>
                <w:szCs w:val="20"/>
              </w:rPr>
            </w:pPr>
            <w:r w:rsidRPr="005B6074">
              <w:rPr>
                <w:rFonts w:ascii="Verdana" w:hAnsi="Verdana"/>
                <w:sz w:val="20"/>
                <w:szCs w:val="20"/>
              </w:rPr>
              <w:t>Supplement the needs justification in accordance with the comments in table 18 of this report.</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lastRenderedPageBreak/>
              <w:t>PA3, IP1, SO1</w:t>
            </w:r>
          </w:p>
        </w:tc>
        <w:tc>
          <w:tcPr>
            <w:tcW w:w="3947" w:type="dxa"/>
          </w:tcPr>
          <w:p w:rsidR="00F71FE2" w:rsidRPr="005B6074" w:rsidRDefault="00F71FE2" w:rsidP="005B6074">
            <w:pPr>
              <w:spacing w:after="0" w:line="240" w:lineRule="auto"/>
              <w:rPr>
                <w:rFonts w:ascii="Verdana" w:hAnsi="Verdana"/>
                <w:sz w:val="20"/>
                <w:szCs w:val="20"/>
              </w:rPr>
            </w:pPr>
            <w:r w:rsidRPr="005B6074">
              <w:rPr>
                <w:rFonts w:ascii="Verdana" w:hAnsi="Verdana"/>
                <w:sz w:val="20"/>
                <w:szCs w:val="20"/>
              </w:rPr>
              <w:t>The present formulation of the objective starts with “improve the quality of and access to education”, which diverts the focus from the main problem – inclusive education, and creates confusion as the access to and the quality of education are supported by IP1 of PA2.</w:t>
            </w:r>
          </w:p>
        </w:tc>
        <w:tc>
          <w:tcPr>
            <w:tcW w:w="3171" w:type="dxa"/>
          </w:tcPr>
          <w:p w:rsidR="00F71FE2" w:rsidRPr="005B6074" w:rsidRDefault="00F71FE2" w:rsidP="005B6074">
            <w:pPr>
              <w:spacing w:after="0" w:line="240" w:lineRule="auto"/>
              <w:rPr>
                <w:rFonts w:ascii="Verdana" w:hAnsi="Verdana"/>
                <w:sz w:val="20"/>
                <w:szCs w:val="20"/>
              </w:rPr>
            </w:pPr>
            <w:r w:rsidRPr="005B6074">
              <w:rPr>
                <w:rFonts w:ascii="Verdana" w:hAnsi="Verdana"/>
                <w:sz w:val="20"/>
                <w:szCs w:val="20"/>
              </w:rPr>
              <w:t>It is recommended that the title of the specific objective is reformulated.</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t>PA3, IP1</w:t>
            </w:r>
          </w:p>
        </w:tc>
        <w:tc>
          <w:tcPr>
            <w:tcW w:w="3947" w:type="dxa"/>
          </w:tcPr>
          <w:p w:rsidR="00F71FE2" w:rsidRPr="005B6074" w:rsidRDefault="00F71FE2" w:rsidP="005B6074">
            <w:pPr>
              <w:spacing w:after="0" w:line="240" w:lineRule="auto"/>
              <w:rPr>
                <w:rFonts w:ascii="Verdana" w:hAnsi="Verdana"/>
                <w:sz w:val="20"/>
                <w:szCs w:val="20"/>
              </w:rPr>
            </w:pPr>
            <w:r w:rsidRPr="005B6074">
              <w:rPr>
                <w:rFonts w:ascii="Verdana" w:hAnsi="Verdana"/>
                <w:sz w:val="20"/>
                <w:szCs w:val="20"/>
              </w:rPr>
              <w:t xml:space="preserve">The justification can be supplemented with an analysis of the access of disabled people to higher education, practices addressing students’ individual </w:t>
            </w:r>
            <w:proofErr w:type="gramStart"/>
            <w:r w:rsidRPr="005B6074">
              <w:rPr>
                <w:rFonts w:ascii="Verdana" w:hAnsi="Verdana"/>
                <w:sz w:val="20"/>
                <w:szCs w:val="20"/>
              </w:rPr>
              <w:t>needs  and</w:t>
            </w:r>
            <w:proofErr w:type="gramEnd"/>
            <w:r w:rsidRPr="005B6074">
              <w:rPr>
                <w:rFonts w:ascii="Verdana" w:hAnsi="Verdana"/>
                <w:sz w:val="20"/>
                <w:szCs w:val="20"/>
              </w:rPr>
              <w:t xml:space="preserve"> their efficiency.</w:t>
            </w:r>
          </w:p>
        </w:tc>
        <w:tc>
          <w:tcPr>
            <w:tcW w:w="3171" w:type="dxa"/>
          </w:tcPr>
          <w:p w:rsidR="00F71FE2" w:rsidRPr="005B6074" w:rsidRDefault="00F71FE2" w:rsidP="005B6074">
            <w:pPr>
              <w:rPr>
                <w:rFonts w:ascii="Verdana" w:hAnsi="Verdana"/>
                <w:sz w:val="20"/>
                <w:szCs w:val="20"/>
              </w:rPr>
            </w:pPr>
            <w:r w:rsidRPr="005B6074">
              <w:rPr>
                <w:rFonts w:ascii="Verdana" w:hAnsi="Verdana"/>
                <w:sz w:val="20"/>
                <w:szCs w:val="20"/>
              </w:rPr>
              <w:t xml:space="preserve">Supplement the </w:t>
            </w:r>
            <w:r w:rsidR="00845752" w:rsidRPr="005B6074">
              <w:rPr>
                <w:rFonts w:ascii="Verdana" w:hAnsi="Verdana"/>
                <w:sz w:val="20"/>
                <w:szCs w:val="20"/>
              </w:rPr>
              <w:t>justification</w:t>
            </w:r>
            <w:r w:rsidRPr="005B6074">
              <w:rPr>
                <w:rFonts w:ascii="Verdana" w:hAnsi="Verdana"/>
                <w:sz w:val="20"/>
                <w:szCs w:val="20"/>
              </w:rPr>
              <w:t xml:space="preserve"> in accordance with the comments in table 19 of this report.</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t>PA3, IP2</w:t>
            </w:r>
          </w:p>
        </w:tc>
        <w:tc>
          <w:tcPr>
            <w:tcW w:w="3947" w:type="dxa"/>
          </w:tcPr>
          <w:p w:rsidR="00F71FE2" w:rsidRPr="005B6074" w:rsidRDefault="00F71FE2" w:rsidP="005B6074">
            <w:pPr>
              <w:rPr>
                <w:rFonts w:ascii="Verdana" w:hAnsi="Verdana"/>
                <w:sz w:val="20"/>
                <w:szCs w:val="20"/>
              </w:rPr>
            </w:pPr>
            <w:r w:rsidRPr="005B6074">
              <w:rPr>
                <w:rFonts w:ascii="Verdana" w:hAnsi="Verdana"/>
                <w:sz w:val="20"/>
                <w:szCs w:val="20"/>
              </w:rPr>
              <w:t>The justification of the specific objective indicates the major problems but does provide sufficient data to illustrate the problems. Possible integrated support together with OP HRD2014-2020 has not been discussed.</w:t>
            </w:r>
          </w:p>
        </w:tc>
        <w:tc>
          <w:tcPr>
            <w:tcW w:w="3171" w:type="dxa"/>
          </w:tcPr>
          <w:p w:rsidR="00F71FE2" w:rsidRPr="005B6074" w:rsidRDefault="00F71FE2" w:rsidP="005B6074">
            <w:pPr>
              <w:rPr>
                <w:rFonts w:ascii="Verdana" w:hAnsi="Verdana"/>
                <w:sz w:val="20"/>
                <w:szCs w:val="20"/>
              </w:rPr>
            </w:pPr>
            <w:r w:rsidRPr="005B6074">
              <w:rPr>
                <w:rFonts w:ascii="Verdana" w:hAnsi="Verdana"/>
                <w:sz w:val="20"/>
                <w:szCs w:val="20"/>
              </w:rPr>
              <w:t>Supplement the justification of the specific objectives in accordance with the comments in table 19 of this report.</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t>Activities under all priority axes</w:t>
            </w:r>
          </w:p>
        </w:tc>
        <w:tc>
          <w:tcPr>
            <w:tcW w:w="3947" w:type="dxa"/>
          </w:tcPr>
          <w:p w:rsidR="00F71FE2" w:rsidRPr="005B6074" w:rsidRDefault="00F71FE2" w:rsidP="005B6074">
            <w:pPr>
              <w:rPr>
                <w:rFonts w:ascii="Verdana" w:hAnsi="Verdana"/>
                <w:sz w:val="20"/>
                <w:szCs w:val="20"/>
              </w:rPr>
            </w:pPr>
            <w:r w:rsidRPr="005B6074">
              <w:rPr>
                <w:rFonts w:ascii="Verdana" w:hAnsi="Verdana"/>
                <w:sz w:val="20"/>
                <w:szCs w:val="20"/>
              </w:rPr>
              <w:t xml:space="preserve">Most of the suggested activities are relevant to the set specific objectives. In some cases the activities can be integrated or formulated in a better way. There are activities which have not been sufficiently covered in the justification of specific objectives and also such activities which are not very relevant to the specific objectives, Concrete recommendations have been made. </w:t>
            </w:r>
          </w:p>
        </w:tc>
        <w:tc>
          <w:tcPr>
            <w:tcW w:w="3171" w:type="dxa"/>
          </w:tcPr>
          <w:p w:rsidR="00F71FE2" w:rsidRPr="005B6074" w:rsidRDefault="00F71FE2" w:rsidP="005B6074">
            <w:pPr>
              <w:rPr>
                <w:rFonts w:ascii="Verdana" w:hAnsi="Verdana"/>
                <w:sz w:val="20"/>
                <w:szCs w:val="20"/>
              </w:rPr>
            </w:pPr>
            <w:r w:rsidRPr="005B6074">
              <w:rPr>
                <w:rFonts w:ascii="Verdana" w:hAnsi="Verdana"/>
                <w:sz w:val="20"/>
                <w:szCs w:val="20"/>
              </w:rPr>
              <w:t>Improve the formulation of activities under the specific objectives of all axes, taking into consideration the recommendations in tables 21, 22, 23 and 24 of this report.</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t>Beneficiaries and target groups</w:t>
            </w:r>
          </w:p>
        </w:tc>
        <w:tc>
          <w:tcPr>
            <w:tcW w:w="3947" w:type="dxa"/>
          </w:tcPr>
          <w:p w:rsidR="00F71FE2" w:rsidRPr="005B6074" w:rsidRDefault="00F71FE2" w:rsidP="005B6074">
            <w:pPr>
              <w:rPr>
                <w:rFonts w:ascii="Verdana" w:hAnsi="Verdana"/>
                <w:sz w:val="20"/>
                <w:szCs w:val="20"/>
              </w:rPr>
            </w:pPr>
            <w:r w:rsidRPr="005B6074">
              <w:rPr>
                <w:rFonts w:ascii="Verdana" w:hAnsi="Verdana"/>
                <w:sz w:val="20"/>
                <w:szCs w:val="20"/>
              </w:rPr>
              <w:t>The beneficiaries and the target groups have been adequately identified. In some cases there is ambiguity about some of the groups. Respective recommendations have been made.</w:t>
            </w:r>
          </w:p>
        </w:tc>
        <w:tc>
          <w:tcPr>
            <w:tcW w:w="3171" w:type="dxa"/>
          </w:tcPr>
          <w:p w:rsidR="00F71FE2" w:rsidRPr="005B6074" w:rsidRDefault="00F71FE2" w:rsidP="005B6074">
            <w:pPr>
              <w:rPr>
                <w:rFonts w:ascii="Verdana" w:hAnsi="Verdana"/>
                <w:sz w:val="20"/>
                <w:szCs w:val="20"/>
              </w:rPr>
            </w:pPr>
            <w:r w:rsidRPr="005B6074">
              <w:rPr>
                <w:rFonts w:ascii="Verdana" w:hAnsi="Verdana"/>
                <w:sz w:val="20"/>
                <w:szCs w:val="20"/>
              </w:rPr>
              <w:t>Make the necessary amendments and define more accurately beneficiaries and target groups in accordance with the recommendations in tables 25, 26 and 27</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t>Guiding principles for selection of operations</w:t>
            </w:r>
          </w:p>
        </w:tc>
        <w:tc>
          <w:tcPr>
            <w:tcW w:w="3947" w:type="dxa"/>
          </w:tcPr>
          <w:p w:rsidR="00F71FE2" w:rsidRPr="005B6074" w:rsidRDefault="00F71FE2" w:rsidP="005B6074">
            <w:pPr>
              <w:rPr>
                <w:rFonts w:ascii="Verdana" w:hAnsi="Verdana"/>
                <w:sz w:val="20"/>
                <w:szCs w:val="20"/>
              </w:rPr>
            </w:pPr>
            <w:r w:rsidRPr="005B6074">
              <w:rPr>
                <w:rFonts w:ascii="Verdana" w:hAnsi="Verdana"/>
                <w:sz w:val="20"/>
                <w:szCs w:val="20"/>
              </w:rPr>
              <w:t xml:space="preserve">Most of the defined guiding principles for selection of operations are relevant and will contribute to efficient use of funds and </w:t>
            </w:r>
            <w:r w:rsidRPr="005B6074">
              <w:rPr>
                <w:rFonts w:ascii="Verdana" w:hAnsi="Verdana"/>
                <w:sz w:val="20"/>
                <w:szCs w:val="20"/>
              </w:rPr>
              <w:lastRenderedPageBreak/>
              <w:t xml:space="preserve">improvement of the selection of projects.  Comments have been made regarding three of the suggested principles for selection of operations.  </w:t>
            </w:r>
          </w:p>
        </w:tc>
        <w:tc>
          <w:tcPr>
            <w:tcW w:w="3171" w:type="dxa"/>
          </w:tcPr>
          <w:p w:rsidR="00F71FE2" w:rsidRPr="005B6074" w:rsidRDefault="00F71FE2" w:rsidP="005B6074">
            <w:pPr>
              <w:rPr>
                <w:rFonts w:ascii="Verdana" w:hAnsi="Verdana"/>
                <w:sz w:val="20"/>
                <w:szCs w:val="20"/>
              </w:rPr>
            </w:pPr>
            <w:r w:rsidRPr="005B6074">
              <w:rPr>
                <w:rFonts w:ascii="Verdana" w:hAnsi="Verdana"/>
                <w:sz w:val="20"/>
                <w:szCs w:val="20"/>
              </w:rPr>
              <w:lastRenderedPageBreak/>
              <w:t>Take into consideration and reflect the comments in table 29 of this report.</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lastRenderedPageBreak/>
              <w:t>Financial instruments</w:t>
            </w:r>
          </w:p>
        </w:tc>
        <w:tc>
          <w:tcPr>
            <w:tcW w:w="3947" w:type="dxa"/>
          </w:tcPr>
          <w:p w:rsidR="00F71FE2" w:rsidRPr="005B6074" w:rsidRDefault="00F71FE2" w:rsidP="005B6074">
            <w:pPr>
              <w:rPr>
                <w:rFonts w:ascii="Verdana" w:hAnsi="Verdana"/>
                <w:sz w:val="20"/>
                <w:szCs w:val="20"/>
              </w:rPr>
            </w:pPr>
            <w:r w:rsidRPr="005B6074">
              <w:rPr>
                <w:rFonts w:ascii="Verdana" w:hAnsi="Verdana"/>
                <w:sz w:val="20"/>
                <w:szCs w:val="20"/>
              </w:rPr>
              <w:t>The May 2014 version of the programme does not envisage using of financial instruments</w:t>
            </w:r>
          </w:p>
        </w:tc>
        <w:tc>
          <w:tcPr>
            <w:tcW w:w="3171" w:type="dxa"/>
          </w:tcPr>
          <w:p w:rsidR="00F71FE2" w:rsidRPr="005B6074" w:rsidRDefault="00F71FE2" w:rsidP="00845752">
            <w:pPr>
              <w:rPr>
                <w:rFonts w:ascii="Verdana" w:hAnsi="Verdana"/>
                <w:sz w:val="20"/>
                <w:szCs w:val="20"/>
              </w:rPr>
            </w:pPr>
            <w:r w:rsidRPr="005B6074">
              <w:rPr>
                <w:rFonts w:ascii="Verdana" w:hAnsi="Verdana"/>
                <w:sz w:val="20"/>
                <w:szCs w:val="20"/>
              </w:rPr>
              <w:t>Considering the envisaged activities for providing of credits in higher education and the possibilities for joint business-science and business-higher education initiatives it is recommended to analy</w:t>
            </w:r>
            <w:r w:rsidR="00845752">
              <w:rPr>
                <w:rFonts w:ascii="Verdana" w:hAnsi="Verdana"/>
                <w:sz w:val="20"/>
                <w:szCs w:val="20"/>
              </w:rPr>
              <w:t>s</w:t>
            </w:r>
            <w:r w:rsidRPr="005B6074">
              <w:rPr>
                <w:rFonts w:ascii="Verdana" w:hAnsi="Verdana"/>
                <w:sz w:val="20"/>
                <w:szCs w:val="20"/>
              </w:rPr>
              <w:t>e the possibilities for and advantages of using financial instruments.</w:t>
            </w:r>
          </w:p>
        </w:tc>
      </w:tr>
      <w:tr w:rsidR="00F71FE2" w:rsidRPr="005B6074" w:rsidTr="005B6074">
        <w:tc>
          <w:tcPr>
            <w:tcW w:w="1972" w:type="dxa"/>
          </w:tcPr>
          <w:p w:rsidR="00F71FE2" w:rsidRPr="005B6074" w:rsidRDefault="00F71FE2" w:rsidP="005B6074">
            <w:pPr>
              <w:rPr>
                <w:rFonts w:ascii="Verdana" w:hAnsi="Verdana"/>
                <w:sz w:val="20"/>
                <w:szCs w:val="20"/>
              </w:rPr>
            </w:pPr>
            <w:r w:rsidRPr="005B6074">
              <w:rPr>
                <w:rFonts w:ascii="Verdana" w:hAnsi="Verdana"/>
                <w:sz w:val="20"/>
                <w:szCs w:val="20"/>
              </w:rPr>
              <w:t>Horizontal principles</w:t>
            </w:r>
          </w:p>
        </w:tc>
        <w:tc>
          <w:tcPr>
            <w:tcW w:w="3947" w:type="dxa"/>
          </w:tcPr>
          <w:p w:rsidR="00F71FE2" w:rsidRPr="005B6074" w:rsidRDefault="00F71FE2" w:rsidP="005B6074">
            <w:pPr>
              <w:spacing w:before="120" w:after="120"/>
              <w:rPr>
                <w:rFonts w:ascii="Verdana" w:hAnsi="Verdana"/>
                <w:sz w:val="20"/>
                <w:szCs w:val="20"/>
              </w:rPr>
            </w:pPr>
            <w:r w:rsidRPr="005B6074">
              <w:rPr>
                <w:rFonts w:ascii="Verdana" w:hAnsi="Verdana"/>
                <w:sz w:val="20"/>
                <w:szCs w:val="20"/>
              </w:rPr>
              <w:t>The programme reflects the main horizontal principles defined in the applicable regulations and in the Partnership Agreement. Monitoring of the application of the “equal opportunities and non-discrimination” principle is envisaged to be performed through specialized inspections and monitoring of concrete indicators. It has not been indicated how the application of the “sustainable development” and “gender equality” principles will be monitored.</w:t>
            </w:r>
          </w:p>
        </w:tc>
        <w:tc>
          <w:tcPr>
            <w:tcW w:w="3171" w:type="dxa"/>
          </w:tcPr>
          <w:p w:rsidR="00F71FE2" w:rsidRPr="005B6074" w:rsidRDefault="00F71FE2" w:rsidP="005B6074">
            <w:pPr>
              <w:rPr>
                <w:rFonts w:ascii="Verdana" w:hAnsi="Verdana"/>
                <w:sz w:val="20"/>
                <w:szCs w:val="20"/>
              </w:rPr>
            </w:pPr>
            <w:r w:rsidRPr="005B6074">
              <w:rPr>
                <w:rFonts w:ascii="Verdana" w:hAnsi="Verdana"/>
                <w:sz w:val="20"/>
                <w:szCs w:val="20"/>
              </w:rPr>
              <w:t>Introducing of specialized inspections would lead to increasing the administrative burden. It would be more appropriate to provide information regarding the implementation of the “equal opportunities and non-discrimination” principle through the monitoring system.</w:t>
            </w:r>
          </w:p>
          <w:p w:rsidR="00F71FE2" w:rsidRPr="005B6074" w:rsidRDefault="00F71FE2" w:rsidP="005B6074">
            <w:pPr>
              <w:rPr>
                <w:rFonts w:ascii="Verdana" w:hAnsi="Verdana"/>
                <w:sz w:val="20"/>
                <w:szCs w:val="20"/>
              </w:rPr>
            </w:pPr>
            <w:r w:rsidRPr="005B6074">
              <w:rPr>
                <w:rFonts w:ascii="Verdana" w:hAnsi="Verdana"/>
                <w:sz w:val="20"/>
                <w:szCs w:val="20"/>
              </w:rPr>
              <w:t>Add information on the manner in which application of the “sustainable development” and “gender equality” principles will be monitored.</w:t>
            </w:r>
          </w:p>
        </w:tc>
      </w:tr>
    </w:tbl>
    <w:p w:rsidR="00F71FE2" w:rsidRPr="005B6074" w:rsidRDefault="00F71FE2" w:rsidP="00F71FE2">
      <w:pPr>
        <w:spacing w:after="120"/>
        <w:jc w:val="both"/>
        <w:rPr>
          <w:rFonts w:ascii="Verdana" w:hAnsi="Verdana"/>
          <w:sz w:val="20"/>
          <w:szCs w:val="20"/>
        </w:rPr>
      </w:pPr>
    </w:p>
    <w:p w:rsidR="00CF3EE2" w:rsidRPr="005B6074" w:rsidRDefault="00A35E98" w:rsidP="00CF3EE2">
      <w:pPr>
        <w:keepNext/>
        <w:spacing w:before="240" w:after="120"/>
        <w:jc w:val="both"/>
        <w:rPr>
          <w:rFonts w:ascii="Verdana" w:hAnsi="Verdana"/>
          <w:color w:val="548DD4" w:themeColor="text2" w:themeTint="99"/>
          <w:sz w:val="20"/>
          <w:szCs w:val="20"/>
        </w:rPr>
      </w:pPr>
      <w:r w:rsidRPr="005B6074">
        <w:rPr>
          <w:rFonts w:ascii="Verdana" w:hAnsi="Verdana"/>
          <w:color w:val="548DD4" w:themeColor="text2" w:themeTint="99"/>
          <w:sz w:val="20"/>
          <w:szCs w:val="20"/>
        </w:rPr>
        <w:t>As regards financial allocation</w:t>
      </w:r>
    </w:p>
    <w:tbl>
      <w:tblPr>
        <w:tblStyle w:val="TableGrid"/>
        <w:tblW w:w="9208" w:type="dxa"/>
        <w:tblInd w:w="-10"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1820"/>
        <w:gridCol w:w="3968"/>
        <w:gridCol w:w="3420"/>
      </w:tblGrid>
      <w:tr w:rsidR="00F71FE2" w:rsidRPr="005B6074" w:rsidTr="005B6074">
        <w:tc>
          <w:tcPr>
            <w:tcW w:w="1820" w:type="dxa"/>
            <w:shd w:val="clear" w:color="auto" w:fill="548DD4" w:themeFill="text2" w:themeFillTint="99"/>
            <w:vAlign w:val="center"/>
          </w:tcPr>
          <w:p w:rsidR="00F71FE2" w:rsidRPr="005B6074" w:rsidRDefault="005B35A7" w:rsidP="005B6074">
            <w:pPr>
              <w:jc w:val="center"/>
              <w:rPr>
                <w:rFonts w:ascii="Verdana" w:hAnsi="Verdana"/>
                <w:b/>
                <w:color w:val="FFFFFF" w:themeColor="background1"/>
                <w:sz w:val="20"/>
                <w:szCs w:val="20"/>
              </w:rPr>
            </w:pPr>
            <w:r>
              <w:rPr>
                <w:rFonts w:ascii="Verdana" w:hAnsi="Verdana"/>
                <w:b/>
                <w:color w:val="FFFFFF" w:themeColor="background1"/>
                <w:sz w:val="20"/>
                <w:szCs w:val="20"/>
              </w:rPr>
              <w:t>OPSESG</w:t>
            </w:r>
            <w:r w:rsidR="00F71FE2" w:rsidRPr="005B6074">
              <w:rPr>
                <w:rFonts w:ascii="Verdana" w:hAnsi="Verdana"/>
                <w:b/>
                <w:color w:val="FFFFFF" w:themeColor="background1"/>
                <w:sz w:val="20"/>
                <w:szCs w:val="20"/>
              </w:rPr>
              <w:t xml:space="preserve"> section </w:t>
            </w:r>
          </w:p>
        </w:tc>
        <w:tc>
          <w:tcPr>
            <w:tcW w:w="3968" w:type="dxa"/>
            <w:shd w:val="clear" w:color="auto" w:fill="548DD4" w:themeFill="text2" w:themeFillTint="99"/>
            <w:vAlign w:val="center"/>
          </w:tcPr>
          <w:p w:rsidR="00F71FE2" w:rsidRPr="005B6074" w:rsidRDefault="00F71FE2" w:rsidP="005B6074">
            <w:pPr>
              <w:jc w:val="center"/>
              <w:rPr>
                <w:rFonts w:ascii="Verdana" w:hAnsi="Verdana"/>
                <w:b/>
                <w:color w:val="FFFFFF" w:themeColor="background1"/>
                <w:sz w:val="20"/>
                <w:szCs w:val="20"/>
              </w:rPr>
            </w:pPr>
            <w:r w:rsidRPr="005B6074">
              <w:rPr>
                <w:rFonts w:ascii="Verdana" w:hAnsi="Verdana"/>
                <w:b/>
                <w:color w:val="FFFFFF" w:themeColor="background1"/>
                <w:sz w:val="20"/>
                <w:szCs w:val="20"/>
              </w:rPr>
              <w:t xml:space="preserve">Conclusion </w:t>
            </w:r>
          </w:p>
        </w:tc>
        <w:tc>
          <w:tcPr>
            <w:tcW w:w="3420" w:type="dxa"/>
            <w:shd w:val="clear" w:color="auto" w:fill="548DD4" w:themeFill="text2" w:themeFillTint="99"/>
            <w:vAlign w:val="center"/>
          </w:tcPr>
          <w:p w:rsidR="00F71FE2" w:rsidRPr="005B6074" w:rsidRDefault="00F71FE2" w:rsidP="005B6074">
            <w:pPr>
              <w:jc w:val="center"/>
              <w:rPr>
                <w:rFonts w:ascii="Verdana" w:hAnsi="Verdana"/>
                <w:b/>
                <w:color w:val="FFFFFF" w:themeColor="background1"/>
                <w:sz w:val="20"/>
                <w:szCs w:val="20"/>
              </w:rPr>
            </w:pPr>
            <w:r w:rsidRPr="005B6074">
              <w:rPr>
                <w:rFonts w:ascii="Verdana" w:hAnsi="Verdana"/>
                <w:b/>
                <w:color w:val="FFFFFF" w:themeColor="background1"/>
                <w:sz w:val="20"/>
                <w:szCs w:val="20"/>
              </w:rPr>
              <w:t>Recommendation</w:t>
            </w:r>
          </w:p>
        </w:tc>
      </w:tr>
      <w:tr w:rsidR="00F71FE2" w:rsidRPr="005B6074" w:rsidTr="005B6074">
        <w:trPr>
          <w:trHeight w:val="574"/>
        </w:trPr>
        <w:tc>
          <w:tcPr>
            <w:tcW w:w="1820" w:type="dxa"/>
          </w:tcPr>
          <w:p w:rsidR="00F71FE2" w:rsidRPr="005B6074" w:rsidRDefault="00F71FE2" w:rsidP="005B6074">
            <w:pPr>
              <w:rPr>
                <w:rFonts w:ascii="Verdana" w:hAnsi="Verdana"/>
                <w:sz w:val="20"/>
                <w:szCs w:val="20"/>
              </w:rPr>
            </w:pPr>
            <w:r w:rsidRPr="005B6074">
              <w:rPr>
                <w:rFonts w:ascii="Verdana" w:hAnsi="Verdana"/>
                <w:sz w:val="20"/>
                <w:szCs w:val="20"/>
              </w:rPr>
              <w:t>Financial plan</w:t>
            </w:r>
          </w:p>
        </w:tc>
        <w:tc>
          <w:tcPr>
            <w:tcW w:w="3968" w:type="dxa"/>
          </w:tcPr>
          <w:p w:rsidR="00F71FE2" w:rsidRPr="005B6074" w:rsidRDefault="00F71FE2" w:rsidP="00DB6F26">
            <w:pPr>
              <w:widowControl w:val="0"/>
              <w:tabs>
                <w:tab w:val="left" w:pos="0"/>
                <w:tab w:val="right" w:pos="9214"/>
              </w:tabs>
              <w:spacing w:after="120"/>
              <w:jc w:val="both"/>
              <w:rPr>
                <w:rFonts w:ascii="Verdana" w:hAnsi="Verdana"/>
                <w:bCs/>
                <w:color w:val="000000"/>
                <w:sz w:val="20"/>
                <w:szCs w:val="20"/>
              </w:rPr>
            </w:pPr>
            <w:r w:rsidRPr="005B6074">
              <w:rPr>
                <w:rFonts w:ascii="Verdana" w:hAnsi="Verdana"/>
                <w:bCs/>
                <w:color w:val="000000"/>
                <w:sz w:val="20"/>
                <w:szCs w:val="20"/>
              </w:rPr>
              <w:t xml:space="preserve">This version of </w:t>
            </w:r>
            <w:r w:rsidR="005B35A7">
              <w:rPr>
                <w:rFonts w:ascii="Verdana" w:eastAsia="Malgun Gothic" w:hAnsi="Verdana"/>
                <w:bCs/>
                <w:color w:val="000000"/>
                <w:sz w:val="20"/>
                <w:szCs w:val="20"/>
                <w:lang w:eastAsia="ko-KR"/>
              </w:rPr>
              <w:t>OPSESG</w:t>
            </w:r>
            <w:r w:rsidRPr="005B6074">
              <w:rPr>
                <w:rFonts w:ascii="Verdana" w:eastAsia="Malgun Gothic" w:hAnsi="Verdana"/>
                <w:bCs/>
                <w:color w:val="000000"/>
                <w:sz w:val="20"/>
                <w:szCs w:val="20"/>
                <w:lang w:eastAsia="ko-KR"/>
              </w:rPr>
              <w:t xml:space="preserve"> does not provide information about the programme budget allocation by years. In the opinion of the evaluator </w:t>
            </w:r>
            <w:r w:rsidRPr="005B6074">
              <w:rPr>
                <w:rFonts w:ascii="Verdana" w:eastAsia="Malgun Gothic" w:hAnsi="Verdana"/>
                <w:bCs/>
                <w:color w:val="000000"/>
                <w:sz w:val="20"/>
                <w:szCs w:val="20"/>
                <w:lang w:eastAsia="ko-KR"/>
              </w:rPr>
              <w:lastRenderedPageBreak/>
              <w:t>the allocation envisaged in the PA suggests relatively fast contracting and payment in the beginning of the programming period, and according to our evaluation creates the risk of automatic loss of funds in 201</w:t>
            </w:r>
            <w:r w:rsidR="00DB6F26">
              <w:rPr>
                <w:rFonts w:ascii="Verdana" w:eastAsia="Malgun Gothic" w:hAnsi="Verdana"/>
                <w:bCs/>
                <w:color w:val="000000"/>
                <w:sz w:val="20"/>
                <w:szCs w:val="20"/>
                <w:lang w:eastAsia="ko-KR"/>
              </w:rPr>
              <w:t>8-2019</w:t>
            </w:r>
            <w:r w:rsidRPr="005B6074">
              <w:rPr>
                <w:rFonts w:ascii="Verdana" w:eastAsia="Malgun Gothic" w:hAnsi="Verdana"/>
                <w:bCs/>
                <w:color w:val="000000"/>
                <w:sz w:val="20"/>
                <w:szCs w:val="20"/>
                <w:lang w:eastAsia="ko-KR"/>
              </w:rPr>
              <w:t>.</w:t>
            </w:r>
          </w:p>
        </w:tc>
        <w:tc>
          <w:tcPr>
            <w:tcW w:w="3420" w:type="dxa"/>
          </w:tcPr>
          <w:p w:rsidR="00F71FE2" w:rsidRPr="005B6074" w:rsidRDefault="00F71FE2" w:rsidP="005B6074">
            <w:pPr>
              <w:rPr>
                <w:rFonts w:ascii="Verdana" w:hAnsi="Verdana"/>
                <w:sz w:val="20"/>
                <w:szCs w:val="20"/>
              </w:rPr>
            </w:pPr>
            <w:r w:rsidRPr="005B6074">
              <w:rPr>
                <w:rFonts w:ascii="Verdana" w:hAnsi="Verdana"/>
                <w:sz w:val="20"/>
                <w:szCs w:val="20"/>
              </w:rPr>
              <w:lastRenderedPageBreak/>
              <w:t xml:space="preserve">Plan a more conservative allocation of the budget by years, which would minimize the risk of automatic loss of </w:t>
            </w:r>
            <w:r w:rsidRPr="005B6074">
              <w:rPr>
                <w:rFonts w:ascii="Verdana" w:hAnsi="Verdana"/>
                <w:sz w:val="20"/>
                <w:szCs w:val="20"/>
              </w:rPr>
              <w:lastRenderedPageBreak/>
              <w:t>funds in the next programming period.</w:t>
            </w:r>
          </w:p>
        </w:tc>
      </w:tr>
      <w:tr w:rsidR="00F71FE2" w:rsidRPr="005B6074" w:rsidTr="005B6074">
        <w:trPr>
          <w:trHeight w:val="574"/>
        </w:trPr>
        <w:tc>
          <w:tcPr>
            <w:tcW w:w="1820" w:type="dxa"/>
          </w:tcPr>
          <w:p w:rsidR="00F71FE2" w:rsidRPr="005B6074" w:rsidRDefault="00F71FE2" w:rsidP="005B6074">
            <w:pPr>
              <w:rPr>
                <w:rFonts w:ascii="Verdana" w:hAnsi="Verdana"/>
                <w:sz w:val="20"/>
                <w:szCs w:val="20"/>
              </w:rPr>
            </w:pPr>
            <w:r w:rsidRPr="005B6074">
              <w:rPr>
                <w:rFonts w:ascii="Verdana" w:hAnsi="Verdana"/>
                <w:sz w:val="20"/>
                <w:szCs w:val="20"/>
              </w:rPr>
              <w:lastRenderedPageBreak/>
              <w:t>Financial plan</w:t>
            </w:r>
          </w:p>
        </w:tc>
        <w:tc>
          <w:tcPr>
            <w:tcW w:w="3968" w:type="dxa"/>
          </w:tcPr>
          <w:p w:rsidR="00F71FE2" w:rsidRPr="005B6074" w:rsidRDefault="00F71FE2" w:rsidP="005B6074">
            <w:pPr>
              <w:widowControl w:val="0"/>
              <w:tabs>
                <w:tab w:val="left" w:pos="0"/>
                <w:tab w:val="right" w:pos="9214"/>
              </w:tabs>
              <w:spacing w:after="120"/>
              <w:jc w:val="both"/>
              <w:rPr>
                <w:rFonts w:ascii="Verdana" w:hAnsi="Verdana"/>
                <w:bCs/>
                <w:color w:val="000000"/>
                <w:sz w:val="20"/>
                <w:szCs w:val="20"/>
              </w:rPr>
            </w:pPr>
            <w:r w:rsidRPr="005B6074">
              <w:rPr>
                <w:rFonts w:ascii="Verdana" w:hAnsi="Verdana"/>
                <w:bCs/>
                <w:color w:val="000000"/>
                <w:sz w:val="20"/>
                <w:szCs w:val="20"/>
              </w:rPr>
              <w:t xml:space="preserve">The allocation of </w:t>
            </w:r>
            <w:r w:rsidR="005B35A7">
              <w:rPr>
                <w:rFonts w:ascii="Verdana" w:eastAsia="Malgun Gothic" w:hAnsi="Verdana"/>
                <w:bCs/>
                <w:color w:val="000000"/>
                <w:sz w:val="20"/>
                <w:szCs w:val="20"/>
                <w:lang w:eastAsia="ko-KR"/>
              </w:rPr>
              <w:t>OPSESG</w:t>
            </w:r>
            <w:r w:rsidRPr="005B6074">
              <w:rPr>
                <w:rFonts w:ascii="Verdana" w:eastAsia="Malgun Gothic" w:hAnsi="Verdana"/>
                <w:bCs/>
                <w:color w:val="000000"/>
                <w:sz w:val="20"/>
                <w:szCs w:val="20"/>
                <w:lang w:eastAsia="ko-KR"/>
              </w:rPr>
              <w:t xml:space="preserve"> budget by years does not correspond to the financing under the programme, envisaged in the Partnership Agreement.</w:t>
            </w:r>
          </w:p>
        </w:tc>
        <w:tc>
          <w:tcPr>
            <w:tcW w:w="3420" w:type="dxa"/>
          </w:tcPr>
          <w:p w:rsidR="00F71FE2" w:rsidRPr="005B6074" w:rsidRDefault="00F71FE2" w:rsidP="005B6074">
            <w:pPr>
              <w:rPr>
                <w:rFonts w:ascii="Verdana" w:hAnsi="Verdana"/>
                <w:sz w:val="20"/>
                <w:szCs w:val="20"/>
              </w:rPr>
            </w:pPr>
            <w:r w:rsidRPr="005B6074">
              <w:rPr>
                <w:rFonts w:ascii="Verdana" w:hAnsi="Verdana"/>
                <w:sz w:val="20"/>
                <w:szCs w:val="20"/>
              </w:rPr>
              <w:t xml:space="preserve">Make the amounts in </w:t>
            </w:r>
            <w:r w:rsidR="005B35A7">
              <w:rPr>
                <w:rFonts w:ascii="Verdana" w:eastAsia="Malgun Gothic" w:hAnsi="Verdana"/>
                <w:bCs/>
                <w:color w:val="000000"/>
                <w:sz w:val="20"/>
                <w:szCs w:val="20"/>
                <w:lang w:eastAsia="ko-KR"/>
              </w:rPr>
              <w:t>OPSESG</w:t>
            </w:r>
            <w:r w:rsidRPr="005B6074">
              <w:rPr>
                <w:rFonts w:ascii="Verdana" w:eastAsia="Malgun Gothic" w:hAnsi="Verdana"/>
                <w:bCs/>
                <w:color w:val="000000"/>
                <w:sz w:val="20"/>
                <w:szCs w:val="20"/>
                <w:lang w:eastAsia="ko-KR"/>
              </w:rPr>
              <w:t xml:space="preserve"> and in the Partnership Agreement equal.</w:t>
            </w:r>
          </w:p>
        </w:tc>
      </w:tr>
      <w:tr w:rsidR="00F71FE2" w:rsidRPr="005B6074" w:rsidTr="005B6074">
        <w:trPr>
          <w:trHeight w:val="574"/>
        </w:trPr>
        <w:tc>
          <w:tcPr>
            <w:tcW w:w="1820" w:type="dxa"/>
          </w:tcPr>
          <w:p w:rsidR="00F71FE2" w:rsidRPr="005B6074" w:rsidRDefault="00F71FE2" w:rsidP="005B6074">
            <w:pPr>
              <w:rPr>
                <w:rFonts w:ascii="Verdana" w:hAnsi="Verdana"/>
                <w:sz w:val="20"/>
                <w:szCs w:val="20"/>
              </w:rPr>
            </w:pPr>
            <w:r w:rsidRPr="005B6074">
              <w:rPr>
                <w:rFonts w:ascii="Verdana" w:hAnsi="Verdana"/>
                <w:sz w:val="20"/>
                <w:szCs w:val="20"/>
              </w:rPr>
              <w:t>Financial justification</w:t>
            </w:r>
          </w:p>
        </w:tc>
        <w:tc>
          <w:tcPr>
            <w:tcW w:w="3968" w:type="dxa"/>
          </w:tcPr>
          <w:p w:rsidR="00F71FE2" w:rsidRPr="005B6074" w:rsidRDefault="00F71FE2" w:rsidP="005B6074">
            <w:pPr>
              <w:widowControl w:val="0"/>
              <w:tabs>
                <w:tab w:val="left" w:pos="0"/>
                <w:tab w:val="right" w:pos="9214"/>
              </w:tabs>
              <w:spacing w:after="120"/>
              <w:jc w:val="both"/>
              <w:rPr>
                <w:rFonts w:ascii="Verdana" w:hAnsi="Verdana"/>
                <w:bCs/>
                <w:color w:val="000000"/>
                <w:sz w:val="20"/>
                <w:szCs w:val="20"/>
              </w:rPr>
            </w:pPr>
            <w:r w:rsidRPr="005B6074">
              <w:rPr>
                <w:rFonts w:ascii="Verdana" w:hAnsi="Verdana"/>
                <w:bCs/>
                <w:color w:val="000000"/>
                <w:sz w:val="20"/>
                <w:szCs w:val="20"/>
              </w:rPr>
              <w:t xml:space="preserve">This version of </w:t>
            </w:r>
            <w:r w:rsidR="005B35A7">
              <w:rPr>
                <w:rFonts w:ascii="Verdana" w:eastAsia="Malgun Gothic" w:hAnsi="Verdana"/>
                <w:bCs/>
                <w:color w:val="000000"/>
                <w:sz w:val="20"/>
                <w:szCs w:val="20"/>
                <w:lang w:eastAsia="ko-KR"/>
              </w:rPr>
              <w:t>OPSESG</w:t>
            </w:r>
            <w:r w:rsidRPr="005B6074">
              <w:rPr>
                <w:rFonts w:ascii="Verdana" w:eastAsia="Malgun Gothic" w:hAnsi="Verdana"/>
                <w:bCs/>
                <w:color w:val="000000"/>
                <w:sz w:val="20"/>
                <w:szCs w:val="20"/>
                <w:lang w:eastAsia="ko-KR"/>
              </w:rPr>
              <w:t xml:space="preserve"> does not provide financial justification, and that makes it impossible to evaluate how the thematic concentration requirements of ESF are met.</w:t>
            </w:r>
          </w:p>
        </w:tc>
        <w:tc>
          <w:tcPr>
            <w:tcW w:w="3420" w:type="dxa"/>
          </w:tcPr>
          <w:p w:rsidR="00F71FE2" w:rsidRPr="005B6074" w:rsidRDefault="00F71FE2" w:rsidP="005B6074">
            <w:pPr>
              <w:rPr>
                <w:rFonts w:ascii="Verdana" w:hAnsi="Verdana"/>
                <w:sz w:val="20"/>
                <w:szCs w:val="20"/>
              </w:rPr>
            </w:pPr>
            <w:r w:rsidRPr="005B6074">
              <w:rPr>
                <w:rFonts w:ascii="Verdana" w:hAnsi="Verdana"/>
                <w:sz w:val="20"/>
                <w:szCs w:val="20"/>
              </w:rPr>
              <w:t xml:space="preserve">Add information on the observing </w:t>
            </w:r>
            <w:proofErr w:type="gramStart"/>
            <w:r w:rsidRPr="005B6074">
              <w:rPr>
                <w:rFonts w:ascii="Verdana" w:hAnsi="Verdana"/>
                <w:sz w:val="20"/>
                <w:szCs w:val="20"/>
              </w:rPr>
              <w:t>of  the</w:t>
            </w:r>
            <w:proofErr w:type="gramEnd"/>
            <w:r w:rsidRPr="005B6074">
              <w:rPr>
                <w:rFonts w:ascii="Verdana" w:hAnsi="Verdana"/>
                <w:sz w:val="20"/>
                <w:szCs w:val="20"/>
              </w:rPr>
              <w:t xml:space="preserve"> requirement for concentration of minimum 60 % of the programme budget in maximum 5 investment priorities. </w:t>
            </w:r>
          </w:p>
        </w:tc>
      </w:tr>
      <w:tr w:rsidR="00F71FE2" w:rsidRPr="005B6074" w:rsidTr="005B6074">
        <w:trPr>
          <w:trHeight w:val="574"/>
        </w:trPr>
        <w:tc>
          <w:tcPr>
            <w:tcW w:w="1820" w:type="dxa"/>
          </w:tcPr>
          <w:p w:rsidR="00F71FE2" w:rsidRPr="005B6074" w:rsidRDefault="00F71FE2" w:rsidP="005B6074">
            <w:pPr>
              <w:rPr>
                <w:rFonts w:ascii="Verdana" w:hAnsi="Verdana"/>
                <w:sz w:val="20"/>
                <w:szCs w:val="20"/>
              </w:rPr>
            </w:pPr>
            <w:r w:rsidRPr="005B6074">
              <w:rPr>
                <w:rFonts w:ascii="Verdana" w:hAnsi="Verdana"/>
                <w:sz w:val="20"/>
                <w:szCs w:val="20"/>
              </w:rPr>
              <w:t>Investment strategy</w:t>
            </w:r>
          </w:p>
        </w:tc>
        <w:tc>
          <w:tcPr>
            <w:tcW w:w="3968" w:type="dxa"/>
          </w:tcPr>
          <w:p w:rsidR="00F71FE2" w:rsidRPr="005B6074" w:rsidRDefault="00F71FE2" w:rsidP="005B6074">
            <w:pPr>
              <w:widowControl w:val="0"/>
              <w:tabs>
                <w:tab w:val="left" w:pos="0"/>
                <w:tab w:val="right" w:pos="9214"/>
              </w:tabs>
              <w:spacing w:after="120"/>
              <w:jc w:val="both"/>
              <w:rPr>
                <w:rFonts w:ascii="Verdana" w:hAnsi="Verdana"/>
                <w:bCs/>
                <w:color w:val="000000"/>
                <w:sz w:val="20"/>
                <w:szCs w:val="20"/>
              </w:rPr>
            </w:pPr>
            <w:r w:rsidRPr="005B6074">
              <w:rPr>
                <w:rFonts w:ascii="Verdana" w:hAnsi="Verdana"/>
                <w:bCs/>
                <w:color w:val="000000"/>
                <w:sz w:val="20"/>
                <w:szCs w:val="20"/>
              </w:rPr>
              <w:t xml:space="preserve">The ESF regulation provides a possibility for increasing of EU financing by 10 percentage points for trans-border cooperation when the activities are separated under a particular priority axis. </w:t>
            </w:r>
          </w:p>
        </w:tc>
        <w:tc>
          <w:tcPr>
            <w:tcW w:w="3420" w:type="dxa"/>
          </w:tcPr>
          <w:p w:rsidR="00F71FE2" w:rsidRPr="005B6074" w:rsidRDefault="00F71FE2" w:rsidP="005B6074">
            <w:pPr>
              <w:rPr>
                <w:rFonts w:ascii="Verdana" w:hAnsi="Verdana"/>
                <w:sz w:val="20"/>
                <w:szCs w:val="20"/>
              </w:rPr>
            </w:pPr>
            <w:r w:rsidRPr="005B6074">
              <w:rPr>
                <w:rFonts w:ascii="Verdana" w:hAnsi="Verdana"/>
                <w:sz w:val="20"/>
                <w:szCs w:val="20"/>
              </w:rPr>
              <w:t>Provided there is interest and there are sufficient funds allocated for those activities, MA should consider the possibility of separating in a particular axis the ESF activities referring to trans-border cooperation.</w:t>
            </w:r>
          </w:p>
        </w:tc>
      </w:tr>
    </w:tbl>
    <w:p w:rsidR="00F71FE2" w:rsidRPr="005B6074" w:rsidRDefault="00F71FE2" w:rsidP="00F71FE2">
      <w:pPr>
        <w:widowControl w:val="0"/>
        <w:tabs>
          <w:tab w:val="left" w:pos="0"/>
          <w:tab w:val="right" w:pos="9214"/>
        </w:tabs>
        <w:spacing w:after="0"/>
        <w:jc w:val="both"/>
        <w:rPr>
          <w:rFonts w:ascii="Verdana" w:eastAsia="Times New Roman" w:hAnsi="Verdana"/>
          <w:bCs/>
          <w:color w:val="000000"/>
          <w:sz w:val="20"/>
          <w:szCs w:val="20"/>
          <w:lang w:eastAsia="bg-BG"/>
        </w:rPr>
      </w:pPr>
    </w:p>
    <w:p w:rsidR="00CF3EE2" w:rsidRPr="005B6074" w:rsidRDefault="00A35E98" w:rsidP="00CF3EE2">
      <w:pPr>
        <w:keepNext/>
        <w:spacing w:before="240" w:after="120"/>
        <w:jc w:val="both"/>
        <w:rPr>
          <w:rFonts w:ascii="Verdana" w:hAnsi="Verdana"/>
          <w:color w:val="548DD4" w:themeColor="text2" w:themeTint="99"/>
          <w:sz w:val="20"/>
          <w:szCs w:val="20"/>
        </w:rPr>
      </w:pPr>
      <w:r w:rsidRPr="005B6074">
        <w:rPr>
          <w:rFonts w:ascii="Verdana" w:hAnsi="Verdana"/>
          <w:color w:val="548DD4" w:themeColor="text2" w:themeTint="99"/>
          <w:sz w:val="20"/>
          <w:szCs w:val="20"/>
        </w:rPr>
        <w:t>As regards indicators</w:t>
      </w:r>
    </w:p>
    <w:tbl>
      <w:tblPr>
        <w:tblStyle w:val="TableGrid"/>
        <w:tblW w:w="9208" w:type="dxa"/>
        <w:tblInd w:w="-10"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1436"/>
        <w:gridCol w:w="3958"/>
        <w:gridCol w:w="3814"/>
      </w:tblGrid>
      <w:tr w:rsidR="001C0323" w:rsidRPr="005B6074" w:rsidTr="005B6074">
        <w:tc>
          <w:tcPr>
            <w:tcW w:w="1436" w:type="dxa"/>
            <w:shd w:val="clear" w:color="auto" w:fill="548DD4" w:themeFill="text2" w:themeFillTint="99"/>
            <w:vAlign w:val="center"/>
          </w:tcPr>
          <w:p w:rsidR="001C0323" w:rsidRPr="005B6074" w:rsidRDefault="005B35A7" w:rsidP="005B6074">
            <w:pPr>
              <w:jc w:val="center"/>
              <w:rPr>
                <w:rFonts w:ascii="Verdana" w:hAnsi="Verdana"/>
                <w:b/>
                <w:color w:val="FFFFFF" w:themeColor="background1"/>
                <w:sz w:val="20"/>
                <w:szCs w:val="20"/>
              </w:rPr>
            </w:pPr>
            <w:r>
              <w:rPr>
                <w:rFonts w:ascii="Verdana" w:hAnsi="Verdana"/>
                <w:b/>
                <w:color w:val="FFFFFF" w:themeColor="background1"/>
                <w:sz w:val="20"/>
                <w:szCs w:val="20"/>
              </w:rPr>
              <w:t>OPSESG</w:t>
            </w:r>
            <w:r w:rsidR="001C0323" w:rsidRPr="005B6074">
              <w:rPr>
                <w:rFonts w:ascii="Verdana" w:hAnsi="Verdana"/>
                <w:b/>
                <w:color w:val="FFFFFF" w:themeColor="background1"/>
                <w:sz w:val="20"/>
                <w:szCs w:val="20"/>
              </w:rPr>
              <w:t xml:space="preserve"> section </w:t>
            </w:r>
          </w:p>
        </w:tc>
        <w:tc>
          <w:tcPr>
            <w:tcW w:w="3958" w:type="dxa"/>
            <w:shd w:val="clear" w:color="auto" w:fill="548DD4" w:themeFill="text2" w:themeFillTint="99"/>
            <w:vAlign w:val="center"/>
          </w:tcPr>
          <w:p w:rsidR="001C0323" w:rsidRPr="005B6074" w:rsidRDefault="001C0323" w:rsidP="005B6074">
            <w:pPr>
              <w:jc w:val="center"/>
              <w:rPr>
                <w:rFonts w:ascii="Verdana" w:hAnsi="Verdana"/>
                <w:b/>
                <w:color w:val="FFFFFF" w:themeColor="background1"/>
                <w:sz w:val="20"/>
                <w:szCs w:val="20"/>
              </w:rPr>
            </w:pPr>
            <w:r w:rsidRPr="005B6074">
              <w:rPr>
                <w:rFonts w:ascii="Verdana" w:hAnsi="Verdana"/>
                <w:b/>
                <w:color w:val="FFFFFF" w:themeColor="background1"/>
                <w:sz w:val="20"/>
                <w:szCs w:val="20"/>
              </w:rPr>
              <w:t xml:space="preserve">Conclusion </w:t>
            </w:r>
          </w:p>
        </w:tc>
        <w:tc>
          <w:tcPr>
            <w:tcW w:w="3814" w:type="dxa"/>
            <w:shd w:val="clear" w:color="auto" w:fill="548DD4" w:themeFill="text2" w:themeFillTint="99"/>
            <w:vAlign w:val="center"/>
          </w:tcPr>
          <w:p w:rsidR="001C0323" w:rsidRPr="005B6074" w:rsidRDefault="001C0323" w:rsidP="005B6074">
            <w:pPr>
              <w:jc w:val="center"/>
              <w:rPr>
                <w:rFonts w:ascii="Verdana" w:hAnsi="Verdana"/>
                <w:b/>
                <w:color w:val="FFFFFF" w:themeColor="background1"/>
                <w:sz w:val="20"/>
                <w:szCs w:val="20"/>
              </w:rPr>
            </w:pPr>
            <w:r w:rsidRPr="005B6074">
              <w:rPr>
                <w:rFonts w:ascii="Verdana" w:hAnsi="Verdana"/>
                <w:b/>
                <w:color w:val="FFFFFF" w:themeColor="background1"/>
                <w:sz w:val="20"/>
                <w:szCs w:val="20"/>
              </w:rPr>
              <w:t>Recommendation</w:t>
            </w:r>
          </w:p>
        </w:tc>
      </w:tr>
      <w:tr w:rsidR="001C0323" w:rsidRPr="005B6074" w:rsidTr="005B6074">
        <w:trPr>
          <w:trHeight w:val="574"/>
        </w:trPr>
        <w:tc>
          <w:tcPr>
            <w:tcW w:w="1436" w:type="dxa"/>
          </w:tcPr>
          <w:p w:rsidR="001C0323" w:rsidRPr="005B6074" w:rsidRDefault="001C0323" w:rsidP="005B6074">
            <w:pPr>
              <w:rPr>
                <w:rFonts w:ascii="Verdana" w:hAnsi="Verdana"/>
                <w:sz w:val="20"/>
                <w:szCs w:val="20"/>
              </w:rPr>
            </w:pPr>
            <w:r w:rsidRPr="005B6074">
              <w:rPr>
                <w:rFonts w:ascii="Verdana" w:hAnsi="Verdana"/>
                <w:sz w:val="20"/>
                <w:szCs w:val="20"/>
              </w:rPr>
              <w:t xml:space="preserve">The system of indicators under PA1, IP 2 </w:t>
            </w:r>
          </w:p>
        </w:tc>
        <w:tc>
          <w:tcPr>
            <w:tcW w:w="3958" w:type="dxa"/>
          </w:tcPr>
          <w:p w:rsidR="001C0323" w:rsidRPr="005B6074" w:rsidRDefault="001C0323" w:rsidP="005B6074">
            <w:pPr>
              <w:rPr>
                <w:rFonts w:ascii="Verdana" w:hAnsi="Verdana"/>
                <w:sz w:val="20"/>
                <w:szCs w:val="20"/>
              </w:rPr>
            </w:pPr>
            <w:r w:rsidRPr="005B6074">
              <w:rPr>
                <w:rFonts w:ascii="Verdana" w:hAnsi="Verdana"/>
                <w:sz w:val="20"/>
                <w:szCs w:val="20"/>
              </w:rPr>
              <w:t>Two of the output indicators are unclear and one is more relevant to the IP 1.</w:t>
            </w:r>
          </w:p>
          <w:p w:rsidR="001C0323" w:rsidRPr="005B6074" w:rsidRDefault="001C0323" w:rsidP="005B6074">
            <w:pPr>
              <w:widowControl w:val="0"/>
              <w:tabs>
                <w:tab w:val="left" w:pos="0"/>
                <w:tab w:val="right" w:pos="9214"/>
              </w:tabs>
              <w:spacing w:after="120"/>
              <w:jc w:val="both"/>
              <w:rPr>
                <w:rFonts w:ascii="Verdana" w:hAnsi="Verdana"/>
                <w:sz w:val="20"/>
                <w:szCs w:val="20"/>
              </w:rPr>
            </w:pPr>
            <w:r w:rsidRPr="005B6074">
              <w:rPr>
                <w:rFonts w:ascii="Verdana" w:hAnsi="Verdana"/>
                <w:sz w:val="20"/>
                <w:szCs w:val="20"/>
              </w:rPr>
              <w:t xml:space="preserve">For result indicators have been proposed for one specific objective, which does not correspond to the guidance for limiting the result indicators to 1-2 per specific objective. </w:t>
            </w:r>
          </w:p>
        </w:tc>
        <w:tc>
          <w:tcPr>
            <w:tcW w:w="3814" w:type="dxa"/>
          </w:tcPr>
          <w:p w:rsidR="001C0323" w:rsidRPr="005B6074" w:rsidRDefault="001C0323" w:rsidP="005B6074">
            <w:pPr>
              <w:rPr>
                <w:rFonts w:ascii="Verdana" w:hAnsi="Verdana"/>
                <w:sz w:val="20"/>
                <w:szCs w:val="20"/>
              </w:rPr>
            </w:pPr>
            <w:r w:rsidRPr="005B6074">
              <w:rPr>
                <w:rFonts w:ascii="Verdana" w:hAnsi="Verdana"/>
                <w:sz w:val="20"/>
                <w:szCs w:val="20"/>
              </w:rPr>
              <w:t xml:space="preserve">To revise the output and result indicators according to the comments in tables 36 and 37 of this report. </w:t>
            </w:r>
          </w:p>
        </w:tc>
      </w:tr>
      <w:tr w:rsidR="001C0323" w:rsidRPr="005B6074" w:rsidTr="005B6074">
        <w:trPr>
          <w:trHeight w:val="574"/>
        </w:trPr>
        <w:tc>
          <w:tcPr>
            <w:tcW w:w="1436" w:type="dxa"/>
          </w:tcPr>
          <w:p w:rsidR="001C0323" w:rsidRPr="005B6074" w:rsidRDefault="001C0323" w:rsidP="005B6074">
            <w:pPr>
              <w:rPr>
                <w:rFonts w:ascii="Verdana" w:hAnsi="Verdana"/>
                <w:sz w:val="20"/>
                <w:szCs w:val="20"/>
              </w:rPr>
            </w:pPr>
            <w:r w:rsidRPr="005B6074">
              <w:rPr>
                <w:rFonts w:ascii="Verdana" w:hAnsi="Verdana"/>
                <w:sz w:val="20"/>
                <w:szCs w:val="20"/>
              </w:rPr>
              <w:lastRenderedPageBreak/>
              <w:t xml:space="preserve">The system of indicators under  PA2, IP 1 and IP2 </w:t>
            </w:r>
          </w:p>
        </w:tc>
        <w:tc>
          <w:tcPr>
            <w:tcW w:w="3958" w:type="dxa"/>
          </w:tcPr>
          <w:p w:rsidR="001C0323" w:rsidRPr="005B6074" w:rsidRDefault="001C0323" w:rsidP="005B6074">
            <w:pPr>
              <w:rPr>
                <w:rFonts w:ascii="Verdana" w:hAnsi="Verdana"/>
                <w:sz w:val="20"/>
                <w:szCs w:val="20"/>
              </w:rPr>
            </w:pPr>
            <w:r w:rsidRPr="005B6074">
              <w:rPr>
                <w:rFonts w:ascii="Verdana" w:hAnsi="Verdana"/>
                <w:sz w:val="20"/>
                <w:szCs w:val="20"/>
              </w:rPr>
              <w:t>Some of the output indicators are more suitable to measure results achieved rather than the direct outputs of the implementation.</w:t>
            </w:r>
          </w:p>
          <w:p w:rsidR="001C0323" w:rsidRPr="005B6074" w:rsidRDefault="001C0323" w:rsidP="005B6074">
            <w:pPr>
              <w:widowControl w:val="0"/>
              <w:tabs>
                <w:tab w:val="left" w:pos="0"/>
                <w:tab w:val="right" w:pos="9214"/>
              </w:tabs>
              <w:spacing w:after="120"/>
              <w:jc w:val="both"/>
              <w:rPr>
                <w:rFonts w:ascii="Verdana" w:hAnsi="Verdana"/>
                <w:bCs/>
                <w:color w:val="000000"/>
                <w:sz w:val="20"/>
                <w:szCs w:val="20"/>
                <w:lang w:eastAsia="bg-BG"/>
              </w:rPr>
            </w:pPr>
            <w:r w:rsidRPr="005B6074">
              <w:rPr>
                <w:rFonts w:ascii="Verdana" w:hAnsi="Verdana"/>
                <w:sz w:val="20"/>
                <w:szCs w:val="20"/>
              </w:rPr>
              <w:t xml:space="preserve">The proposed result indicators are adequate. </w:t>
            </w:r>
          </w:p>
        </w:tc>
        <w:tc>
          <w:tcPr>
            <w:tcW w:w="3814" w:type="dxa"/>
          </w:tcPr>
          <w:p w:rsidR="001C0323" w:rsidRPr="005B6074" w:rsidRDefault="001C0323" w:rsidP="005B6074">
            <w:pPr>
              <w:rPr>
                <w:rFonts w:ascii="Verdana" w:hAnsi="Verdana"/>
                <w:sz w:val="20"/>
                <w:szCs w:val="20"/>
              </w:rPr>
            </w:pPr>
            <w:r w:rsidRPr="005B6074">
              <w:rPr>
                <w:rFonts w:ascii="Verdana" w:hAnsi="Verdana"/>
                <w:sz w:val="20"/>
                <w:szCs w:val="20"/>
              </w:rPr>
              <w:t xml:space="preserve">To revise the output indicators according to the comments in table 36. </w:t>
            </w:r>
          </w:p>
        </w:tc>
      </w:tr>
      <w:tr w:rsidR="001C0323" w:rsidRPr="005B6074" w:rsidTr="005B6074">
        <w:trPr>
          <w:trHeight w:val="574"/>
        </w:trPr>
        <w:tc>
          <w:tcPr>
            <w:tcW w:w="1436" w:type="dxa"/>
          </w:tcPr>
          <w:p w:rsidR="001C0323" w:rsidRPr="005B6074" w:rsidRDefault="001C0323" w:rsidP="005B6074">
            <w:pPr>
              <w:rPr>
                <w:rFonts w:ascii="Verdana" w:hAnsi="Verdana"/>
                <w:sz w:val="20"/>
                <w:szCs w:val="20"/>
              </w:rPr>
            </w:pPr>
            <w:r w:rsidRPr="005B6074">
              <w:rPr>
                <w:rFonts w:ascii="Verdana" w:hAnsi="Verdana"/>
                <w:sz w:val="20"/>
                <w:szCs w:val="20"/>
              </w:rPr>
              <w:t>The system of indicators under  PA2, IP3</w:t>
            </w:r>
          </w:p>
        </w:tc>
        <w:tc>
          <w:tcPr>
            <w:tcW w:w="3958" w:type="dxa"/>
          </w:tcPr>
          <w:p w:rsidR="001C0323" w:rsidRPr="005B6074" w:rsidRDefault="001C0323" w:rsidP="005B6074">
            <w:pPr>
              <w:rPr>
                <w:rFonts w:ascii="Verdana" w:hAnsi="Verdana"/>
                <w:sz w:val="20"/>
                <w:szCs w:val="20"/>
              </w:rPr>
            </w:pPr>
            <w:r w:rsidRPr="005B6074">
              <w:rPr>
                <w:rFonts w:ascii="Verdana" w:hAnsi="Verdana"/>
                <w:sz w:val="20"/>
                <w:szCs w:val="20"/>
              </w:rPr>
              <w:t xml:space="preserve">One of the output indicators is too general and does not measure only the support under the programme. The indicator could be excluded from the system as the following indicator could replace it and because there are too many indicators proposed under this IP. </w:t>
            </w:r>
          </w:p>
          <w:p w:rsidR="001C0323" w:rsidRPr="005B6074" w:rsidRDefault="001C0323" w:rsidP="005B6074">
            <w:pPr>
              <w:rPr>
                <w:rFonts w:ascii="Verdana" w:hAnsi="Verdana"/>
                <w:sz w:val="20"/>
                <w:szCs w:val="20"/>
              </w:rPr>
            </w:pPr>
            <w:r w:rsidRPr="005B6074">
              <w:rPr>
                <w:rFonts w:ascii="Verdana" w:hAnsi="Verdana"/>
                <w:sz w:val="20"/>
                <w:szCs w:val="20"/>
              </w:rPr>
              <w:t>One of the two proposed result indicators does not correspond to the specific objective.</w:t>
            </w:r>
          </w:p>
        </w:tc>
        <w:tc>
          <w:tcPr>
            <w:tcW w:w="3814" w:type="dxa"/>
          </w:tcPr>
          <w:p w:rsidR="001C0323" w:rsidRPr="005B6074" w:rsidRDefault="001C0323" w:rsidP="005B6074">
            <w:pPr>
              <w:spacing w:after="60"/>
              <w:rPr>
                <w:rFonts w:ascii="Verdana" w:hAnsi="Verdana"/>
                <w:sz w:val="20"/>
                <w:szCs w:val="20"/>
              </w:rPr>
            </w:pPr>
            <w:r w:rsidRPr="005B6074">
              <w:rPr>
                <w:rFonts w:ascii="Verdana" w:hAnsi="Verdana"/>
                <w:sz w:val="20"/>
                <w:szCs w:val="20"/>
              </w:rPr>
              <w:t xml:space="preserve">To exclude from the system of indicators one of the proposed output indicators as commented in table 36. </w:t>
            </w:r>
          </w:p>
          <w:p w:rsidR="001C0323" w:rsidRPr="005B6074" w:rsidRDefault="001C0323" w:rsidP="005B6074">
            <w:r w:rsidRPr="005B6074">
              <w:rPr>
                <w:rFonts w:ascii="Verdana" w:hAnsi="Verdana"/>
                <w:sz w:val="20"/>
                <w:szCs w:val="20"/>
              </w:rPr>
              <w:t xml:space="preserve">To consider defining another more relevant result indicator. </w:t>
            </w:r>
          </w:p>
        </w:tc>
      </w:tr>
      <w:tr w:rsidR="001C0323" w:rsidRPr="005B6074" w:rsidTr="005B6074">
        <w:trPr>
          <w:trHeight w:val="574"/>
        </w:trPr>
        <w:tc>
          <w:tcPr>
            <w:tcW w:w="1436" w:type="dxa"/>
          </w:tcPr>
          <w:p w:rsidR="001C0323" w:rsidRPr="005B6074" w:rsidRDefault="001C0323" w:rsidP="005B6074">
            <w:pPr>
              <w:rPr>
                <w:rFonts w:ascii="Verdana" w:hAnsi="Verdana"/>
                <w:sz w:val="20"/>
                <w:szCs w:val="20"/>
              </w:rPr>
            </w:pPr>
            <w:r w:rsidRPr="005B6074">
              <w:rPr>
                <w:rFonts w:ascii="Verdana" w:hAnsi="Verdana"/>
                <w:sz w:val="20"/>
                <w:szCs w:val="20"/>
              </w:rPr>
              <w:t>The system of indicators under  PA3, IP2</w:t>
            </w:r>
          </w:p>
        </w:tc>
        <w:tc>
          <w:tcPr>
            <w:tcW w:w="3958" w:type="dxa"/>
          </w:tcPr>
          <w:p w:rsidR="001C0323" w:rsidRPr="005B6074" w:rsidRDefault="001C0323" w:rsidP="005B6074">
            <w:pPr>
              <w:rPr>
                <w:rFonts w:ascii="Verdana" w:hAnsi="Verdana"/>
                <w:sz w:val="20"/>
                <w:szCs w:val="20"/>
              </w:rPr>
            </w:pPr>
            <w:r w:rsidRPr="005B6074">
              <w:rPr>
                <w:rFonts w:ascii="Verdana" w:hAnsi="Verdana"/>
                <w:sz w:val="20"/>
                <w:szCs w:val="20"/>
              </w:rPr>
              <w:t xml:space="preserve">There is no result indicator under IP2 of PA3 </w:t>
            </w:r>
          </w:p>
        </w:tc>
        <w:tc>
          <w:tcPr>
            <w:tcW w:w="3814" w:type="dxa"/>
          </w:tcPr>
          <w:p w:rsidR="001C0323" w:rsidRPr="005B6074" w:rsidRDefault="001C0323" w:rsidP="005B6074">
            <w:r w:rsidRPr="005B6074">
              <w:rPr>
                <w:rFonts w:ascii="Verdana" w:hAnsi="Verdana"/>
                <w:sz w:val="20"/>
                <w:szCs w:val="20"/>
              </w:rPr>
              <w:t xml:space="preserve">To define result indicator to measure the achievement under IP3 </w:t>
            </w:r>
          </w:p>
        </w:tc>
      </w:tr>
      <w:tr w:rsidR="001C0323" w:rsidRPr="005B6074" w:rsidTr="005B6074">
        <w:trPr>
          <w:trHeight w:val="574"/>
        </w:trPr>
        <w:tc>
          <w:tcPr>
            <w:tcW w:w="1436" w:type="dxa"/>
          </w:tcPr>
          <w:p w:rsidR="001C0323" w:rsidRPr="005B6074" w:rsidRDefault="001C0323" w:rsidP="005B6074">
            <w:pPr>
              <w:rPr>
                <w:rFonts w:ascii="Verdana" w:hAnsi="Verdana"/>
                <w:sz w:val="20"/>
                <w:szCs w:val="20"/>
              </w:rPr>
            </w:pPr>
            <w:r w:rsidRPr="005B6074">
              <w:rPr>
                <w:rFonts w:ascii="Verdana" w:hAnsi="Verdana"/>
                <w:sz w:val="20"/>
                <w:szCs w:val="20"/>
              </w:rPr>
              <w:t>Baseline and target values</w:t>
            </w:r>
          </w:p>
        </w:tc>
        <w:tc>
          <w:tcPr>
            <w:tcW w:w="3958" w:type="dxa"/>
          </w:tcPr>
          <w:p w:rsidR="001C0323" w:rsidRPr="005B6074" w:rsidRDefault="001C0323" w:rsidP="005B6074">
            <w:pPr>
              <w:rPr>
                <w:rFonts w:ascii="Verdana" w:hAnsi="Verdana"/>
                <w:sz w:val="20"/>
                <w:szCs w:val="20"/>
              </w:rPr>
            </w:pPr>
            <w:r w:rsidRPr="005B6074">
              <w:rPr>
                <w:rFonts w:ascii="Verdana" w:hAnsi="Verdana"/>
                <w:sz w:val="20"/>
                <w:szCs w:val="20"/>
              </w:rPr>
              <w:t xml:space="preserve">Not all result indicators have target values. Most of the values set seem realistic based on the available information. In tables 36 and 37 comments have been made for all of the indicator values. </w:t>
            </w:r>
          </w:p>
        </w:tc>
        <w:tc>
          <w:tcPr>
            <w:tcW w:w="3814" w:type="dxa"/>
          </w:tcPr>
          <w:p w:rsidR="001C0323" w:rsidRPr="005B6074" w:rsidRDefault="001C0323" w:rsidP="005B6074">
            <w:r w:rsidRPr="005B6074">
              <w:rPr>
                <w:rFonts w:ascii="Verdana" w:hAnsi="Verdana"/>
                <w:sz w:val="20"/>
                <w:szCs w:val="20"/>
              </w:rPr>
              <w:t>To set up baseline values for the result indicators. To revise/justify some of the proposed target values.</w:t>
            </w:r>
          </w:p>
        </w:tc>
      </w:tr>
    </w:tbl>
    <w:p w:rsidR="001C0323" w:rsidRPr="005B6074" w:rsidRDefault="001C0323" w:rsidP="001C0323">
      <w:pPr>
        <w:spacing w:after="120"/>
        <w:jc w:val="both"/>
        <w:rPr>
          <w:rFonts w:ascii="Verdana" w:hAnsi="Verdana"/>
          <w:sz w:val="20"/>
          <w:szCs w:val="20"/>
        </w:rPr>
      </w:pPr>
    </w:p>
    <w:p w:rsidR="00CF3EE2" w:rsidRPr="005B6074" w:rsidRDefault="00A35E98" w:rsidP="00CF3EE2">
      <w:pPr>
        <w:keepNext/>
        <w:spacing w:before="240" w:after="120"/>
        <w:jc w:val="both"/>
        <w:rPr>
          <w:rFonts w:ascii="Verdana" w:hAnsi="Verdana"/>
          <w:color w:val="548DD4" w:themeColor="text2" w:themeTint="99"/>
          <w:sz w:val="20"/>
          <w:szCs w:val="20"/>
        </w:rPr>
      </w:pPr>
      <w:proofErr w:type="gramStart"/>
      <w:r w:rsidRPr="005B6074">
        <w:rPr>
          <w:rFonts w:ascii="Verdana" w:hAnsi="Verdana"/>
          <w:color w:val="548DD4" w:themeColor="text2" w:themeTint="99"/>
          <w:sz w:val="20"/>
          <w:szCs w:val="20"/>
        </w:rPr>
        <w:t>As  regards</w:t>
      </w:r>
      <w:proofErr w:type="gramEnd"/>
      <w:r w:rsidRPr="005B6074">
        <w:rPr>
          <w:rFonts w:ascii="Verdana" w:hAnsi="Verdana"/>
          <w:color w:val="548DD4" w:themeColor="text2" w:themeTint="99"/>
          <w:sz w:val="20"/>
          <w:szCs w:val="20"/>
        </w:rPr>
        <w:t xml:space="preserve"> administrative capacity</w:t>
      </w:r>
    </w:p>
    <w:p w:rsidR="00CF3EE2" w:rsidRPr="005B6074" w:rsidRDefault="00A35E98" w:rsidP="00CF3EE2">
      <w:pPr>
        <w:spacing w:after="120"/>
        <w:jc w:val="both"/>
        <w:rPr>
          <w:rFonts w:ascii="Verdana" w:hAnsi="Verdana"/>
          <w:sz w:val="20"/>
          <w:szCs w:val="20"/>
        </w:rPr>
      </w:pPr>
      <w:r w:rsidRPr="005B6074">
        <w:rPr>
          <w:rFonts w:ascii="Verdana" w:hAnsi="Verdana"/>
          <w:sz w:val="20"/>
          <w:szCs w:val="20"/>
        </w:rPr>
        <w:t>The recommendations regarding administrative capacity do not refer to any texts of the programme but to the programme implementation and management in future.</w:t>
      </w:r>
    </w:p>
    <w:p w:rsidR="001C0323" w:rsidRPr="005B6074" w:rsidRDefault="001C0323" w:rsidP="001C0323">
      <w:pPr>
        <w:spacing w:after="120"/>
        <w:jc w:val="both"/>
        <w:rPr>
          <w:rFonts w:ascii="Verdana" w:hAnsi="Verdana"/>
          <w:sz w:val="20"/>
          <w:szCs w:val="20"/>
        </w:rPr>
      </w:pPr>
      <w:r w:rsidRPr="005B6074">
        <w:rPr>
          <w:rFonts w:ascii="Verdana" w:hAnsi="Verdana"/>
          <w:sz w:val="20"/>
          <w:szCs w:val="20"/>
        </w:rPr>
        <w:t>The recommendations regarding administrative capacity do not refer to any texts of the programme but to the programme implementation and management in future.</w:t>
      </w:r>
    </w:p>
    <w:tbl>
      <w:tblPr>
        <w:tblStyle w:val="TableGrid"/>
        <w:tblW w:w="9474" w:type="dxa"/>
        <w:tblInd w:w="-10"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2156"/>
        <w:gridCol w:w="3349"/>
        <w:gridCol w:w="3969"/>
      </w:tblGrid>
      <w:tr w:rsidR="001C0323" w:rsidRPr="005B6074" w:rsidTr="005B6074">
        <w:tc>
          <w:tcPr>
            <w:tcW w:w="2156" w:type="dxa"/>
            <w:shd w:val="clear" w:color="auto" w:fill="548DD4" w:themeFill="text2" w:themeFillTint="99"/>
            <w:vAlign w:val="center"/>
          </w:tcPr>
          <w:p w:rsidR="001C0323" w:rsidRPr="005B6074" w:rsidRDefault="005B35A7" w:rsidP="005B6074">
            <w:pPr>
              <w:jc w:val="center"/>
              <w:rPr>
                <w:rFonts w:ascii="Verdana" w:hAnsi="Verdana"/>
                <w:b/>
                <w:color w:val="FFFFFF" w:themeColor="background1"/>
                <w:sz w:val="20"/>
                <w:szCs w:val="20"/>
              </w:rPr>
            </w:pPr>
            <w:r>
              <w:rPr>
                <w:rFonts w:ascii="Verdana" w:hAnsi="Verdana"/>
                <w:b/>
                <w:color w:val="FFFFFF" w:themeColor="background1"/>
                <w:sz w:val="20"/>
                <w:szCs w:val="20"/>
              </w:rPr>
              <w:t>OPSESG</w:t>
            </w:r>
            <w:r w:rsidR="001C0323" w:rsidRPr="005B6074">
              <w:rPr>
                <w:rFonts w:ascii="Verdana" w:hAnsi="Verdana"/>
                <w:b/>
                <w:color w:val="FFFFFF" w:themeColor="background1"/>
                <w:sz w:val="20"/>
                <w:szCs w:val="20"/>
              </w:rPr>
              <w:t xml:space="preserve"> section </w:t>
            </w:r>
          </w:p>
        </w:tc>
        <w:tc>
          <w:tcPr>
            <w:tcW w:w="3349" w:type="dxa"/>
            <w:shd w:val="clear" w:color="auto" w:fill="548DD4" w:themeFill="text2" w:themeFillTint="99"/>
            <w:vAlign w:val="center"/>
          </w:tcPr>
          <w:p w:rsidR="001C0323" w:rsidRPr="005B6074" w:rsidRDefault="001C0323" w:rsidP="005B6074">
            <w:pPr>
              <w:jc w:val="center"/>
              <w:rPr>
                <w:rFonts w:ascii="Verdana" w:hAnsi="Verdana"/>
                <w:b/>
                <w:color w:val="FFFFFF" w:themeColor="background1"/>
                <w:sz w:val="20"/>
                <w:szCs w:val="20"/>
              </w:rPr>
            </w:pPr>
            <w:r w:rsidRPr="005B6074">
              <w:rPr>
                <w:rFonts w:ascii="Verdana" w:hAnsi="Verdana"/>
                <w:b/>
                <w:color w:val="FFFFFF" w:themeColor="background1"/>
                <w:sz w:val="20"/>
                <w:szCs w:val="20"/>
              </w:rPr>
              <w:t xml:space="preserve">Conclusion </w:t>
            </w:r>
          </w:p>
        </w:tc>
        <w:tc>
          <w:tcPr>
            <w:tcW w:w="3969" w:type="dxa"/>
            <w:shd w:val="clear" w:color="auto" w:fill="548DD4" w:themeFill="text2" w:themeFillTint="99"/>
            <w:vAlign w:val="center"/>
          </w:tcPr>
          <w:p w:rsidR="001C0323" w:rsidRPr="005B6074" w:rsidRDefault="001C0323" w:rsidP="005B6074">
            <w:pPr>
              <w:jc w:val="center"/>
              <w:rPr>
                <w:rFonts w:ascii="Verdana" w:hAnsi="Verdana"/>
                <w:b/>
                <w:color w:val="FFFFFF" w:themeColor="background1"/>
                <w:sz w:val="20"/>
                <w:szCs w:val="20"/>
              </w:rPr>
            </w:pPr>
            <w:r w:rsidRPr="005B6074">
              <w:rPr>
                <w:rFonts w:ascii="Verdana" w:hAnsi="Verdana"/>
                <w:b/>
                <w:color w:val="FFFFFF" w:themeColor="background1"/>
                <w:sz w:val="20"/>
                <w:szCs w:val="20"/>
              </w:rPr>
              <w:t>Recommendation</w:t>
            </w:r>
          </w:p>
        </w:tc>
      </w:tr>
      <w:tr w:rsidR="001C0323" w:rsidRPr="005B6074" w:rsidTr="005B6074">
        <w:trPr>
          <w:trHeight w:val="574"/>
        </w:trPr>
        <w:tc>
          <w:tcPr>
            <w:tcW w:w="2156" w:type="dxa"/>
          </w:tcPr>
          <w:p w:rsidR="001C0323" w:rsidRPr="005B6074" w:rsidRDefault="001C0323" w:rsidP="005B6074">
            <w:pPr>
              <w:spacing w:before="120" w:after="120"/>
              <w:rPr>
                <w:rFonts w:ascii="Verdana" w:hAnsi="Verdana"/>
                <w:sz w:val="20"/>
                <w:szCs w:val="20"/>
              </w:rPr>
            </w:pPr>
            <w:r w:rsidRPr="005B6074">
              <w:rPr>
                <w:rFonts w:ascii="Verdana" w:hAnsi="Verdana"/>
                <w:sz w:val="20"/>
                <w:szCs w:val="20"/>
              </w:rPr>
              <w:t>The management structure</w:t>
            </w:r>
          </w:p>
        </w:tc>
        <w:tc>
          <w:tcPr>
            <w:tcW w:w="3349" w:type="dxa"/>
          </w:tcPr>
          <w:p w:rsidR="001C0323" w:rsidRPr="005B6074" w:rsidRDefault="001C0323" w:rsidP="005B6074">
            <w:pPr>
              <w:spacing w:before="120" w:after="120"/>
              <w:rPr>
                <w:rFonts w:ascii="Verdana" w:hAnsi="Verdana"/>
                <w:sz w:val="20"/>
                <w:szCs w:val="20"/>
              </w:rPr>
            </w:pPr>
            <w:r w:rsidRPr="005B6074">
              <w:rPr>
                <w:rFonts w:ascii="Verdana" w:hAnsi="Verdana"/>
                <w:sz w:val="20"/>
                <w:szCs w:val="20"/>
              </w:rPr>
              <w:t>A new structure of</w:t>
            </w:r>
            <w:r w:rsidRPr="005B6074">
              <w:rPr>
                <w:rFonts w:ascii="Verdana" w:hAnsi="Verdana" w:cs="Arial"/>
                <w:b/>
                <w:sz w:val="20"/>
                <w:szCs w:val="20"/>
              </w:rPr>
              <w:t xml:space="preserve"> </w:t>
            </w:r>
            <w:r w:rsidRPr="005B6074">
              <w:rPr>
                <w:rFonts w:ascii="Verdana" w:hAnsi="Verdana"/>
                <w:sz w:val="20"/>
                <w:szCs w:val="20"/>
              </w:rPr>
              <w:t xml:space="preserve">GD SFIEP was adopted in June 2014. </w:t>
            </w:r>
            <w:r w:rsidRPr="005B6074">
              <w:rPr>
                <w:rFonts w:ascii="Verdana" w:hAnsi="Verdana"/>
                <w:sz w:val="20"/>
                <w:szCs w:val="20"/>
              </w:rPr>
              <w:lastRenderedPageBreak/>
              <w:t xml:space="preserve">The structure envisages that the directorate performs all functions and responsibilities as MA and meets the division of functions requirements.  </w:t>
            </w:r>
          </w:p>
          <w:p w:rsidR="001C0323" w:rsidRPr="005B6074" w:rsidRDefault="001C0323" w:rsidP="005B6074">
            <w:pPr>
              <w:spacing w:before="120" w:after="120"/>
              <w:rPr>
                <w:rFonts w:ascii="Verdana" w:hAnsi="Verdana"/>
                <w:sz w:val="20"/>
                <w:szCs w:val="20"/>
              </w:rPr>
            </w:pPr>
          </w:p>
          <w:p w:rsidR="001C0323" w:rsidRPr="005B6074" w:rsidRDefault="001C0323" w:rsidP="005B6074">
            <w:pPr>
              <w:spacing w:before="120" w:after="120"/>
              <w:rPr>
                <w:rFonts w:ascii="Verdana" w:hAnsi="Verdana"/>
                <w:sz w:val="20"/>
                <w:szCs w:val="20"/>
              </w:rPr>
            </w:pPr>
            <w:r w:rsidRPr="005B6074">
              <w:rPr>
                <w:rFonts w:ascii="Verdana" w:hAnsi="Verdana"/>
                <w:sz w:val="20"/>
                <w:szCs w:val="20"/>
              </w:rPr>
              <w:t xml:space="preserve">The conducted online survey shows that it is possible to </w:t>
            </w:r>
            <w:proofErr w:type="gramStart"/>
            <w:r w:rsidRPr="005B6074">
              <w:rPr>
                <w:rFonts w:ascii="Verdana" w:hAnsi="Verdana"/>
                <w:sz w:val="20"/>
                <w:szCs w:val="20"/>
              </w:rPr>
              <w:t>allocate  responsibilities</w:t>
            </w:r>
            <w:proofErr w:type="gramEnd"/>
            <w:r w:rsidRPr="005B6074">
              <w:rPr>
                <w:rFonts w:ascii="Verdana" w:hAnsi="Verdana"/>
                <w:sz w:val="20"/>
                <w:szCs w:val="20"/>
              </w:rPr>
              <w:t xml:space="preserve"> more efficiently both at central level and in the regional structures of GD SFIEP.</w:t>
            </w:r>
          </w:p>
        </w:tc>
        <w:tc>
          <w:tcPr>
            <w:tcW w:w="3969" w:type="dxa"/>
          </w:tcPr>
          <w:p w:rsidR="001C0323" w:rsidRPr="005B6074" w:rsidRDefault="001C0323" w:rsidP="005B6074">
            <w:pPr>
              <w:spacing w:before="120" w:after="120"/>
              <w:rPr>
                <w:rFonts w:ascii="Verdana" w:hAnsi="Verdana"/>
                <w:sz w:val="20"/>
                <w:szCs w:val="20"/>
              </w:rPr>
            </w:pPr>
            <w:r w:rsidRPr="005B6074">
              <w:rPr>
                <w:rFonts w:ascii="Verdana" w:hAnsi="Verdana"/>
                <w:sz w:val="20"/>
                <w:szCs w:val="20"/>
              </w:rPr>
              <w:lastRenderedPageBreak/>
              <w:t xml:space="preserve">The Risk Management and Control department, which includes the </w:t>
            </w:r>
            <w:r w:rsidRPr="005B6074">
              <w:rPr>
                <w:rFonts w:ascii="Verdana" w:hAnsi="Verdana"/>
                <w:sz w:val="20"/>
                <w:szCs w:val="20"/>
              </w:rPr>
              <w:lastRenderedPageBreak/>
              <w:t>officer dealing with irregularities, should be directly subordinate to the director general of GD SFIEP and not to the deputy director.</w:t>
            </w:r>
          </w:p>
          <w:p w:rsidR="001C0323" w:rsidRPr="005B6074" w:rsidRDefault="001C0323" w:rsidP="005B6074">
            <w:pPr>
              <w:spacing w:before="120" w:after="120"/>
              <w:rPr>
                <w:rFonts w:ascii="Verdana" w:hAnsi="Verdana"/>
                <w:sz w:val="20"/>
                <w:szCs w:val="20"/>
              </w:rPr>
            </w:pPr>
            <w:r w:rsidRPr="005B6074">
              <w:rPr>
                <w:rFonts w:ascii="Verdana" w:hAnsi="Verdana"/>
                <w:sz w:val="20"/>
                <w:szCs w:val="20"/>
              </w:rPr>
              <w:t>Clear allocation of the functions of departments, including delegation of monitoring and verification functions to the regional structures;</w:t>
            </w:r>
          </w:p>
          <w:p w:rsidR="001C0323" w:rsidRPr="005B6074" w:rsidRDefault="001C0323" w:rsidP="005B6074">
            <w:pPr>
              <w:spacing w:before="120" w:after="120"/>
              <w:rPr>
                <w:rFonts w:ascii="Verdana" w:hAnsi="Verdana"/>
                <w:sz w:val="20"/>
                <w:szCs w:val="20"/>
              </w:rPr>
            </w:pPr>
            <w:r w:rsidRPr="005B6074">
              <w:rPr>
                <w:rFonts w:ascii="Verdana" w:hAnsi="Verdana"/>
                <w:sz w:val="20"/>
                <w:szCs w:val="20"/>
              </w:rPr>
              <w:t>Clearer differentiation of the responsibilities and tasks of departments within MA to avoid confusion and overlapping of functions or overloading some departments.</w:t>
            </w:r>
          </w:p>
        </w:tc>
      </w:tr>
      <w:tr w:rsidR="001C0323" w:rsidRPr="005B6074" w:rsidTr="005B6074">
        <w:trPr>
          <w:trHeight w:val="574"/>
        </w:trPr>
        <w:tc>
          <w:tcPr>
            <w:tcW w:w="2156" w:type="dxa"/>
          </w:tcPr>
          <w:p w:rsidR="001C0323" w:rsidRPr="005B6074" w:rsidRDefault="001C0323" w:rsidP="005B6074">
            <w:pPr>
              <w:spacing w:before="120" w:after="120"/>
              <w:rPr>
                <w:rFonts w:ascii="Verdana" w:hAnsi="Verdana"/>
                <w:sz w:val="20"/>
                <w:szCs w:val="20"/>
              </w:rPr>
            </w:pPr>
            <w:r w:rsidRPr="005B6074">
              <w:rPr>
                <w:rFonts w:ascii="Verdana" w:hAnsi="Verdana"/>
                <w:sz w:val="20"/>
                <w:szCs w:val="20"/>
              </w:rPr>
              <w:lastRenderedPageBreak/>
              <w:t>Adequacy of human resources and administrative capacity for managing the programme</w:t>
            </w:r>
          </w:p>
        </w:tc>
        <w:tc>
          <w:tcPr>
            <w:tcW w:w="3349" w:type="dxa"/>
          </w:tcPr>
          <w:p w:rsidR="001C0323" w:rsidRPr="005B6074" w:rsidRDefault="001C0323" w:rsidP="005B6074">
            <w:pPr>
              <w:pStyle w:val="BodyText"/>
              <w:widowControl w:val="0"/>
              <w:tabs>
                <w:tab w:val="left" w:pos="0"/>
                <w:tab w:val="right" w:pos="9214"/>
              </w:tabs>
              <w:spacing w:before="120"/>
              <w:jc w:val="both"/>
              <w:rPr>
                <w:rFonts w:ascii="Verdana" w:hAnsi="Verdana"/>
                <w:sz w:val="20"/>
                <w:szCs w:val="20"/>
              </w:rPr>
            </w:pPr>
            <w:r w:rsidRPr="005B6074">
              <w:rPr>
                <w:rFonts w:ascii="Verdana" w:hAnsi="Verdana"/>
                <w:sz w:val="20"/>
                <w:szCs w:val="20"/>
              </w:rPr>
              <w:t>GD SFIEP experts have considerable professional experience in managing and implementing of projects and programmes financed from EU structural funds and pre-accession programmes.</w:t>
            </w:r>
          </w:p>
          <w:p w:rsidR="001C0323" w:rsidRPr="005B6074" w:rsidRDefault="001C0323" w:rsidP="005B6074">
            <w:pPr>
              <w:pStyle w:val="BodyText"/>
              <w:widowControl w:val="0"/>
              <w:tabs>
                <w:tab w:val="left" w:pos="0"/>
                <w:tab w:val="right" w:pos="9214"/>
              </w:tabs>
              <w:spacing w:before="120"/>
              <w:jc w:val="both"/>
              <w:rPr>
                <w:rFonts w:ascii="Verdana" w:hAnsi="Verdana"/>
                <w:sz w:val="20"/>
                <w:szCs w:val="20"/>
              </w:rPr>
            </w:pPr>
            <w:r w:rsidRPr="005B6074">
              <w:rPr>
                <w:rFonts w:ascii="Verdana" w:hAnsi="Verdana"/>
                <w:sz w:val="20"/>
                <w:szCs w:val="20"/>
              </w:rPr>
              <w:t xml:space="preserve">It is very likely that the human resources allocated to three of the departments prove insufficient considering the responsibilities of those departments. </w:t>
            </w:r>
          </w:p>
          <w:p w:rsidR="001C0323" w:rsidRPr="005B6074" w:rsidRDefault="001C0323" w:rsidP="005B6074">
            <w:pPr>
              <w:pStyle w:val="BodyText"/>
              <w:widowControl w:val="0"/>
              <w:tabs>
                <w:tab w:val="left" w:pos="0"/>
                <w:tab w:val="right" w:pos="9214"/>
              </w:tabs>
              <w:spacing w:before="120"/>
              <w:jc w:val="both"/>
              <w:rPr>
                <w:rFonts w:ascii="Verdana" w:hAnsi="Verdana"/>
                <w:sz w:val="20"/>
                <w:szCs w:val="20"/>
              </w:rPr>
            </w:pPr>
            <w:r w:rsidRPr="005B6074">
              <w:rPr>
                <w:rFonts w:ascii="Verdana" w:hAnsi="Verdana"/>
                <w:sz w:val="20"/>
                <w:szCs w:val="20"/>
              </w:rPr>
              <w:t xml:space="preserve">In general the experts are satisfied with working in GD SFIEP but if they are better motivated that would improve the administrative capacity of the directorate. </w:t>
            </w:r>
          </w:p>
          <w:p w:rsidR="001C0323" w:rsidRPr="005B6074" w:rsidRDefault="001C0323" w:rsidP="005B6074">
            <w:pPr>
              <w:pStyle w:val="BodyText"/>
              <w:widowControl w:val="0"/>
              <w:tabs>
                <w:tab w:val="left" w:pos="0"/>
                <w:tab w:val="right" w:pos="9214"/>
              </w:tabs>
              <w:spacing w:before="120"/>
              <w:jc w:val="both"/>
              <w:rPr>
                <w:rFonts w:ascii="Verdana" w:hAnsi="Verdana"/>
                <w:bCs/>
                <w:color w:val="000000"/>
                <w:sz w:val="20"/>
                <w:szCs w:val="20"/>
              </w:rPr>
            </w:pPr>
            <w:r w:rsidRPr="005B6074">
              <w:rPr>
                <w:rFonts w:ascii="Verdana" w:hAnsi="Verdana"/>
                <w:sz w:val="20"/>
                <w:szCs w:val="20"/>
              </w:rPr>
              <w:t>There is lack of equipment and systems for the work of GD SFIEP experts – like halls, applied software, digital archive, etc.</w:t>
            </w:r>
          </w:p>
        </w:tc>
        <w:tc>
          <w:tcPr>
            <w:tcW w:w="3969" w:type="dxa"/>
          </w:tcPr>
          <w:p w:rsidR="001C0323" w:rsidRPr="005B6074" w:rsidRDefault="001C0323" w:rsidP="005B6074">
            <w:pPr>
              <w:pStyle w:val="BodyText"/>
              <w:widowControl w:val="0"/>
              <w:tabs>
                <w:tab w:val="left" w:pos="0"/>
                <w:tab w:val="right" w:pos="9214"/>
              </w:tabs>
              <w:spacing w:before="120"/>
              <w:jc w:val="both"/>
              <w:rPr>
                <w:rFonts w:ascii="Verdana" w:hAnsi="Verdana"/>
                <w:sz w:val="20"/>
                <w:szCs w:val="20"/>
              </w:rPr>
            </w:pPr>
            <w:r w:rsidRPr="005B6074">
              <w:rPr>
                <w:rFonts w:ascii="Verdana" w:hAnsi="Verdana"/>
                <w:bCs/>
                <w:color w:val="000000"/>
                <w:sz w:val="20"/>
                <w:szCs w:val="20"/>
              </w:rPr>
              <w:t xml:space="preserve">Provide resources adequate to the responsibilities of “Programming and Contracting”, “Financial Planning, </w:t>
            </w:r>
            <w:r w:rsidRPr="005B6074">
              <w:rPr>
                <w:rFonts w:ascii="Verdana" w:hAnsi="Verdana"/>
                <w:sz w:val="20"/>
                <w:szCs w:val="20"/>
              </w:rPr>
              <w:t>Financial Reporting and Payments” and “Risk Management and Control” departments.</w:t>
            </w:r>
          </w:p>
          <w:p w:rsidR="001C0323" w:rsidRPr="005B6074" w:rsidRDefault="001C0323" w:rsidP="005B6074">
            <w:pPr>
              <w:pStyle w:val="BodyText"/>
              <w:widowControl w:val="0"/>
              <w:tabs>
                <w:tab w:val="left" w:pos="0"/>
                <w:tab w:val="right" w:pos="9214"/>
              </w:tabs>
              <w:spacing w:before="120"/>
              <w:jc w:val="both"/>
              <w:rPr>
                <w:rFonts w:ascii="Verdana" w:hAnsi="Verdana"/>
                <w:sz w:val="20"/>
                <w:szCs w:val="20"/>
              </w:rPr>
            </w:pPr>
            <w:r w:rsidRPr="005B6074">
              <w:rPr>
                <w:rFonts w:ascii="Verdana" w:hAnsi="Verdana"/>
                <w:sz w:val="20"/>
                <w:szCs w:val="20"/>
              </w:rPr>
              <w:t xml:space="preserve">Provide the technical resources and </w:t>
            </w:r>
            <w:proofErr w:type="gramStart"/>
            <w:r w:rsidRPr="005B6074">
              <w:rPr>
                <w:rFonts w:ascii="Verdana" w:hAnsi="Verdana"/>
                <w:sz w:val="20"/>
                <w:szCs w:val="20"/>
              </w:rPr>
              <w:t>equipment  necessary</w:t>
            </w:r>
            <w:proofErr w:type="gramEnd"/>
            <w:r w:rsidRPr="005B6074">
              <w:rPr>
                <w:rFonts w:ascii="Verdana" w:hAnsi="Verdana"/>
                <w:sz w:val="20"/>
                <w:szCs w:val="20"/>
              </w:rPr>
              <w:t xml:space="preserve"> for the programme management and implementation.</w:t>
            </w:r>
          </w:p>
          <w:p w:rsidR="001C0323" w:rsidRPr="005B6074" w:rsidRDefault="001C0323" w:rsidP="005B6074">
            <w:pPr>
              <w:pStyle w:val="BodyText"/>
              <w:widowControl w:val="0"/>
              <w:tabs>
                <w:tab w:val="left" w:pos="0"/>
                <w:tab w:val="right" w:pos="9214"/>
              </w:tabs>
              <w:spacing w:before="120"/>
              <w:jc w:val="both"/>
              <w:rPr>
                <w:rFonts w:ascii="Verdana" w:hAnsi="Verdana"/>
                <w:sz w:val="20"/>
                <w:szCs w:val="20"/>
              </w:rPr>
            </w:pPr>
            <w:r w:rsidRPr="005B6074">
              <w:rPr>
                <w:rFonts w:ascii="Verdana" w:hAnsi="Verdana"/>
                <w:sz w:val="20"/>
                <w:szCs w:val="20"/>
              </w:rPr>
              <w:t>The experts should continue to have access to regular and ad hoc training, including working visits to exchange experience.</w:t>
            </w:r>
          </w:p>
          <w:p w:rsidR="001C0323" w:rsidRPr="005B6074" w:rsidRDefault="001C0323" w:rsidP="005B6074">
            <w:pPr>
              <w:pStyle w:val="BodyText"/>
              <w:widowControl w:val="0"/>
              <w:tabs>
                <w:tab w:val="left" w:pos="0"/>
                <w:tab w:val="right" w:pos="9214"/>
              </w:tabs>
              <w:spacing w:before="120"/>
              <w:jc w:val="both"/>
              <w:rPr>
                <w:rFonts w:ascii="Verdana" w:hAnsi="Verdana"/>
                <w:sz w:val="20"/>
                <w:szCs w:val="20"/>
              </w:rPr>
            </w:pPr>
            <w:r w:rsidRPr="005B6074">
              <w:rPr>
                <w:rFonts w:ascii="Verdana" w:hAnsi="Verdana"/>
                <w:sz w:val="20"/>
                <w:szCs w:val="20"/>
              </w:rPr>
              <w:t>As soon as possible start conducting training courses on the new responsibilities of MA.</w:t>
            </w:r>
          </w:p>
          <w:p w:rsidR="001C0323" w:rsidRPr="005B6074" w:rsidRDefault="001C0323" w:rsidP="005B6074">
            <w:pPr>
              <w:pStyle w:val="BodyText"/>
              <w:widowControl w:val="0"/>
              <w:tabs>
                <w:tab w:val="left" w:pos="0"/>
                <w:tab w:val="right" w:pos="9214"/>
              </w:tabs>
              <w:spacing w:before="120"/>
              <w:jc w:val="both"/>
              <w:rPr>
                <w:rFonts w:ascii="Verdana" w:hAnsi="Verdana"/>
                <w:sz w:val="20"/>
                <w:szCs w:val="20"/>
              </w:rPr>
            </w:pPr>
            <w:r w:rsidRPr="005B6074">
              <w:rPr>
                <w:rFonts w:ascii="Verdana" w:hAnsi="Verdana"/>
                <w:sz w:val="20"/>
                <w:szCs w:val="20"/>
              </w:rPr>
              <w:t>Develop an attractive incentives and remuneration package so as to improve the staff motivation.</w:t>
            </w:r>
          </w:p>
          <w:p w:rsidR="001C0323" w:rsidRPr="005B6074" w:rsidRDefault="001C0323" w:rsidP="005B6074">
            <w:pPr>
              <w:pStyle w:val="BodyText"/>
              <w:widowControl w:val="0"/>
              <w:tabs>
                <w:tab w:val="left" w:pos="0"/>
                <w:tab w:val="right" w:pos="9214"/>
              </w:tabs>
              <w:spacing w:before="120"/>
              <w:jc w:val="both"/>
              <w:rPr>
                <w:rFonts w:ascii="Verdana" w:hAnsi="Verdana"/>
                <w:sz w:val="20"/>
                <w:szCs w:val="20"/>
              </w:rPr>
            </w:pPr>
          </w:p>
        </w:tc>
      </w:tr>
      <w:tr w:rsidR="001C0323" w:rsidRPr="005B6074" w:rsidTr="005B6074">
        <w:trPr>
          <w:trHeight w:val="574"/>
        </w:trPr>
        <w:tc>
          <w:tcPr>
            <w:tcW w:w="2156" w:type="dxa"/>
          </w:tcPr>
          <w:p w:rsidR="001C0323" w:rsidRPr="005B6074" w:rsidRDefault="001C0323" w:rsidP="005B6074">
            <w:pPr>
              <w:spacing w:before="120" w:after="120"/>
              <w:rPr>
                <w:rFonts w:ascii="Verdana" w:hAnsi="Verdana"/>
                <w:sz w:val="20"/>
                <w:szCs w:val="20"/>
              </w:rPr>
            </w:pPr>
            <w:r w:rsidRPr="005B6074">
              <w:rPr>
                <w:rFonts w:ascii="Verdana" w:hAnsi="Verdana"/>
                <w:sz w:val="20"/>
                <w:szCs w:val="20"/>
              </w:rPr>
              <w:t>Capacity of the programme beneficiaries  and measures envisaged for strengthening it</w:t>
            </w:r>
          </w:p>
        </w:tc>
        <w:tc>
          <w:tcPr>
            <w:tcW w:w="3349" w:type="dxa"/>
          </w:tcPr>
          <w:p w:rsidR="001C0323" w:rsidRPr="005B6074" w:rsidRDefault="001C0323" w:rsidP="005B6074">
            <w:pPr>
              <w:widowControl w:val="0"/>
              <w:tabs>
                <w:tab w:val="left" w:pos="0"/>
                <w:tab w:val="right" w:pos="9214"/>
              </w:tabs>
              <w:spacing w:before="120" w:after="120"/>
              <w:jc w:val="both"/>
              <w:rPr>
                <w:rFonts w:ascii="Verdana" w:hAnsi="Verdana" w:cs="TimesNewRomanPSMT"/>
                <w:sz w:val="20"/>
                <w:szCs w:val="20"/>
              </w:rPr>
            </w:pPr>
            <w:r w:rsidRPr="005B6074">
              <w:rPr>
                <w:rFonts w:ascii="Verdana" w:hAnsi="Verdana" w:cs="TimesNewRomanPSMT"/>
                <w:sz w:val="20"/>
                <w:szCs w:val="20"/>
              </w:rPr>
              <w:t>The programme beneficiaries will need support although many of them already have project implementation experience from the previous programming period.</w:t>
            </w:r>
          </w:p>
          <w:p w:rsidR="001C0323" w:rsidRPr="005B6074" w:rsidRDefault="001C0323" w:rsidP="005B6074">
            <w:pPr>
              <w:widowControl w:val="0"/>
              <w:tabs>
                <w:tab w:val="left" w:pos="0"/>
                <w:tab w:val="right" w:pos="9214"/>
              </w:tabs>
              <w:spacing w:before="120" w:after="120"/>
              <w:rPr>
                <w:rFonts w:ascii="Verdana" w:hAnsi="Verdana"/>
                <w:bCs/>
                <w:color w:val="000000"/>
                <w:sz w:val="20"/>
                <w:szCs w:val="20"/>
              </w:rPr>
            </w:pPr>
          </w:p>
        </w:tc>
        <w:tc>
          <w:tcPr>
            <w:tcW w:w="3969" w:type="dxa"/>
          </w:tcPr>
          <w:p w:rsidR="001C0323" w:rsidRPr="005B6074" w:rsidRDefault="001C0323" w:rsidP="005B6074">
            <w:pPr>
              <w:spacing w:before="120" w:after="120"/>
              <w:contextualSpacing/>
              <w:jc w:val="both"/>
              <w:rPr>
                <w:rFonts w:ascii="Verdana" w:eastAsia="Malgun Gothic" w:hAnsi="Verdana"/>
                <w:bCs/>
                <w:color w:val="000000"/>
                <w:sz w:val="20"/>
                <w:szCs w:val="20"/>
                <w:lang w:eastAsia="ko-KR"/>
              </w:rPr>
            </w:pPr>
            <w:r w:rsidRPr="005B6074">
              <w:rPr>
                <w:rFonts w:ascii="Verdana" w:hAnsi="Verdana"/>
                <w:sz w:val="20"/>
                <w:szCs w:val="20"/>
              </w:rPr>
              <w:lastRenderedPageBreak/>
              <w:t xml:space="preserve">MA should provide support for improving the capacity of </w:t>
            </w:r>
            <w:r w:rsidR="005B35A7">
              <w:rPr>
                <w:rFonts w:ascii="Verdana" w:eastAsia="Malgun Gothic" w:hAnsi="Verdana"/>
                <w:bCs/>
                <w:color w:val="000000"/>
                <w:sz w:val="20"/>
                <w:szCs w:val="20"/>
                <w:lang w:eastAsia="ko-KR"/>
              </w:rPr>
              <w:t>OPSESG</w:t>
            </w:r>
            <w:r w:rsidRPr="005B6074">
              <w:rPr>
                <w:rFonts w:ascii="Verdana" w:eastAsia="Malgun Gothic" w:hAnsi="Verdana"/>
                <w:bCs/>
                <w:color w:val="000000"/>
                <w:sz w:val="20"/>
                <w:szCs w:val="20"/>
                <w:lang w:eastAsia="ko-KR"/>
              </w:rPr>
              <w:t xml:space="preserve"> 2014-2020 beneficiaries, including continuing the practice of holding information days and information campaigns on the support schemes.</w:t>
            </w:r>
          </w:p>
          <w:p w:rsidR="001C0323" w:rsidRPr="005B6074" w:rsidRDefault="001C0323" w:rsidP="005B6074">
            <w:pPr>
              <w:spacing w:before="120" w:after="120"/>
              <w:contextualSpacing/>
              <w:jc w:val="both"/>
              <w:rPr>
                <w:rFonts w:ascii="Verdana" w:hAnsi="Verdana"/>
                <w:sz w:val="20"/>
                <w:szCs w:val="20"/>
              </w:rPr>
            </w:pPr>
            <w:r w:rsidRPr="005B6074">
              <w:rPr>
                <w:rFonts w:ascii="Verdana" w:eastAsia="Malgun Gothic" w:hAnsi="Verdana"/>
                <w:bCs/>
                <w:color w:val="000000"/>
                <w:sz w:val="20"/>
                <w:szCs w:val="20"/>
                <w:lang w:eastAsia="ko-KR"/>
              </w:rPr>
              <w:lastRenderedPageBreak/>
              <w:t>In addition the following measures would respond to some of the difficulties most common for the beneficiaries</w:t>
            </w:r>
            <w:r w:rsidRPr="005B6074">
              <w:rPr>
                <w:rFonts w:ascii="Verdana" w:hAnsi="Verdana"/>
                <w:sz w:val="20"/>
                <w:szCs w:val="20"/>
              </w:rPr>
              <w:t>:</w:t>
            </w:r>
          </w:p>
          <w:p w:rsidR="001C0323" w:rsidRPr="005B6074" w:rsidRDefault="001C0323" w:rsidP="00181A22">
            <w:pPr>
              <w:pStyle w:val="BodyText"/>
              <w:widowControl w:val="0"/>
              <w:numPr>
                <w:ilvl w:val="0"/>
                <w:numId w:val="71"/>
              </w:numPr>
              <w:tabs>
                <w:tab w:val="left" w:pos="0"/>
                <w:tab w:val="left" w:pos="6990"/>
              </w:tabs>
              <w:spacing w:before="120"/>
              <w:ind w:left="199" w:hanging="199"/>
              <w:jc w:val="both"/>
              <w:rPr>
                <w:rFonts w:ascii="Verdana" w:eastAsia="Malgun Gothic" w:hAnsi="Verdana"/>
                <w:bCs/>
                <w:color w:val="000000"/>
                <w:sz w:val="20"/>
                <w:szCs w:val="20"/>
                <w:lang w:eastAsia="ko-KR"/>
              </w:rPr>
            </w:pPr>
            <w:r w:rsidRPr="005B6074">
              <w:rPr>
                <w:rFonts w:ascii="Verdana" w:eastAsia="Malgun Gothic" w:hAnsi="Verdana"/>
                <w:bCs/>
                <w:color w:val="000000"/>
                <w:sz w:val="20"/>
                <w:szCs w:val="20"/>
                <w:lang w:eastAsia="ko-KR"/>
              </w:rPr>
              <w:t xml:space="preserve">Avoid changing the rules and instructions in the course of projects implementation, and in case that is necessary, inform the beneficiaries in an appropriate manner (by mail) about the changes, and provide additional </w:t>
            </w:r>
            <w:proofErr w:type="gramStart"/>
            <w:r w:rsidRPr="005B6074">
              <w:rPr>
                <w:rFonts w:ascii="Verdana" w:eastAsia="Malgun Gothic" w:hAnsi="Verdana"/>
                <w:bCs/>
                <w:color w:val="000000"/>
                <w:sz w:val="20"/>
                <w:szCs w:val="20"/>
                <w:lang w:eastAsia="ko-KR"/>
              </w:rPr>
              <w:t>clarifications  where</w:t>
            </w:r>
            <w:proofErr w:type="gramEnd"/>
            <w:r w:rsidRPr="005B6074">
              <w:rPr>
                <w:rFonts w:ascii="Verdana" w:eastAsia="Malgun Gothic" w:hAnsi="Verdana"/>
                <w:bCs/>
                <w:color w:val="000000"/>
                <w:sz w:val="20"/>
                <w:szCs w:val="20"/>
                <w:lang w:eastAsia="ko-KR"/>
              </w:rPr>
              <w:t xml:space="preserve"> necessary.</w:t>
            </w:r>
          </w:p>
          <w:p w:rsidR="001C0323" w:rsidRPr="005B6074" w:rsidRDefault="001C0323" w:rsidP="00181A22">
            <w:pPr>
              <w:pStyle w:val="BodyText"/>
              <w:widowControl w:val="0"/>
              <w:numPr>
                <w:ilvl w:val="0"/>
                <w:numId w:val="71"/>
              </w:numPr>
              <w:tabs>
                <w:tab w:val="left" w:pos="0"/>
                <w:tab w:val="left" w:pos="6990"/>
              </w:tabs>
              <w:spacing w:before="120"/>
              <w:ind w:left="199" w:hanging="199"/>
              <w:jc w:val="both"/>
              <w:rPr>
                <w:rFonts w:ascii="Verdana" w:eastAsia="Malgun Gothic" w:hAnsi="Verdana"/>
                <w:bCs/>
                <w:color w:val="000000"/>
                <w:sz w:val="20"/>
                <w:szCs w:val="20"/>
                <w:lang w:eastAsia="ko-KR"/>
              </w:rPr>
            </w:pPr>
            <w:r w:rsidRPr="005B6074">
              <w:rPr>
                <w:rFonts w:ascii="Verdana" w:eastAsia="Malgun Gothic" w:hAnsi="Verdana"/>
                <w:bCs/>
                <w:color w:val="000000"/>
                <w:sz w:val="20"/>
                <w:szCs w:val="20"/>
                <w:lang w:eastAsia="ko-KR"/>
              </w:rPr>
              <w:t xml:space="preserve">In the project implementation manual specify </w:t>
            </w:r>
            <w:r w:rsidRPr="005B6074">
              <w:rPr>
                <w:rFonts w:ascii="Verdana" w:hAnsi="Verdana"/>
                <w:sz w:val="20"/>
                <w:szCs w:val="20"/>
              </w:rPr>
              <w:t>points of contact for beneficiaries with clearly indicated persons, responsibilities and time limits for response to questions.</w:t>
            </w:r>
          </w:p>
        </w:tc>
      </w:tr>
      <w:tr w:rsidR="001C0323" w:rsidRPr="005B6074" w:rsidTr="005B6074">
        <w:trPr>
          <w:trHeight w:val="574"/>
        </w:trPr>
        <w:tc>
          <w:tcPr>
            <w:tcW w:w="2156" w:type="dxa"/>
          </w:tcPr>
          <w:p w:rsidR="001C0323" w:rsidRPr="005B6074" w:rsidRDefault="001C0323" w:rsidP="005B6074">
            <w:pPr>
              <w:spacing w:before="120" w:after="120"/>
              <w:rPr>
                <w:rFonts w:ascii="Verdana" w:hAnsi="Verdana"/>
                <w:sz w:val="20"/>
                <w:szCs w:val="20"/>
              </w:rPr>
            </w:pPr>
            <w:r w:rsidRPr="005B6074">
              <w:rPr>
                <w:rFonts w:ascii="Verdana" w:hAnsi="Verdana"/>
                <w:sz w:val="20"/>
                <w:szCs w:val="20"/>
              </w:rPr>
              <w:lastRenderedPageBreak/>
              <w:t>Adequacy of the programme’s management, monitoring and evaluation procedures and procedures for collection of data about the programme implementation</w:t>
            </w:r>
          </w:p>
        </w:tc>
        <w:tc>
          <w:tcPr>
            <w:tcW w:w="3349" w:type="dxa"/>
          </w:tcPr>
          <w:p w:rsidR="001C0323" w:rsidRPr="005B6074" w:rsidRDefault="001C0323" w:rsidP="005B6074">
            <w:pPr>
              <w:autoSpaceDE w:val="0"/>
              <w:autoSpaceDN w:val="0"/>
              <w:adjustRightInd w:val="0"/>
              <w:spacing w:before="120" w:after="120"/>
              <w:jc w:val="both"/>
              <w:rPr>
                <w:rFonts w:ascii="Verdana" w:hAnsi="Verdana"/>
                <w:bCs/>
                <w:color w:val="000000"/>
                <w:sz w:val="20"/>
                <w:szCs w:val="20"/>
              </w:rPr>
            </w:pPr>
            <w:r w:rsidRPr="005B6074">
              <w:rPr>
                <w:rFonts w:ascii="Verdana" w:hAnsi="Verdana"/>
                <w:sz w:val="20"/>
                <w:szCs w:val="20"/>
              </w:rPr>
              <w:t>The monitoring system shall provide regular information about the achieved results and their contribution to achievement the objectives of the operational programme. It shall provide timely data about the financial progress by schemes, investment priorities and at programme level. The monitoring system could identify system errors – i.e. it should monitor the quality of management mechanisms.</w:t>
            </w:r>
          </w:p>
        </w:tc>
        <w:tc>
          <w:tcPr>
            <w:tcW w:w="3969" w:type="dxa"/>
          </w:tcPr>
          <w:p w:rsidR="001C0323" w:rsidRPr="005B6074" w:rsidRDefault="001C0323" w:rsidP="005B6074">
            <w:pPr>
              <w:spacing w:before="120" w:after="120"/>
              <w:jc w:val="both"/>
              <w:rPr>
                <w:rFonts w:ascii="Verdana" w:hAnsi="Verdana"/>
                <w:sz w:val="20"/>
                <w:szCs w:val="20"/>
              </w:rPr>
            </w:pPr>
            <w:r w:rsidRPr="005B6074">
              <w:rPr>
                <w:rFonts w:ascii="Verdana" w:hAnsi="Verdana"/>
                <w:sz w:val="20"/>
                <w:szCs w:val="20"/>
              </w:rPr>
              <w:t xml:space="preserve">The new monitoring system should build on the existing one, keeping the good practices and models and addressing the identified weaknesses of the system. </w:t>
            </w:r>
          </w:p>
          <w:p w:rsidR="001C0323" w:rsidRPr="005B6074" w:rsidRDefault="001C0323" w:rsidP="005B6074">
            <w:pPr>
              <w:spacing w:before="120" w:after="120"/>
              <w:jc w:val="both"/>
              <w:rPr>
                <w:rFonts w:ascii="Verdana" w:hAnsi="Verdana"/>
                <w:sz w:val="20"/>
                <w:szCs w:val="20"/>
              </w:rPr>
            </w:pPr>
            <w:r w:rsidRPr="005B6074">
              <w:rPr>
                <w:rFonts w:ascii="Verdana" w:hAnsi="Verdana"/>
                <w:sz w:val="20"/>
                <w:szCs w:val="20"/>
              </w:rPr>
              <w:t>Build a system for collecting and aggregating of indicator data, in which the tasks and time limits are specified for all monitoring levels (beneficiary, concrete beneficiary, MA departments).</w:t>
            </w:r>
          </w:p>
        </w:tc>
      </w:tr>
    </w:tbl>
    <w:p w:rsidR="001C0323" w:rsidRPr="005B6074" w:rsidRDefault="001C0323" w:rsidP="00CF3EE2">
      <w:pPr>
        <w:spacing w:after="120"/>
        <w:jc w:val="both"/>
        <w:rPr>
          <w:rFonts w:ascii="Verdana" w:hAnsi="Verdana"/>
          <w:sz w:val="20"/>
          <w:szCs w:val="20"/>
        </w:rPr>
      </w:pPr>
    </w:p>
    <w:p w:rsidR="00CF3EE2" w:rsidRPr="005B6074" w:rsidRDefault="00CF3EE2" w:rsidP="00CF3EE2">
      <w:pPr>
        <w:ind w:left="-709"/>
        <w:jc w:val="center"/>
        <w:rPr>
          <w:rFonts w:ascii="Verdana" w:hAnsi="Verdana"/>
          <w:sz w:val="20"/>
          <w:szCs w:val="20"/>
        </w:rPr>
        <w:sectPr w:rsidR="00CF3EE2" w:rsidRPr="005B6074" w:rsidSect="007C4363">
          <w:pgSz w:w="11907" w:h="16839" w:code="9"/>
          <w:pgMar w:top="2174" w:right="1440" w:bottom="1440" w:left="1440" w:header="720" w:footer="724" w:gutter="0"/>
          <w:cols w:space="720"/>
          <w:docGrid w:linePitch="360"/>
        </w:sectPr>
      </w:pPr>
    </w:p>
    <w:p w:rsidR="00CF3EE2" w:rsidRPr="005B6074" w:rsidRDefault="00A35E98" w:rsidP="00CF3EE2">
      <w:pPr>
        <w:pStyle w:val="Heading1"/>
        <w:shd w:val="clear" w:color="auto" w:fill="0063B8"/>
        <w:tabs>
          <w:tab w:val="num" w:pos="720"/>
        </w:tabs>
        <w:spacing w:before="120" w:after="120" w:line="276" w:lineRule="auto"/>
        <w:ind w:left="720" w:hanging="720"/>
        <w:rPr>
          <w:rFonts w:ascii="Verdana" w:hAnsi="Verdana"/>
          <w:b w:val="0"/>
          <w:caps/>
        </w:rPr>
        <w:sectPr w:rsidR="00CF3EE2" w:rsidRPr="005B6074" w:rsidSect="007C4363">
          <w:pgSz w:w="11907" w:h="16839" w:code="9"/>
          <w:pgMar w:top="2173" w:right="1440" w:bottom="1440" w:left="1440" w:header="720" w:footer="724" w:gutter="0"/>
          <w:cols w:space="720"/>
          <w:docGrid w:linePitch="360"/>
        </w:sectPr>
      </w:pPr>
      <w:bookmarkStart w:id="251" w:name="_Toc390262457"/>
      <w:bookmarkStart w:id="252" w:name="_Toc396225571"/>
      <w:r w:rsidRPr="005B6074">
        <w:rPr>
          <w:rFonts w:ascii="Verdana" w:hAnsi="Verdana"/>
          <w:b w:val="0"/>
          <w:caps/>
          <w:color w:val="FFFFFF"/>
        </w:rPr>
        <w:lastRenderedPageBreak/>
        <w:t>V.</w:t>
      </w:r>
      <w:r w:rsidRPr="005B6074">
        <w:rPr>
          <w:rFonts w:ascii="Verdana" w:hAnsi="Verdana"/>
          <w:b w:val="0"/>
          <w:caps/>
          <w:color w:val="FFFFFF"/>
        </w:rPr>
        <w:tab/>
      </w:r>
      <w:bookmarkEnd w:id="251"/>
      <w:r w:rsidR="001C0323" w:rsidRPr="005B6074">
        <w:rPr>
          <w:rFonts w:ascii="Verdana" w:hAnsi="Verdana"/>
          <w:b w:val="0"/>
          <w:caps/>
          <w:color w:val="FFFFFF"/>
        </w:rPr>
        <w:t>Annexes</w:t>
      </w:r>
      <w:bookmarkEnd w:id="252"/>
    </w:p>
    <w:p w:rsidR="00CF3EE2" w:rsidRPr="005B6074" w:rsidRDefault="00A01A26" w:rsidP="00CF3EE2">
      <w:pPr>
        <w:pStyle w:val="Heading2"/>
        <w:shd w:val="clear" w:color="auto" w:fill="FFCC99"/>
        <w:spacing w:before="0" w:after="240"/>
        <w:rPr>
          <w:rFonts w:ascii="Verdana" w:hAnsi="Verdana"/>
          <w:i w:val="0"/>
          <w:iCs/>
          <w:color w:val="0063B8"/>
          <w:sz w:val="26"/>
          <w:szCs w:val="26"/>
        </w:rPr>
      </w:pPr>
      <w:bookmarkStart w:id="253" w:name="_Toc390262458"/>
      <w:bookmarkStart w:id="254" w:name="_Toc396225572"/>
      <w:r w:rsidRPr="005B6074">
        <w:rPr>
          <w:rFonts w:ascii="Verdana" w:hAnsi="Verdana"/>
          <w:i w:val="0"/>
          <w:iCs/>
          <w:color w:val="0063B8"/>
          <w:sz w:val="26"/>
          <w:szCs w:val="26"/>
        </w:rPr>
        <w:lastRenderedPageBreak/>
        <w:t>Annex</w:t>
      </w:r>
      <w:r w:rsidR="00A35E98" w:rsidRPr="005B6074">
        <w:rPr>
          <w:rFonts w:ascii="Verdana" w:hAnsi="Verdana"/>
          <w:i w:val="0"/>
          <w:iCs/>
          <w:color w:val="0063B8"/>
          <w:sz w:val="26"/>
          <w:szCs w:val="26"/>
        </w:rPr>
        <w:t xml:space="preserve"> 1: </w:t>
      </w:r>
      <w:r w:rsidR="00504619" w:rsidRPr="005B6074">
        <w:rPr>
          <w:rFonts w:ascii="Verdana" w:hAnsi="Verdana"/>
          <w:i w:val="0"/>
          <w:iCs/>
          <w:color w:val="0063B8"/>
          <w:sz w:val="26"/>
          <w:szCs w:val="26"/>
        </w:rPr>
        <w:t>List of used documents</w:t>
      </w:r>
      <w:bookmarkEnd w:id="253"/>
      <w:bookmarkEnd w:id="254"/>
    </w:p>
    <w:p w:rsidR="0006021F" w:rsidRPr="005B6074" w:rsidRDefault="00A35E98" w:rsidP="00181A22">
      <w:pPr>
        <w:pStyle w:val="ListParagraph"/>
        <w:numPr>
          <w:ilvl w:val="0"/>
          <w:numId w:val="30"/>
        </w:numPr>
        <w:tabs>
          <w:tab w:val="left" w:pos="5331"/>
        </w:tabs>
        <w:contextualSpacing/>
        <w:rPr>
          <w:rFonts w:ascii="Verdana" w:hAnsi="Verdana"/>
          <w:sz w:val="20"/>
          <w:szCs w:val="20"/>
        </w:rPr>
      </w:pPr>
      <w:r w:rsidRPr="005B6074">
        <w:rPr>
          <w:rFonts w:ascii="Verdana" w:hAnsi="Verdana"/>
          <w:sz w:val="20"/>
          <w:szCs w:val="20"/>
        </w:rPr>
        <w:t xml:space="preserve">Draft Version of Operational Programme “Science and Education for Smart Growth“ </w:t>
      </w:r>
      <w:hyperlink r:id="rId64" w:history="1">
        <w:r w:rsidRPr="005B6074">
          <w:rPr>
            <w:rStyle w:val="Hyperlink"/>
            <w:rFonts w:ascii="Verdana" w:hAnsi="Verdana"/>
            <w:color w:val="auto"/>
            <w:sz w:val="20"/>
            <w:szCs w:val="20"/>
          </w:rPr>
          <w:t>http://www.eufunds.bg/bg/page/985</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Europe 2020: A European Strategy for Smart, Sustainable, and Inclusive Growth -</w:t>
      </w:r>
      <w:hyperlink r:id="rId65" w:history="1">
        <w:r w:rsidRPr="005B6074">
          <w:rPr>
            <w:rStyle w:val="Hyperlink"/>
            <w:rFonts w:ascii="Verdana" w:hAnsi="Verdana"/>
            <w:color w:val="auto"/>
            <w:sz w:val="20"/>
            <w:szCs w:val="20"/>
          </w:rPr>
          <w:t xml:space="preserve">http://ec.europa.eu/europe2020/europe-2020-in-a-nutshell/flagship-initiatives/index_bg.htm </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bCs/>
          <w:sz w:val="20"/>
          <w:szCs w:val="20"/>
        </w:rPr>
        <w:t>Flagship Initiative</w:t>
      </w:r>
      <w:r w:rsidRPr="005B6074">
        <w:rPr>
          <w:rFonts w:ascii="Verdana" w:hAnsi="Verdana"/>
          <w:sz w:val="20"/>
          <w:szCs w:val="20"/>
        </w:rPr>
        <w:t xml:space="preserve"> </w:t>
      </w:r>
      <w:r w:rsidRPr="005B6074">
        <w:rPr>
          <w:rFonts w:ascii="Verdana" w:hAnsi="Verdana"/>
          <w:bCs/>
          <w:sz w:val="20"/>
          <w:szCs w:val="20"/>
        </w:rPr>
        <w:t>Innovation Union</w:t>
      </w:r>
      <w:r w:rsidRPr="005B6074">
        <w:rPr>
          <w:rFonts w:ascii="Verdana" w:hAnsi="Verdana"/>
          <w:sz w:val="20"/>
          <w:szCs w:val="20"/>
        </w:rPr>
        <w:t xml:space="preserve"> -</w:t>
      </w:r>
      <w:r w:rsidRPr="005B6074">
        <w:rPr>
          <w:rFonts w:ascii="Verdana" w:hAnsi="Verdana"/>
          <w:b/>
          <w:bCs/>
          <w:sz w:val="20"/>
          <w:szCs w:val="20"/>
          <w:lang w:eastAsia="bg-BG"/>
        </w:rPr>
        <w:t xml:space="preserve"> </w:t>
      </w:r>
      <w:hyperlink r:id="rId66" w:history="1">
        <w:r w:rsidRPr="005B6074">
          <w:rPr>
            <w:rStyle w:val="Hyperlink"/>
            <w:rFonts w:ascii="Verdana" w:hAnsi="Verdana"/>
            <w:sz w:val="20"/>
            <w:szCs w:val="20"/>
          </w:rPr>
          <w:t>http://eur-lex.europa.eu/LexUriServ/LexUriServ.do?uri=COM:2010:0546:FIN:EN:PDF</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Flagship Initiative Youth on the Move - </w:t>
      </w:r>
      <w:hyperlink r:id="rId67" w:history="1">
        <w:r w:rsidRPr="005B6074">
          <w:rPr>
            <w:rStyle w:val="Hyperlink"/>
            <w:rFonts w:ascii="Verdana" w:hAnsi="Verdana"/>
            <w:sz w:val="20"/>
            <w:szCs w:val="20"/>
          </w:rPr>
          <w:t>http://ec.europa.eu/social/main.jsp?langId=en&amp;catId=950</w:t>
        </w:r>
      </w:hyperlink>
      <w:r w:rsidRPr="005B6074">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Industrial Policy for the Globalisation Era - </w:t>
      </w:r>
      <w:hyperlink r:id="rId68" w:history="1">
        <w:r w:rsidRPr="005B6074">
          <w:rPr>
            <w:rStyle w:val="Hyperlink"/>
            <w:rFonts w:ascii="Verdana" w:hAnsi="Verdana"/>
            <w:sz w:val="20"/>
            <w:szCs w:val="20"/>
          </w:rPr>
          <w:t>http://ec.europa.eu/enterprise/policies/industrial-competitiveness/industrial-policy/files/communication_on_industrial_policy_en.pdf</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An Agenda for new skills and jobs: http://eur-lex.europa.eu/resource.html?uri=cellar:776df18f-542f-48b8-9627-88aac6d3ede0.0003.03/DOC_1&amp;format=PDF</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bCs/>
          <w:sz w:val="20"/>
          <w:szCs w:val="20"/>
        </w:rPr>
        <w:t>Digital Agenda for Europe</w:t>
      </w:r>
      <w:r w:rsidRPr="005B6074">
        <w:rPr>
          <w:rFonts w:ascii="Verdana" w:hAnsi="Verdana"/>
          <w:sz w:val="20"/>
          <w:szCs w:val="20"/>
        </w:rPr>
        <w:t xml:space="preserve"> - </w:t>
      </w:r>
      <w:hyperlink r:id="rId69" w:history="1">
        <w:r w:rsidRPr="005B6074">
          <w:rPr>
            <w:rStyle w:val="Hyperlink"/>
            <w:rFonts w:ascii="Verdana" w:hAnsi="Verdana"/>
            <w:sz w:val="20"/>
            <w:szCs w:val="20"/>
          </w:rPr>
          <w:t>http://ec.europa.eu/digital-agenda/</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bCs/>
          <w:sz w:val="20"/>
          <w:szCs w:val="20"/>
        </w:rPr>
        <w:t>A resource-efficient Europe</w:t>
      </w:r>
      <w:r w:rsidRPr="005B6074">
        <w:rPr>
          <w:rFonts w:ascii="Verdana" w:hAnsi="Verdana"/>
          <w:sz w:val="20"/>
          <w:szCs w:val="20"/>
        </w:rPr>
        <w:t xml:space="preserve"> -</w:t>
      </w:r>
      <w:r w:rsidRPr="005B6074">
        <w:rPr>
          <w:rStyle w:val="Hyperlink"/>
        </w:rPr>
        <w:t xml:space="preserve"> </w:t>
      </w:r>
      <w:hyperlink r:id="rId70" w:history="1">
        <w:r w:rsidRPr="005B6074">
          <w:rPr>
            <w:rStyle w:val="Hyperlink"/>
            <w:rFonts w:ascii="Verdana" w:hAnsi="Verdana"/>
            <w:sz w:val="20"/>
            <w:szCs w:val="20"/>
          </w:rPr>
          <w:t>http://eur-lex.europa.eu/LexUriServ/LexUriServ.do?uri=COM:2011:0021:FIN:EN:PDF</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Making the Most of Our Potential: Consolidating the European Higher Education Area, Ministers’ Bucharest Communiqué (2012) </w:t>
      </w:r>
      <w:hyperlink r:id="rId71" w:history="1">
        <w:r w:rsidRPr="005B6074">
          <w:rPr>
            <w:rStyle w:val="Hyperlink"/>
            <w:rFonts w:ascii="Verdana" w:hAnsi="Verdana"/>
            <w:sz w:val="20"/>
            <w:szCs w:val="20"/>
          </w:rPr>
          <w:t>http://mail.nacid.bg/newdesign/bg_eu/att_files/2012_Bucharest-komjunike_en.pdf</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rPr>
      </w:pPr>
      <w:r w:rsidRPr="005B6074">
        <w:rPr>
          <w:rFonts w:ascii="Verdana" w:hAnsi="Verdana"/>
          <w:sz w:val="20"/>
          <w:szCs w:val="20"/>
        </w:rPr>
        <w:t>Mobility strategy 2020 for the European Higher Education Area (2012) http://www.ehea.info/Uploads/(1)/2012%20EHEA%20Mobility%20Strategy.pdf</w:t>
      </w:r>
      <w:r w:rsidRPr="005B6074">
        <w:rPr>
          <w:rFonts w:ascii="Verdana" w:hAnsi="Verdana"/>
          <w:sz w:val="20"/>
          <w:szCs w:val="20"/>
        </w:rPr>
        <w:tab/>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Beyond the Bologna Process: Creating and connecting national, regional and global higher education areas Statement of the Third Bologna Policy Forum (2012) , http://www.enqa.eu/wp-content/uploads/2013/03/Bucharest-BPF-Statement.pdf</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Communication from the Commission to the European Parliament, the Council, the European Economic and Social Committee and the Committee of the Regions supporting growth and jobs – an agenda for the modernisation of Europe's higher education systems (2011), </w:t>
      </w:r>
      <w:hyperlink r:id="rId72" w:history="1">
        <w:r w:rsidRPr="005B6074">
          <w:rPr>
            <w:rStyle w:val="Hyperlink"/>
            <w:rFonts w:ascii="Verdana" w:hAnsi="Verdana"/>
            <w:sz w:val="20"/>
            <w:szCs w:val="20"/>
          </w:rPr>
          <w:t>http://eur-lex.europa.eu/LexUriServ/LexUriServ.do?uri=COM:2011:0567:FIN:EN:PDF</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Danube Region Strategy, </w:t>
      </w:r>
      <w:hyperlink r:id="rId73" w:history="1">
        <w:r w:rsidRPr="005B6074">
          <w:rPr>
            <w:rStyle w:val="Hyperlink"/>
            <w:rFonts w:ascii="Verdana" w:hAnsi="Verdana"/>
            <w:sz w:val="20"/>
            <w:szCs w:val="20"/>
          </w:rPr>
          <w:t>http://www.danube-region.eu/</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The Bruges Communiqué on enhanced European Cooperation in Vocational Education and Training for the period 2011-2020. </w:t>
      </w:r>
      <w:hyperlink r:id="rId74" w:history="1">
        <w:r w:rsidRPr="005B6074">
          <w:rPr>
            <w:rStyle w:val="Hyperlink"/>
            <w:rFonts w:ascii="Verdana" w:hAnsi="Verdana"/>
            <w:sz w:val="20"/>
            <w:szCs w:val="20"/>
          </w:rPr>
          <w:t>http://ec.europa.eu/education/policy/vocational-policy/doc/brugescom_en.pdf</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Communication from the Commission to the European Parliament, the Council, the European Economic and Social Committee and the Committee of the Regions: A new impetus for European cooperation in Vocational Education and Training to support the Europe 2020 strategy, </w:t>
      </w:r>
      <w:hyperlink r:id="rId75" w:history="1">
        <w:r w:rsidRPr="005B6074">
          <w:rPr>
            <w:rStyle w:val="Hyperlink"/>
            <w:rFonts w:ascii="Verdana" w:hAnsi="Verdana"/>
            <w:sz w:val="20"/>
            <w:szCs w:val="20"/>
          </w:rPr>
          <w:t>http://mail.nacid.bg/newdesign/bg_eu/att_files/07_2010_VET_EN.pdf</w:t>
        </w:r>
      </w:hyperlink>
    </w:p>
    <w:p w:rsidR="00A01A26"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National qualifications framework of the Republic of Bulgaria -</w:t>
      </w:r>
      <w:hyperlink r:id="rId76" w:history="1">
        <w:r w:rsidRPr="005B6074">
          <w:rPr>
            <w:rStyle w:val="Hyperlink"/>
            <w:rFonts w:ascii="Verdana" w:hAnsi="Verdana"/>
            <w:color w:val="auto"/>
            <w:sz w:val="20"/>
            <w:szCs w:val="20"/>
          </w:rPr>
          <w:t>http://www.strategy.bg/StrategicDocuments/View.aspx?lang=bg-BG&amp;Id=719</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COMMUNICATION FROM THE COMMISSION TO THE EUROPEAN PARLIAMENT, THE COUNCIL, THE EUROPEAN ECONOMIC AND SOCIAL COMMITTEE AND THE </w:t>
      </w:r>
      <w:r w:rsidRPr="005B6074">
        <w:rPr>
          <w:rFonts w:ascii="Verdana" w:hAnsi="Verdana"/>
          <w:sz w:val="20"/>
          <w:szCs w:val="20"/>
        </w:rPr>
        <w:lastRenderedPageBreak/>
        <w:t xml:space="preserve">COMMITTEE OF THE REGIONS Horizon 2020 - The Framework Programme for Research and Innovation, </w:t>
      </w:r>
      <w:hyperlink r:id="rId77" w:history="1">
        <w:r w:rsidRPr="005B6074">
          <w:rPr>
            <w:rStyle w:val="Hyperlink"/>
            <w:rFonts w:ascii="Verdana" w:hAnsi="Verdana"/>
            <w:sz w:val="20"/>
            <w:szCs w:val="20"/>
          </w:rPr>
          <w:t>http://www.eumonitor.eu/9353000/1/j9vvik7m1c3gyxp/viv0td15o9zy</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ERASMUS FOR ALL (2014-2020)http://www.europarl.europa.eu/RegData/etudes/note/join/2012/474543/IPOL-CULT_NT(2012)474543(SUM01)_EN.pdf</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Commission Recommendation of 20.2.2013 Investing in children: breaking the cycle of disadvantage, </w:t>
      </w:r>
      <w:hyperlink r:id="rId78" w:history="1">
        <w:r w:rsidRPr="005B6074">
          <w:rPr>
            <w:rStyle w:val="Hyperlink"/>
            <w:rFonts w:ascii="Verdana" w:hAnsi="Verdana"/>
            <w:sz w:val="20"/>
            <w:szCs w:val="20"/>
          </w:rPr>
          <w:t>http://ec.europa.eu/justice/fundamental-rights/files/c_2013_778_en.pdf</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National Development Programme: Bulgaria 2020, </w:t>
      </w:r>
      <w:hyperlink r:id="rId79" w:history="1">
        <w:r w:rsidRPr="005B6074">
          <w:rPr>
            <w:rStyle w:val="Hyperlink"/>
            <w:rFonts w:ascii="Verdana" w:hAnsi="Verdana"/>
            <w:sz w:val="20"/>
            <w:szCs w:val="20"/>
          </w:rPr>
          <w:t>http://www.eufunds.bg/en/page/873</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Europe 2020: National Reform Programme of the Republic of Bulgaria, 2013 Update, http://www.minfin.bg/en/page/867</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Convergence Programme of the Republic of Bulgaria (2012 – 2015), </w:t>
      </w:r>
      <w:hyperlink r:id="rId80" w:history="1">
        <w:r w:rsidRPr="005B6074">
          <w:rPr>
            <w:rStyle w:val="Hyperlink"/>
            <w:rFonts w:ascii="Verdana" w:hAnsi="Verdana"/>
            <w:sz w:val="20"/>
            <w:szCs w:val="20"/>
          </w:rPr>
          <w:t>http://www.minfin.bg/en/page/868</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National Strategy of Scientific Research 2020, http://www.google.bg/url?sa=t&amp;rct=j&amp;q=&amp;esrc=s&amp;source=web&amp;cd=4&amp;ved=0CDgQFjAD&amp;url=http%3A%2F%2Fobservatory.euroris-net.eu%2Feuroris%2Ffiles%2Fdownload%2F174-181&amp;ei=GE_SU_WhNYPNygP9m4KABA&amp;usg=AFQjCNFBdJpZaOh7-vrI7hRhjpq26paPWg&amp;sig2=TK2r_EOIWyfLqluMTsC7aw&amp;bvm=bv.71778758,d.bGQ</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National Strategy for Lifelong Learning (</w:t>
      </w:r>
      <w:proofErr w:type="spellStart"/>
      <w:r w:rsidRPr="005B6074">
        <w:rPr>
          <w:rFonts w:ascii="Verdana" w:hAnsi="Verdana"/>
          <w:sz w:val="20"/>
          <w:szCs w:val="20"/>
        </w:rPr>
        <w:t>lll</w:t>
      </w:r>
      <w:proofErr w:type="spellEnd"/>
      <w:r w:rsidRPr="005B6074">
        <w:rPr>
          <w:rFonts w:ascii="Verdana" w:hAnsi="Verdana"/>
          <w:sz w:val="20"/>
          <w:szCs w:val="20"/>
        </w:rPr>
        <w:t>) for the period 2008 – 2013, http://www.google.bg/url?sa=t&amp;rct=j&amp;q=&amp;esrc=s&amp;source=web&amp;cd=5&amp;ved=0CD8QFjAE&amp;url=http%3A%2F%2Frefernet.hrdc.bg%2Fwebsite_uploads%2FFile%2Ffiletracking%2FLLL%2520strategy_eng__revised.pdf&amp;ei=6E_SU_GkLKWGywOLmYG4Aw&amp;usg=AFQjCNF5b_h7ocE_Oc0ZTbcgJ0c30dHfhQ&amp;sig2=UNowf02uZ09T1jVnrpkecg</w:t>
      </w:r>
    </w:p>
    <w:p w:rsidR="00A01A26"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National Strategy for Lifelong Learning 2014-2020 - </w:t>
      </w:r>
      <w:hyperlink r:id="rId81" w:history="1">
        <w:r w:rsidRPr="005B6074">
          <w:rPr>
            <w:rStyle w:val="Hyperlink"/>
            <w:rFonts w:ascii="Verdana" w:hAnsi="Verdana"/>
            <w:color w:val="auto"/>
            <w:sz w:val="20"/>
            <w:szCs w:val="20"/>
          </w:rPr>
          <w:t>http://www.strategy.bg/StrategicDocuments/View.aspx?lang=bg-BG&amp;Id=880</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School and Pre-school Education Development National Programme (2006-2015), </w:t>
      </w:r>
      <w:hyperlink r:id="rId82" w:history="1">
        <w:r w:rsidRPr="005B6074">
          <w:rPr>
            <w:rStyle w:val="Hyperlink"/>
            <w:rFonts w:ascii="Verdana" w:hAnsi="Verdana"/>
            <w:color w:val="auto"/>
            <w:sz w:val="20"/>
            <w:szCs w:val="20"/>
          </w:rPr>
          <w:t>http://pdc.ceu.hu/archive/00006616/01/Ministry-of-education_School-and-pre-school-education-development-national-Programme_2006-2015.pdf</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National Youth Strategy 2010 – 2020, </w:t>
      </w:r>
      <w:hyperlink r:id="rId83" w:history="1">
        <w:r w:rsidRPr="005B6074">
          <w:rPr>
            <w:rStyle w:val="Hyperlink"/>
            <w:rFonts w:ascii="Verdana" w:hAnsi="Verdana"/>
            <w:color w:val="auto"/>
            <w:sz w:val="20"/>
            <w:szCs w:val="20"/>
          </w:rPr>
          <w:t>http://planipolis.iiep.unesco.org/upload/Youth/Bulgaria/Bulgaria_National_Youth_Strategy.pdf</w:t>
        </w:r>
      </w:hyperlink>
    </w:p>
    <w:p w:rsidR="00A01A26"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National Roadmap for Research Infrastructure - </w:t>
      </w:r>
      <w:hyperlink r:id="rId84" w:history="1">
        <w:r w:rsidRPr="005B6074">
          <w:rPr>
            <w:rStyle w:val="Hyperlink"/>
            <w:rFonts w:ascii="Verdana" w:hAnsi="Verdana"/>
            <w:color w:val="auto"/>
            <w:sz w:val="20"/>
            <w:szCs w:val="20"/>
          </w:rPr>
          <w:t>http://www.strategy.bg/StrategicDocuments/View.aspx?lang=bg-BG&amp;Id=624</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proofErr w:type="spellStart"/>
      <w:r w:rsidRPr="005B6074">
        <w:rPr>
          <w:rFonts w:ascii="Verdana" w:hAnsi="Verdana"/>
          <w:sz w:val="20"/>
          <w:szCs w:val="20"/>
        </w:rPr>
        <w:t>Strategie</w:t>
      </w:r>
      <w:proofErr w:type="spellEnd"/>
      <w:r w:rsidRPr="005B6074">
        <w:rPr>
          <w:rFonts w:ascii="Verdana" w:hAnsi="Verdana"/>
          <w:sz w:val="20"/>
          <w:szCs w:val="20"/>
        </w:rPr>
        <w:t xml:space="preserve"> for </w:t>
      </w:r>
      <w:r w:rsidRPr="005B6074">
        <w:rPr>
          <w:rFonts w:ascii="Verdana" w:hAnsi="Verdana"/>
          <w:bCs/>
          <w:sz w:val="20"/>
          <w:szCs w:val="20"/>
        </w:rPr>
        <w:t>Integration</w:t>
      </w:r>
      <w:r w:rsidRPr="005B6074">
        <w:rPr>
          <w:rFonts w:ascii="Verdana" w:hAnsi="Verdana"/>
          <w:sz w:val="20"/>
          <w:szCs w:val="20"/>
        </w:rPr>
        <w:t xml:space="preserve"> of Children and Students from </w:t>
      </w:r>
      <w:r w:rsidRPr="005B6074">
        <w:rPr>
          <w:rFonts w:ascii="Verdana" w:hAnsi="Verdana"/>
          <w:bCs/>
          <w:sz w:val="20"/>
          <w:szCs w:val="20"/>
        </w:rPr>
        <w:t>Ethnic</w:t>
      </w:r>
      <w:r w:rsidRPr="005B6074">
        <w:rPr>
          <w:rFonts w:ascii="Verdana" w:hAnsi="Verdana"/>
          <w:b/>
          <w:bCs/>
          <w:sz w:val="20"/>
          <w:szCs w:val="20"/>
        </w:rPr>
        <w:t xml:space="preserve"> </w:t>
      </w:r>
      <w:r w:rsidRPr="005B6074">
        <w:rPr>
          <w:rFonts w:ascii="Verdana" w:hAnsi="Verdana"/>
          <w:bCs/>
          <w:sz w:val="20"/>
          <w:szCs w:val="20"/>
        </w:rPr>
        <w:t>Minorities</w:t>
      </w:r>
      <w:r w:rsidRPr="005B6074">
        <w:rPr>
          <w:rFonts w:ascii="Verdana" w:hAnsi="Verdana"/>
          <w:b/>
          <w:bCs/>
          <w:sz w:val="20"/>
          <w:szCs w:val="20"/>
        </w:rPr>
        <w:t xml:space="preserve"> </w:t>
      </w:r>
      <w:r w:rsidRPr="005B6074">
        <w:rPr>
          <w:rFonts w:ascii="Verdana" w:hAnsi="Verdana"/>
          <w:bCs/>
          <w:sz w:val="20"/>
          <w:szCs w:val="20"/>
        </w:rPr>
        <w:t>2004</w:t>
      </w:r>
      <w:r w:rsidRPr="005B6074">
        <w:rPr>
          <w:rFonts w:ascii="Verdana" w:hAnsi="Verdana"/>
          <w:b/>
          <w:bCs/>
          <w:sz w:val="20"/>
          <w:szCs w:val="20"/>
        </w:rPr>
        <w:t>-</w:t>
      </w:r>
      <w:r w:rsidRPr="005B6074">
        <w:rPr>
          <w:rFonts w:ascii="Verdana" w:hAnsi="Verdana"/>
          <w:bCs/>
          <w:sz w:val="20"/>
          <w:szCs w:val="20"/>
        </w:rPr>
        <w:t>2015</w:t>
      </w:r>
      <w:r w:rsidRPr="005B6074">
        <w:rPr>
          <w:rFonts w:ascii="Verdana" w:hAnsi="Verdana"/>
          <w:sz w:val="20"/>
          <w:szCs w:val="20"/>
        </w:rPr>
        <w:t xml:space="preserve"> - </w:t>
      </w:r>
      <w:hyperlink r:id="rId85" w:history="1">
        <w:r w:rsidRPr="005B6074">
          <w:rPr>
            <w:rStyle w:val="Hyperlink"/>
            <w:rFonts w:ascii="Verdana" w:hAnsi="Verdana"/>
            <w:color w:val="auto"/>
            <w:sz w:val="20"/>
            <w:szCs w:val="20"/>
          </w:rPr>
          <w:t>http://www.strategy.bg/StrategicDocuments/View.aspx?lang=bg-BG&amp;Id=396</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National Roma Integration Strategy of the Republic of Bulgaria (2012 - 2020) – </w:t>
      </w:r>
      <w:hyperlink r:id="rId86" w:history="1">
        <w:r w:rsidRPr="005B6074">
          <w:rPr>
            <w:rStyle w:val="Hyperlink"/>
            <w:rFonts w:ascii="Verdana" w:hAnsi="Verdana"/>
            <w:color w:val="auto"/>
            <w:sz w:val="20"/>
            <w:szCs w:val="20"/>
          </w:rPr>
          <w:t>http://ec.europa.eu/justice/discrimination/files/roma_bulgaria_strategy_en.pdf</w:t>
        </w:r>
      </w:hyperlink>
    </w:p>
    <w:p w:rsidR="00A01A26"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Framework Programme For Integration of Roma in Bulgarian Society 2010-2020 - </w:t>
      </w:r>
      <w:hyperlink r:id="rId87" w:history="1">
        <w:r w:rsidRPr="005B6074">
          <w:rPr>
            <w:rStyle w:val="Hyperlink"/>
            <w:rFonts w:ascii="Verdana" w:hAnsi="Verdana"/>
            <w:color w:val="auto"/>
            <w:sz w:val="20"/>
            <w:szCs w:val="20"/>
          </w:rPr>
          <w:t>http://www.strategy.bg/StrategicDocuments/View.aspx?lang=bg-BG&amp;Id=609</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National Action Plan Roma Inclusion Decade 2005-2015 – </w:t>
      </w:r>
      <w:hyperlink r:id="rId88" w:history="1">
        <w:r w:rsidRPr="005B6074">
          <w:rPr>
            <w:rStyle w:val="Hyperlink"/>
            <w:rFonts w:ascii="Verdana" w:hAnsi="Verdana"/>
            <w:color w:val="auto"/>
            <w:sz w:val="20"/>
            <w:szCs w:val="20"/>
          </w:rPr>
          <w:t>http://www.romadecade.org/article/decade-action-plans/9296</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National Strategy for promotion of Gender Equality for the Period 2009-2015 – </w:t>
      </w:r>
      <w:hyperlink r:id="rId89" w:history="1">
        <w:r w:rsidRPr="005B6074">
          <w:rPr>
            <w:rStyle w:val="Hyperlink"/>
            <w:rFonts w:ascii="Verdana" w:hAnsi="Verdana"/>
            <w:sz w:val="20"/>
            <w:szCs w:val="20"/>
          </w:rPr>
          <w:t>http://www.google.bg/url?sa=t&amp;rct=j&amp;q=&amp;esrc=s&amp;source=web&amp;cd=1&amp;ved=0CB0Q</w:t>
        </w:r>
        <w:r w:rsidRPr="005B6074">
          <w:rPr>
            <w:rStyle w:val="Hyperlink"/>
            <w:rFonts w:ascii="Verdana" w:hAnsi="Verdana"/>
            <w:sz w:val="20"/>
            <w:szCs w:val="20"/>
          </w:rPr>
          <w:lastRenderedPageBreak/>
          <w:t>FjAA&amp;url=http%3A%2F%2Fwww.mlsp.government.bg%2Fequal%2Fequalen%2Fbglaw.asp%3Fid%3D286&amp;ei=zVjSU8O2EqT8ygPNgIKAAg&amp;usg=AFQjCNF4U-Wggu17ITIY7nS5snnYCBmf7w&amp;sig2=fYlMS4xIDjGqIEVJ_UIIeA</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Updated National Demographic Strategy of the Republic of Bulgaria - </w:t>
      </w:r>
      <w:hyperlink r:id="rId90" w:history="1">
        <w:r w:rsidRPr="005B6074">
          <w:rPr>
            <w:rStyle w:val="Hyperlink"/>
            <w:rFonts w:ascii="Verdana" w:hAnsi="Verdana"/>
            <w:sz w:val="20"/>
            <w:szCs w:val="20"/>
          </w:rPr>
          <w:t>http://www.strategy.bg/StrategicDocuments/View.aspx?lang=bg-BG&amp;Id=778</w:t>
        </w:r>
      </w:hyperlink>
      <w:r w:rsidRPr="005B6074">
        <w:rPr>
          <w:rFonts w:ascii="Verdana" w:hAnsi="Verdana"/>
          <w:sz w:val="20"/>
          <w:szCs w:val="20"/>
        </w:rPr>
        <w:t xml:space="preserve"> - no link for EN text</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National Strategy for Equal Opportunities for Disabled People 2008-2015 - </w:t>
      </w:r>
      <w:hyperlink r:id="rId91" w:history="1">
        <w:r w:rsidRPr="005B6074">
          <w:rPr>
            <w:rStyle w:val="Hyperlink"/>
            <w:rFonts w:ascii="Verdana" w:hAnsi="Verdana"/>
            <w:sz w:val="20"/>
            <w:szCs w:val="20"/>
          </w:rPr>
          <w:t>http://www.strategy.bg/StrategicDocuments/View.aspx?lang=bg-BG&amp;Id=445</w:t>
        </w:r>
      </w:hyperlink>
      <w:r w:rsidRPr="005B6074">
        <w:rPr>
          <w:rFonts w:ascii="Verdana" w:hAnsi="Verdana"/>
          <w:sz w:val="20"/>
          <w:szCs w:val="20"/>
        </w:rPr>
        <w:t xml:space="preserve"> -  no link for EN text</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bCs/>
          <w:color w:val="000000"/>
          <w:kern w:val="36"/>
          <w:sz w:val="20"/>
          <w:szCs w:val="20"/>
        </w:rPr>
        <w:t xml:space="preserve">National Regional Development Strategy of the Republic of Bulgaria – </w:t>
      </w:r>
      <w:hyperlink r:id="rId92" w:history="1">
        <w:r w:rsidRPr="005B6074">
          <w:rPr>
            <w:rStyle w:val="Hyperlink"/>
            <w:rFonts w:ascii="Verdana" w:hAnsi="Verdana"/>
            <w:bCs/>
            <w:caps/>
            <w:kern w:val="36"/>
            <w:sz w:val="20"/>
            <w:szCs w:val="20"/>
          </w:rPr>
          <w:t>http://old.europe.bg/htmls/page.php?id=2231&amp;category=264&amp;translation=en</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National strategy for protecting the child (2008 – 2018) - </w:t>
      </w:r>
      <w:hyperlink r:id="rId93" w:history="1">
        <w:r w:rsidRPr="005B6074">
          <w:rPr>
            <w:rStyle w:val="Hyperlink"/>
            <w:rFonts w:ascii="Verdana" w:hAnsi="Verdana"/>
            <w:sz w:val="20"/>
            <w:szCs w:val="20"/>
          </w:rPr>
          <w:t>http://www.strategy.bg/StrategicDocuments/View.aspx?lang=bg-BG&amp;Id=464</w:t>
        </w:r>
      </w:hyperlink>
      <w:r w:rsidRPr="005B6074">
        <w:rPr>
          <w:rFonts w:ascii="Verdana" w:hAnsi="Verdana"/>
          <w:sz w:val="20"/>
          <w:szCs w:val="20"/>
        </w:rPr>
        <w:t xml:space="preserve"> - no link for EN text</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National Strategy “Vision for Deinstitutionalization of the Children in Bulgaria” - </w:t>
      </w:r>
      <w:hyperlink r:id="rId94" w:history="1">
        <w:r w:rsidRPr="005B6074">
          <w:rPr>
            <w:rStyle w:val="Hyperlink"/>
            <w:rFonts w:ascii="Verdana" w:hAnsi="Verdana"/>
            <w:sz w:val="20"/>
            <w:szCs w:val="20"/>
          </w:rPr>
          <w:t>http://www.strategy.bg/StrategicDocuments/View.aspx?lang=bg-BG&amp;Id=601</w:t>
        </w:r>
      </w:hyperlink>
      <w:r w:rsidRPr="005B6074">
        <w:rPr>
          <w:rFonts w:ascii="Verdana" w:hAnsi="Verdana"/>
          <w:sz w:val="20"/>
          <w:szCs w:val="20"/>
        </w:rPr>
        <w:t xml:space="preserve"> - no link for EN text</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National Programme for Guaranteeing the Rights of Children with Disabilities 2010-2013  - </w:t>
      </w:r>
      <w:hyperlink r:id="rId95" w:history="1">
        <w:r w:rsidRPr="005B6074">
          <w:rPr>
            <w:rStyle w:val="Hyperlink"/>
            <w:rFonts w:ascii="Verdana" w:hAnsi="Verdana"/>
            <w:color w:val="auto"/>
            <w:sz w:val="20"/>
            <w:szCs w:val="20"/>
          </w:rPr>
          <w:t>http://www.strategy.bg/StrategicDocuments/View.aspx?lang=bg-BG&amp;Id=657</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Concept of state policy in the field of justice for children - </w:t>
      </w:r>
      <w:hyperlink r:id="rId96" w:history="1">
        <w:r w:rsidRPr="005B6074">
          <w:rPr>
            <w:rStyle w:val="Hyperlink"/>
            <w:rFonts w:ascii="Verdana" w:hAnsi="Verdana"/>
            <w:color w:val="auto"/>
            <w:sz w:val="20"/>
            <w:szCs w:val="20"/>
          </w:rPr>
          <w:t>http://www.strategy.bg/Publications/View.aspx?lang=bg-BG&amp;Id=117</w:t>
        </w:r>
      </w:hyperlink>
      <w:r w:rsidRPr="005B6074">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Draft national strategy for pedagogical staff development - </w:t>
      </w:r>
      <w:hyperlink r:id="rId97" w:history="1">
        <w:r w:rsidRPr="005B6074">
          <w:rPr>
            <w:rStyle w:val="Hyperlink"/>
            <w:rFonts w:ascii="Verdana" w:hAnsi="Verdana"/>
            <w:color w:val="auto"/>
            <w:sz w:val="20"/>
            <w:szCs w:val="20"/>
          </w:rPr>
          <w:t>http://www.mon.bg/?h=downloadFile&amp;fileId=3419</w:t>
        </w:r>
      </w:hyperlink>
      <w:r w:rsidRPr="005B6074">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Innovation strategy for smart specialisation </w:t>
      </w:r>
    </w:p>
    <w:p w:rsidR="0006021F" w:rsidRPr="005B6074" w:rsidRDefault="00A35E98" w:rsidP="00181A22">
      <w:pPr>
        <w:pStyle w:val="ListParagraph"/>
        <w:numPr>
          <w:ilvl w:val="0"/>
          <w:numId w:val="30"/>
        </w:numPr>
        <w:tabs>
          <w:tab w:val="left" w:pos="5331"/>
        </w:tabs>
        <w:contextualSpacing/>
        <w:rPr>
          <w:rFonts w:ascii="Verdana" w:hAnsi="Verdana"/>
          <w:sz w:val="20"/>
          <w:szCs w:val="20"/>
        </w:rPr>
      </w:pPr>
      <w:r w:rsidRPr="005B6074">
        <w:rPr>
          <w:rFonts w:ascii="Verdana" w:hAnsi="Verdana"/>
          <w:sz w:val="20"/>
          <w:szCs w:val="20"/>
        </w:rPr>
        <w:t xml:space="preserve">“Draft Strategy for Preventing and Reducing the. Share of Dropouts and Early School Leavers (2013-2020)" </w:t>
      </w:r>
      <w:hyperlink r:id="rId98" w:history="1">
        <w:r w:rsidRPr="005B6074">
          <w:rPr>
            <w:rStyle w:val="Hyperlink"/>
            <w:rFonts w:ascii="Verdana" w:hAnsi="Verdana"/>
            <w:color w:val="auto"/>
            <w:sz w:val="20"/>
            <w:szCs w:val="20"/>
          </w:rPr>
          <w:t>http://www.esc.bg/en/activities/resolutions/item/1632-resolution-pspndopnos</w:t>
        </w:r>
      </w:hyperlink>
    </w:p>
    <w:p w:rsidR="00A01A26"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Draft strategy for effective use of information and communication technologies in education in the Republic of Bulgaria (2014–2020) - </w:t>
      </w:r>
      <w:hyperlink r:id="rId99" w:history="1">
        <w:r w:rsidRPr="005B6074">
          <w:rPr>
            <w:rStyle w:val="Hyperlink"/>
            <w:rFonts w:ascii="Verdana" w:hAnsi="Verdana"/>
            <w:sz w:val="20"/>
            <w:szCs w:val="20"/>
          </w:rPr>
          <w:t>http://www.strategy.bg/PublicConsultations/View.aspx?lang=bg-BG&amp;Id=1185</w:t>
        </w:r>
      </w:hyperlink>
      <w:r w:rsidRPr="005B6074">
        <w:t xml:space="preserve"> </w:t>
      </w:r>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REGULATION (EU) No 1303/2013 OF THE EUROPEAN PARLIAMENT AND OF THE COUNCIL of 17 December 2013 laying down common provisions on the European Regional Development Fund, the European Social Fund, the Cohesion Fund, the European Agricultural Fund for Rural Development and the European Maritime and Fisheries Fund and laying down general provisions on the European Regional Development Fund, the European Social Fund, the Cohesion Fund and the European Maritime and Fisheries Fund and repealing Council Regulation (EC) No 1083/2006 – </w:t>
      </w:r>
      <w:hyperlink r:id="rId100" w:history="1">
        <w:r w:rsidRPr="005B6074">
          <w:rPr>
            <w:rStyle w:val="Hyperlink"/>
            <w:rFonts w:ascii="Verdana" w:hAnsi="Verdana"/>
            <w:sz w:val="20"/>
            <w:szCs w:val="20"/>
          </w:rPr>
          <w:t>http://www.espa.gr/elibrary/EC1303_common_20122013_L347_EN.pdf</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REGULATION (EU) No 1301/2013 OF THE EUROPEAN PARLIAMENT AND OF THE COUNCIL of 17 December 2013 on the European Regional Development Fund and on specific provisions concerning the Investment for growth and jobs goal and repealing Regulation (EC) No 1080/2006, </w:t>
      </w:r>
      <w:hyperlink r:id="rId101" w:history="1">
        <w:r w:rsidRPr="005B6074">
          <w:rPr>
            <w:rStyle w:val="Hyperlink"/>
            <w:rFonts w:ascii="Verdana" w:hAnsi="Verdana"/>
            <w:sz w:val="20"/>
            <w:szCs w:val="20"/>
          </w:rPr>
          <w:t>http://eur-lex.europa.eu/LexUriServ/LexUriServ.do?uri=OJ:L:2013:347:0289:0302:EN:PDF</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lastRenderedPageBreak/>
        <w:t xml:space="preserve">REGULATION (EU) No 1304/2013 OF THE EUROPEAN PARLIAMENT AND OF THE COUNCIL of 17 December 2013 on the European Social Fund and repealing Council Regulation (EC) No 1081/2006 – </w:t>
      </w:r>
      <w:hyperlink r:id="rId102" w:history="1">
        <w:r w:rsidRPr="005B6074">
          <w:rPr>
            <w:rStyle w:val="Hyperlink"/>
            <w:rFonts w:ascii="Verdana" w:hAnsi="Verdana"/>
            <w:sz w:val="20"/>
            <w:szCs w:val="20"/>
          </w:rPr>
          <w:t>http://eur-lex.europa.eu/LexUriServ/LexUriServ.do?uri=OJ:L:2013:347:0470:0486:EN:PDF</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REGULATION (EU) No 1302/2013 OF THE EUROPEAN PARLIAMENT AND OF THE COUNCIL of 17 December 2013 amending Regulation (EC) No 1082/2006 on a European grouping of territorial cooperation (EGTC) as regards the clarification, simplification and improvement of the establishment and functioning of such groupings – </w:t>
      </w:r>
      <w:hyperlink r:id="rId103" w:history="1">
        <w:r w:rsidRPr="005B6074">
          <w:rPr>
            <w:rStyle w:val="Hyperlink"/>
            <w:rFonts w:ascii="Verdana" w:hAnsi="Verdana"/>
            <w:sz w:val="20"/>
            <w:szCs w:val="20"/>
          </w:rPr>
          <w:t>http://eur-lex.europa.eu/LexUriServ/LexUriServ.do?uri=OJ:L:2013:347:0303:0319:EN:PDF</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REGULATION (EU) No 1300/2013 OF THE EUROPEAN PARLIAMENT AND OF THE COUNCIL of 17 December 2013 on the Cohesion Fund and repealing Council Regulation (EC) No 1084/2006 – http://eur-lex.europa.eu/LexUriServ/LexUriServ.do?uri=OJ:L:2013:347:0281:0288:EN:PDF</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REGULATION (EU) No 1299/2013 OF THE EUROPEAN PARLIAMENT AND OF THE COUNCIL of 17 December 2013 on specific provisions for the support from the European Regional Development Fund to the European territorial cooperation goal, </w:t>
      </w:r>
      <w:hyperlink r:id="rId104" w:history="1">
        <w:r w:rsidRPr="005B6074">
          <w:rPr>
            <w:rStyle w:val="Hyperlink"/>
            <w:rFonts w:ascii="Verdana" w:hAnsi="Verdana"/>
            <w:sz w:val="20"/>
            <w:szCs w:val="20"/>
          </w:rPr>
          <w:t>http://eur-lex.europa.eu/LexUriServ/LexUriServ.do?uri=OJ:L:2013:347:0259:0280:EN:PDF</w:t>
        </w:r>
      </w:hyperlink>
    </w:p>
    <w:p w:rsidR="00712B3D"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National Education Act – </w:t>
      </w:r>
      <w:hyperlink r:id="rId105" w:history="1">
        <w:r w:rsidRPr="005B6074">
          <w:rPr>
            <w:rStyle w:val="Hyperlink"/>
            <w:rFonts w:ascii="Verdana" w:hAnsi="Verdana"/>
            <w:sz w:val="20"/>
            <w:szCs w:val="20"/>
          </w:rPr>
          <w:t>http://www.mon.bg/?go=page&amp;pageId=7&amp;subpageId=57</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Educational degrees, General Education Minimum and Curriculum Act - </w:t>
      </w:r>
      <w:hyperlink r:id="rId106" w:history="1">
        <w:r w:rsidRPr="005B6074">
          <w:rPr>
            <w:rStyle w:val="Hyperlink"/>
            <w:rFonts w:ascii="Verdana" w:hAnsi="Verdana"/>
            <w:sz w:val="20"/>
            <w:szCs w:val="20"/>
          </w:rPr>
          <w:t>http://www.mon.bg/?go=page&amp;pageId=7&amp;subpageId=57</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Vocational Education and Training Act – </w:t>
      </w:r>
      <w:hyperlink r:id="rId107" w:history="1">
        <w:r w:rsidRPr="005B6074">
          <w:rPr>
            <w:rStyle w:val="Hyperlink"/>
            <w:rFonts w:ascii="Verdana" w:hAnsi="Verdana"/>
            <w:sz w:val="20"/>
            <w:szCs w:val="20"/>
          </w:rPr>
          <w:t>http://www.mon.bg/?go=page&amp;pageId=7&amp;subpageId=57</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rPr>
      </w:pPr>
      <w:r w:rsidRPr="005B6074">
        <w:rPr>
          <w:rFonts w:ascii="Verdana" w:hAnsi="Verdana"/>
          <w:sz w:val="20"/>
          <w:szCs w:val="20"/>
        </w:rPr>
        <w:t xml:space="preserve">Pre-School Education and School Education Act - </w:t>
      </w:r>
      <w:hyperlink r:id="rId108" w:history="1">
        <w:r w:rsidRPr="005B6074">
          <w:rPr>
            <w:rStyle w:val="Hyperlink"/>
            <w:rFonts w:ascii="Verdana" w:hAnsi="Verdana"/>
            <w:sz w:val="20"/>
            <w:szCs w:val="20"/>
          </w:rPr>
          <w:t>http://www.parliament.bg/bg/bills/ID/14397/</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Higher Education Act - </w:t>
      </w:r>
      <w:hyperlink r:id="rId109" w:history="1">
        <w:r w:rsidRPr="005B6074">
          <w:rPr>
            <w:rStyle w:val="Hyperlink"/>
            <w:rFonts w:ascii="Verdana" w:hAnsi="Verdana"/>
            <w:sz w:val="20"/>
            <w:szCs w:val="20"/>
          </w:rPr>
          <w:t>http://www.mon.bg/?go=page&amp;pageId=7&amp;subpageId=57</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Law on the development of academic staff in the Republic of Bulgaria - </w:t>
      </w:r>
      <w:hyperlink r:id="rId110" w:history="1">
        <w:r w:rsidRPr="005B6074">
          <w:rPr>
            <w:rStyle w:val="Hyperlink"/>
            <w:rFonts w:ascii="Verdana" w:hAnsi="Verdana"/>
            <w:sz w:val="20"/>
            <w:szCs w:val="20"/>
          </w:rPr>
          <w:t>http://www.mon.bg/?go=page&amp;pageId=7&amp;subpageId=57</w:t>
        </w:r>
      </w:hyperlink>
      <w:r w:rsidRPr="005B6074">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rPr>
      </w:pPr>
      <w:r w:rsidRPr="005B6074">
        <w:rPr>
          <w:rFonts w:ascii="Verdana" w:hAnsi="Verdana"/>
          <w:sz w:val="20"/>
          <w:szCs w:val="20"/>
        </w:rPr>
        <w:t xml:space="preserve">Encouragement of the Scientific Research Work in Bulgaria Act - </w:t>
      </w:r>
      <w:hyperlink r:id="rId111" w:history="1">
        <w:r w:rsidRPr="005B6074">
          <w:rPr>
            <w:rStyle w:val="Hyperlink"/>
            <w:rFonts w:ascii="Verdana" w:hAnsi="Verdana"/>
            <w:sz w:val="20"/>
            <w:szCs w:val="20"/>
          </w:rPr>
          <w:t>http://www.mon.bg/?go=page&amp;pageId=7&amp;subpageId=57</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rPr>
      </w:pPr>
      <w:r w:rsidRPr="005B6074">
        <w:rPr>
          <w:rFonts w:ascii="Verdana" w:hAnsi="Verdana"/>
          <w:sz w:val="20"/>
          <w:szCs w:val="20"/>
        </w:rPr>
        <w:t xml:space="preserve">Lending Undergraduate and Graduate Students (student's and PhD's credits) Act - </w:t>
      </w:r>
      <w:hyperlink r:id="rId112" w:history="1">
        <w:r w:rsidRPr="005B6074">
          <w:rPr>
            <w:rStyle w:val="Hyperlink"/>
            <w:rFonts w:ascii="Verdana" w:hAnsi="Verdana"/>
            <w:sz w:val="20"/>
            <w:szCs w:val="20"/>
          </w:rPr>
          <w:t>http://www.mon.bg/?go=page&amp;pageId=7&amp;subpageId=57</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Financial Management and Control in the Public Sector Act – http://www.google.bg/url?sa=t&amp;rct=j&amp;q=&amp;esrc=s&amp;source=web&amp;cd=1&amp;ved=0CB0QFjAA&amp;url=http%3A%2F%2Fwww.bulnao.government.bg%2Ffiles%2F_en%2FFinancial_Management_and_Control_in_the_Public_Sector_Act.doc&amp;ei=T1zXU8S_DYWc0QXGlYDYCA&amp;usg=AFQjCNFjAu16k6KRfDR_BtvefcMl0kRJ9w&amp;sig2=BxRRIGQXaWgGEkxt8MeQKg</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Decree No.70 of the Council of Ministers of 14.04.2010 on coordination of the management of EU funds - </w:t>
      </w:r>
      <w:hyperlink r:id="rId113" w:history="1">
        <w:r w:rsidRPr="005B6074">
          <w:rPr>
            <w:rStyle w:val="Hyperlink"/>
            <w:rFonts w:ascii="Verdana" w:hAnsi="Verdana"/>
            <w:sz w:val="20"/>
            <w:szCs w:val="20"/>
          </w:rPr>
          <w:t>http://www.eufunds.bg/bg/page/119</w:t>
        </w:r>
      </w:hyperlink>
      <w:r w:rsidRPr="005B6074">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bookmarkStart w:id="255" w:name="RANGE!C68"/>
      <w:r w:rsidRPr="005B6074">
        <w:rPr>
          <w:rFonts w:ascii="Verdana" w:hAnsi="Verdana"/>
          <w:sz w:val="20"/>
          <w:szCs w:val="20"/>
        </w:rPr>
        <w:t xml:space="preserve">Decree No.5 of the Council of Ministers of 18 January 2012 on development of  strategic and programming documents of the Republic of Bulgaria for the management financial resources provided from EU common strategic framework funds for the programming period 2014-2020  </w:t>
      </w:r>
      <w:bookmarkEnd w:id="255"/>
      <w:r w:rsidRPr="005B6074">
        <w:rPr>
          <w:rFonts w:ascii="Verdana" w:hAnsi="Verdana"/>
          <w:sz w:val="20"/>
          <w:szCs w:val="20"/>
        </w:rPr>
        <w:t xml:space="preserve">- </w:t>
      </w:r>
      <w:hyperlink r:id="rId114" w:history="1">
        <w:r w:rsidRPr="005B6074">
          <w:rPr>
            <w:rStyle w:val="Hyperlink"/>
            <w:rFonts w:ascii="Verdana" w:hAnsi="Verdana"/>
            <w:sz w:val="20"/>
            <w:szCs w:val="20"/>
          </w:rPr>
          <w:t>http://www.eufunds.bg/bg/page/119</w:t>
        </w:r>
      </w:hyperlink>
      <w:r w:rsidRPr="005B6074">
        <w:t xml:space="preserve"> </w:t>
      </w:r>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lastRenderedPageBreak/>
        <w:t xml:space="preserve">Decision No.668 of 6 August 2012 for approval of a list of actions, time limits and responsible institutions for meeting the prerequisites concerning European Union funds for the programming period 2014-2020 - </w:t>
      </w:r>
      <w:hyperlink r:id="rId115" w:history="1">
        <w:r w:rsidRPr="005B6074">
          <w:rPr>
            <w:rStyle w:val="Hyperlink"/>
            <w:rFonts w:ascii="Verdana" w:hAnsi="Verdana"/>
            <w:sz w:val="20"/>
            <w:szCs w:val="20"/>
          </w:rPr>
          <w:t>http://www.eufunds.bg/bg/page/37</w:t>
        </w:r>
      </w:hyperlink>
      <w:r w:rsidRPr="005B6074">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Decision No.102 of the Council of Ministers of 14.02.2013 on amending and supplementing of Decision No.668 of the Council of Ministers of 2012 for approval of a list of actions, time limits and responsible institutions for meeting the prerequisites concerning European Union funds for the programming period 2014-2020  - </w:t>
      </w:r>
      <w:hyperlink r:id="rId116" w:history="1">
        <w:r w:rsidRPr="005B6074">
          <w:rPr>
            <w:rStyle w:val="Hyperlink"/>
            <w:rFonts w:ascii="Verdana" w:hAnsi="Verdana"/>
            <w:sz w:val="20"/>
            <w:szCs w:val="20"/>
          </w:rPr>
          <w:t>http://www.eufunds.bg/bg/page/37</w:t>
        </w:r>
      </w:hyperlink>
      <w:r w:rsidRPr="005B6074">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Decision No.328 of the Council of Ministers of 25 April 2012 for approval of a list of thematic goals, which are to be included in the Partnership Agreement of the Republic of Bulgaria for the programming period 2014-2020, a list of programmes and leading administration for the development of each programme - </w:t>
      </w:r>
      <w:hyperlink r:id="rId117" w:history="1">
        <w:r w:rsidRPr="005B6074">
          <w:rPr>
            <w:rStyle w:val="Hyperlink"/>
            <w:rFonts w:ascii="Verdana" w:hAnsi="Verdana"/>
            <w:sz w:val="20"/>
            <w:szCs w:val="20"/>
          </w:rPr>
          <w:t>http://www.eufunds.bg/bg/page/37</w:t>
        </w:r>
      </w:hyperlink>
      <w:r w:rsidRPr="005B6074">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rPr>
      </w:pPr>
      <w:r w:rsidRPr="005B6074">
        <w:rPr>
          <w:rFonts w:ascii="Verdana" w:hAnsi="Verdana"/>
          <w:bCs/>
          <w:sz w:val="20"/>
          <w:szCs w:val="20"/>
        </w:rPr>
        <w:t>Operational programme</w:t>
      </w:r>
      <w:r w:rsidRPr="005B6074">
        <w:rPr>
          <w:rFonts w:ascii="Verdana" w:hAnsi="Verdana"/>
          <w:sz w:val="20"/>
          <w:szCs w:val="20"/>
        </w:rPr>
        <w:t xml:space="preserve"> “</w:t>
      </w:r>
      <w:r w:rsidRPr="005B6074">
        <w:rPr>
          <w:rFonts w:ascii="Verdana" w:hAnsi="Verdana"/>
          <w:bCs/>
          <w:sz w:val="20"/>
          <w:szCs w:val="20"/>
        </w:rPr>
        <w:t>Regions</w:t>
      </w:r>
      <w:r w:rsidRPr="005B6074">
        <w:rPr>
          <w:rFonts w:ascii="Verdana" w:hAnsi="Verdana"/>
          <w:sz w:val="20"/>
          <w:szCs w:val="20"/>
        </w:rPr>
        <w:t xml:space="preserve"> in growth” 2014–2020 - </w:t>
      </w:r>
      <w:hyperlink r:id="rId118" w:history="1">
        <w:r w:rsidRPr="005B6074">
          <w:rPr>
            <w:rStyle w:val="Hyperlink"/>
            <w:rFonts w:ascii="Verdana" w:hAnsi="Verdana"/>
            <w:sz w:val="20"/>
            <w:szCs w:val="20"/>
          </w:rPr>
          <w:t>http://www.eufunds.bg/bg/page/989</w:t>
        </w:r>
      </w:hyperlink>
      <w:r w:rsidRPr="005B6074">
        <w:rPr>
          <w:rFonts w:ascii="Verdana" w:hAnsi="Verdana"/>
          <w:sz w:val="20"/>
          <w:szCs w:val="20"/>
        </w:rPr>
        <w:t xml:space="preserve"> </w:t>
      </w:r>
    </w:p>
    <w:p w:rsidR="0006021F" w:rsidRPr="005B6074" w:rsidRDefault="007A2B7B" w:rsidP="00181A22">
      <w:pPr>
        <w:pStyle w:val="ListParagraph"/>
        <w:numPr>
          <w:ilvl w:val="0"/>
          <w:numId w:val="30"/>
        </w:numPr>
        <w:tabs>
          <w:tab w:val="left" w:pos="5331"/>
        </w:tabs>
        <w:contextualSpacing/>
        <w:rPr>
          <w:rFonts w:ascii="Verdana" w:hAnsi="Verdana"/>
          <w:sz w:val="20"/>
          <w:szCs w:val="20"/>
        </w:rPr>
      </w:pPr>
      <w:hyperlink r:id="rId119" w:history="1">
        <w:r w:rsidR="00A35E98" w:rsidRPr="005B6074">
          <w:rPr>
            <w:rFonts w:ascii="Verdana" w:hAnsi="Verdana"/>
            <w:bCs/>
            <w:sz w:val="20"/>
            <w:szCs w:val="20"/>
          </w:rPr>
          <w:t>Operational Programme Human Resources</w:t>
        </w:r>
        <w:r w:rsidR="00A35E98" w:rsidRPr="005B6074">
          <w:rPr>
            <w:rFonts w:ascii="Verdana" w:hAnsi="Verdana"/>
            <w:sz w:val="20"/>
            <w:szCs w:val="20"/>
          </w:rPr>
          <w:t xml:space="preserve"> Development</w:t>
        </w:r>
      </w:hyperlink>
      <w:r w:rsidR="00A35E98" w:rsidRPr="005B6074">
        <w:rPr>
          <w:rFonts w:ascii="Verdana" w:hAnsi="Verdana"/>
          <w:sz w:val="20"/>
          <w:szCs w:val="20"/>
        </w:rPr>
        <w:t xml:space="preserve"> – ophrd.government.bg/</w:t>
      </w:r>
      <w:proofErr w:type="spellStart"/>
      <w:r w:rsidR="00A35E98" w:rsidRPr="005B6074">
        <w:rPr>
          <w:rFonts w:ascii="Verdana" w:hAnsi="Verdana"/>
          <w:sz w:val="20"/>
          <w:szCs w:val="20"/>
        </w:rPr>
        <w:t>view_file.php</w:t>
      </w:r>
      <w:proofErr w:type="spellEnd"/>
      <w:r w:rsidR="00A35E98" w:rsidRPr="005B6074">
        <w:rPr>
          <w:rFonts w:ascii="Verdana" w:hAnsi="Verdana"/>
          <w:sz w:val="20"/>
          <w:szCs w:val="20"/>
        </w:rPr>
        <w:t xml:space="preserve">/3226 </w:t>
      </w:r>
    </w:p>
    <w:p w:rsidR="0006021F" w:rsidRPr="005B6074" w:rsidRDefault="00A35E98" w:rsidP="00181A22">
      <w:pPr>
        <w:pStyle w:val="ListParagraph"/>
        <w:numPr>
          <w:ilvl w:val="0"/>
          <w:numId w:val="30"/>
        </w:numPr>
        <w:tabs>
          <w:tab w:val="left" w:pos="5331"/>
        </w:tabs>
        <w:contextualSpacing/>
        <w:rPr>
          <w:rFonts w:ascii="Verdana" w:hAnsi="Verdana"/>
          <w:sz w:val="20"/>
          <w:szCs w:val="20"/>
        </w:rPr>
      </w:pPr>
      <w:r w:rsidRPr="005B6074">
        <w:rPr>
          <w:rFonts w:ascii="Verdana" w:hAnsi="Verdana"/>
          <w:sz w:val="20"/>
          <w:szCs w:val="20"/>
        </w:rPr>
        <w:t xml:space="preserve">Operational Program "Good Governance" 2014–2020 - </w:t>
      </w:r>
      <w:hyperlink r:id="rId120" w:history="1">
        <w:r w:rsidRPr="005B6074">
          <w:rPr>
            <w:rStyle w:val="Hyperlink"/>
            <w:rFonts w:ascii="Verdana" w:hAnsi="Verdana"/>
            <w:sz w:val="20"/>
            <w:szCs w:val="20"/>
          </w:rPr>
          <w:t>http://www.eufunds.bg/bg/page/1022</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proofErr w:type="spellStart"/>
      <w:r w:rsidRPr="005B6074">
        <w:rPr>
          <w:rFonts w:ascii="Verdana" w:hAnsi="Verdana"/>
          <w:sz w:val="20"/>
          <w:szCs w:val="20"/>
        </w:rPr>
        <w:t>Operatopnal</w:t>
      </w:r>
      <w:proofErr w:type="spellEnd"/>
      <w:r w:rsidRPr="005B6074">
        <w:rPr>
          <w:rFonts w:ascii="Verdana" w:hAnsi="Verdana"/>
          <w:sz w:val="20"/>
          <w:szCs w:val="20"/>
        </w:rPr>
        <w:t xml:space="preserve"> program on Transport 2014–2020 - </w:t>
      </w:r>
      <w:hyperlink r:id="rId121" w:history="1">
        <w:r w:rsidRPr="005B6074">
          <w:rPr>
            <w:rStyle w:val="Hyperlink"/>
            <w:rFonts w:ascii="Verdana" w:hAnsi="Verdana"/>
            <w:sz w:val="20"/>
            <w:szCs w:val="20"/>
          </w:rPr>
          <w:t>http://www.eufunds.bg/en/page/12</w:t>
        </w:r>
      </w:hyperlink>
    </w:p>
    <w:p w:rsidR="0006021F" w:rsidRPr="005B6074" w:rsidRDefault="00A35E98" w:rsidP="00181A22">
      <w:pPr>
        <w:pStyle w:val="ListParagraph"/>
        <w:numPr>
          <w:ilvl w:val="0"/>
          <w:numId w:val="30"/>
        </w:numPr>
        <w:tabs>
          <w:tab w:val="left" w:pos="5331"/>
        </w:tabs>
        <w:contextualSpacing/>
        <w:rPr>
          <w:rStyle w:val="HTMLCite"/>
          <w:rFonts w:ascii="Verdana" w:hAnsi="Verdana"/>
          <w:i w:val="0"/>
          <w:iCs w:val="0"/>
          <w:sz w:val="20"/>
          <w:szCs w:val="20"/>
          <w:u w:val="single"/>
        </w:rPr>
      </w:pPr>
      <w:r w:rsidRPr="005B6074">
        <w:rPr>
          <w:rFonts w:ascii="Verdana" w:hAnsi="Verdana"/>
          <w:sz w:val="20"/>
          <w:szCs w:val="20"/>
        </w:rPr>
        <w:t xml:space="preserve">Operational Programme „Innovation and Competitiveness 2014–2020 – </w:t>
      </w:r>
      <w:hyperlink r:id="rId122" w:history="1">
        <w:r w:rsidRPr="005B6074">
          <w:rPr>
            <w:rStyle w:val="Hyperlink"/>
            <w:rFonts w:ascii="Verdana" w:hAnsi="Verdana" w:cs="Arial"/>
            <w:sz w:val="20"/>
            <w:szCs w:val="20"/>
          </w:rPr>
          <w:t>www.eufunds.bg/document/6217</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Operational Programme Environment 2014–2020 - </w:t>
      </w:r>
      <w:hyperlink w:history="1"/>
      <w:r w:rsidRPr="005B6074">
        <w:rPr>
          <w:rFonts w:ascii="Verdana" w:hAnsi="Verdana"/>
          <w:sz w:val="20"/>
          <w:szCs w:val="20"/>
        </w:rPr>
        <w:t>http://www.eufunds.bg/en/page/13</w:t>
      </w:r>
    </w:p>
    <w:p w:rsidR="0006021F" w:rsidRPr="005B6074" w:rsidRDefault="00A35E98" w:rsidP="00181A22">
      <w:pPr>
        <w:pStyle w:val="ListParagraph"/>
        <w:numPr>
          <w:ilvl w:val="0"/>
          <w:numId w:val="30"/>
        </w:numPr>
        <w:tabs>
          <w:tab w:val="left" w:pos="5331"/>
        </w:tabs>
        <w:contextualSpacing/>
        <w:rPr>
          <w:rFonts w:ascii="Verdana" w:hAnsi="Verdana"/>
          <w:sz w:val="20"/>
          <w:szCs w:val="20"/>
        </w:rPr>
      </w:pPr>
      <w:r w:rsidRPr="005B6074">
        <w:rPr>
          <w:rFonts w:ascii="Verdana" w:hAnsi="Verdana"/>
          <w:sz w:val="20"/>
          <w:szCs w:val="20"/>
        </w:rPr>
        <w:t xml:space="preserve">Rural Development Programme 2014–2020 - </w:t>
      </w:r>
      <w:hyperlink r:id="rId123" w:history="1">
        <w:r w:rsidRPr="005B6074">
          <w:rPr>
            <w:rStyle w:val="Hyperlink"/>
            <w:rFonts w:ascii="Verdana" w:hAnsi="Verdana"/>
            <w:sz w:val="20"/>
            <w:szCs w:val="20"/>
          </w:rPr>
          <w:t>http://prsr.government.bg/index.php/bg/sections/l2/101</w:t>
        </w:r>
      </w:hyperlink>
      <w:r w:rsidRPr="005B6074">
        <w:rPr>
          <w:rFonts w:ascii="Verdana" w:hAnsi="Verdana"/>
          <w:sz w:val="20"/>
          <w:szCs w:val="20"/>
        </w:rPr>
        <w:t xml:space="preserve"> - </w:t>
      </w:r>
    </w:p>
    <w:p w:rsidR="0006021F" w:rsidRPr="005B6074" w:rsidRDefault="007A2B7B" w:rsidP="00181A22">
      <w:pPr>
        <w:numPr>
          <w:ilvl w:val="0"/>
          <w:numId w:val="30"/>
        </w:numPr>
        <w:tabs>
          <w:tab w:val="left" w:pos="5331"/>
        </w:tabs>
        <w:spacing w:after="0" w:line="240" w:lineRule="auto"/>
        <w:contextualSpacing/>
        <w:outlineLvl w:val="3"/>
        <w:rPr>
          <w:rFonts w:ascii="Verdana" w:hAnsi="Verdana"/>
          <w:sz w:val="20"/>
          <w:szCs w:val="20"/>
        </w:rPr>
      </w:pPr>
      <w:hyperlink r:id="rId124" w:history="1">
        <w:r w:rsidR="00A35E98" w:rsidRPr="005B6074">
          <w:rPr>
            <w:rFonts w:ascii="Verdana" w:hAnsi="Verdana"/>
            <w:sz w:val="20"/>
            <w:szCs w:val="20"/>
          </w:rPr>
          <w:t xml:space="preserve">Programme for Maritime Affairs and Fisheries </w:t>
        </w:r>
      </w:hyperlink>
      <w:r w:rsidR="00A35E98" w:rsidRPr="005B6074">
        <w:rPr>
          <w:rFonts w:ascii="Verdana" w:hAnsi="Verdana"/>
          <w:sz w:val="20"/>
          <w:szCs w:val="20"/>
        </w:rPr>
        <w:t xml:space="preserve"> 2014–2020 - </w:t>
      </w:r>
      <w:hyperlink r:id="rId125" w:history="1">
        <w:r w:rsidR="00A35E98" w:rsidRPr="005B6074">
          <w:rPr>
            <w:rStyle w:val="Hyperlink"/>
            <w:rFonts w:ascii="Verdana" w:hAnsi="Verdana"/>
            <w:sz w:val="20"/>
            <w:szCs w:val="20"/>
          </w:rPr>
          <w:t>http://www.eufunds.bg/bg/page/983</w:t>
        </w:r>
      </w:hyperlink>
      <w:r w:rsidR="00A35E98"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rPr>
      </w:pPr>
      <w:r w:rsidRPr="005B6074">
        <w:rPr>
          <w:rFonts w:ascii="Verdana" w:hAnsi="Verdana"/>
          <w:sz w:val="20"/>
          <w:szCs w:val="20"/>
        </w:rPr>
        <w:t xml:space="preserve">European territorial cooperation program 2014–2020 - </w:t>
      </w:r>
      <w:hyperlink r:id="rId126" w:history="1">
        <w:r w:rsidRPr="005B6074">
          <w:rPr>
            <w:rStyle w:val="Hyperlink"/>
            <w:rFonts w:ascii="Verdana" w:hAnsi="Verdana"/>
            <w:sz w:val="20"/>
            <w:szCs w:val="20"/>
          </w:rPr>
          <w:t>http://www.eufunds.bg/bg/page/982</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rPr>
      </w:pPr>
      <w:r w:rsidRPr="005B6074">
        <w:rPr>
          <w:rFonts w:ascii="Verdana" w:hAnsi="Verdana"/>
          <w:sz w:val="20"/>
          <w:szCs w:val="20"/>
        </w:rPr>
        <w:t xml:space="preserve">Agreement of the Republic of Bulgaria for Partnership with the EU in the period 2014-2020 – </w:t>
      </w:r>
      <w:hyperlink r:id="rId127" w:history="1">
        <w:r w:rsidRPr="005B6074">
          <w:rPr>
            <w:rStyle w:val="Hyperlink"/>
            <w:rFonts w:ascii="Verdana" w:hAnsi="Verdana"/>
            <w:sz w:val="20"/>
            <w:szCs w:val="20"/>
          </w:rPr>
          <w:t>http://www.eufunds.bg/bg/page/993</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rPr>
      </w:pPr>
      <w:r w:rsidRPr="005B6074">
        <w:rPr>
          <w:rFonts w:ascii="Verdana" w:hAnsi="Verdana"/>
          <w:sz w:val="20"/>
          <w:szCs w:val="20"/>
        </w:rPr>
        <w:t xml:space="preserve">Position of the Commission Services on the development of the Partnership Agreement and Programmes in Bulgaria for the period 2014-2020 - </w:t>
      </w:r>
      <w:hyperlink r:id="rId128" w:history="1">
        <w:r w:rsidRPr="005B6074">
          <w:rPr>
            <w:rStyle w:val="Hyperlink"/>
            <w:rFonts w:ascii="Verdana" w:hAnsi="Verdana"/>
            <w:sz w:val="20"/>
            <w:szCs w:val="20"/>
          </w:rPr>
          <w:t>http://ec.europa.eu/regional_policy/what/future/pdf/partnership/bg_position_paper_bg.pdf</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Concept for programming the development of the Republic of Bulgaria - </w:t>
      </w:r>
      <w:hyperlink r:id="rId129" w:history="1">
        <w:r w:rsidRPr="005B6074">
          <w:rPr>
            <w:rStyle w:val="Hyperlink"/>
            <w:rFonts w:ascii="Verdana" w:hAnsi="Verdana"/>
            <w:sz w:val="20"/>
            <w:szCs w:val="20"/>
          </w:rPr>
          <w:t>http://www.saveti.government.bg/web/guest</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rPr>
      </w:pPr>
      <w:r w:rsidRPr="005B6074">
        <w:rPr>
          <w:rFonts w:ascii="Verdana" w:hAnsi="Verdana"/>
          <w:sz w:val="20"/>
          <w:szCs w:val="20"/>
        </w:rPr>
        <w:t xml:space="preserve">Methodology for Strategic Planning in Bulgaria - </w:t>
      </w:r>
      <w:hyperlink r:id="rId130" w:history="1">
        <w:r w:rsidRPr="005B6074">
          <w:rPr>
            <w:rStyle w:val="Hyperlink"/>
            <w:rFonts w:ascii="Verdana" w:hAnsi="Verdana"/>
            <w:sz w:val="20"/>
            <w:szCs w:val="20"/>
          </w:rPr>
          <w:t>http://www.strategy.bg/Publications/View.aspx?lang=bg-BG&amp;Id=90</w:t>
        </w:r>
      </w:hyperlink>
      <w:r w:rsidRPr="005B6074">
        <w:rPr>
          <w:rFonts w:ascii="Verdana" w:hAnsi="Verdana"/>
          <w:sz w:val="20"/>
          <w:szCs w:val="20"/>
        </w:rPr>
        <w:t xml:space="preserve"> </w:t>
      </w:r>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 Program for the activity of the </w:t>
      </w:r>
      <w:proofErr w:type="spellStart"/>
      <w:r w:rsidRPr="005B6074">
        <w:rPr>
          <w:rFonts w:ascii="Verdana" w:hAnsi="Verdana"/>
          <w:sz w:val="20"/>
          <w:szCs w:val="20"/>
        </w:rPr>
        <w:t>Center</w:t>
      </w:r>
      <w:proofErr w:type="spellEnd"/>
      <w:r w:rsidRPr="005B6074">
        <w:rPr>
          <w:rFonts w:ascii="Verdana" w:hAnsi="Verdana"/>
          <w:sz w:val="20"/>
          <w:szCs w:val="20"/>
        </w:rPr>
        <w:t xml:space="preserve"> For Educational Integration Of Children And Students From Ethnic Minorities for the period 2013 – 2015 – </w:t>
      </w:r>
      <w:hyperlink r:id="rId131" w:history="1">
        <w:r w:rsidRPr="005B6074">
          <w:rPr>
            <w:rStyle w:val="Hyperlink"/>
            <w:rFonts w:ascii="Verdana" w:hAnsi="Verdana"/>
            <w:sz w:val="20"/>
            <w:szCs w:val="20"/>
          </w:rPr>
          <w:t>http://coiduem.mon.bg/en/page.php?c=4</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lastRenderedPageBreak/>
        <w:t xml:space="preserve">COMMISSION STAFF WORKING PAPER - EXECUTIVE SUMMARY OF THE IMPACT ASSESSMENT Accompanying the document Proposal for a REGULATION OF THE EUROPEAN PARLIAMENT AND OF THE COUNCIL laying down common provisions on the European Regional Development Fund, the European Social Fund, the Cohesion Fund, the European Agricultural Fund for Rural Development and the European Maritime and Fisheries Fund covered by the Common Strategic Framework and laying down general provisions on the European Regional Development Fund, the European Social Fund and the Cohesion Fund and repealing Regulation (EC) No 1083/2006 – </w:t>
      </w:r>
      <w:hyperlink r:id="rId132" w:history="1">
        <w:r w:rsidRPr="005B6074">
          <w:rPr>
            <w:rStyle w:val="Hyperlink"/>
            <w:rFonts w:ascii="Verdana" w:hAnsi="Verdana"/>
            <w:sz w:val="20"/>
            <w:szCs w:val="20"/>
          </w:rPr>
          <w:t>http://www.parliament.bg/bg/eudocs/ID/17911</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u w:val="single"/>
        </w:rPr>
      </w:pPr>
      <w:r w:rsidRPr="005B6074">
        <w:rPr>
          <w:rFonts w:ascii="Verdana" w:hAnsi="Verdana"/>
          <w:sz w:val="20"/>
          <w:szCs w:val="20"/>
        </w:rPr>
        <w:t xml:space="preserve">Summary of the Impact Assessment (Commission Staff Working Paper) Accompanying document to the Proposal for a Regulation of the European Parliament and of the Council on the European Social Fund and repealing Regulation (EC) No 1081/2006 – </w:t>
      </w:r>
      <w:hyperlink r:id="rId133" w:history="1">
        <w:r w:rsidRPr="005B6074">
          <w:rPr>
            <w:rStyle w:val="Hyperlink"/>
            <w:rFonts w:ascii="Verdana" w:hAnsi="Verdana"/>
            <w:sz w:val="20"/>
            <w:szCs w:val="20"/>
          </w:rPr>
          <w:t>http://register.consilium.europa.eu/doc/srv?l=EN&amp;t=PDF&amp;f=ST+15451+2011+ADD+1</w:t>
        </w:r>
      </w:hyperlink>
    </w:p>
    <w:p w:rsidR="0006021F" w:rsidRPr="005B6074" w:rsidRDefault="00A35E98" w:rsidP="00181A22">
      <w:pPr>
        <w:pStyle w:val="ListParagraph"/>
        <w:numPr>
          <w:ilvl w:val="0"/>
          <w:numId w:val="30"/>
        </w:numPr>
        <w:tabs>
          <w:tab w:val="left" w:pos="5331"/>
        </w:tabs>
        <w:contextualSpacing/>
        <w:rPr>
          <w:rFonts w:ascii="Verdana" w:hAnsi="Verdana"/>
          <w:sz w:val="20"/>
          <w:szCs w:val="20"/>
        </w:rPr>
      </w:pPr>
      <w:r w:rsidRPr="005B6074">
        <w:rPr>
          <w:rFonts w:ascii="Verdana" w:hAnsi="Verdana"/>
          <w:sz w:val="20"/>
          <w:szCs w:val="20"/>
        </w:rPr>
        <w:t xml:space="preserve">Analysis of the Centre for Information Support for Education </w:t>
      </w:r>
    </w:p>
    <w:p w:rsidR="0006021F" w:rsidRPr="005B6074" w:rsidRDefault="00A35E98" w:rsidP="00181A22">
      <w:pPr>
        <w:pStyle w:val="ListParagraph"/>
        <w:numPr>
          <w:ilvl w:val="0"/>
          <w:numId w:val="30"/>
        </w:numPr>
        <w:tabs>
          <w:tab w:val="left" w:pos="5331"/>
        </w:tabs>
        <w:contextualSpacing/>
        <w:rPr>
          <w:rFonts w:ascii="Verdana" w:hAnsi="Verdana"/>
          <w:sz w:val="20"/>
          <w:szCs w:val="20"/>
        </w:rPr>
      </w:pPr>
      <w:r w:rsidRPr="005B6074">
        <w:rPr>
          <w:rFonts w:ascii="Verdana" w:hAnsi="Verdana"/>
          <w:sz w:val="20"/>
          <w:szCs w:val="20"/>
        </w:rPr>
        <w:t xml:space="preserve">Analysis of the National Centre for Information and Documentation  for social and economic analysis of </w:t>
      </w:r>
      <w:r w:rsidR="005B35A7">
        <w:rPr>
          <w:rFonts w:ascii="Verdana" w:hAnsi="Verdana"/>
          <w:sz w:val="20"/>
          <w:szCs w:val="20"/>
        </w:rPr>
        <w:t>OPSESG</w:t>
      </w:r>
      <w:r w:rsidRPr="005B6074">
        <w:rPr>
          <w:rFonts w:ascii="Verdana" w:hAnsi="Verdana"/>
          <w:sz w:val="20"/>
          <w:szCs w:val="20"/>
        </w:rPr>
        <w:t xml:space="preserve"> target sectors </w:t>
      </w:r>
    </w:p>
    <w:p w:rsidR="0006021F" w:rsidRPr="005B6074" w:rsidRDefault="00A35E98" w:rsidP="00181A22">
      <w:pPr>
        <w:pStyle w:val="ListParagraph"/>
        <w:numPr>
          <w:ilvl w:val="0"/>
          <w:numId w:val="30"/>
        </w:numPr>
        <w:tabs>
          <w:tab w:val="left" w:pos="5331"/>
        </w:tabs>
        <w:contextualSpacing/>
        <w:rPr>
          <w:rFonts w:ascii="Verdana" w:hAnsi="Verdana"/>
          <w:sz w:val="20"/>
          <w:szCs w:val="20"/>
        </w:rPr>
      </w:pPr>
      <w:r w:rsidRPr="005B6074">
        <w:rPr>
          <w:rFonts w:ascii="Verdana" w:hAnsi="Verdana"/>
          <w:sz w:val="20"/>
          <w:szCs w:val="20"/>
        </w:rPr>
        <w:t xml:space="preserve">The European Higher Education Area in 2012: Bologna Process Implementation Report – </w:t>
      </w:r>
      <w:hyperlink r:id="rId134" w:history="1">
        <w:r w:rsidRPr="005B6074">
          <w:rPr>
            <w:rStyle w:val="Hyperlink"/>
            <w:rFonts w:ascii="Verdana" w:hAnsi="Verdana"/>
            <w:sz w:val="20"/>
            <w:szCs w:val="20"/>
          </w:rPr>
          <w:t>http://eacea.ec.europa.eu/education/eurydice/documents/thematic_reports/138EN.pdf</w:t>
        </w:r>
      </w:hyperlink>
    </w:p>
    <w:p w:rsidR="0006021F" w:rsidRPr="005B6074" w:rsidRDefault="007A2B7B" w:rsidP="00181A22">
      <w:pPr>
        <w:pStyle w:val="ListParagraph"/>
        <w:numPr>
          <w:ilvl w:val="0"/>
          <w:numId w:val="30"/>
        </w:numPr>
        <w:tabs>
          <w:tab w:val="left" w:pos="5331"/>
        </w:tabs>
        <w:spacing w:after="120"/>
        <w:contextualSpacing/>
        <w:rPr>
          <w:rFonts w:ascii="Verdana" w:hAnsi="Verdana"/>
          <w:sz w:val="20"/>
          <w:szCs w:val="20"/>
        </w:rPr>
      </w:pPr>
      <w:hyperlink r:id="rId135" w:history="1">
        <w:r w:rsidR="00A35E98" w:rsidRPr="005B6074">
          <w:rPr>
            <w:rFonts w:ascii="Verdana" w:hAnsi="Verdana" w:cs="Arial"/>
            <w:sz w:val="20"/>
            <w:szCs w:val="20"/>
            <w:lang w:eastAsia="bg-BG"/>
          </w:rPr>
          <w:t>Draft Guidance Fiche Integrated Territorial Investment (ITI)</w:t>
        </w:r>
      </w:hyperlink>
      <w:r w:rsidR="00A35E98" w:rsidRPr="005B6074">
        <w:rPr>
          <w:rFonts w:ascii="Verdana" w:hAnsi="Verdana" w:cs="Arial"/>
          <w:sz w:val="20"/>
          <w:szCs w:val="20"/>
          <w:lang w:eastAsia="bg-BG"/>
        </w:rPr>
        <w:t xml:space="preserve"> - </w:t>
      </w:r>
      <w:hyperlink r:id="rId136" w:history="1">
        <w:r w:rsidR="00A35E98" w:rsidRPr="005B6074">
          <w:rPr>
            <w:rStyle w:val="Hyperlink"/>
            <w:rFonts w:ascii="Verdana" w:hAnsi="Verdana"/>
            <w:sz w:val="20"/>
            <w:szCs w:val="20"/>
          </w:rPr>
          <w:t>http://www.eufunds.bg/bg/page/884</w:t>
        </w:r>
      </w:hyperlink>
    </w:p>
    <w:p w:rsidR="0006021F" w:rsidRPr="005B6074" w:rsidRDefault="007A2B7B" w:rsidP="00181A22">
      <w:pPr>
        <w:pStyle w:val="ListParagraph"/>
        <w:numPr>
          <w:ilvl w:val="0"/>
          <w:numId w:val="30"/>
        </w:numPr>
        <w:tabs>
          <w:tab w:val="left" w:pos="5331"/>
        </w:tabs>
        <w:spacing w:after="120"/>
        <w:contextualSpacing/>
        <w:rPr>
          <w:rFonts w:ascii="Verdana" w:hAnsi="Verdana"/>
          <w:sz w:val="20"/>
          <w:szCs w:val="20"/>
        </w:rPr>
      </w:pPr>
      <w:hyperlink r:id="rId137" w:history="1">
        <w:r w:rsidR="00A35E98" w:rsidRPr="005B6074">
          <w:rPr>
            <w:rFonts w:ascii="Verdana" w:hAnsi="Verdana" w:cs="Arial"/>
            <w:sz w:val="20"/>
            <w:szCs w:val="20"/>
            <w:lang w:eastAsia="bg-BG"/>
          </w:rPr>
          <w:t>Fiche on the constitution and the allocation of the performance reserve</w:t>
        </w:r>
      </w:hyperlink>
      <w:r w:rsidR="00A35E98" w:rsidRPr="005B6074">
        <w:rPr>
          <w:rFonts w:ascii="Verdana" w:hAnsi="Verdana" w:cs="Arial"/>
          <w:sz w:val="20"/>
          <w:szCs w:val="20"/>
          <w:lang w:eastAsia="bg-BG"/>
        </w:rPr>
        <w:t xml:space="preserve"> - </w:t>
      </w:r>
      <w:hyperlink r:id="rId138" w:history="1">
        <w:r w:rsidR="00A35E98" w:rsidRPr="005B6074">
          <w:rPr>
            <w:rStyle w:val="Hyperlink"/>
            <w:rFonts w:ascii="Verdana" w:hAnsi="Verdana"/>
            <w:sz w:val="20"/>
            <w:szCs w:val="20"/>
          </w:rPr>
          <w:t>http://www.eufunds.bg/bg/page/884</w:t>
        </w:r>
      </w:hyperlink>
    </w:p>
    <w:p w:rsidR="0006021F" w:rsidRPr="005B6074" w:rsidRDefault="00A35E98" w:rsidP="00181A22">
      <w:pPr>
        <w:pStyle w:val="ListParagraph"/>
        <w:numPr>
          <w:ilvl w:val="0"/>
          <w:numId w:val="30"/>
        </w:numPr>
        <w:tabs>
          <w:tab w:val="left" w:pos="5331"/>
        </w:tabs>
        <w:spacing w:after="120"/>
        <w:contextualSpacing/>
        <w:rPr>
          <w:rFonts w:ascii="Verdana" w:hAnsi="Verdana"/>
          <w:sz w:val="20"/>
          <w:szCs w:val="20"/>
        </w:rPr>
      </w:pPr>
      <w:r w:rsidRPr="005B6074">
        <w:rPr>
          <w:rFonts w:ascii="Verdana" w:hAnsi="Verdana" w:cs="Arial"/>
          <w:sz w:val="20"/>
          <w:szCs w:val="20"/>
          <w:lang w:eastAsia="bg-BG"/>
        </w:rPr>
        <w:t xml:space="preserve">Link between thematic concentration and articles 6, 7, 8, 9 and 10 - </w:t>
      </w:r>
      <w:hyperlink r:id="rId139" w:history="1">
        <w:r w:rsidRPr="005B6074">
          <w:rPr>
            <w:rStyle w:val="Hyperlink"/>
            <w:rFonts w:ascii="Verdana" w:hAnsi="Verdana"/>
            <w:sz w:val="20"/>
            <w:szCs w:val="20"/>
          </w:rPr>
          <w:t>http://www.eufunds.bg/bg/page/884</w:t>
        </w:r>
      </w:hyperlink>
    </w:p>
    <w:p w:rsidR="0006021F" w:rsidRPr="005B6074" w:rsidRDefault="00A35E98" w:rsidP="00181A22">
      <w:pPr>
        <w:pStyle w:val="Default"/>
        <w:numPr>
          <w:ilvl w:val="0"/>
          <w:numId w:val="30"/>
        </w:numPr>
        <w:tabs>
          <w:tab w:val="left" w:pos="5331"/>
        </w:tabs>
        <w:rPr>
          <w:rFonts w:ascii="Verdana" w:hAnsi="Verdana" w:cs="Arial"/>
          <w:sz w:val="20"/>
          <w:szCs w:val="20"/>
        </w:rPr>
      </w:pPr>
      <w:proofErr w:type="spellStart"/>
      <w:r w:rsidRPr="005B6074">
        <w:rPr>
          <w:rFonts w:ascii="Verdana" w:hAnsi="Verdana" w:cs="Arial"/>
          <w:sz w:val="20"/>
          <w:szCs w:val="20"/>
          <w:lang w:eastAsia="bg-BG"/>
        </w:rPr>
        <w:t>Monitoringand</w:t>
      </w:r>
      <w:proofErr w:type="spellEnd"/>
      <w:r w:rsidRPr="005B6074">
        <w:rPr>
          <w:rFonts w:ascii="Verdana" w:hAnsi="Verdana" w:cs="Arial"/>
          <w:sz w:val="20"/>
          <w:szCs w:val="20"/>
          <w:lang w:eastAsia="bg-BG"/>
        </w:rPr>
        <w:t xml:space="preserve"> Evaluation of European Cohesion Policy European Social Fund - </w:t>
      </w:r>
      <w:hyperlink r:id="rId140" w:history="1">
        <w:r w:rsidRPr="005B6074">
          <w:rPr>
            <w:rStyle w:val="Hyperlink"/>
            <w:rFonts w:ascii="Verdana" w:hAnsi="Verdana" w:cs="Arial"/>
            <w:color w:val="0000CC"/>
            <w:sz w:val="20"/>
            <w:szCs w:val="20"/>
          </w:rPr>
          <w:t>http://ec.europa.eu/social/BlobServlet?docId=7884&amp;langId=en</w:t>
        </w:r>
      </w:hyperlink>
      <w:r w:rsidRPr="005B6074">
        <w:rPr>
          <w:rFonts w:ascii="Verdana" w:hAnsi="Verdana" w:cs="Arial"/>
          <w:sz w:val="20"/>
          <w:szCs w:val="20"/>
        </w:rPr>
        <w:t>.</w:t>
      </w:r>
    </w:p>
    <w:p w:rsidR="0006021F" w:rsidRPr="005B6074" w:rsidRDefault="00A35E98" w:rsidP="00181A22">
      <w:pPr>
        <w:pStyle w:val="ListParagraph"/>
        <w:numPr>
          <w:ilvl w:val="0"/>
          <w:numId w:val="30"/>
        </w:numPr>
        <w:tabs>
          <w:tab w:val="left" w:pos="5331"/>
        </w:tabs>
        <w:spacing w:after="120"/>
        <w:contextualSpacing/>
        <w:rPr>
          <w:rFonts w:ascii="Verdana" w:hAnsi="Verdana" w:cs="Arial"/>
          <w:sz w:val="20"/>
          <w:szCs w:val="20"/>
        </w:rPr>
      </w:pPr>
      <w:r w:rsidRPr="005B6074">
        <w:rPr>
          <w:rFonts w:ascii="Verdana" w:hAnsi="Verdana"/>
          <w:sz w:val="20"/>
          <w:szCs w:val="20"/>
        </w:rPr>
        <w:t xml:space="preserve">Guide on ex-ante evaluation - </w:t>
      </w:r>
      <w:hyperlink r:id="rId141" w:anchor="1" w:history="1">
        <w:r w:rsidRPr="005B6074">
          <w:rPr>
            <w:rStyle w:val="Hyperlink"/>
            <w:rFonts w:ascii="Verdana" w:hAnsi="Verdana" w:cs="Arial"/>
            <w:sz w:val="20"/>
            <w:szCs w:val="20"/>
            <w:lang w:eastAsia="bg-BG"/>
          </w:rPr>
          <w:t>http://ec.europa.eu/regional_policy/information/evaluations/guidance_en.cfm#1</w:t>
        </w:r>
      </w:hyperlink>
    </w:p>
    <w:p w:rsidR="0006021F" w:rsidRPr="005B6074" w:rsidRDefault="00A35E98" w:rsidP="00181A22">
      <w:pPr>
        <w:pStyle w:val="ListParagraph"/>
        <w:numPr>
          <w:ilvl w:val="0"/>
          <w:numId w:val="30"/>
        </w:numPr>
        <w:tabs>
          <w:tab w:val="left" w:pos="5331"/>
        </w:tabs>
        <w:spacing w:after="120"/>
        <w:contextualSpacing/>
        <w:rPr>
          <w:rFonts w:ascii="Verdana" w:hAnsi="Verdana" w:cs="Arial"/>
          <w:sz w:val="20"/>
          <w:szCs w:val="20"/>
        </w:rPr>
      </w:pPr>
      <w:r w:rsidRPr="005B6074">
        <w:rPr>
          <w:rFonts w:ascii="Verdana" w:hAnsi="Verdana"/>
          <w:sz w:val="20"/>
          <w:szCs w:val="20"/>
        </w:rPr>
        <w:t xml:space="preserve">Draft Guidance on the performance framework review and reserve in 2014–2020 - </w:t>
      </w:r>
      <w:hyperlink r:id="rId142" w:anchor="1" w:history="1">
        <w:r w:rsidRPr="005B6074">
          <w:rPr>
            <w:rStyle w:val="Hyperlink"/>
            <w:rFonts w:ascii="Verdana" w:hAnsi="Verdana" w:cs="Arial"/>
            <w:sz w:val="20"/>
            <w:szCs w:val="20"/>
            <w:lang w:eastAsia="bg-BG"/>
          </w:rPr>
          <w:t>http://ec.europa.eu/regional_policy/information/evaluations/guidance_en.cfm#1</w:t>
        </w:r>
      </w:hyperlink>
    </w:p>
    <w:p w:rsidR="0006021F" w:rsidRPr="005B6074" w:rsidRDefault="00A35E98" w:rsidP="00181A22">
      <w:pPr>
        <w:pStyle w:val="ListParagraph"/>
        <w:numPr>
          <w:ilvl w:val="0"/>
          <w:numId w:val="30"/>
        </w:numPr>
        <w:tabs>
          <w:tab w:val="left" w:pos="5331"/>
        </w:tabs>
        <w:spacing w:after="120"/>
        <w:contextualSpacing/>
        <w:rPr>
          <w:rStyle w:val="Hyperlink"/>
          <w:rFonts w:ascii="Verdana" w:hAnsi="Verdana" w:cs="Arial"/>
          <w:color w:val="auto"/>
          <w:sz w:val="20"/>
          <w:szCs w:val="20"/>
          <w:lang w:eastAsia="bg-BG"/>
        </w:rPr>
      </w:pPr>
      <w:r w:rsidRPr="005B6074">
        <w:rPr>
          <w:rFonts w:ascii="Verdana" w:hAnsi="Verdana"/>
          <w:sz w:val="20"/>
          <w:szCs w:val="20"/>
        </w:rPr>
        <w:t xml:space="preserve">The Programming Period 2014–2020,Guidance document on Monitoring and Evaluation, European Regional Development Fund and Cohesion Fund –2013, Concepts and Recommendations - </w:t>
      </w:r>
      <w:hyperlink r:id="rId143" w:history="1">
        <w:r w:rsidRPr="005B6074">
          <w:rPr>
            <w:rStyle w:val="Hyperlink"/>
            <w:rFonts w:ascii="Verdana" w:hAnsi="Verdana" w:cs="Arial"/>
            <w:sz w:val="20"/>
            <w:szCs w:val="20"/>
            <w:lang w:eastAsia="bg-BG"/>
          </w:rPr>
          <w:t>http://ec.europa.eu/regional_policy/sources/docoffic/2014/working/wd_2014_en.pdf</w:t>
        </w:r>
      </w:hyperlink>
    </w:p>
    <w:p w:rsidR="0006021F" w:rsidRPr="005B6074" w:rsidRDefault="00A35E98" w:rsidP="00181A22">
      <w:pPr>
        <w:pStyle w:val="ListParagraph"/>
        <w:numPr>
          <w:ilvl w:val="0"/>
          <w:numId w:val="30"/>
        </w:numPr>
        <w:spacing w:after="120"/>
        <w:contextualSpacing/>
        <w:rPr>
          <w:rFonts w:ascii="Verdana" w:hAnsi="Verdana"/>
          <w:sz w:val="20"/>
          <w:szCs w:val="20"/>
        </w:rPr>
      </w:pPr>
      <w:r w:rsidRPr="005B6074">
        <w:rPr>
          <w:rFonts w:ascii="Verdana" w:hAnsi="Verdana"/>
          <w:sz w:val="20"/>
          <w:szCs w:val="20"/>
        </w:rPr>
        <w:t xml:space="preserve">Analysis of the condition of research in Bulgaria, MES - </w:t>
      </w:r>
      <w:hyperlink r:id="rId144" w:history="1">
        <w:r w:rsidRPr="005B6074">
          <w:rPr>
            <w:rStyle w:val="Hyperlink"/>
            <w:rFonts w:ascii="Verdana" w:hAnsi="Verdana"/>
            <w:sz w:val="20"/>
            <w:szCs w:val="20"/>
          </w:rPr>
          <w:t>http://s2b.mon.bg/i/analyse_researches_bg.pdf</w:t>
        </w:r>
      </w:hyperlink>
      <w:r w:rsidRPr="005B6074">
        <w:t xml:space="preserve"> </w:t>
      </w:r>
    </w:p>
    <w:p w:rsidR="0006021F" w:rsidRPr="005B6074" w:rsidRDefault="00A35E98" w:rsidP="00181A22">
      <w:pPr>
        <w:pStyle w:val="ListParagraph"/>
        <w:numPr>
          <w:ilvl w:val="0"/>
          <w:numId w:val="30"/>
        </w:numPr>
        <w:spacing w:after="120"/>
        <w:contextualSpacing/>
        <w:rPr>
          <w:rFonts w:ascii="Verdana" w:hAnsi="Verdana" w:cs="Arial"/>
          <w:sz w:val="20"/>
          <w:szCs w:val="20"/>
          <w:u w:val="single"/>
        </w:rPr>
      </w:pPr>
      <w:r w:rsidRPr="005B6074">
        <w:rPr>
          <w:rFonts w:ascii="Verdana" w:hAnsi="Verdana"/>
          <w:sz w:val="20"/>
          <w:szCs w:val="20"/>
        </w:rPr>
        <w:t xml:space="preserve">Information provided in the website of MES, eurfunds.bg and the websites of the other operational programmes </w:t>
      </w:r>
    </w:p>
    <w:p w:rsidR="00A511E7" w:rsidRPr="005B6074" w:rsidRDefault="00A35E98" w:rsidP="00181A22">
      <w:pPr>
        <w:pStyle w:val="ListParagraph"/>
        <w:numPr>
          <w:ilvl w:val="0"/>
          <w:numId w:val="30"/>
        </w:numPr>
        <w:spacing w:after="120"/>
        <w:contextualSpacing/>
        <w:rPr>
          <w:rFonts w:ascii="Verdana" w:hAnsi="Verdana"/>
          <w:sz w:val="20"/>
          <w:szCs w:val="20"/>
        </w:rPr>
      </w:pPr>
      <w:r w:rsidRPr="005B6074">
        <w:rPr>
          <w:rFonts w:ascii="Verdana" w:hAnsi="Verdana"/>
          <w:sz w:val="20"/>
          <w:szCs w:val="20"/>
        </w:rPr>
        <w:t xml:space="preserve">Ranking of the higher education institutions in Bulgaria, 2013 </w:t>
      </w:r>
    </w:p>
    <w:p w:rsidR="00CF3EE2" w:rsidRPr="005B6074" w:rsidRDefault="00CF3EE2" w:rsidP="00CF3EE2">
      <w:pPr>
        <w:ind w:left="-709"/>
        <w:jc w:val="center"/>
        <w:rPr>
          <w:rFonts w:ascii="Verdana" w:hAnsi="Verdana"/>
          <w:sz w:val="20"/>
          <w:szCs w:val="20"/>
        </w:rPr>
      </w:pPr>
    </w:p>
    <w:p w:rsidR="00CF3EE2" w:rsidRPr="005B6074" w:rsidRDefault="00CF3EE2" w:rsidP="00CF3EE2">
      <w:pPr>
        <w:ind w:left="-709"/>
        <w:jc w:val="center"/>
        <w:rPr>
          <w:rFonts w:ascii="Verdana" w:hAnsi="Verdana"/>
          <w:sz w:val="20"/>
          <w:szCs w:val="20"/>
        </w:rPr>
        <w:sectPr w:rsidR="00CF3EE2" w:rsidRPr="005B6074" w:rsidSect="007C4363">
          <w:pgSz w:w="11907" w:h="16839" w:code="9"/>
          <w:pgMar w:top="2128" w:right="1440" w:bottom="1440" w:left="1440" w:header="720" w:footer="724" w:gutter="0"/>
          <w:cols w:space="720"/>
          <w:docGrid w:linePitch="360"/>
        </w:sectPr>
      </w:pPr>
    </w:p>
    <w:p w:rsidR="00CF3EE2" w:rsidRPr="005B6074" w:rsidRDefault="00A35E98" w:rsidP="00CF3EE2">
      <w:pPr>
        <w:pStyle w:val="Heading2"/>
        <w:shd w:val="clear" w:color="auto" w:fill="FFCC99"/>
        <w:spacing w:before="0" w:after="240"/>
        <w:rPr>
          <w:rFonts w:ascii="Verdana" w:hAnsi="Verdana"/>
          <w:i w:val="0"/>
          <w:iCs/>
          <w:color w:val="0063B8"/>
          <w:sz w:val="26"/>
          <w:szCs w:val="26"/>
        </w:rPr>
      </w:pPr>
      <w:bookmarkStart w:id="256" w:name="_Toc390262459"/>
      <w:bookmarkStart w:id="257" w:name="_Toc396225573"/>
      <w:r w:rsidRPr="005B6074">
        <w:rPr>
          <w:rFonts w:ascii="Verdana" w:hAnsi="Verdana"/>
          <w:i w:val="0"/>
          <w:iCs/>
          <w:color w:val="0063B8"/>
          <w:sz w:val="26"/>
          <w:szCs w:val="26"/>
        </w:rPr>
        <w:lastRenderedPageBreak/>
        <w:t xml:space="preserve">Annex 2: </w:t>
      </w:r>
      <w:bookmarkEnd w:id="256"/>
      <w:r w:rsidRPr="005B6074">
        <w:rPr>
          <w:rFonts w:ascii="Verdana" w:hAnsi="Verdana"/>
          <w:i w:val="0"/>
          <w:iCs/>
          <w:color w:val="0063B8"/>
          <w:sz w:val="26"/>
          <w:szCs w:val="26"/>
        </w:rPr>
        <w:t>List of participants in the meetings with focus groups</w:t>
      </w:r>
      <w:bookmarkEnd w:id="257"/>
    </w:p>
    <w:p w:rsidR="00CF3EE2" w:rsidRPr="005B6074" w:rsidRDefault="00A35E98" w:rsidP="00CF3EE2">
      <w:pPr>
        <w:rPr>
          <w:rFonts w:ascii="Verdana" w:hAnsi="Verdana"/>
          <w:b/>
          <w:color w:val="548DD4" w:themeColor="text2" w:themeTint="99"/>
        </w:rPr>
      </w:pPr>
      <w:r w:rsidRPr="005B6074">
        <w:rPr>
          <w:rFonts w:ascii="Verdana" w:hAnsi="Verdana"/>
          <w:b/>
          <w:color w:val="548DD4" w:themeColor="text2" w:themeTint="99"/>
        </w:rPr>
        <w:t>Meetings held</w:t>
      </w:r>
    </w:p>
    <w:tbl>
      <w:tblPr>
        <w:tblStyle w:val="TableGrid"/>
        <w:tblW w:w="9090" w:type="dxa"/>
        <w:tblInd w:w="108"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2520"/>
        <w:gridCol w:w="6570"/>
      </w:tblGrid>
      <w:tr w:rsidR="00CF3EE2" w:rsidRPr="005B6074" w:rsidTr="007C4363">
        <w:tc>
          <w:tcPr>
            <w:tcW w:w="2520" w:type="dxa"/>
            <w:shd w:val="clear" w:color="auto" w:fill="548DD4" w:themeFill="text2" w:themeFillTint="99"/>
          </w:tcPr>
          <w:p w:rsidR="00CF3EE2" w:rsidRPr="005B6074" w:rsidRDefault="00A35E98" w:rsidP="007C4363">
            <w:pPr>
              <w:spacing w:before="60" w:after="60"/>
              <w:rPr>
                <w:rFonts w:ascii="Verdana" w:hAnsi="Verdana" w:cs="Arial"/>
                <w:b/>
                <w:color w:val="FFFFFF" w:themeColor="background1"/>
                <w:sz w:val="20"/>
                <w:szCs w:val="20"/>
              </w:rPr>
            </w:pPr>
            <w:r w:rsidRPr="005B6074">
              <w:rPr>
                <w:rFonts w:ascii="Verdana" w:hAnsi="Verdana" w:cs="Arial"/>
                <w:b/>
                <w:color w:val="FFFFFF" w:themeColor="background1"/>
                <w:sz w:val="20"/>
                <w:szCs w:val="20"/>
              </w:rPr>
              <w:t>Name</w:t>
            </w:r>
          </w:p>
        </w:tc>
        <w:tc>
          <w:tcPr>
            <w:tcW w:w="6570" w:type="dxa"/>
            <w:shd w:val="clear" w:color="auto" w:fill="548DD4" w:themeFill="text2" w:themeFillTint="99"/>
          </w:tcPr>
          <w:p w:rsidR="00CF3EE2" w:rsidRPr="005B6074" w:rsidRDefault="00A35E98" w:rsidP="007C4363">
            <w:pPr>
              <w:spacing w:before="60" w:after="60"/>
              <w:rPr>
                <w:rFonts w:ascii="Verdana" w:hAnsi="Verdana" w:cs="Arial"/>
                <w:b/>
                <w:color w:val="FFFFFF" w:themeColor="background1"/>
                <w:sz w:val="20"/>
                <w:szCs w:val="20"/>
              </w:rPr>
            </w:pPr>
            <w:r w:rsidRPr="005B6074">
              <w:rPr>
                <w:rFonts w:ascii="Verdana" w:hAnsi="Verdana" w:cs="Arial"/>
                <w:b/>
                <w:color w:val="FFFFFF" w:themeColor="background1"/>
                <w:sz w:val="20"/>
                <w:szCs w:val="20"/>
              </w:rPr>
              <w:t>Institution</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 xml:space="preserve">Ivan </w:t>
            </w:r>
            <w:proofErr w:type="spellStart"/>
            <w:r w:rsidRPr="005B6074">
              <w:rPr>
                <w:rFonts w:ascii="Verdana" w:hAnsi="Verdana" w:cs="Arial"/>
                <w:sz w:val="20"/>
                <w:szCs w:val="20"/>
              </w:rPr>
              <w:t>Krastev</w:t>
            </w:r>
            <w:proofErr w:type="spellEnd"/>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Deputy Minister of Education and Science</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Ivan Modev</w:t>
            </w:r>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Director General, General Directorate “Structural Funds and International Educational Programmes”</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Stoyan Tsonev</w:t>
            </w:r>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Head of “Analyses, Planning and Provision of Grants” department, General Directorate “Structural Funds and International Educational Programmes”</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Nikolay Nikolov</w:t>
            </w:r>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Chief expert in “Analyses, Planning and Provision of Grants” department, General Directorate “Structural Funds and International Educational Programmes”</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Metodiy Kirov</w:t>
            </w:r>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Government expert in “Analyses, Planning and Provision of Grants” department, General Directorate “Structural Funds and International Educational Programmes”</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 xml:space="preserve">Ivana </w:t>
            </w:r>
            <w:proofErr w:type="spellStart"/>
            <w:r w:rsidRPr="005B6074">
              <w:rPr>
                <w:rFonts w:ascii="Verdana" w:hAnsi="Verdana" w:cs="Arial"/>
                <w:sz w:val="20"/>
                <w:szCs w:val="20"/>
              </w:rPr>
              <w:t>Radonova</w:t>
            </w:r>
            <w:proofErr w:type="spellEnd"/>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Chief expert, “Higher Education” directorate, Ministry of Education and Science</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 xml:space="preserve">Yana </w:t>
            </w:r>
            <w:proofErr w:type="spellStart"/>
            <w:r w:rsidRPr="005B6074">
              <w:rPr>
                <w:rFonts w:ascii="Verdana" w:hAnsi="Verdana" w:cs="Arial"/>
                <w:sz w:val="20"/>
                <w:szCs w:val="20"/>
              </w:rPr>
              <w:t>Yotova</w:t>
            </w:r>
            <w:proofErr w:type="spellEnd"/>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Senior expert, “Higher Education” directorate, Ministry of Education and Science</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 xml:space="preserve">Valentina </w:t>
            </w:r>
            <w:proofErr w:type="spellStart"/>
            <w:r w:rsidRPr="005B6074">
              <w:rPr>
                <w:rFonts w:ascii="Verdana" w:hAnsi="Verdana" w:cs="Arial"/>
                <w:sz w:val="20"/>
                <w:szCs w:val="20"/>
              </w:rPr>
              <w:t>Deykova</w:t>
            </w:r>
            <w:proofErr w:type="spellEnd"/>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Head of “Life-Long Learning” department, “Policies Formulation, Analysis and Evaluation” directorate</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proofErr w:type="spellStart"/>
            <w:r w:rsidRPr="005B6074">
              <w:rPr>
                <w:rFonts w:ascii="Verdana" w:hAnsi="Verdana" w:cs="Arial"/>
                <w:sz w:val="20"/>
                <w:szCs w:val="20"/>
              </w:rPr>
              <w:t>Genoveva</w:t>
            </w:r>
            <w:proofErr w:type="spellEnd"/>
            <w:r w:rsidRPr="005B6074">
              <w:rPr>
                <w:rFonts w:ascii="Verdana" w:hAnsi="Verdana" w:cs="Arial"/>
                <w:sz w:val="20"/>
                <w:szCs w:val="20"/>
              </w:rPr>
              <w:t xml:space="preserve"> </w:t>
            </w:r>
            <w:proofErr w:type="spellStart"/>
            <w:r w:rsidRPr="005B6074">
              <w:rPr>
                <w:rFonts w:ascii="Verdana" w:hAnsi="Verdana" w:cs="Arial"/>
                <w:sz w:val="20"/>
                <w:szCs w:val="20"/>
              </w:rPr>
              <w:t>Zhecheva</w:t>
            </w:r>
            <w:proofErr w:type="spellEnd"/>
            <w:r w:rsidRPr="005B6074">
              <w:rPr>
                <w:rFonts w:ascii="Verdana" w:hAnsi="Verdana" w:cs="Arial"/>
                <w:sz w:val="20"/>
                <w:szCs w:val="20"/>
              </w:rPr>
              <w:t xml:space="preserve"> </w:t>
            </w:r>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 xml:space="preserve">Head of “Transnational Research Initiatives” department, “Science” directorate </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proofErr w:type="spellStart"/>
            <w:r w:rsidRPr="005B6074">
              <w:rPr>
                <w:rFonts w:ascii="Verdana" w:hAnsi="Verdana" w:cs="Arial"/>
                <w:sz w:val="20"/>
                <w:szCs w:val="20"/>
              </w:rPr>
              <w:t>Metodi</w:t>
            </w:r>
            <w:proofErr w:type="spellEnd"/>
            <w:r w:rsidRPr="005B6074">
              <w:rPr>
                <w:rFonts w:ascii="Verdana" w:hAnsi="Verdana" w:cs="Arial"/>
                <w:sz w:val="20"/>
                <w:szCs w:val="20"/>
              </w:rPr>
              <w:t xml:space="preserve"> Kirov</w:t>
            </w:r>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Head of “Monitoring and Evaluation” department</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proofErr w:type="spellStart"/>
            <w:r w:rsidRPr="005B6074">
              <w:rPr>
                <w:rFonts w:ascii="Verdana" w:hAnsi="Verdana" w:cs="Arial"/>
                <w:sz w:val="20"/>
                <w:szCs w:val="20"/>
              </w:rPr>
              <w:t>Stefka</w:t>
            </w:r>
            <w:proofErr w:type="spellEnd"/>
            <w:r w:rsidRPr="005B6074">
              <w:rPr>
                <w:rFonts w:ascii="Verdana" w:hAnsi="Verdana" w:cs="Arial"/>
                <w:sz w:val="20"/>
                <w:szCs w:val="20"/>
              </w:rPr>
              <w:t xml:space="preserve"> </w:t>
            </w:r>
            <w:proofErr w:type="spellStart"/>
            <w:r w:rsidRPr="005B6074">
              <w:rPr>
                <w:rFonts w:ascii="Verdana" w:hAnsi="Verdana" w:cs="Arial"/>
                <w:sz w:val="20"/>
                <w:szCs w:val="20"/>
              </w:rPr>
              <w:t>Pileva</w:t>
            </w:r>
            <w:proofErr w:type="spellEnd"/>
            <w:r w:rsidRPr="005B6074">
              <w:rPr>
                <w:rFonts w:ascii="Verdana" w:hAnsi="Verdana" w:cs="Arial"/>
                <w:sz w:val="20"/>
                <w:szCs w:val="20"/>
              </w:rPr>
              <w:t xml:space="preserve"> – </w:t>
            </w:r>
            <w:proofErr w:type="spellStart"/>
            <w:r w:rsidRPr="005B6074">
              <w:rPr>
                <w:rFonts w:ascii="Verdana" w:hAnsi="Verdana" w:cs="Arial"/>
                <w:sz w:val="20"/>
                <w:szCs w:val="20"/>
              </w:rPr>
              <w:t>Malinovska</w:t>
            </w:r>
            <w:proofErr w:type="spellEnd"/>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Head of “</w:t>
            </w:r>
            <w:proofErr w:type="spellStart"/>
            <w:r w:rsidRPr="005B6074">
              <w:rPr>
                <w:rFonts w:ascii="Verdana" w:hAnsi="Verdana" w:cs="Arial"/>
                <w:sz w:val="20"/>
                <w:szCs w:val="20"/>
              </w:rPr>
              <w:t>Verificaiton</w:t>
            </w:r>
            <w:proofErr w:type="spellEnd"/>
            <w:r w:rsidRPr="005B6074">
              <w:rPr>
                <w:rFonts w:ascii="Verdana" w:hAnsi="Verdana" w:cs="Arial"/>
                <w:sz w:val="20"/>
                <w:szCs w:val="20"/>
              </w:rPr>
              <w:t>” department</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proofErr w:type="spellStart"/>
            <w:r w:rsidRPr="005B6074">
              <w:rPr>
                <w:rFonts w:ascii="Verdana" w:hAnsi="Verdana" w:cs="Arial"/>
                <w:sz w:val="20"/>
                <w:szCs w:val="20"/>
              </w:rPr>
              <w:t>Dimitar</w:t>
            </w:r>
            <w:proofErr w:type="spellEnd"/>
            <w:r w:rsidRPr="005B6074">
              <w:rPr>
                <w:rFonts w:ascii="Verdana" w:hAnsi="Verdana" w:cs="Arial"/>
                <w:sz w:val="20"/>
                <w:szCs w:val="20"/>
              </w:rPr>
              <w:t xml:space="preserve"> </w:t>
            </w:r>
            <w:proofErr w:type="spellStart"/>
            <w:r w:rsidRPr="005B6074">
              <w:rPr>
                <w:rFonts w:ascii="Verdana" w:hAnsi="Verdana" w:cs="Arial"/>
                <w:sz w:val="20"/>
                <w:szCs w:val="20"/>
              </w:rPr>
              <w:t>Nichev</w:t>
            </w:r>
            <w:proofErr w:type="spellEnd"/>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Head of “Technical Verification” section in “Verification” department</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proofErr w:type="spellStart"/>
            <w:r w:rsidRPr="005B6074">
              <w:rPr>
                <w:rFonts w:ascii="Verdana" w:hAnsi="Verdana" w:cs="Arial"/>
                <w:sz w:val="20"/>
                <w:szCs w:val="20"/>
              </w:rPr>
              <w:t>Blagovesta</w:t>
            </w:r>
            <w:proofErr w:type="spellEnd"/>
            <w:r w:rsidRPr="005B6074">
              <w:rPr>
                <w:rFonts w:ascii="Verdana" w:hAnsi="Verdana" w:cs="Arial"/>
                <w:sz w:val="20"/>
                <w:szCs w:val="20"/>
              </w:rPr>
              <w:t xml:space="preserve"> </w:t>
            </w:r>
            <w:proofErr w:type="spellStart"/>
            <w:r w:rsidRPr="005B6074">
              <w:rPr>
                <w:rFonts w:ascii="Verdana" w:hAnsi="Verdana" w:cs="Arial"/>
                <w:sz w:val="20"/>
                <w:szCs w:val="20"/>
              </w:rPr>
              <w:t>Hadzhipetkova</w:t>
            </w:r>
            <w:proofErr w:type="spellEnd"/>
            <w:r w:rsidRPr="005B6074">
              <w:rPr>
                <w:rFonts w:ascii="Verdana" w:hAnsi="Verdana" w:cs="Arial"/>
                <w:sz w:val="20"/>
                <w:szCs w:val="20"/>
              </w:rPr>
              <w:t xml:space="preserve"> </w:t>
            </w:r>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 xml:space="preserve">Head of “Financial </w:t>
            </w:r>
            <w:proofErr w:type="spellStart"/>
            <w:r w:rsidRPr="005B6074">
              <w:rPr>
                <w:rFonts w:ascii="Verdana" w:hAnsi="Verdana" w:cs="Arial"/>
                <w:sz w:val="20"/>
                <w:szCs w:val="20"/>
              </w:rPr>
              <w:t>Verificaiton</w:t>
            </w:r>
            <w:proofErr w:type="spellEnd"/>
            <w:r w:rsidRPr="005B6074">
              <w:rPr>
                <w:rFonts w:ascii="Verdana" w:hAnsi="Verdana" w:cs="Arial"/>
                <w:sz w:val="20"/>
                <w:szCs w:val="20"/>
              </w:rPr>
              <w:t>” section in “Verification” department</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proofErr w:type="spellStart"/>
            <w:r w:rsidRPr="005B6074">
              <w:rPr>
                <w:rFonts w:ascii="Verdana" w:hAnsi="Verdana" w:cs="Arial"/>
                <w:sz w:val="20"/>
                <w:szCs w:val="20"/>
              </w:rPr>
              <w:t>Borislav</w:t>
            </w:r>
            <w:proofErr w:type="spellEnd"/>
            <w:r w:rsidRPr="005B6074">
              <w:rPr>
                <w:rFonts w:ascii="Verdana" w:hAnsi="Verdana" w:cs="Arial"/>
                <w:sz w:val="20"/>
                <w:szCs w:val="20"/>
              </w:rPr>
              <w:t xml:space="preserve"> </w:t>
            </w:r>
            <w:proofErr w:type="spellStart"/>
            <w:r w:rsidRPr="005B6074">
              <w:rPr>
                <w:rFonts w:ascii="Verdana" w:hAnsi="Verdana" w:cs="Arial"/>
                <w:sz w:val="20"/>
                <w:szCs w:val="20"/>
              </w:rPr>
              <w:t>Parvanov</w:t>
            </w:r>
            <w:proofErr w:type="spellEnd"/>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Senior Research Fellow in “Risk Management and Control” department</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proofErr w:type="spellStart"/>
            <w:r w:rsidRPr="005B6074">
              <w:rPr>
                <w:rFonts w:ascii="Verdana" w:hAnsi="Verdana" w:cs="Arial"/>
                <w:sz w:val="20"/>
                <w:szCs w:val="20"/>
              </w:rPr>
              <w:t>Tsvetanka</w:t>
            </w:r>
            <w:proofErr w:type="spellEnd"/>
            <w:r w:rsidRPr="005B6074">
              <w:rPr>
                <w:rFonts w:ascii="Verdana" w:hAnsi="Verdana" w:cs="Arial"/>
                <w:sz w:val="20"/>
                <w:szCs w:val="20"/>
              </w:rPr>
              <w:t xml:space="preserve"> </w:t>
            </w:r>
            <w:proofErr w:type="spellStart"/>
            <w:r w:rsidRPr="005B6074">
              <w:rPr>
                <w:rFonts w:ascii="Verdana" w:hAnsi="Verdana" w:cs="Arial"/>
                <w:sz w:val="20"/>
                <w:szCs w:val="20"/>
              </w:rPr>
              <w:t>Ficheva</w:t>
            </w:r>
            <w:proofErr w:type="spellEnd"/>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 xml:space="preserve">Head of </w:t>
            </w:r>
            <w:r w:rsidRPr="005B6074">
              <w:rPr>
                <w:rFonts w:ascii="Verdana" w:hAnsi="Verdana"/>
                <w:sz w:val="20"/>
                <w:szCs w:val="20"/>
              </w:rPr>
              <w:t xml:space="preserve">“Financial Planning, Financial Reporting and Payments” </w:t>
            </w:r>
            <w:r w:rsidRPr="005B6074">
              <w:rPr>
                <w:rFonts w:ascii="Verdana" w:hAnsi="Verdana" w:cs="Arial"/>
                <w:sz w:val="20"/>
                <w:szCs w:val="20"/>
              </w:rPr>
              <w:t>department</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lastRenderedPageBreak/>
              <w:t xml:space="preserve">Lyudmila </w:t>
            </w:r>
            <w:proofErr w:type="spellStart"/>
            <w:r w:rsidRPr="005B6074">
              <w:rPr>
                <w:rFonts w:ascii="Verdana" w:hAnsi="Verdana" w:cs="Arial"/>
                <w:sz w:val="20"/>
                <w:szCs w:val="20"/>
              </w:rPr>
              <w:t>Tozeva</w:t>
            </w:r>
            <w:proofErr w:type="spellEnd"/>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 xml:space="preserve">Head of “Programming, Monitoring and Evaluation of the Operational Programme” department, GD “European Funds for Competitiveness”, Ministry of Economy and Energy </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 xml:space="preserve">Daniela </w:t>
            </w:r>
            <w:proofErr w:type="spellStart"/>
            <w:r w:rsidRPr="005B6074">
              <w:rPr>
                <w:rFonts w:ascii="Verdana" w:hAnsi="Verdana" w:cs="Arial"/>
                <w:sz w:val="20"/>
                <w:szCs w:val="20"/>
              </w:rPr>
              <w:t>Malhasyan</w:t>
            </w:r>
            <w:proofErr w:type="spellEnd"/>
          </w:p>
        </w:tc>
        <w:tc>
          <w:tcPr>
            <w:tcW w:w="657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Deputy Director General of GD “European Funds for Competitiveness”, Ministry of Economy and Energy</w:t>
            </w:r>
          </w:p>
        </w:tc>
      </w:tr>
    </w:tbl>
    <w:p w:rsidR="00CF3EE2" w:rsidRPr="005B6074" w:rsidRDefault="00CF3EE2" w:rsidP="00CF3EE2"/>
    <w:p w:rsidR="00CF3EE2" w:rsidRPr="005B6074" w:rsidRDefault="00A35E98" w:rsidP="00CF3EE2">
      <w:pPr>
        <w:rPr>
          <w:rFonts w:ascii="Verdana" w:hAnsi="Verdana"/>
          <w:b/>
          <w:color w:val="548DD4" w:themeColor="text2" w:themeTint="99"/>
        </w:rPr>
      </w:pPr>
      <w:r w:rsidRPr="005B6074">
        <w:rPr>
          <w:rFonts w:ascii="Verdana" w:hAnsi="Verdana"/>
          <w:b/>
          <w:color w:val="548DD4" w:themeColor="text2" w:themeTint="99"/>
        </w:rPr>
        <w:t>Participants in a focus group with representatives of TWG for preparation of the programme</w:t>
      </w:r>
    </w:p>
    <w:tbl>
      <w:tblPr>
        <w:tblStyle w:val="TableGrid"/>
        <w:tblW w:w="9072" w:type="dxa"/>
        <w:tblInd w:w="108"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2520"/>
        <w:gridCol w:w="6552"/>
      </w:tblGrid>
      <w:tr w:rsidR="00CF3EE2" w:rsidRPr="005B6074" w:rsidTr="007C4363">
        <w:tc>
          <w:tcPr>
            <w:tcW w:w="2520" w:type="dxa"/>
            <w:shd w:val="clear" w:color="auto" w:fill="548DD4" w:themeFill="text2" w:themeFillTint="99"/>
          </w:tcPr>
          <w:p w:rsidR="00CF3EE2" w:rsidRPr="005B6074" w:rsidRDefault="00A35E98" w:rsidP="007C4363">
            <w:pPr>
              <w:spacing w:before="60" w:after="60"/>
              <w:rPr>
                <w:rFonts w:ascii="Verdana" w:hAnsi="Verdana" w:cs="Arial"/>
                <w:b/>
                <w:color w:val="FFFFFF" w:themeColor="background1"/>
                <w:sz w:val="20"/>
                <w:szCs w:val="20"/>
              </w:rPr>
            </w:pPr>
            <w:r w:rsidRPr="005B6074">
              <w:rPr>
                <w:rFonts w:ascii="Verdana" w:hAnsi="Verdana" w:cs="Arial"/>
                <w:b/>
                <w:color w:val="FFFFFF" w:themeColor="background1"/>
                <w:sz w:val="20"/>
                <w:szCs w:val="20"/>
              </w:rPr>
              <w:t>Name</w:t>
            </w:r>
          </w:p>
        </w:tc>
        <w:tc>
          <w:tcPr>
            <w:tcW w:w="6552" w:type="dxa"/>
            <w:shd w:val="clear" w:color="auto" w:fill="548DD4" w:themeFill="text2" w:themeFillTint="99"/>
          </w:tcPr>
          <w:p w:rsidR="00CF3EE2" w:rsidRPr="005B6074" w:rsidRDefault="00A35E98" w:rsidP="007C4363">
            <w:pPr>
              <w:spacing w:before="60" w:after="60"/>
              <w:rPr>
                <w:rFonts w:ascii="Verdana" w:hAnsi="Verdana" w:cs="Arial"/>
                <w:b/>
                <w:color w:val="FFFFFF" w:themeColor="background1"/>
                <w:sz w:val="20"/>
                <w:szCs w:val="20"/>
              </w:rPr>
            </w:pPr>
            <w:r w:rsidRPr="005B6074">
              <w:rPr>
                <w:rFonts w:ascii="Verdana" w:hAnsi="Verdana" w:cs="Arial"/>
                <w:b/>
                <w:color w:val="FFFFFF" w:themeColor="background1"/>
                <w:sz w:val="20"/>
                <w:szCs w:val="20"/>
              </w:rPr>
              <w:t>Institution</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Hristian Daskalov</w:t>
            </w:r>
          </w:p>
        </w:tc>
        <w:tc>
          <w:tcPr>
            <w:tcW w:w="6552"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National representation of student committees</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 xml:space="preserve">Nikolay </w:t>
            </w:r>
            <w:proofErr w:type="spellStart"/>
            <w:r w:rsidRPr="005B6074">
              <w:rPr>
                <w:rFonts w:ascii="Verdana" w:hAnsi="Verdana" w:cs="Arial"/>
                <w:sz w:val="20"/>
                <w:szCs w:val="20"/>
              </w:rPr>
              <w:t>Naydenov</w:t>
            </w:r>
            <w:proofErr w:type="spellEnd"/>
          </w:p>
        </w:tc>
        <w:tc>
          <w:tcPr>
            <w:tcW w:w="6552"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Council of Ministers, “Monitoring of EU Funds” Directorate</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proofErr w:type="spellStart"/>
            <w:r w:rsidRPr="005B6074">
              <w:rPr>
                <w:rFonts w:ascii="Verdana" w:hAnsi="Verdana" w:cs="Arial"/>
                <w:sz w:val="20"/>
                <w:szCs w:val="20"/>
              </w:rPr>
              <w:t>Vesela</w:t>
            </w:r>
            <w:proofErr w:type="spellEnd"/>
            <w:r w:rsidRPr="005B6074">
              <w:rPr>
                <w:rFonts w:ascii="Verdana" w:hAnsi="Verdana" w:cs="Arial"/>
                <w:sz w:val="20"/>
                <w:szCs w:val="20"/>
              </w:rPr>
              <w:t xml:space="preserve"> </w:t>
            </w:r>
            <w:proofErr w:type="spellStart"/>
            <w:r w:rsidRPr="005B6074">
              <w:rPr>
                <w:rFonts w:ascii="Verdana" w:hAnsi="Verdana" w:cs="Arial"/>
                <w:sz w:val="20"/>
                <w:szCs w:val="20"/>
              </w:rPr>
              <w:t>Karayaneva</w:t>
            </w:r>
            <w:proofErr w:type="spellEnd"/>
          </w:p>
        </w:tc>
        <w:tc>
          <w:tcPr>
            <w:tcW w:w="6552"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Chief Expert, “Vocational Qualification and Licensing” Directorate, NAVET</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proofErr w:type="spellStart"/>
            <w:r w:rsidRPr="005B6074">
              <w:rPr>
                <w:rFonts w:ascii="Verdana" w:hAnsi="Verdana" w:cs="Arial"/>
                <w:sz w:val="20"/>
                <w:szCs w:val="20"/>
              </w:rPr>
              <w:t>Antoaneta</w:t>
            </w:r>
            <w:proofErr w:type="spellEnd"/>
            <w:r w:rsidRPr="005B6074">
              <w:rPr>
                <w:rFonts w:ascii="Verdana" w:hAnsi="Verdana" w:cs="Arial"/>
                <w:sz w:val="20"/>
                <w:szCs w:val="20"/>
              </w:rPr>
              <w:t xml:space="preserve"> </w:t>
            </w:r>
            <w:proofErr w:type="spellStart"/>
            <w:r w:rsidRPr="005B6074">
              <w:rPr>
                <w:rFonts w:ascii="Verdana" w:hAnsi="Verdana" w:cs="Arial"/>
                <w:sz w:val="20"/>
                <w:szCs w:val="20"/>
              </w:rPr>
              <w:t>Katsarova</w:t>
            </w:r>
            <w:proofErr w:type="spellEnd"/>
          </w:p>
        </w:tc>
        <w:tc>
          <w:tcPr>
            <w:tcW w:w="6552"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Bulgarian Industrial Association</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 xml:space="preserve">Kiril </w:t>
            </w:r>
            <w:proofErr w:type="spellStart"/>
            <w:r w:rsidRPr="005B6074">
              <w:rPr>
                <w:rFonts w:ascii="Verdana" w:hAnsi="Verdana" w:cs="Arial"/>
                <w:sz w:val="20"/>
                <w:szCs w:val="20"/>
              </w:rPr>
              <w:t>Zhelyazkov</w:t>
            </w:r>
            <w:proofErr w:type="spellEnd"/>
          </w:p>
        </w:tc>
        <w:tc>
          <w:tcPr>
            <w:tcW w:w="6552"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Bulgarian Industrial Association</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Nikolay Denkov</w:t>
            </w:r>
          </w:p>
        </w:tc>
        <w:tc>
          <w:tcPr>
            <w:tcW w:w="6552"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Sofia University</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proofErr w:type="spellStart"/>
            <w:r w:rsidRPr="005B6074">
              <w:rPr>
                <w:rFonts w:ascii="Verdana" w:hAnsi="Verdana" w:cs="Arial"/>
                <w:sz w:val="20"/>
                <w:szCs w:val="20"/>
              </w:rPr>
              <w:t>Lyubomir</w:t>
            </w:r>
            <w:proofErr w:type="spellEnd"/>
            <w:r w:rsidRPr="005B6074">
              <w:rPr>
                <w:rFonts w:ascii="Verdana" w:hAnsi="Verdana" w:cs="Arial"/>
                <w:sz w:val="20"/>
                <w:szCs w:val="20"/>
              </w:rPr>
              <w:t xml:space="preserve"> Dobrev</w:t>
            </w:r>
          </w:p>
        </w:tc>
        <w:tc>
          <w:tcPr>
            <w:tcW w:w="6552"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 xml:space="preserve">Administrative Director, University Complex of Humanitarian Studies, Sofia University </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proofErr w:type="spellStart"/>
            <w:r w:rsidRPr="005B6074">
              <w:rPr>
                <w:rFonts w:ascii="Verdana" w:hAnsi="Verdana" w:cs="Arial"/>
                <w:sz w:val="20"/>
                <w:szCs w:val="20"/>
              </w:rPr>
              <w:t>Veselka</w:t>
            </w:r>
            <w:proofErr w:type="spellEnd"/>
            <w:r w:rsidRPr="005B6074">
              <w:rPr>
                <w:rFonts w:ascii="Verdana" w:hAnsi="Verdana" w:cs="Arial"/>
                <w:sz w:val="20"/>
                <w:szCs w:val="20"/>
              </w:rPr>
              <w:t xml:space="preserve"> </w:t>
            </w:r>
            <w:proofErr w:type="spellStart"/>
            <w:r w:rsidRPr="005B6074">
              <w:rPr>
                <w:rFonts w:ascii="Verdana" w:hAnsi="Verdana" w:cs="Arial"/>
                <w:sz w:val="20"/>
                <w:szCs w:val="20"/>
              </w:rPr>
              <w:t>Ivanova</w:t>
            </w:r>
            <w:proofErr w:type="spellEnd"/>
          </w:p>
        </w:tc>
        <w:tc>
          <w:tcPr>
            <w:tcW w:w="6552"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National Association of Municipalities in the Republic of Bulgaria</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proofErr w:type="spellStart"/>
            <w:r w:rsidRPr="005B6074">
              <w:rPr>
                <w:rFonts w:ascii="Verdana" w:hAnsi="Verdana" w:cs="Arial"/>
                <w:sz w:val="20"/>
                <w:szCs w:val="20"/>
              </w:rPr>
              <w:t>Desislava</w:t>
            </w:r>
            <w:proofErr w:type="spellEnd"/>
            <w:r w:rsidRPr="005B6074">
              <w:rPr>
                <w:rFonts w:ascii="Verdana" w:hAnsi="Verdana" w:cs="Arial"/>
                <w:sz w:val="20"/>
                <w:szCs w:val="20"/>
              </w:rPr>
              <w:t xml:space="preserve"> </w:t>
            </w:r>
            <w:proofErr w:type="spellStart"/>
            <w:r w:rsidRPr="005B6074">
              <w:rPr>
                <w:rFonts w:ascii="Verdana" w:hAnsi="Verdana" w:cs="Arial"/>
                <w:sz w:val="20"/>
                <w:szCs w:val="20"/>
              </w:rPr>
              <w:t>Froloshka</w:t>
            </w:r>
            <w:proofErr w:type="spellEnd"/>
          </w:p>
        </w:tc>
        <w:tc>
          <w:tcPr>
            <w:tcW w:w="6552"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Association of Industrial Capital in Bulgaria</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proofErr w:type="spellStart"/>
            <w:r w:rsidRPr="005B6074">
              <w:rPr>
                <w:rFonts w:ascii="Verdana" w:hAnsi="Verdana" w:cs="Arial"/>
                <w:sz w:val="20"/>
                <w:szCs w:val="20"/>
              </w:rPr>
              <w:t>Georgi</w:t>
            </w:r>
            <w:proofErr w:type="spellEnd"/>
            <w:r w:rsidRPr="005B6074">
              <w:rPr>
                <w:rFonts w:ascii="Verdana" w:hAnsi="Verdana" w:cs="Arial"/>
                <w:sz w:val="20"/>
                <w:szCs w:val="20"/>
              </w:rPr>
              <w:t xml:space="preserve"> </w:t>
            </w:r>
            <w:proofErr w:type="spellStart"/>
            <w:r w:rsidRPr="005B6074">
              <w:rPr>
                <w:rFonts w:ascii="Verdana" w:hAnsi="Verdana" w:cs="Arial"/>
                <w:sz w:val="20"/>
                <w:szCs w:val="20"/>
              </w:rPr>
              <w:t>Raychevski</w:t>
            </w:r>
            <w:proofErr w:type="spellEnd"/>
          </w:p>
        </w:tc>
        <w:tc>
          <w:tcPr>
            <w:tcW w:w="6552"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 xml:space="preserve">GIS – Transfer </w:t>
            </w:r>
            <w:proofErr w:type="spellStart"/>
            <w:r w:rsidRPr="005B6074">
              <w:rPr>
                <w:rFonts w:ascii="Verdana" w:hAnsi="Verdana" w:cs="Arial"/>
                <w:sz w:val="20"/>
                <w:szCs w:val="20"/>
              </w:rPr>
              <w:t>Center</w:t>
            </w:r>
            <w:proofErr w:type="spellEnd"/>
            <w:r w:rsidRPr="005B6074">
              <w:rPr>
                <w:rFonts w:ascii="Verdana" w:hAnsi="Verdana" w:cs="Arial"/>
                <w:sz w:val="20"/>
                <w:szCs w:val="20"/>
              </w:rPr>
              <w:t xml:space="preserve"> Foundation and Joint Innovation Centre of BAS</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Metodiy Kirov</w:t>
            </w:r>
          </w:p>
        </w:tc>
        <w:tc>
          <w:tcPr>
            <w:tcW w:w="6552"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MES, General Directorate “Structural Funds and International Educational Programmes”</w:t>
            </w:r>
          </w:p>
        </w:tc>
      </w:tr>
      <w:tr w:rsidR="00CF3EE2" w:rsidRPr="005B6074" w:rsidTr="007C4363">
        <w:tc>
          <w:tcPr>
            <w:tcW w:w="2520"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Nikolay Nikolov</w:t>
            </w:r>
          </w:p>
        </w:tc>
        <w:tc>
          <w:tcPr>
            <w:tcW w:w="6552" w:type="dxa"/>
          </w:tcPr>
          <w:p w:rsidR="00CF3EE2" w:rsidRPr="005B6074" w:rsidRDefault="00A35E98" w:rsidP="007C4363">
            <w:pPr>
              <w:spacing w:before="60" w:after="60"/>
              <w:rPr>
                <w:rFonts w:ascii="Verdana" w:hAnsi="Verdana" w:cs="Arial"/>
                <w:sz w:val="20"/>
                <w:szCs w:val="20"/>
              </w:rPr>
            </w:pPr>
            <w:r w:rsidRPr="005B6074">
              <w:rPr>
                <w:rFonts w:ascii="Verdana" w:hAnsi="Verdana" w:cs="Arial"/>
                <w:sz w:val="20"/>
                <w:szCs w:val="20"/>
              </w:rPr>
              <w:t>MES, General Directorate “Structural Funds and International Educational Programmes”</w:t>
            </w:r>
          </w:p>
        </w:tc>
      </w:tr>
    </w:tbl>
    <w:p w:rsidR="00CF3EE2" w:rsidRPr="005B6074" w:rsidRDefault="00CF3EE2" w:rsidP="00CF3EE2"/>
    <w:p w:rsidR="00CF3EE2" w:rsidRPr="005B6074" w:rsidRDefault="00CF3EE2" w:rsidP="00CF3EE2"/>
    <w:p w:rsidR="00CF3EE2" w:rsidRPr="005B6074" w:rsidRDefault="00CF3EE2" w:rsidP="00CF3EE2"/>
    <w:p w:rsidR="00CF3EE2" w:rsidRPr="005B6074" w:rsidRDefault="00CF3EE2" w:rsidP="00CF3EE2"/>
    <w:p w:rsidR="00CF3EE2" w:rsidRPr="005B6074" w:rsidRDefault="00CF3EE2" w:rsidP="00CF3EE2"/>
    <w:p w:rsidR="00CF3EE2" w:rsidRPr="005B6074" w:rsidRDefault="00A35E98" w:rsidP="00CF3EE2">
      <w:pPr>
        <w:rPr>
          <w:rFonts w:ascii="Verdana" w:hAnsi="Verdana"/>
          <w:b/>
          <w:color w:val="548DD4" w:themeColor="text2" w:themeTint="99"/>
        </w:rPr>
      </w:pPr>
      <w:r w:rsidRPr="005B6074">
        <w:rPr>
          <w:rFonts w:ascii="Verdana" w:hAnsi="Verdana"/>
          <w:b/>
          <w:color w:val="548DD4" w:themeColor="text2" w:themeTint="99"/>
        </w:rPr>
        <w:lastRenderedPageBreak/>
        <w:t>Participants in a focus group with representatives of potential beneficiaries</w:t>
      </w:r>
    </w:p>
    <w:tbl>
      <w:tblPr>
        <w:tblStyle w:val="TableGrid"/>
        <w:tblW w:w="9072" w:type="dxa"/>
        <w:tblInd w:w="108"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2520"/>
        <w:gridCol w:w="6552"/>
      </w:tblGrid>
      <w:tr w:rsidR="00CF3EE2" w:rsidRPr="005B6074" w:rsidTr="007C4363">
        <w:tc>
          <w:tcPr>
            <w:tcW w:w="2520" w:type="dxa"/>
            <w:shd w:val="clear" w:color="auto" w:fill="548DD4" w:themeFill="text2" w:themeFillTint="99"/>
          </w:tcPr>
          <w:p w:rsidR="00CF3EE2" w:rsidRPr="005B6074" w:rsidRDefault="00A35E98" w:rsidP="007C4363">
            <w:pPr>
              <w:spacing w:before="60" w:after="60" w:line="240" w:lineRule="auto"/>
              <w:rPr>
                <w:rFonts w:ascii="Verdana" w:hAnsi="Verdana" w:cs="Arial"/>
                <w:b/>
                <w:color w:val="FFFFFF" w:themeColor="background1"/>
                <w:sz w:val="20"/>
                <w:szCs w:val="20"/>
              </w:rPr>
            </w:pPr>
            <w:r w:rsidRPr="005B6074">
              <w:rPr>
                <w:rFonts w:ascii="Verdana" w:hAnsi="Verdana" w:cs="Arial"/>
                <w:b/>
                <w:color w:val="FFFFFF" w:themeColor="background1"/>
                <w:sz w:val="20"/>
                <w:szCs w:val="20"/>
              </w:rPr>
              <w:t>Name</w:t>
            </w:r>
          </w:p>
        </w:tc>
        <w:tc>
          <w:tcPr>
            <w:tcW w:w="6552" w:type="dxa"/>
            <w:shd w:val="clear" w:color="auto" w:fill="548DD4" w:themeFill="text2" w:themeFillTint="99"/>
          </w:tcPr>
          <w:p w:rsidR="00CF3EE2" w:rsidRPr="005B6074" w:rsidRDefault="00A35E98" w:rsidP="007C4363">
            <w:pPr>
              <w:spacing w:before="60" w:after="60" w:line="240" w:lineRule="auto"/>
              <w:rPr>
                <w:rFonts w:ascii="Verdana" w:hAnsi="Verdana" w:cs="Arial"/>
                <w:b/>
                <w:color w:val="FFFFFF" w:themeColor="background1"/>
                <w:sz w:val="20"/>
                <w:szCs w:val="20"/>
              </w:rPr>
            </w:pPr>
            <w:r w:rsidRPr="005B6074">
              <w:rPr>
                <w:rFonts w:ascii="Verdana" w:hAnsi="Verdana" w:cs="Arial"/>
                <w:b/>
                <w:color w:val="FFFFFF" w:themeColor="background1"/>
                <w:sz w:val="20"/>
                <w:szCs w:val="20"/>
              </w:rPr>
              <w:t>Institution</w:t>
            </w:r>
          </w:p>
        </w:tc>
      </w:tr>
      <w:tr w:rsidR="00CF3EE2" w:rsidRPr="005B6074" w:rsidTr="007C4363">
        <w:tc>
          <w:tcPr>
            <w:tcW w:w="2520" w:type="dxa"/>
          </w:tcPr>
          <w:p w:rsidR="00CF3EE2" w:rsidRPr="005B6074" w:rsidRDefault="00A35E98" w:rsidP="007C4363">
            <w:pPr>
              <w:spacing w:before="60" w:after="60" w:line="240" w:lineRule="auto"/>
              <w:rPr>
                <w:rFonts w:ascii="Verdana" w:hAnsi="Verdana" w:cs="Arial"/>
                <w:sz w:val="20"/>
                <w:szCs w:val="20"/>
              </w:rPr>
            </w:pPr>
            <w:proofErr w:type="spellStart"/>
            <w:r w:rsidRPr="005B6074">
              <w:rPr>
                <w:rFonts w:ascii="Verdana" w:hAnsi="Verdana" w:cs="Arial"/>
                <w:sz w:val="20"/>
                <w:szCs w:val="20"/>
              </w:rPr>
              <w:t>Lalka</w:t>
            </w:r>
            <w:proofErr w:type="spellEnd"/>
            <w:r w:rsidRPr="005B6074">
              <w:rPr>
                <w:rFonts w:ascii="Verdana" w:hAnsi="Verdana" w:cs="Arial"/>
                <w:sz w:val="20"/>
                <w:szCs w:val="20"/>
              </w:rPr>
              <w:t xml:space="preserve"> </w:t>
            </w:r>
            <w:proofErr w:type="spellStart"/>
            <w:r w:rsidRPr="005B6074">
              <w:rPr>
                <w:rFonts w:ascii="Verdana" w:hAnsi="Verdana" w:cs="Arial"/>
                <w:sz w:val="20"/>
                <w:szCs w:val="20"/>
              </w:rPr>
              <w:t>Momchilova</w:t>
            </w:r>
            <w:proofErr w:type="spellEnd"/>
          </w:p>
        </w:tc>
        <w:tc>
          <w:tcPr>
            <w:tcW w:w="6552" w:type="dxa"/>
          </w:tcPr>
          <w:p w:rsidR="00CF3EE2" w:rsidRPr="005B6074" w:rsidRDefault="00A35E98" w:rsidP="007C4363">
            <w:pPr>
              <w:spacing w:before="60" w:after="60" w:line="240" w:lineRule="auto"/>
              <w:rPr>
                <w:rFonts w:ascii="Verdana" w:hAnsi="Verdana" w:cs="Arial"/>
                <w:sz w:val="20"/>
                <w:szCs w:val="20"/>
              </w:rPr>
            </w:pPr>
            <w:r w:rsidRPr="005B6074">
              <w:rPr>
                <w:rFonts w:ascii="Verdana" w:hAnsi="Verdana" w:cs="Arial"/>
                <w:sz w:val="20"/>
                <w:szCs w:val="20"/>
              </w:rPr>
              <w:t>Vocational School “</w:t>
            </w:r>
            <w:proofErr w:type="spellStart"/>
            <w:r w:rsidRPr="005B6074">
              <w:rPr>
                <w:rFonts w:ascii="Verdana" w:hAnsi="Verdana" w:cs="Arial"/>
                <w:sz w:val="20"/>
                <w:szCs w:val="20"/>
              </w:rPr>
              <w:t>Vaptsarov</w:t>
            </w:r>
            <w:proofErr w:type="spellEnd"/>
            <w:r w:rsidRPr="005B6074">
              <w:rPr>
                <w:rFonts w:ascii="Verdana" w:hAnsi="Verdana" w:cs="Arial"/>
                <w:sz w:val="20"/>
                <w:szCs w:val="20"/>
              </w:rPr>
              <w:t xml:space="preserve">” </w:t>
            </w:r>
          </w:p>
        </w:tc>
      </w:tr>
      <w:tr w:rsidR="00CF3EE2" w:rsidRPr="005B6074" w:rsidTr="007C4363">
        <w:tc>
          <w:tcPr>
            <w:tcW w:w="2520" w:type="dxa"/>
          </w:tcPr>
          <w:p w:rsidR="00CF3EE2" w:rsidRPr="005B6074" w:rsidRDefault="00A35E98" w:rsidP="007C4363">
            <w:pPr>
              <w:spacing w:before="60" w:after="60" w:line="240" w:lineRule="auto"/>
              <w:rPr>
                <w:rFonts w:ascii="Verdana" w:hAnsi="Verdana" w:cs="Arial"/>
                <w:sz w:val="20"/>
                <w:szCs w:val="20"/>
              </w:rPr>
            </w:pPr>
            <w:r w:rsidRPr="005B6074">
              <w:rPr>
                <w:rFonts w:ascii="Verdana" w:hAnsi="Verdana" w:cs="Arial"/>
                <w:sz w:val="20"/>
                <w:szCs w:val="20"/>
              </w:rPr>
              <w:t xml:space="preserve">Lyudmila </w:t>
            </w:r>
            <w:proofErr w:type="spellStart"/>
            <w:r w:rsidRPr="005B6074">
              <w:rPr>
                <w:rFonts w:ascii="Verdana" w:hAnsi="Verdana" w:cs="Arial"/>
                <w:sz w:val="20"/>
                <w:szCs w:val="20"/>
              </w:rPr>
              <w:t>Pikova</w:t>
            </w:r>
            <w:proofErr w:type="spellEnd"/>
          </w:p>
        </w:tc>
        <w:tc>
          <w:tcPr>
            <w:tcW w:w="6552" w:type="dxa"/>
          </w:tcPr>
          <w:p w:rsidR="00CF3EE2" w:rsidRPr="005B6074" w:rsidRDefault="00A35E98" w:rsidP="007C4363">
            <w:pPr>
              <w:spacing w:before="60" w:after="60" w:line="240" w:lineRule="auto"/>
              <w:rPr>
                <w:rFonts w:ascii="Verdana" w:hAnsi="Verdana" w:cs="Arial"/>
                <w:sz w:val="20"/>
                <w:szCs w:val="20"/>
              </w:rPr>
            </w:pPr>
            <w:r w:rsidRPr="005B6074">
              <w:rPr>
                <w:rFonts w:ascii="Verdana" w:hAnsi="Verdana" w:cs="Arial"/>
                <w:sz w:val="20"/>
                <w:szCs w:val="20"/>
              </w:rPr>
              <w:t>Vocational School “</w:t>
            </w:r>
            <w:proofErr w:type="spellStart"/>
            <w:r w:rsidRPr="005B6074">
              <w:rPr>
                <w:rFonts w:ascii="Verdana" w:hAnsi="Verdana" w:cs="Arial"/>
                <w:sz w:val="20"/>
                <w:szCs w:val="20"/>
              </w:rPr>
              <w:t>Vaptsarov</w:t>
            </w:r>
            <w:proofErr w:type="spellEnd"/>
            <w:r w:rsidRPr="005B6074">
              <w:rPr>
                <w:rFonts w:ascii="Verdana" w:hAnsi="Verdana" w:cs="Arial"/>
                <w:sz w:val="20"/>
                <w:szCs w:val="20"/>
              </w:rPr>
              <w:t xml:space="preserve">” </w:t>
            </w:r>
          </w:p>
        </w:tc>
      </w:tr>
      <w:tr w:rsidR="00CF3EE2" w:rsidRPr="005B6074" w:rsidTr="007C4363">
        <w:tc>
          <w:tcPr>
            <w:tcW w:w="2520" w:type="dxa"/>
          </w:tcPr>
          <w:p w:rsidR="00CF3EE2" w:rsidRPr="005B6074" w:rsidRDefault="00A35E98" w:rsidP="007C4363">
            <w:pPr>
              <w:spacing w:before="60" w:after="60" w:line="240" w:lineRule="auto"/>
              <w:rPr>
                <w:rFonts w:ascii="Verdana" w:hAnsi="Verdana" w:cs="Arial"/>
                <w:sz w:val="20"/>
                <w:szCs w:val="20"/>
              </w:rPr>
            </w:pPr>
            <w:proofErr w:type="spellStart"/>
            <w:r w:rsidRPr="005B6074">
              <w:rPr>
                <w:rFonts w:ascii="Verdana" w:hAnsi="Verdana" w:cs="Arial"/>
                <w:sz w:val="20"/>
                <w:szCs w:val="20"/>
              </w:rPr>
              <w:t>Yavor</w:t>
            </w:r>
            <w:proofErr w:type="spellEnd"/>
            <w:r w:rsidRPr="005B6074">
              <w:rPr>
                <w:rFonts w:ascii="Verdana" w:hAnsi="Verdana" w:cs="Arial"/>
                <w:sz w:val="20"/>
                <w:szCs w:val="20"/>
              </w:rPr>
              <w:t xml:space="preserve"> </w:t>
            </w:r>
            <w:proofErr w:type="spellStart"/>
            <w:r w:rsidRPr="005B6074">
              <w:rPr>
                <w:rFonts w:ascii="Verdana" w:hAnsi="Verdana" w:cs="Arial"/>
                <w:sz w:val="20"/>
                <w:szCs w:val="20"/>
              </w:rPr>
              <w:t>Shopov</w:t>
            </w:r>
            <w:proofErr w:type="spellEnd"/>
          </w:p>
        </w:tc>
        <w:tc>
          <w:tcPr>
            <w:tcW w:w="6552" w:type="dxa"/>
          </w:tcPr>
          <w:p w:rsidR="00CF3EE2" w:rsidRPr="005B6074" w:rsidRDefault="00A35E98" w:rsidP="007C4363">
            <w:pPr>
              <w:spacing w:before="60" w:after="60" w:line="240" w:lineRule="auto"/>
              <w:rPr>
                <w:rFonts w:ascii="Verdana" w:hAnsi="Verdana" w:cs="Arial"/>
                <w:sz w:val="20"/>
                <w:szCs w:val="20"/>
              </w:rPr>
            </w:pPr>
            <w:r w:rsidRPr="005B6074">
              <w:rPr>
                <w:rFonts w:ascii="Verdana" w:hAnsi="Verdana" w:cs="Arial"/>
                <w:sz w:val="20"/>
                <w:szCs w:val="20"/>
              </w:rPr>
              <w:t xml:space="preserve">Sofia University “St. </w:t>
            </w:r>
            <w:proofErr w:type="spellStart"/>
            <w:r w:rsidRPr="005B6074">
              <w:rPr>
                <w:rFonts w:ascii="Verdana" w:hAnsi="Verdana" w:cs="Arial"/>
                <w:sz w:val="20"/>
                <w:szCs w:val="20"/>
              </w:rPr>
              <w:t>Kliment</w:t>
            </w:r>
            <w:proofErr w:type="spellEnd"/>
            <w:r w:rsidRPr="005B6074">
              <w:rPr>
                <w:rFonts w:ascii="Verdana" w:hAnsi="Verdana" w:cs="Arial"/>
                <w:sz w:val="20"/>
                <w:szCs w:val="20"/>
              </w:rPr>
              <w:t xml:space="preserve"> </w:t>
            </w:r>
            <w:proofErr w:type="spellStart"/>
            <w:r w:rsidRPr="005B6074">
              <w:rPr>
                <w:rFonts w:ascii="Verdana" w:hAnsi="Verdana" w:cs="Arial"/>
                <w:sz w:val="20"/>
                <w:szCs w:val="20"/>
              </w:rPr>
              <w:t>Ohridski</w:t>
            </w:r>
            <w:proofErr w:type="spellEnd"/>
            <w:r w:rsidRPr="005B6074">
              <w:rPr>
                <w:rFonts w:ascii="Verdana" w:hAnsi="Verdana" w:cs="Arial"/>
                <w:sz w:val="20"/>
                <w:szCs w:val="20"/>
              </w:rPr>
              <w:t>”</w:t>
            </w:r>
          </w:p>
        </w:tc>
      </w:tr>
      <w:tr w:rsidR="00CF3EE2" w:rsidRPr="005B6074" w:rsidTr="007C4363">
        <w:tc>
          <w:tcPr>
            <w:tcW w:w="2520" w:type="dxa"/>
          </w:tcPr>
          <w:p w:rsidR="00CF3EE2" w:rsidRPr="005B6074" w:rsidRDefault="00A35E98" w:rsidP="007C4363">
            <w:pPr>
              <w:spacing w:before="60" w:after="60" w:line="240" w:lineRule="auto"/>
              <w:rPr>
                <w:rFonts w:ascii="Verdana" w:hAnsi="Verdana" w:cs="Arial"/>
                <w:sz w:val="20"/>
                <w:szCs w:val="20"/>
              </w:rPr>
            </w:pPr>
            <w:r w:rsidRPr="005B6074">
              <w:rPr>
                <w:rFonts w:ascii="Verdana" w:hAnsi="Verdana" w:cs="Arial"/>
                <w:sz w:val="20"/>
                <w:szCs w:val="20"/>
              </w:rPr>
              <w:t xml:space="preserve">Kiril </w:t>
            </w:r>
            <w:proofErr w:type="spellStart"/>
            <w:r w:rsidRPr="005B6074">
              <w:rPr>
                <w:rFonts w:ascii="Verdana" w:hAnsi="Verdana" w:cs="Arial"/>
                <w:sz w:val="20"/>
                <w:szCs w:val="20"/>
              </w:rPr>
              <w:t>Stoychev</w:t>
            </w:r>
            <w:proofErr w:type="spellEnd"/>
          </w:p>
        </w:tc>
        <w:tc>
          <w:tcPr>
            <w:tcW w:w="6552" w:type="dxa"/>
          </w:tcPr>
          <w:p w:rsidR="00CF3EE2" w:rsidRPr="005B6074" w:rsidRDefault="00A35E98" w:rsidP="007C4363">
            <w:pPr>
              <w:spacing w:before="60" w:after="60" w:line="240" w:lineRule="auto"/>
              <w:rPr>
                <w:rFonts w:ascii="Verdana" w:hAnsi="Verdana" w:cs="Arial"/>
                <w:sz w:val="20"/>
                <w:szCs w:val="20"/>
              </w:rPr>
            </w:pPr>
            <w:r w:rsidRPr="005B6074">
              <w:rPr>
                <w:rFonts w:ascii="Verdana" w:hAnsi="Verdana" w:cs="Arial"/>
                <w:sz w:val="20"/>
                <w:szCs w:val="20"/>
              </w:rPr>
              <w:t>BAS</w:t>
            </w:r>
          </w:p>
        </w:tc>
      </w:tr>
      <w:tr w:rsidR="00CF3EE2" w:rsidRPr="005B6074" w:rsidTr="007C4363">
        <w:tc>
          <w:tcPr>
            <w:tcW w:w="2520" w:type="dxa"/>
          </w:tcPr>
          <w:p w:rsidR="00CF3EE2" w:rsidRPr="005B6074" w:rsidRDefault="00A35E98" w:rsidP="007C4363">
            <w:pPr>
              <w:spacing w:before="60" w:after="60" w:line="240" w:lineRule="auto"/>
              <w:rPr>
                <w:rFonts w:ascii="Verdana" w:hAnsi="Verdana" w:cs="Arial"/>
                <w:sz w:val="20"/>
                <w:szCs w:val="20"/>
              </w:rPr>
            </w:pPr>
            <w:proofErr w:type="spellStart"/>
            <w:r w:rsidRPr="005B6074">
              <w:rPr>
                <w:rFonts w:ascii="Verdana" w:hAnsi="Verdana" w:cs="Arial"/>
                <w:sz w:val="20"/>
                <w:szCs w:val="20"/>
              </w:rPr>
              <w:t>Yanka</w:t>
            </w:r>
            <w:proofErr w:type="spellEnd"/>
            <w:r w:rsidRPr="005B6074">
              <w:rPr>
                <w:rFonts w:ascii="Verdana" w:hAnsi="Verdana" w:cs="Arial"/>
                <w:sz w:val="20"/>
                <w:szCs w:val="20"/>
              </w:rPr>
              <w:t xml:space="preserve"> </w:t>
            </w:r>
            <w:proofErr w:type="spellStart"/>
            <w:r w:rsidRPr="005B6074">
              <w:rPr>
                <w:rFonts w:ascii="Verdana" w:hAnsi="Verdana" w:cs="Arial"/>
                <w:sz w:val="20"/>
                <w:szCs w:val="20"/>
              </w:rPr>
              <w:t>Alexandrova</w:t>
            </w:r>
            <w:proofErr w:type="spellEnd"/>
          </w:p>
        </w:tc>
        <w:tc>
          <w:tcPr>
            <w:tcW w:w="6552" w:type="dxa"/>
          </w:tcPr>
          <w:p w:rsidR="00CF3EE2" w:rsidRPr="005B6074" w:rsidRDefault="00A35E98" w:rsidP="007C4363">
            <w:pPr>
              <w:spacing w:before="60" w:after="60" w:line="240" w:lineRule="auto"/>
              <w:rPr>
                <w:rFonts w:ascii="Verdana" w:hAnsi="Verdana" w:cs="Arial"/>
                <w:sz w:val="20"/>
                <w:szCs w:val="20"/>
              </w:rPr>
            </w:pPr>
            <w:proofErr w:type="spellStart"/>
            <w:r w:rsidRPr="005B6074">
              <w:rPr>
                <w:rFonts w:ascii="Verdana" w:hAnsi="Verdana" w:cs="Arial"/>
                <w:sz w:val="20"/>
                <w:szCs w:val="20"/>
              </w:rPr>
              <w:t>Savremennost</w:t>
            </w:r>
            <w:proofErr w:type="spellEnd"/>
            <w:r w:rsidRPr="005B6074">
              <w:rPr>
                <w:rFonts w:ascii="Verdana" w:hAnsi="Verdana" w:cs="Arial"/>
                <w:sz w:val="20"/>
                <w:szCs w:val="20"/>
              </w:rPr>
              <w:t xml:space="preserve"> Foundation</w:t>
            </w:r>
          </w:p>
        </w:tc>
      </w:tr>
      <w:tr w:rsidR="00CF3EE2" w:rsidRPr="005B6074" w:rsidTr="007C4363">
        <w:tc>
          <w:tcPr>
            <w:tcW w:w="2520" w:type="dxa"/>
          </w:tcPr>
          <w:p w:rsidR="00CF3EE2" w:rsidRPr="005B6074" w:rsidRDefault="00A35E98" w:rsidP="007C4363">
            <w:pPr>
              <w:spacing w:before="60" w:after="60" w:line="240" w:lineRule="auto"/>
              <w:rPr>
                <w:rFonts w:ascii="Verdana" w:hAnsi="Verdana" w:cs="Arial"/>
                <w:sz w:val="20"/>
                <w:szCs w:val="20"/>
              </w:rPr>
            </w:pPr>
            <w:r w:rsidRPr="005B6074">
              <w:rPr>
                <w:rFonts w:ascii="Verdana" w:hAnsi="Verdana" w:cs="Arial"/>
                <w:sz w:val="20"/>
                <w:szCs w:val="20"/>
              </w:rPr>
              <w:t xml:space="preserve">Aneta </w:t>
            </w:r>
            <w:proofErr w:type="spellStart"/>
            <w:r w:rsidRPr="005B6074">
              <w:rPr>
                <w:rFonts w:ascii="Verdana" w:hAnsi="Verdana" w:cs="Arial"/>
                <w:sz w:val="20"/>
                <w:szCs w:val="20"/>
              </w:rPr>
              <w:t>Karaivanova</w:t>
            </w:r>
            <w:proofErr w:type="spellEnd"/>
          </w:p>
        </w:tc>
        <w:tc>
          <w:tcPr>
            <w:tcW w:w="6552" w:type="dxa"/>
          </w:tcPr>
          <w:p w:rsidR="00CF3EE2" w:rsidRPr="005B6074" w:rsidRDefault="00A35E98" w:rsidP="007C4363">
            <w:pPr>
              <w:spacing w:before="60" w:after="60" w:line="240" w:lineRule="auto"/>
              <w:rPr>
                <w:rFonts w:ascii="Verdana" w:hAnsi="Verdana" w:cs="Arial"/>
                <w:sz w:val="20"/>
                <w:szCs w:val="20"/>
              </w:rPr>
            </w:pPr>
            <w:r w:rsidRPr="005B6074">
              <w:rPr>
                <w:rFonts w:ascii="Verdana" w:hAnsi="Verdana" w:cs="Arial"/>
                <w:sz w:val="20"/>
                <w:szCs w:val="20"/>
              </w:rPr>
              <w:t>IICT – BAS</w:t>
            </w:r>
          </w:p>
        </w:tc>
      </w:tr>
      <w:tr w:rsidR="00CF3EE2" w:rsidRPr="005B6074" w:rsidTr="007C4363">
        <w:tc>
          <w:tcPr>
            <w:tcW w:w="2520" w:type="dxa"/>
          </w:tcPr>
          <w:p w:rsidR="00CF3EE2" w:rsidRPr="005B6074" w:rsidRDefault="00A35E98" w:rsidP="007C4363">
            <w:pPr>
              <w:spacing w:before="60" w:after="60" w:line="240" w:lineRule="auto"/>
              <w:rPr>
                <w:rFonts w:ascii="Verdana" w:hAnsi="Verdana" w:cs="Arial"/>
                <w:sz w:val="20"/>
                <w:szCs w:val="20"/>
              </w:rPr>
            </w:pPr>
            <w:r w:rsidRPr="005B6074">
              <w:rPr>
                <w:rFonts w:ascii="Verdana" w:hAnsi="Verdana" w:cs="Arial"/>
                <w:sz w:val="20"/>
                <w:szCs w:val="20"/>
              </w:rPr>
              <w:t>Asen Petrov</w:t>
            </w:r>
          </w:p>
        </w:tc>
        <w:tc>
          <w:tcPr>
            <w:tcW w:w="6552" w:type="dxa"/>
          </w:tcPr>
          <w:p w:rsidR="00CF3EE2" w:rsidRPr="005B6074" w:rsidRDefault="00A35E98" w:rsidP="007C4363">
            <w:pPr>
              <w:spacing w:before="60" w:after="60" w:line="240" w:lineRule="auto"/>
              <w:rPr>
                <w:rFonts w:ascii="Verdana" w:hAnsi="Verdana" w:cs="Arial"/>
                <w:sz w:val="20"/>
                <w:szCs w:val="20"/>
              </w:rPr>
            </w:pPr>
            <w:r w:rsidRPr="005B6074">
              <w:rPr>
                <w:rFonts w:ascii="Verdana" w:hAnsi="Verdana" w:cs="Arial"/>
                <w:sz w:val="20"/>
                <w:szCs w:val="20"/>
              </w:rPr>
              <w:t>MES</w:t>
            </w:r>
          </w:p>
        </w:tc>
      </w:tr>
      <w:tr w:rsidR="00CF3EE2" w:rsidRPr="005B6074" w:rsidTr="007C4363">
        <w:tc>
          <w:tcPr>
            <w:tcW w:w="2520" w:type="dxa"/>
          </w:tcPr>
          <w:p w:rsidR="00CF3EE2" w:rsidRPr="005B6074" w:rsidRDefault="00A35E98" w:rsidP="007C4363">
            <w:pPr>
              <w:spacing w:before="60" w:after="60" w:line="240" w:lineRule="auto"/>
              <w:rPr>
                <w:rFonts w:ascii="Verdana" w:hAnsi="Verdana" w:cs="Arial"/>
                <w:sz w:val="20"/>
                <w:szCs w:val="20"/>
              </w:rPr>
            </w:pPr>
            <w:proofErr w:type="spellStart"/>
            <w:r w:rsidRPr="005B6074">
              <w:rPr>
                <w:rFonts w:ascii="Verdana" w:hAnsi="Verdana" w:cs="Arial"/>
                <w:sz w:val="20"/>
                <w:szCs w:val="20"/>
              </w:rPr>
              <w:t>Ivanka</w:t>
            </w:r>
            <w:proofErr w:type="spellEnd"/>
            <w:r w:rsidRPr="005B6074">
              <w:rPr>
                <w:rFonts w:ascii="Verdana" w:hAnsi="Verdana" w:cs="Arial"/>
                <w:sz w:val="20"/>
                <w:szCs w:val="20"/>
              </w:rPr>
              <w:t xml:space="preserve"> </w:t>
            </w:r>
            <w:proofErr w:type="spellStart"/>
            <w:r w:rsidRPr="005B6074">
              <w:rPr>
                <w:rFonts w:ascii="Verdana" w:hAnsi="Verdana" w:cs="Arial"/>
                <w:sz w:val="20"/>
                <w:szCs w:val="20"/>
              </w:rPr>
              <w:t>Germanova</w:t>
            </w:r>
            <w:proofErr w:type="spellEnd"/>
          </w:p>
        </w:tc>
        <w:tc>
          <w:tcPr>
            <w:tcW w:w="6552" w:type="dxa"/>
          </w:tcPr>
          <w:p w:rsidR="00CF3EE2" w:rsidRPr="005B6074" w:rsidRDefault="00A35E98" w:rsidP="007C4363">
            <w:pPr>
              <w:spacing w:before="60" w:after="60" w:line="240" w:lineRule="auto"/>
              <w:rPr>
                <w:rFonts w:ascii="Verdana" w:hAnsi="Verdana" w:cs="Arial"/>
                <w:sz w:val="20"/>
                <w:szCs w:val="20"/>
              </w:rPr>
            </w:pPr>
            <w:r w:rsidRPr="005B6074">
              <w:rPr>
                <w:rFonts w:ascii="Verdana" w:hAnsi="Verdana" w:cs="Arial"/>
                <w:sz w:val="20"/>
                <w:szCs w:val="20"/>
              </w:rPr>
              <w:t>RIE Sofia City</w:t>
            </w:r>
          </w:p>
        </w:tc>
      </w:tr>
      <w:tr w:rsidR="00CF3EE2" w:rsidRPr="005B6074" w:rsidTr="007C4363">
        <w:tc>
          <w:tcPr>
            <w:tcW w:w="2520" w:type="dxa"/>
          </w:tcPr>
          <w:p w:rsidR="00CF3EE2" w:rsidRPr="005B6074" w:rsidRDefault="00A35E98" w:rsidP="007C4363">
            <w:pPr>
              <w:spacing w:before="60" w:after="60" w:line="240" w:lineRule="auto"/>
              <w:rPr>
                <w:rFonts w:ascii="Verdana" w:hAnsi="Verdana" w:cs="Arial"/>
                <w:sz w:val="20"/>
                <w:szCs w:val="20"/>
              </w:rPr>
            </w:pPr>
            <w:r w:rsidRPr="005B6074">
              <w:rPr>
                <w:rFonts w:ascii="Verdana" w:hAnsi="Verdana" w:cs="Arial"/>
                <w:sz w:val="20"/>
                <w:szCs w:val="20"/>
              </w:rPr>
              <w:t xml:space="preserve">Maria </w:t>
            </w:r>
            <w:proofErr w:type="spellStart"/>
            <w:r w:rsidRPr="005B6074">
              <w:rPr>
                <w:rFonts w:ascii="Verdana" w:hAnsi="Verdana" w:cs="Arial"/>
                <w:sz w:val="20"/>
                <w:szCs w:val="20"/>
              </w:rPr>
              <w:t>Tsvetkova</w:t>
            </w:r>
            <w:proofErr w:type="spellEnd"/>
          </w:p>
        </w:tc>
        <w:tc>
          <w:tcPr>
            <w:tcW w:w="6552" w:type="dxa"/>
          </w:tcPr>
          <w:p w:rsidR="00CF3EE2" w:rsidRPr="005B6074" w:rsidRDefault="00A35E98" w:rsidP="007C4363">
            <w:pPr>
              <w:spacing w:before="60" w:after="60" w:line="240" w:lineRule="auto"/>
              <w:rPr>
                <w:rFonts w:ascii="Verdana" w:hAnsi="Verdana" w:cs="Arial"/>
                <w:sz w:val="20"/>
                <w:szCs w:val="20"/>
              </w:rPr>
            </w:pPr>
            <w:r w:rsidRPr="005B6074">
              <w:rPr>
                <w:rFonts w:ascii="Verdana" w:hAnsi="Verdana" w:cs="Arial"/>
                <w:sz w:val="20"/>
                <w:szCs w:val="20"/>
              </w:rPr>
              <w:t>NBU</w:t>
            </w:r>
          </w:p>
        </w:tc>
      </w:tr>
    </w:tbl>
    <w:p w:rsidR="00CF3EE2" w:rsidRPr="005B6074" w:rsidRDefault="00CF3EE2" w:rsidP="00CF3EE2"/>
    <w:p w:rsidR="00CF3EE2" w:rsidRPr="005B6074" w:rsidRDefault="00CF3EE2" w:rsidP="00CF3EE2"/>
    <w:p w:rsidR="00CF3EE2" w:rsidRPr="005B6074" w:rsidRDefault="00CF3EE2" w:rsidP="00CF3EE2">
      <w:pPr>
        <w:ind w:left="-709"/>
        <w:jc w:val="center"/>
        <w:rPr>
          <w:rFonts w:ascii="Verdana" w:hAnsi="Verdana"/>
          <w:sz w:val="20"/>
          <w:szCs w:val="20"/>
        </w:rPr>
        <w:sectPr w:rsidR="00CF3EE2" w:rsidRPr="005B6074" w:rsidSect="007C4363">
          <w:pgSz w:w="11907" w:h="16839" w:code="9"/>
          <w:pgMar w:top="2166" w:right="1440" w:bottom="1440" w:left="1440" w:header="720" w:footer="724" w:gutter="0"/>
          <w:cols w:space="720"/>
          <w:docGrid w:linePitch="360"/>
        </w:sectPr>
      </w:pPr>
    </w:p>
    <w:p w:rsidR="00CF3EE2" w:rsidRDefault="00A35E98" w:rsidP="00CF3EE2">
      <w:pPr>
        <w:pStyle w:val="Heading2"/>
        <w:shd w:val="clear" w:color="auto" w:fill="FFCC99"/>
        <w:spacing w:before="0" w:after="240"/>
        <w:rPr>
          <w:rFonts w:ascii="Verdana" w:hAnsi="Verdana"/>
          <w:i w:val="0"/>
          <w:iCs/>
          <w:color w:val="0063B8"/>
          <w:sz w:val="26"/>
          <w:szCs w:val="26"/>
        </w:rPr>
      </w:pPr>
      <w:bookmarkStart w:id="258" w:name="_Toc390262460"/>
      <w:bookmarkStart w:id="259" w:name="_Toc396225574"/>
      <w:r w:rsidRPr="005B6074">
        <w:rPr>
          <w:rFonts w:ascii="Verdana" w:hAnsi="Verdana"/>
          <w:i w:val="0"/>
          <w:iCs/>
          <w:color w:val="0063B8"/>
          <w:sz w:val="26"/>
          <w:szCs w:val="26"/>
        </w:rPr>
        <w:lastRenderedPageBreak/>
        <w:t xml:space="preserve">Annex 3: Results from the online survey among potential </w:t>
      </w:r>
      <w:bookmarkEnd w:id="258"/>
      <w:r w:rsidRPr="005B6074">
        <w:rPr>
          <w:rFonts w:ascii="Verdana" w:hAnsi="Verdana"/>
          <w:i w:val="0"/>
          <w:iCs/>
          <w:color w:val="0063B8"/>
          <w:sz w:val="26"/>
          <w:szCs w:val="26"/>
        </w:rPr>
        <w:t>beneficiaries of the programme, the future MA and members of the Working Group for the programme preparation</w:t>
      </w:r>
      <w:bookmarkEnd w:id="259"/>
      <w:r w:rsidRPr="005B6074">
        <w:rPr>
          <w:rFonts w:ascii="Verdana" w:hAnsi="Verdana"/>
          <w:i w:val="0"/>
          <w:iCs/>
          <w:color w:val="0063B8"/>
          <w:sz w:val="26"/>
          <w:szCs w:val="26"/>
        </w:rPr>
        <w:t xml:space="preserve"> </w:t>
      </w:r>
    </w:p>
    <w:p w:rsidR="00046FE6" w:rsidRDefault="00046FE6" w:rsidP="00046FE6">
      <w:pPr>
        <w:rPr>
          <w:rFonts w:ascii="Verdana" w:hAnsi="Verdana"/>
          <w:sz w:val="20"/>
          <w:szCs w:val="20"/>
        </w:rPr>
      </w:pPr>
    </w:p>
    <w:p w:rsidR="00046FE6" w:rsidRPr="00046FE6" w:rsidRDefault="00046FE6" w:rsidP="00046FE6">
      <w:pPr>
        <w:rPr>
          <w:rFonts w:ascii="Verdana" w:hAnsi="Verdana"/>
          <w:sz w:val="20"/>
          <w:szCs w:val="20"/>
        </w:rPr>
      </w:pPr>
      <w:r w:rsidRPr="00046FE6">
        <w:rPr>
          <w:rFonts w:ascii="Verdana" w:hAnsi="Verdana"/>
          <w:sz w:val="20"/>
          <w:szCs w:val="20"/>
        </w:rPr>
        <w:t>Only in Bulgarian</w:t>
      </w:r>
      <w:r>
        <w:rPr>
          <w:rFonts w:ascii="Verdana" w:hAnsi="Verdana"/>
          <w:sz w:val="20"/>
          <w:szCs w:val="20"/>
        </w:rPr>
        <w:t>.</w:t>
      </w:r>
    </w:p>
    <w:p w:rsidR="00CF3EE2" w:rsidRPr="005B6074" w:rsidRDefault="00CF3EE2" w:rsidP="00CF3EE2">
      <w:pPr>
        <w:ind w:left="-709"/>
        <w:jc w:val="center"/>
        <w:rPr>
          <w:rFonts w:ascii="Verdana" w:hAnsi="Verdana"/>
          <w:sz w:val="20"/>
          <w:szCs w:val="20"/>
        </w:rPr>
        <w:sectPr w:rsidR="00CF3EE2" w:rsidRPr="005B6074" w:rsidSect="007C4363">
          <w:pgSz w:w="11907" w:h="16839" w:code="9"/>
          <w:pgMar w:top="2169" w:right="1440" w:bottom="1440" w:left="1440" w:header="720" w:footer="724" w:gutter="0"/>
          <w:cols w:space="720"/>
          <w:docGrid w:linePitch="360"/>
        </w:sectPr>
      </w:pPr>
    </w:p>
    <w:p w:rsidR="00CF3EE2" w:rsidRPr="005B6074" w:rsidRDefault="00A35E98" w:rsidP="00CF3EE2">
      <w:pPr>
        <w:pStyle w:val="Heading2"/>
        <w:shd w:val="clear" w:color="auto" w:fill="FFCC99"/>
        <w:spacing w:before="0" w:after="240"/>
        <w:rPr>
          <w:rFonts w:ascii="Verdana" w:hAnsi="Verdana"/>
          <w:i w:val="0"/>
          <w:iCs/>
          <w:color w:val="0063B8"/>
          <w:sz w:val="26"/>
          <w:szCs w:val="26"/>
        </w:rPr>
      </w:pPr>
      <w:bookmarkStart w:id="260" w:name="_Toc396225575"/>
      <w:r w:rsidRPr="005B6074">
        <w:rPr>
          <w:rFonts w:ascii="Verdana" w:hAnsi="Verdana"/>
          <w:i w:val="0"/>
          <w:iCs/>
          <w:color w:val="0063B8"/>
          <w:sz w:val="26"/>
          <w:szCs w:val="26"/>
        </w:rPr>
        <w:lastRenderedPageBreak/>
        <w:t>Annex 4: Results from the online survey among GD SFIEP experts</w:t>
      </w:r>
      <w:bookmarkEnd w:id="260"/>
    </w:p>
    <w:p w:rsidR="00046FE6" w:rsidRDefault="00046FE6" w:rsidP="00046FE6">
      <w:pPr>
        <w:rPr>
          <w:rFonts w:ascii="Verdana" w:hAnsi="Verdana"/>
          <w:sz w:val="20"/>
          <w:szCs w:val="20"/>
        </w:rPr>
      </w:pPr>
    </w:p>
    <w:p w:rsidR="00CF3EE2" w:rsidRPr="005B6074" w:rsidRDefault="00046FE6" w:rsidP="00046FE6">
      <w:pPr>
        <w:rPr>
          <w:rFonts w:ascii="Verdana" w:hAnsi="Verdana"/>
          <w:sz w:val="20"/>
          <w:szCs w:val="20"/>
        </w:rPr>
      </w:pPr>
      <w:r>
        <w:rPr>
          <w:rFonts w:ascii="Verdana" w:hAnsi="Verdana"/>
          <w:sz w:val="20"/>
          <w:szCs w:val="20"/>
        </w:rPr>
        <w:t>Only in Bulgarian</w:t>
      </w:r>
    </w:p>
    <w:p w:rsidR="00CF3EE2" w:rsidRPr="005B6074" w:rsidRDefault="00CF3EE2" w:rsidP="00CF3EE2">
      <w:pPr>
        <w:ind w:left="-709"/>
        <w:jc w:val="center"/>
        <w:rPr>
          <w:rFonts w:ascii="Verdana" w:hAnsi="Verdana"/>
          <w:sz w:val="20"/>
          <w:szCs w:val="20"/>
        </w:rPr>
        <w:sectPr w:rsidR="00CF3EE2" w:rsidRPr="005B6074" w:rsidSect="007C4363">
          <w:pgSz w:w="11907" w:h="16839" w:code="9"/>
          <w:pgMar w:top="2169" w:right="1440" w:bottom="1440" w:left="1440" w:header="720" w:footer="724" w:gutter="0"/>
          <w:cols w:space="720"/>
          <w:docGrid w:linePitch="360"/>
        </w:sectPr>
      </w:pPr>
    </w:p>
    <w:p w:rsidR="00CF3EE2" w:rsidRPr="005B6074" w:rsidRDefault="00A35E98" w:rsidP="00CF3EE2">
      <w:pPr>
        <w:pStyle w:val="Heading2"/>
        <w:shd w:val="clear" w:color="auto" w:fill="FFCC99"/>
        <w:spacing w:before="0" w:after="240"/>
        <w:rPr>
          <w:rFonts w:ascii="Verdana" w:hAnsi="Verdana"/>
          <w:i w:val="0"/>
          <w:iCs/>
          <w:color w:val="0063B8"/>
          <w:sz w:val="26"/>
          <w:szCs w:val="26"/>
        </w:rPr>
      </w:pPr>
      <w:bookmarkStart w:id="261" w:name="_Toc390262462"/>
      <w:bookmarkStart w:id="262" w:name="_Toc396225576"/>
      <w:r w:rsidRPr="005B6074">
        <w:rPr>
          <w:rFonts w:ascii="Verdana" w:hAnsi="Verdana"/>
          <w:i w:val="0"/>
          <w:iCs/>
          <w:color w:val="0063B8"/>
          <w:sz w:val="26"/>
          <w:szCs w:val="26"/>
        </w:rPr>
        <w:lastRenderedPageBreak/>
        <w:t xml:space="preserve">Annex 5: </w:t>
      </w:r>
      <w:bookmarkEnd w:id="261"/>
      <w:r w:rsidRPr="005B6074">
        <w:rPr>
          <w:rFonts w:ascii="Verdana" w:hAnsi="Verdana"/>
          <w:i w:val="0"/>
          <w:iCs/>
          <w:color w:val="0063B8"/>
          <w:sz w:val="26"/>
          <w:szCs w:val="26"/>
        </w:rPr>
        <w:t>Intervention logic of the programme</w:t>
      </w:r>
      <w:bookmarkEnd w:id="262"/>
    </w:p>
    <w:p w:rsidR="00046FE6" w:rsidRDefault="00046FE6" w:rsidP="00046FE6">
      <w:pPr>
        <w:rPr>
          <w:rFonts w:ascii="Verdana" w:hAnsi="Verdana"/>
          <w:sz w:val="20"/>
          <w:szCs w:val="20"/>
        </w:rPr>
      </w:pPr>
    </w:p>
    <w:p w:rsidR="00CF3EE2" w:rsidRPr="005B6074" w:rsidRDefault="00046FE6" w:rsidP="00046FE6">
      <w:pPr>
        <w:rPr>
          <w:rFonts w:ascii="Verdana" w:hAnsi="Verdana"/>
          <w:sz w:val="20"/>
          <w:szCs w:val="20"/>
        </w:rPr>
      </w:pPr>
      <w:r>
        <w:rPr>
          <w:rFonts w:ascii="Verdana" w:hAnsi="Verdana"/>
          <w:sz w:val="20"/>
          <w:szCs w:val="20"/>
        </w:rPr>
        <w:t>Only in Bulgarian</w:t>
      </w:r>
    </w:p>
    <w:p w:rsidR="00CF3EE2" w:rsidRPr="005B6074" w:rsidRDefault="00CF3EE2" w:rsidP="00CF3EE2">
      <w:pPr>
        <w:ind w:left="-709"/>
        <w:jc w:val="center"/>
        <w:rPr>
          <w:rFonts w:ascii="Verdana" w:hAnsi="Verdana"/>
          <w:sz w:val="20"/>
          <w:szCs w:val="20"/>
        </w:rPr>
      </w:pPr>
    </w:p>
    <w:p w:rsidR="00CF3EE2" w:rsidRPr="005B6074" w:rsidRDefault="00CF3EE2" w:rsidP="00CF3EE2">
      <w:pPr>
        <w:ind w:left="-709"/>
        <w:jc w:val="center"/>
        <w:rPr>
          <w:rFonts w:ascii="Verdana" w:hAnsi="Verdana"/>
          <w:sz w:val="20"/>
          <w:szCs w:val="20"/>
        </w:rPr>
        <w:sectPr w:rsidR="00CF3EE2" w:rsidRPr="005B6074" w:rsidSect="007C4363">
          <w:pgSz w:w="11907" w:h="16839" w:code="9"/>
          <w:pgMar w:top="2169" w:right="1440" w:bottom="1440" w:left="1440" w:header="720" w:footer="724" w:gutter="0"/>
          <w:cols w:space="720"/>
          <w:docGrid w:linePitch="360"/>
        </w:sectPr>
      </w:pPr>
    </w:p>
    <w:p w:rsidR="00CF3EE2" w:rsidRPr="005B6074" w:rsidRDefault="00A35E98" w:rsidP="00CF3EE2">
      <w:pPr>
        <w:pStyle w:val="Heading2"/>
        <w:shd w:val="clear" w:color="auto" w:fill="FFCC99"/>
        <w:spacing w:before="0" w:after="240"/>
        <w:rPr>
          <w:rFonts w:ascii="Verdana" w:hAnsi="Verdana"/>
          <w:i w:val="0"/>
          <w:iCs/>
          <w:color w:val="0063B8"/>
          <w:sz w:val="26"/>
          <w:szCs w:val="26"/>
        </w:rPr>
      </w:pPr>
      <w:bookmarkStart w:id="263" w:name="_Toc390262463"/>
      <w:bookmarkStart w:id="264" w:name="_Toc396225577"/>
      <w:r w:rsidRPr="005B6074">
        <w:rPr>
          <w:rFonts w:ascii="Verdana" w:hAnsi="Verdana"/>
          <w:i w:val="0"/>
          <w:iCs/>
          <w:color w:val="0063B8"/>
          <w:sz w:val="26"/>
          <w:szCs w:val="26"/>
        </w:rPr>
        <w:lastRenderedPageBreak/>
        <w:t xml:space="preserve">Annex 6: </w:t>
      </w:r>
      <w:bookmarkEnd w:id="263"/>
      <w:r w:rsidRPr="005B6074">
        <w:rPr>
          <w:rFonts w:ascii="Verdana" w:hAnsi="Verdana"/>
          <w:i w:val="0"/>
          <w:iCs/>
          <w:color w:val="0063B8"/>
          <w:sz w:val="26"/>
          <w:szCs w:val="26"/>
        </w:rPr>
        <w:t>Indicator fiches</w:t>
      </w:r>
      <w:bookmarkEnd w:id="264"/>
    </w:p>
    <w:p w:rsidR="00046FE6" w:rsidRDefault="00046FE6" w:rsidP="00CF3EE2">
      <w:pPr>
        <w:rPr>
          <w:rFonts w:ascii="Verdana" w:hAnsi="Verdana"/>
          <w:sz w:val="20"/>
          <w:szCs w:val="20"/>
        </w:rPr>
      </w:pPr>
    </w:p>
    <w:p w:rsidR="00CF3EE2" w:rsidRPr="005B6074" w:rsidRDefault="00046FE6" w:rsidP="00CF3EE2">
      <w:pPr>
        <w:rPr>
          <w:rFonts w:ascii="Verdana" w:hAnsi="Verdana"/>
          <w:sz w:val="20"/>
          <w:szCs w:val="20"/>
        </w:rPr>
      </w:pPr>
      <w:r>
        <w:rPr>
          <w:rFonts w:ascii="Verdana" w:hAnsi="Verdana"/>
          <w:sz w:val="20"/>
          <w:szCs w:val="20"/>
        </w:rPr>
        <w:t>Only in Bulgarian.</w:t>
      </w:r>
    </w:p>
    <w:p w:rsidR="00CF3EE2" w:rsidRPr="005B6074" w:rsidRDefault="00A35E98" w:rsidP="00CF3EE2">
      <w:pPr>
        <w:rPr>
          <w:rFonts w:ascii="Verdana" w:hAnsi="Verdana"/>
          <w:sz w:val="20"/>
          <w:szCs w:val="20"/>
        </w:rPr>
      </w:pPr>
      <w:r w:rsidRPr="005B6074">
        <w:rPr>
          <w:rFonts w:ascii="Verdana" w:hAnsi="Verdana"/>
          <w:sz w:val="20"/>
          <w:szCs w:val="20"/>
        </w:rPr>
        <w:t>Only on electronic carrier.</w:t>
      </w:r>
    </w:p>
    <w:p w:rsidR="00F24971" w:rsidRPr="005B6074" w:rsidRDefault="00F24971" w:rsidP="00C513B7">
      <w:pPr>
        <w:pStyle w:val="BodyText"/>
        <w:tabs>
          <w:tab w:val="left" w:pos="0"/>
          <w:tab w:val="right" w:pos="9214"/>
        </w:tabs>
        <w:spacing w:before="120" w:line="276" w:lineRule="auto"/>
        <w:jc w:val="both"/>
        <w:rPr>
          <w:rFonts w:ascii="Verdana" w:eastAsiaTheme="minorEastAsia" w:hAnsi="Verdana"/>
          <w:bCs/>
          <w:color w:val="000000"/>
          <w:sz w:val="20"/>
          <w:szCs w:val="20"/>
          <w:lang w:eastAsia="ja-JP"/>
        </w:rPr>
      </w:pPr>
    </w:p>
    <w:sectPr w:rsidR="00F24971" w:rsidRPr="005B6074" w:rsidSect="00F24971">
      <w:pgSz w:w="11907" w:h="16839" w:code="9"/>
      <w:pgMar w:top="2163" w:right="1377" w:bottom="1440" w:left="1440" w:header="720" w:footer="37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21F" w:rsidRDefault="005A221F" w:rsidP="00F24971">
      <w:pPr>
        <w:spacing w:after="0" w:line="240" w:lineRule="auto"/>
      </w:pPr>
      <w:r>
        <w:separator/>
      </w:r>
    </w:p>
  </w:endnote>
  <w:endnote w:type="continuationSeparator" w:id="0">
    <w:p w:rsidR="005A221F" w:rsidRDefault="005A221F" w:rsidP="00F24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Arial Narrow">
    <w:panose1 w:val="020B0606020202030204"/>
    <w:charset w:val="CC"/>
    <w:family w:val="swiss"/>
    <w:pitch w:val="variable"/>
    <w:sig w:usb0="00000287" w:usb1="00000800" w:usb2="00000000" w:usb3="00000000" w:csb0="0000009F" w:csb1="00000000"/>
  </w:font>
  <w:font w:name="Optima">
    <w:altName w:val="Century Gothic"/>
    <w:charset w:val="00"/>
    <w:family w:val="swiss"/>
    <w:pitch w:val="variable"/>
    <w:sig w:usb0="00000007" w:usb1="00000000" w:usb2="00000000" w:usb3="00000000" w:csb0="00000093" w:csb1="00000000"/>
  </w:font>
  <w:font w:name="DejaVu Sans">
    <w:charset w:val="CC"/>
    <w:family w:val="swiss"/>
    <w:pitch w:val="variable"/>
    <w:sig w:usb0="E7002EFF" w:usb1="D200FDFF" w:usb2="0A246029" w:usb3="00000000" w:csb0="000001FF" w:csb1="00000000"/>
  </w:font>
  <w:font w:name="TmsCyr">
    <w:altName w:val="Times New Roman"/>
    <w:panose1 w:val="00000000000000000000"/>
    <w:charset w:val="00"/>
    <w:family w:val="roman"/>
    <w:notTrueType/>
    <w:pitch w:val="variable"/>
    <w:sig w:usb0="00000003" w:usb1="00000000" w:usb2="00000000" w:usb3="00000000" w:csb0="00000001" w:csb1="00000000"/>
  </w:font>
  <w:font w:name="PF Square Sans Pro Medium">
    <w:altName w:val="PF Square Sans Pro Medium"/>
    <w:panose1 w:val="00000000000000000000"/>
    <w:charset w:val="CC"/>
    <w:family w:val="swiss"/>
    <w:notTrueType/>
    <w:pitch w:val="default"/>
    <w:sig w:usb0="00000201" w:usb1="00000000" w:usb2="00000000" w:usb3="00000000" w:csb0="00000004" w:csb1="00000000"/>
  </w:font>
  <w:font w:name="EUAlbertina">
    <w:altName w:val="Times New Roman"/>
    <w:panose1 w:val="00000000000000000000"/>
    <w:charset w:val="CC"/>
    <w:family w:val="roman"/>
    <w:notTrueType/>
    <w:pitch w:val="default"/>
    <w:sig w:usb0="00000203" w:usb1="00000000" w:usb2="00000000" w:usb3="00000000" w:csb0="00000005"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Malgun Gothic">
    <w:panose1 w:val="020B0503020000020004"/>
    <w:charset w:val="81"/>
    <w:family w:val="swiss"/>
    <w:pitch w:val="variable"/>
    <w:sig w:usb0="900002AF" w:usb1="09D77CFB" w:usb2="00000012" w:usb3="00000000" w:csb0="00080001" w:csb1="00000000"/>
  </w:font>
  <w:font w:name="Wingdings 2">
    <w:panose1 w:val="05020102010507070707"/>
    <w:charset w:val="02"/>
    <w:family w:val="roman"/>
    <w:pitch w:val="variable"/>
    <w:sig w:usb0="00000000" w:usb1="10000000" w:usb2="00000000" w:usb3="00000000" w:csb0="80000000" w:csb1="00000000"/>
  </w:font>
  <w:font w:name="TimesNewRoman">
    <w:altName w:val="Times New Roman"/>
    <w:panose1 w:val="00000000000000000000"/>
    <w:charset w:val="00"/>
    <w:family w:val="roman"/>
    <w:notTrueType/>
    <w:pitch w:val="default"/>
    <w:sig w:usb0="00000003" w:usb1="08070000" w:usb2="00000010" w:usb3="00000000" w:csb0="00020003"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Helvetica Linotype">
    <w:altName w:val="Arial"/>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 w:name="OpalCYR">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21F" w:rsidRDefault="005A221F">
    <w:pPr>
      <w:pStyle w:val="Footer"/>
    </w:pPr>
    <w:r>
      <w:rPr>
        <w:noProof/>
        <w:lang w:val="bg-BG" w:eastAsia="bg-BG"/>
      </w:rPr>
      <mc:AlternateContent>
        <mc:Choice Requires="wps">
          <w:drawing>
            <wp:anchor distT="0" distB="0" distL="114300" distR="114300" simplePos="0" relativeHeight="251657728" behindDoc="0" locked="0" layoutInCell="1" allowOverlap="1" wp14:anchorId="562FCA50" wp14:editId="02713469">
              <wp:simplePos x="0" y="0"/>
              <wp:positionH relativeFrom="page">
                <wp:posOffset>6224905</wp:posOffset>
              </wp:positionH>
              <wp:positionV relativeFrom="page">
                <wp:posOffset>9979025</wp:posOffset>
              </wp:positionV>
              <wp:extent cx="512445" cy="441325"/>
              <wp:effectExtent l="0" t="0" r="0" b="0"/>
              <wp:wrapNone/>
              <wp:docPr id="3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5A221F" w:rsidRPr="00FD60F7" w:rsidRDefault="005A221F" w:rsidP="00F24971">
                          <w:pPr>
                            <w:pStyle w:val="Footer"/>
                            <w:pBdr>
                              <w:top w:val="single" w:sz="12" w:space="1" w:color="0070C0"/>
                              <w:bottom w:val="single" w:sz="48" w:space="1" w:color="0070C0"/>
                            </w:pBdr>
                            <w:jc w:val="center"/>
                            <w:rPr>
                              <w:rFonts w:ascii="Verdana" w:hAnsi="Verdana"/>
                              <w:b/>
                              <w:sz w:val="20"/>
                            </w:rPr>
                          </w:pPr>
                          <w:r>
                            <w:rPr>
                              <w:rFonts w:ascii="Verdana" w:hAnsi="Verdana"/>
                              <w:b/>
                              <w:sz w:val="20"/>
                            </w:rPr>
                            <w:fldChar w:fldCharType="begin"/>
                          </w:r>
                          <w:r>
                            <w:rPr>
                              <w:rFonts w:ascii="Verdana" w:hAnsi="Verdana"/>
                              <w:b/>
                              <w:sz w:val="20"/>
                            </w:rPr>
                            <w:instrText xml:space="preserve"> PAGE    \* MERGEFORMAT </w:instrText>
                          </w:r>
                          <w:r>
                            <w:rPr>
                              <w:rFonts w:ascii="Verdana" w:hAnsi="Verdana"/>
                              <w:b/>
                              <w:sz w:val="20"/>
                            </w:rPr>
                            <w:fldChar w:fldCharType="separate"/>
                          </w:r>
                          <w:r w:rsidR="009E30CE">
                            <w:rPr>
                              <w:rFonts w:ascii="Verdana" w:hAnsi="Verdana"/>
                              <w:b/>
                              <w:noProof/>
                              <w:sz w:val="20"/>
                            </w:rPr>
                            <w:t>2</w:t>
                          </w:r>
                          <w:r>
                            <w:rPr>
                              <w:rFonts w:ascii="Verdana" w:hAnsi="Verdana"/>
                              <w:b/>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FCA5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8" o:spid="_x0000_s1074" type="#_x0000_t176" style="position:absolute;margin-left:490.15pt;margin-top:785.75pt;width:40.35pt;height:34.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" filled="f" fillcolor="#4f81bd" stroked="f" strokecolor="#737373">
              <v:textbox>
                <w:txbxContent>
                  <w:p w:rsidR="005A221F" w:rsidRPr="00FD60F7" w:rsidRDefault="005A221F" w:rsidP="00F24971">
                    <w:pPr>
                      <w:pStyle w:val="Footer"/>
                      <w:pBdr>
                        <w:top w:val="single" w:sz="12" w:space="1" w:color="0070C0"/>
                        <w:bottom w:val="single" w:sz="48" w:space="1" w:color="0070C0"/>
                      </w:pBdr>
                      <w:jc w:val="center"/>
                      <w:rPr>
                        <w:rFonts w:ascii="Verdana" w:hAnsi="Verdana"/>
                        <w:b/>
                        <w:sz w:val="20"/>
                      </w:rPr>
                    </w:pPr>
                    <w:r>
                      <w:rPr>
                        <w:rFonts w:ascii="Verdana" w:hAnsi="Verdana"/>
                        <w:b/>
                        <w:sz w:val="20"/>
                      </w:rPr>
                      <w:fldChar w:fldCharType="begin"/>
                    </w:r>
                    <w:r>
                      <w:rPr>
                        <w:rFonts w:ascii="Verdana" w:hAnsi="Verdana"/>
                        <w:b/>
                        <w:sz w:val="20"/>
                      </w:rPr>
                      <w:instrText xml:space="preserve"> PAGE    \* MERGEFORMAT </w:instrText>
                    </w:r>
                    <w:r>
                      <w:rPr>
                        <w:rFonts w:ascii="Verdana" w:hAnsi="Verdana"/>
                        <w:b/>
                        <w:sz w:val="20"/>
                      </w:rPr>
                      <w:fldChar w:fldCharType="separate"/>
                    </w:r>
                    <w:r w:rsidR="009E30CE">
                      <w:rPr>
                        <w:rFonts w:ascii="Verdana" w:hAnsi="Verdana"/>
                        <w:b/>
                        <w:noProof/>
                        <w:sz w:val="20"/>
                      </w:rPr>
                      <w:t>2</w:t>
                    </w:r>
                    <w:r>
                      <w:rPr>
                        <w:rFonts w:ascii="Verdana" w:hAnsi="Verdana"/>
                        <w:b/>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21F" w:rsidRPr="00123DEA" w:rsidRDefault="005A221F" w:rsidP="00F24971">
    <w:pPr>
      <w:pStyle w:val="Footer"/>
      <w:tabs>
        <w:tab w:val="clear" w:pos="4703"/>
        <w:tab w:val="clear" w:pos="9406"/>
        <w:tab w:val="center" w:pos="0"/>
        <w:tab w:val="right" w:pos="9072"/>
      </w:tabs>
      <w:spacing w:after="0"/>
      <w:rPr>
        <w:rFonts w:ascii="Verdana" w:hAnsi="Verdana"/>
        <w:sz w:val="16"/>
        <w:szCs w:val="16"/>
      </w:rPr>
    </w:pPr>
  </w:p>
  <w:p w:rsidR="005A221F" w:rsidRDefault="005A221F" w:rsidP="00F24971">
    <w:pPr>
      <w:pStyle w:val="Footer"/>
      <w:tabs>
        <w:tab w:val="clear" w:pos="4703"/>
        <w:tab w:val="clear" w:pos="9406"/>
        <w:tab w:val="left" w:pos="0"/>
        <w:tab w:val="right" w:pos="9072"/>
      </w:tabs>
    </w:pPr>
    <w:r>
      <w:rPr>
        <w:noProof/>
        <w:lang w:val="bg-BG" w:eastAsia="bg-BG"/>
      </w:rPr>
      <w:drawing>
        <wp:inline distT="0" distB="0" distL="0" distR="0" wp14:anchorId="4BF44F59" wp14:editId="7694F3CE">
          <wp:extent cx="846455" cy="429895"/>
          <wp:effectExtent l="0" t="0" r="0" b="8255"/>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6455" cy="429895"/>
                  </a:xfrm>
                  <a:prstGeom prst="rect">
                    <a:avLst/>
                  </a:prstGeom>
                  <a:solidFill>
                    <a:srgbClr val="FFFFFF"/>
                  </a:solidFill>
                  <a:ln>
                    <a:noFill/>
                  </a:ln>
                </pic:spPr>
              </pic:pic>
            </a:graphicData>
          </a:graphic>
        </wp:inline>
      </w:drawing>
    </w:r>
    <w:r>
      <w:rPr>
        <w:noProof/>
        <w:lang w:val="bg-BG" w:eastAsia="bg-BG"/>
      </w:rPr>
      <mc:AlternateContent>
        <mc:Choice Requires="wps">
          <w:drawing>
            <wp:anchor distT="0" distB="0" distL="114300" distR="114300" simplePos="0" relativeHeight="251656704" behindDoc="0" locked="0" layoutInCell="1" allowOverlap="1" wp14:anchorId="4B5A1AF3" wp14:editId="5AC8B285">
              <wp:simplePos x="0" y="0"/>
              <wp:positionH relativeFrom="page">
                <wp:posOffset>6266180</wp:posOffset>
              </wp:positionH>
              <wp:positionV relativeFrom="page">
                <wp:posOffset>9910445</wp:posOffset>
              </wp:positionV>
              <wp:extent cx="512445" cy="441325"/>
              <wp:effectExtent l="0" t="0" r="0" b="0"/>
              <wp:wrapNone/>
              <wp:docPr id="33"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rsidR="005A221F" w:rsidRPr="00FD60F7" w:rsidRDefault="005A221F" w:rsidP="00F24971">
                          <w:pPr>
                            <w:pStyle w:val="Footer"/>
                            <w:pBdr>
                              <w:top w:val="single" w:sz="12" w:space="1" w:color="0070C0"/>
                              <w:bottom w:val="single" w:sz="48" w:space="1" w:color="0070C0"/>
                            </w:pBdr>
                            <w:jc w:val="center"/>
                            <w:rPr>
                              <w:rFonts w:ascii="Verdana" w:hAnsi="Verdana"/>
                              <w:b/>
                              <w:sz w:val="20"/>
                            </w:rPr>
                          </w:pPr>
                          <w:r>
                            <w:rPr>
                              <w:rFonts w:ascii="Verdana" w:hAnsi="Verdana"/>
                              <w:b/>
                              <w:sz w:val="20"/>
                            </w:rPr>
                            <w:fldChar w:fldCharType="begin"/>
                          </w:r>
                          <w:r>
                            <w:rPr>
                              <w:rFonts w:ascii="Verdana" w:hAnsi="Verdana"/>
                              <w:b/>
                              <w:sz w:val="20"/>
                            </w:rPr>
                            <w:instrText xml:space="preserve"> PAGE    \* MERGEFORMAT </w:instrText>
                          </w:r>
                          <w:r>
                            <w:rPr>
                              <w:rFonts w:ascii="Verdana" w:hAnsi="Verdana"/>
                              <w:b/>
                              <w:sz w:val="20"/>
                            </w:rPr>
                            <w:fldChar w:fldCharType="separate"/>
                          </w:r>
                          <w:r w:rsidR="009E30CE">
                            <w:rPr>
                              <w:rFonts w:ascii="Verdana" w:hAnsi="Verdana"/>
                              <w:b/>
                              <w:noProof/>
                              <w:sz w:val="20"/>
                            </w:rPr>
                            <w:t>73</w:t>
                          </w:r>
                          <w:r>
                            <w:rPr>
                              <w:rFonts w:ascii="Verdana" w:hAnsi="Verdana"/>
                              <w:b/>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A1AF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9" o:spid="_x0000_s1075" type="#_x0000_t176" style="position:absolute;margin-left:493.4pt;margin-top:780.35pt;width:40.35pt;height:34.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" filled="f" fillcolor="#4f81bd" stroked="f" strokecolor="#737373">
              <v:textbox>
                <w:txbxContent>
                  <w:p w:rsidR="005A221F" w:rsidRPr="00FD60F7" w:rsidRDefault="005A221F" w:rsidP="00F24971">
                    <w:pPr>
                      <w:pStyle w:val="Footer"/>
                      <w:pBdr>
                        <w:top w:val="single" w:sz="12" w:space="1" w:color="0070C0"/>
                        <w:bottom w:val="single" w:sz="48" w:space="1" w:color="0070C0"/>
                      </w:pBdr>
                      <w:jc w:val="center"/>
                      <w:rPr>
                        <w:rFonts w:ascii="Verdana" w:hAnsi="Verdana"/>
                        <w:b/>
                        <w:sz w:val="20"/>
                      </w:rPr>
                    </w:pPr>
                    <w:r>
                      <w:rPr>
                        <w:rFonts w:ascii="Verdana" w:hAnsi="Verdana"/>
                        <w:b/>
                        <w:sz w:val="20"/>
                      </w:rPr>
                      <w:fldChar w:fldCharType="begin"/>
                    </w:r>
                    <w:r>
                      <w:rPr>
                        <w:rFonts w:ascii="Verdana" w:hAnsi="Verdana"/>
                        <w:b/>
                        <w:sz w:val="20"/>
                      </w:rPr>
                      <w:instrText xml:space="preserve"> PAGE    \* MERGEFORMAT </w:instrText>
                    </w:r>
                    <w:r>
                      <w:rPr>
                        <w:rFonts w:ascii="Verdana" w:hAnsi="Verdana"/>
                        <w:b/>
                        <w:sz w:val="20"/>
                      </w:rPr>
                      <w:fldChar w:fldCharType="separate"/>
                    </w:r>
                    <w:r w:rsidR="009E30CE">
                      <w:rPr>
                        <w:rFonts w:ascii="Verdana" w:hAnsi="Verdana"/>
                        <w:b/>
                        <w:noProof/>
                        <w:sz w:val="20"/>
                      </w:rPr>
                      <w:t>73</w:t>
                    </w:r>
                    <w:r>
                      <w:rPr>
                        <w:rFonts w:ascii="Verdana" w:hAnsi="Verdana"/>
                        <w:b/>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21F" w:rsidRPr="00123DEA" w:rsidRDefault="005A221F" w:rsidP="00F24971">
    <w:pPr>
      <w:pStyle w:val="Footer"/>
      <w:tabs>
        <w:tab w:val="clear" w:pos="4703"/>
        <w:tab w:val="clear" w:pos="9406"/>
        <w:tab w:val="center" w:pos="0"/>
        <w:tab w:val="right" w:pos="9072"/>
      </w:tabs>
      <w:spacing w:after="0"/>
      <w:rPr>
        <w:rFonts w:ascii="Verdana" w:hAnsi="Verdana"/>
        <w:noProof/>
        <w:sz w:val="16"/>
        <w:szCs w:val="16"/>
      </w:rPr>
    </w:pPr>
  </w:p>
  <w:p w:rsidR="005A221F" w:rsidRDefault="005A221F" w:rsidP="00F24971">
    <w:pPr>
      <w:pStyle w:val="Footer"/>
      <w:tabs>
        <w:tab w:val="clear" w:pos="4703"/>
        <w:tab w:val="clear" w:pos="9406"/>
        <w:tab w:val="left" w:pos="0"/>
        <w:tab w:val="right" w:pos="9072"/>
      </w:tabs>
      <w:rPr>
        <w:noProof/>
      </w:rPr>
    </w:pPr>
    <w:r w:rsidRPr="00FD60F7">
      <w:rPr>
        <w:noProof/>
        <w:lang w:val="bg-BG" w:eastAsia="bg-BG"/>
      </w:rPr>
      <w:drawing>
        <wp:inline distT="0" distB="0" distL="0" distR="0" wp14:anchorId="09AFBB6C" wp14:editId="35B5C353">
          <wp:extent cx="843280" cy="431165"/>
          <wp:effectExtent l="0" t="0" r="0" b="0"/>
          <wp:docPr id="3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280" cy="431165"/>
                  </a:xfrm>
                  <a:prstGeom prst="rect">
                    <a:avLst/>
                  </a:prstGeom>
                  <a:solidFill>
                    <a:srgbClr val="FFFFFF"/>
                  </a:solidFill>
                  <a:ln w="9525">
                    <a:noFill/>
                    <a:miter lim="800000"/>
                    <a:headEnd/>
                    <a:tailEnd/>
                  </a:ln>
                </pic:spPr>
              </pic:pic>
            </a:graphicData>
          </a:graphic>
        </wp:inline>
      </w:drawing>
    </w:r>
    <w:r>
      <w:rPr>
        <w:noProof/>
        <w:lang w:val="bg-BG" w:eastAsia="bg-BG"/>
      </w:rPr>
      <mc:AlternateContent>
        <mc:Choice Requires="wps">
          <w:drawing>
            <wp:anchor distT="0" distB="0" distL="114300" distR="114300" simplePos="0" relativeHeight="251669504" behindDoc="0" locked="0" layoutInCell="1" allowOverlap="1" wp14:anchorId="19131D9F" wp14:editId="0D6427C5">
              <wp:simplePos x="0" y="0"/>
              <wp:positionH relativeFrom="rightMargin">
                <wp:posOffset>-420370</wp:posOffset>
              </wp:positionH>
              <wp:positionV relativeFrom="bottomMargin">
                <wp:posOffset>184150</wp:posOffset>
              </wp:positionV>
              <wp:extent cx="512445" cy="441325"/>
              <wp:effectExtent l="0" t="0" r="0" b="0"/>
              <wp:wrapNone/>
              <wp:docPr id="53" name="Flowchart: Alternate Proces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55000"/>
                                <a:lumOff val="45000"/>
                              </a:schemeClr>
                            </a:solidFill>
                            <a:miter lim="800000"/>
                            <a:headEnd/>
                            <a:tailEnd/>
                          </a14:hiddenLine>
                        </a:ext>
                      </a:extLst>
                    </wps:spPr>
                    <wps:txbx>
                      <w:txbxContent>
                        <w:p w:rsidR="005A221F" w:rsidRPr="00FD60F7" w:rsidRDefault="005A221F" w:rsidP="00F24971">
                          <w:pPr>
                            <w:pStyle w:val="Footer"/>
                            <w:pBdr>
                              <w:top w:val="single" w:sz="12" w:space="1" w:color="0070C0"/>
                              <w:bottom w:val="single" w:sz="48" w:space="1" w:color="0070C0"/>
                            </w:pBdr>
                            <w:jc w:val="center"/>
                            <w:rPr>
                              <w:rFonts w:ascii="Verdana" w:hAnsi="Verdana"/>
                              <w:b/>
                              <w:sz w:val="20"/>
                            </w:rPr>
                          </w:pPr>
                          <w:r w:rsidRPr="00FD60F7">
                            <w:rPr>
                              <w:rFonts w:ascii="Verdana" w:hAnsi="Verdana"/>
                              <w:b/>
                              <w:sz w:val="20"/>
                            </w:rPr>
                            <w:fldChar w:fldCharType="begin"/>
                          </w:r>
                          <w:r w:rsidRPr="00FD60F7">
                            <w:rPr>
                              <w:rFonts w:ascii="Verdana" w:hAnsi="Verdana"/>
                              <w:b/>
                              <w:sz w:val="20"/>
                            </w:rPr>
                            <w:instrText xml:space="preserve"> PAGE    \* MERGEFORMAT </w:instrText>
                          </w:r>
                          <w:r w:rsidRPr="00FD60F7">
                            <w:rPr>
                              <w:rFonts w:ascii="Verdana" w:hAnsi="Verdana"/>
                              <w:b/>
                              <w:sz w:val="20"/>
                            </w:rPr>
                            <w:fldChar w:fldCharType="separate"/>
                          </w:r>
                          <w:r w:rsidR="009E30CE">
                            <w:rPr>
                              <w:rFonts w:ascii="Verdana" w:hAnsi="Verdana"/>
                              <w:b/>
                              <w:noProof/>
                              <w:sz w:val="20"/>
                            </w:rPr>
                            <w:t>137</w:t>
                          </w:r>
                          <w:r w:rsidRPr="00FD60F7">
                            <w:rPr>
                              <w:rFonts w:ascii="Verdana" w:hAnsi="Verdana"/>
                              <w:b/>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31D9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3" o:spid="_x0000_s1076" type="#_x0000_t176" style="position:absolute;margin-left:-33.1pt;margin-top:14.5pt;width:40.35pt;height:34.7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" filled="f" fillcolor="#4f81bd [3204]" stroked="f" strokecolor="#737373 [1789]">
              <v:textbox>
                <w:txbxContent>
                  <w:p w:rsidR="005A221F" w:rsidRPr="00FD60F7" w:rsidRDefault="005A221F" w:rsidP="00F24971">
                    <w:pPr>
                      <w:pStyle w:val="Footer"/>
                      <w:pBdr>
                        <w:top w:val="single" w:sz="12" w:space="1" w:color="0070C0"/>
                        <w:bottom w:val="single" w:sz="48" w:space="1" w:color="0070C0"/>
                      </w:pBdr>
                      <w:jc w:val="center"/>
                      <w:rPr>
                        <w:rFonts w:ascii="Verdana" w:hAnsi="Verdana"/>
                        <w:b/>
                        <w:sz w:val="20"/>
                      </w:rPr>
                    </w:pPr>
                    <w:r w:rsidRPr="00FD60F7">
                      <w:rPr>
                        <w:rFonts w:ascii="Verdana" w:hAnsi="Verdana"/>
                        <w:b/>
                        <w:sz w:val="20"/>
                      </w:rPr>
                      <w:fldChar w:fldCharType="begin"/>
                    </w:r>
                    <w:r w:rsidRPr="00FD60F7">
                      <w:rPr>
                        <w:rFonts w:ascii="Verdana" w:hAnsi="Verdana"/>
                        <w:b/>
                        <w:sz w:val="20"/>
                      </w:rPr>
                      <w:instrText xml:space="preserve"> PAGE    \* MERGEFORMAT </w:instrText>
                    </w:r>
                    <w:r w:rsidRPr="00FD60F7">
                      <w:rPr>
                        <w:rFonts w:ascii="Verdana" w:hAnsi="Verdana"/>
                        <w:b/>
                        <w:sz w:val="20"/>
                      </w:rPr>
                      <w:fldChar w:fldCharType="separate"/>
                    </w:r>
                    <w:r w:rsidR="009E30CE">
                      <w:rPr>
                        <w:rFonts w:ascii="Verdana" w:hAnsi="Verdana"/>
                        <w:b/>
                        <w:noProof/>
                        <w:sz w:val="20"/>
                      </w:rPr>
                      <w:t>137</w:t>
                    </w:r>
                    <w:r w:rsidRPr="00FD60F7">
                      <w:rPr>
                        <w:rFonts w:ascii="Verdana" w:hAnsi="Verdana"/>
                        <w:b/>
                        <w:sz w:val="20"/>
                      </w:rPr>
                      <w:fldChar w:fldCharType="end"/>
                    </w:r>
                  </w:p>
                </w:txbxContent>
              </v:textbox>
              <w10:wrap anchorx="margin" anchory="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21F" w:rsidRPr="00123DEA" w:rsidRDefault="005A221F" w:rsidP="00F24971">
    <w:pPr>
      <w:pStyle w:val="Footer"/>
      <w:tabs>
        <w:tab w:val="clear" w:pos="4703"/>
        <w:tab w:val="clear" w:pos="9406"/>
        <w:tab w:val="center" w:pos="0"/>
        <w:tab w:val="right" w:pos="9072"/>
      </w:tabs>
      <w:spacing w:after="0"/>
      <w:rPr>
        <w:rFonts w:ascii="Verdana" w:hAnsi="Verdana"/>
        <w:noProof/>
        <w:sz w:val="16"/>
        <w:szCs w:val="16"/>
      </w:rPr>
    </w:pPr>
  </w:p>
  <w:p w:rsidR="005A221F" w:rsidRDefault="005A221F" w:rsidP="00F24971">
    <w:pPr>
      <w:pStyle w:val="Footer"/>
      <w:tabs>
        <w:tab w:val="clear" w:pos="4703"/>
        <w:tab w:val="clear" w:pos="9406"/>
        <w:tab w:val="left" w:pos="0"/>
        <w:tab w:val="right" w:pos="9072"/>
      </w:tabs>
      <w:rPr>
        <w:noProof/>
      </w:rPr>
    </w:pPr>
    <w:r w:rsidRPr="00FD60F7">
      <w:rPr>
        <w:noProof/>
        <w:lang w:val="bg-BG" w:eastAsia="bg-BG"/>
      </w:rPr>
      <w:drawing>
        <wp:inline distT="0" distB="0" distL="0" distR="0" wp14:anchorId="12CFDA1A" wp14:editId="4AEEDEB4">
          <wp:extent cx="843280" cy="431165"/>
          <wp:effectExtent l="0" t="0" r="0" b="0"/>
          <wp:docPr id="3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3280" cy="431165"/>
                  </a:xfrm>
                  <a:prstGeom prst="rect">
                    <a:avLst/>
                  </a:prstGeom>
                  <a:solidFill>
                    <a:srgbClr val="FFFFFF"/>
                  </a:solidFill>
                  <a:ln w="9525">
                    <a:noFill/>
                    <a:miter lim="800000"/>
                    <a:headEnd/>
                    <a:tailEnd/>
                  </a:ln>
                </pic:spPr>
              </pic:pic>
            </a:graphicData>
          </a:graphic>
        </wp:inline>
      </w:drawing>
    </w:r>
    <w:r>
      <w:rPr>
        <w:noProof/>
        <w:lang w:val="bg-BG" w:eastAsia="bg-BG"/>
      </w:rPr>
      <mc:AlternateContent>
        <mc:Choice Requires="wps">
          <w:drawing>
            <wp:anchor distT="0" distB="0" distL="114300" distR="114300" simplePos="0" relativeHeight="251666432" behindDoc="0" locked="0" layoutInCell="1" allowOverlap="1" wp14:anchorId="48E26F44" wp14:editId="31D34F4F">
              <wp:simplePos x="0" y="0"/>
              <wp:positionH relativeFrom="rightMargin">
                <wp:posOffset>-420370</wp:posOffset>
              </wp:positionH>
              <wp:positionV relativeFrom="bottomMargin">
                <wp:posOffset>184150</wp:posOffset>
              </wp:positionV>
              <wp:extent cx="512445" cy="441325"/>
              <wp:effectExtent l="0" t="0" r="0" b="0"/>
              <wp:wrapNone/>
              <wp:docPr id="52" name="Flowchart: Alternate Proces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55000"/>
                                <a:lumOff val="45000"/>
                              </a:schemeClr>
                            </a:solidFill>
                            <a:miter lim="800000"/>
                            <a:headEnd/>
                            <a:tailEnd/>
                          </a14:hiddenLine>
                        </a:ext>
                      </a:extLst>
                    </wps:spPr>
                    <wps:txbx>
                      <w:txbxContent>
                        <w:p w:rsidR="005A221F" w:rsidRPr="00FD60F7" w:rsidRDefault="005A221F" w:rsidP="00F24971">
                          <w:pPr>
                            <w:pStyle w:val="Footer"/>
                            <w:pBdr>
                              <w:top w:val="single" w:sz="12" w:space="1" w:color="0070C0"/>
                              <w:bottom w:val="single" w:sz="48" w:space="1" w:color="0070C0"/>
                            </w:pBdr>
                            <w:jc w:val="center"/>
                            <w:rPr>
                              <w:rFonts w:ascii="Verdana" w:hAnsi="Verdana"/>
                              <w:b/>
                              <w:sz w:val="20"/>
                            </w:rPr>
                          </w:pPr>
                          <w:r w:rsidRPr="00FD60F7">
                            <w:rPr>
                              <w:rFonts w:ascii="Verdana" w:hAnsi="Verdana"/>
                              <w:b/>
                              <w:sz w:val="20"/>
                            </w:rPr>
                            <w:fldChar w:fldCharType="begin"/>
                          </w:r>
                          <w:r w:rsidRPr="00FD60F7">
                            <w:rPr>
                              <w:rFonts w:ascii="Verdana" w:hAnsi="Verdana"/>
                              <w:b/>
                              <w:sz w:val="20"/>
                            </w:rPr>
                            <w:instrText xml:space="preserve"> PAGE    \* MERGEFORMAT </w:instrText>
                          </w:r>
                          <w:r w:rsidRPr="00FD60F7">
                            <w:rPr>
                              <w:rFonts w:ascii="Verdana" w:hAnsi="Verdana"/>
                              <w:b/>
                              <w:sz w:val="20"/>
                            </w:rPr>
                            <w:fldChar w:fldCharType="separate"/>
                          </w:r>
                          <w:r w:rsidR="009E30CE">
                            <w:rPr>
                              <w:rFonts w:ascii="Verdana" w:hAnsi="Verdana"/>
                              <w:b/>
                              <w:noProof/>
                              <w:sz w:val="20"/>
                            </w:rPr>
                            <w:t>206</w:t>
                          </w:r>
                          <w:r w:rsidRPr="00FD60F7">
                            <w:rPr>
                              <w:rFonts w:ascii="Verdana" w:hAnsi="Verdana"/>
                              <w:b/>
                              <w:sz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26F4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2" o:spid="_x0000_s1077" type="#_x0000_t176" style="position:absolute;margin-left:-33.1pt;margin-top:14.5pt;width:40.35pt;height:34.75pt;z-index:251666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" filled="f" fillcolor="#4f81bd [3204]" stroked="f" strokecolor="#737373 [1789]">
              <v:textbox>
                <w:txbxContent>
                  <w:p w:rsidR="005A221F" w:rsidRPr="00FD60F7" w:rsidRDefault="005A221F" w:rsidP="00F24971">
                    <w:pPr>
                      <w:pStyle w:val="Footer"/>
                      <w:pBdr>
                        <w:top w:val="single" w:sz="12" w:space="1" w:color="0070C0"/>
                        <w:bottom w:val="single" w:sz="48" w:space="1" w:color="0070C0"/>
                      </w:pBdr>
                      <w:jc w:val="center"/>
                      <w:rPr>
                        <w:rFonts w:ascii="Verdana" w:hAnsi="Verdana"/>
                        <w:b/>
                        <w:sz w:val="20"/>
                      </w:rPr>
                    </w:pPr>
                    <w:r w:rsidRPr="00FD60F7">
                      <w:rPr>
                        <w:rFonts w:ascii="Verdana" w:hAnsi="Verdana"/>
                        <w:b/>
                        <w:sz w:val="20"/>
                      </w:rPr>
                      <w:fldChar w:fldCharType="begin"/>
                    </w:r>
                    <w:r w:rsidRPr="00FD60F7">
                      <w:rPr>
                        <w:rFonts w:ascii="Verdana" w:hAnsi="Verdana"/>
                        <w:b/>
                        <w:sz w:val="20"/>
                      </w:rPr>
                      <w:instrText xml:space="preserve"> PAGE    \* MERGEFORMAT </w:instrText>
                    </w:r>
                    <w:r w:rsidRPr="00FD60F7">
                      <w:rPr>
                        <w:rFonts w:ascii="Verdana" w:hAnsi="Verdana"/>
                        <w:b/>
                        <w:sz w:val="20"/>
                      </w:rPr>
                      <w:fldChar w:fldCharType="separate"/>
                    </w:r>
                    <w:r w:rsidR="009E30CE">
                      <w:rPr>
                        <w:rFonts w:ascii="Verdana" w:hAnsi="Verdana"/>
                        <w:b/>
                        <w:noProof/>
                        <w:sz w:val="20"/>
                      </w:rPr>
                      <w:t>206</w:t>
                    </w:r>
                    <w:r w:rsidRPr="00FD60F7">
                      <w:rPr>
                        <w:rFonts w:ascii="Verdana" w:hAnsi="Verdana"/>
                        <w:b/>
                        <w:sz w:val="2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21F" w:rsidRDefault="005A221F" w:rsidP="00F24971">
      <w:pPr>
        <w:spacing w:after="0" w:line="240" w:lineRule="auto"/>
      </w:pPr>
      <w:r>
        <w:separator/>
      </w:r>
    </w:p>
  </w:footnote>
  <w:footnote w:type="continuationSeparator" w:id="0">
    <w:p w:rsidR="005A221F" w:rsidRDefault="005A221F" w:rsidP="00F24971">
      <w:pPr>
        <w:spacing w:after="0" w:line="240" w:lineRule="auto"/>
      </w:pPr>
      <w:r>
        <w:continuationSeparator/>
      </w:r>
    </w:p>
  </w:footnote>
  <w:footnote w:id="1">
    <w:p w:rsidR="005A221F" w:rsidRPr="00735453" w:rsidRDefault="005A221F" w:rsidP="00F24971">
      <w:pPr>
        <w:pStyle w:val="FootnoteText"/>
      </w:pPr>
      <w:r>
        <w:rPr>
          <w:rStyle w:val="FootnoteReference"/>
        </w:rPr>
        <w:footnoteRef/>
      </w:r>
      <w:r>
        <w:t xml:space="preserve"> T</w:t>
      </w:r>
      <w:r>
        <w:rPr>
          <w:rFonts w:ascii="Verdana" w:hAnsi="Verdana"/>
          <w:sz w:val="16"/>
        </w:rPr>
        <w:t>he funds allocated under Operational Programme Innovation and Competitiveness should be reported to Thematic Objective 1</w:t>
      </w:r>
    </w:p>
  </w:footnote>
  <w:footnote w:id="2">
    <w:p w:rsidR="005A221F" w:rsidRPr="00694632" w:rsidRDefault="005A221F" w:rsidP="00F24971">
      <w:pPr>
        <w:pStyle w:val="FootnoteText"/>
        <w:jc w:val="both"/>
      </w:pPr>
      <w:r>
        <w:rPr>
          <w:rStyle w:val="FootnoteReference"/>
          <w:rFonts w:ascii="Verdana" w:hAnsi="Verdana"/>
          <w:sz w:val="16"/>
        </w:rPr>
        <w:footnoteRef/>
      </w:r>
      <w:r>
        <w:rPr>
          <w:rFonts w:ascii="Verdana" w:hAnsi="Verdana"/>
          <w:sz w:val="16"/>
        </w:rPr>
        <w:t xml:space="preserve"> Save those under EAFRD and EMFF for which there is no financial allocation in absolute terms yet.</w:t>
      </w:r>
    </w:p>
  </w:footnote>
  <w:footnote w:id="3">
    <w:p w:rsidR="005A221F" w:rsidRPr="007070F0" w:rsidRDefault="005A221F" w:rsidP="00F24971">
      <w:pPr>
        <w:pStyle w:val="FootnoteText"/>
        <w:jc w:val="both"/>
        <w:rPr>
          <w:rFonts w:ascii="Verdana" w:hAnsi="Verdana"/>
          <w:sz w:val="18"/>
          <w:szCs w:val="18"/>
        </w:rPr>
      </w:pPr>
      <w:r>
        <w:rPr>
          <w:rStyle w:val="FootnoteReference"/>
          <w:rFonts w:ascii="Verdana" w:hAnsi="Verdana"/>
          <w:sz w:val="18"/>
        </w:rPr>
        <w:footnoteRef/>
      </w:r>
      <w:r>
        <w:rPr>
          <w:rFonts w:ascii="Verdana" w:hAnsi="Verdana"/>
          <w:sz w:val="18"/>
        </w:rPr>
        <w:t xml:space="preserve"> Digital Agenda for Europe, Innovation Union, Youth on the Move, Resource Efficient Europe, An Industrial Policy for the Globalisation Era, An Agenda for New Skills and Jobs, European Platform Against Poverty</w:t>
      </w:r>
    </w:p>
  </w:footnote>
  <w:footnote w:id="4">
    <w:p w:rsidR="005A221F" w:rsidRPr="003B078D" w:rsidRDefault="005A221F" w:rsidP="00C513B7">
      <w:pPr>
        <w:autoSpaceDE w:val="0"/>
        <w:autoSpaceDN w:val="0"/>
        <w:adjustRightInd w:val="0"/>
        <w:spacing w:after="0" w:line="240" w:lineRule="auto"/>
        <w:jc w:val="both"/>
        <w:rPr>
          <w:rFonts w:ascii="Verdana" w:hAnsi="Verdana"/>
          <w:sz w:val="16"/>
          <w:szCs w:val="16"/>
          <w:lang w:val="bg-BG"/>
        </w:rPr>
      </w:pPr>
      <w:r w:rsidRPr="003B078D">
        <w:rPr>
          <w:rStyle w:val="FootnoteReference"/>
          <w:rFonts w:ascii="Verdana" w:hAnsi="Verdana"/>
          <w:sz w:val="16"/>
          <w:szCs w:val="16"/>
        </w:rPr>
        <w:footnoteRef/>
      </w:r>
      <w:r>
        <w:rPr>
          <w:rFonts w:ascii="Verdana" w:hAnsi="Verdana"/>
          <w:sz w:val="16"/>
          <w:szCs w:val="16"/>
        </w:rPr>
        <w:t>Regulation</w:t>
      </w:r>
      <w:r w:rsidRPr="003B078D">
        <w:rPr>
          <w:rFonts w:ascii="Verdana" w:hAnsi="Verdana"/>
          <w:sz w:val="16"/>
          <w:szCs w:val="16"/>
          <w:lang w:val="bg-BG"/>
        </w:rPr>
        <w:t xml:space="preserve"> (</w:t>
      </w:r>
      <w:r>
        <w:rPr>
          <w:rFonts w:ascii="Verdana" w:hAnsi="Verdana"/>
          <w:sz w:val="16"/>
          <w:szCs w:val="16"/>
        </w:rPr>
        <w:t>EU</w:t>
      </w:r>
      <w:r w:rsidRPr="003B078D">
        <w:rPr>
          <w:rFonts w:ascii="Verdana" w:hAnsi="Verdana"/>
          <w:sz w:val="16"/>
          <w:szCs w:val="16"/>
          <w:lang w:val="bg-BG"/>
        </w:rPr>
        <w:t xml:space="preserve">) № </w:t>
      </w:r>
      <w:r w:rsidRPr="003B078D">
        <w:rPr>
          <w:rFonts w:ascii="Verdana" w:hAnsi="Verdana" w:cs="TimesNewRoman,Bold"/>
          <w:bCs/>
          <w:sz w:val="16"/>
          <w:szCs w:val="16"/>
          <w:lang w:val="bg-BG" w:eastAsia="bg-BG"/>
        </w:rPr>
        <w:t xml:space="preserve">1303/2013 </w:t>
      </w:r>
      <w:r w:rsidRPr="003F037C">
        <w:rPr>
          <w:rFonts w:ascii="Verdana" w:hAnsi="Verdana" w:cs="TimesNewRoman,Bold"/>
          <w:bCs/>
          <w:sz w:val="16"/>
          <w:szCs w:val="16"/>
          <w:lang w:val="bg-BG" w:eastAsia="bg-BG"/>
        </w:rPr>
        <w:t>OF THE EUROPEAN PARLIAMENT AND OF THE COUNCIL</w:t>
      </w:r>
      <w:r>
        <w:rPr>
          <w:rFonts w:ascii="Verdana" w:hAnsi="Verdana" w:cs="TimesNewRoman,Bold"/>
          <w:bCs/>
          <w:sz w:val="16"/>
          <w:szCs w:val="16"/>
          <w:lang w:eastAsia="bg-BG"/>
        </w:rPr>
        <w:t xml:space="preserve"> </w:t>
      </w:r>
      <w:proofErr w:type="spellStart"/>
      <w:r w:rsidRPr="003F037C">
        <w:rPr>
          <w:rFonts w:ascii="Verdana" w:hAnsi="Verdana" w:cs="TimesNewRoman,Bold"/>
          <w:bCs/>
          <w:sz w:val="16"/>
          <w:szCs w:val="16"/>
          <w:lang w:val="bg-BG" w:eastAsia="bg-BG"/>
        </w:rPr>
        <w:t>of</w:t>
      </w:r>
      <w:proofErr w:type="spellEnd"/>
      <w:r w:rsidRPr="003F037C">
        <w:rPr>
          <w:rFonts w:ascii="Verdana" w:hAnsi="Verdana" w:cs="TimesNewRoman,Bold"/>
          <w:bCs/>
          <w:sz w:val="16"/>
          <w:szCs w:val="16"/>
          <w:lang w:val="bg-BG" w:eastAsia="bg-BG"/>
        </w:rPr>
        <w:t xml:space="preserve"> 17 </w:t>
      </w:r>
      <w:proofErr w:type="spellStart"/>
      <w:r w:rsidRPr="003F037C">
        <w:rPr>
          <w:rFonts w:ascii="Verdana" w:hAnsi="Verdana" w:cs="TimesNewRoman,Bold"/>
          <w:bCs/>
          <w:sz w:val="16"/>
          <w:szCs w:val="16"/>
          <w:lang w:val="bg-BG" w:eastAsia="bg-BG"/>
        </w:rPr>
        <w:t>December</w:t>
      </w:r>
      <w:proofErr w:type="spellEnd"/>
      <w:r w:rsidRPr="003F037C">
        <w:rPr>
          <w:rFonts w:ascii="Verdana" w:hAnsi="Verdana" w:cs="TimesNewRoman,Bold"/>
          <w:bCs/>
          <w:sz w:val="16"/>
          <w:szCs w:val="16"/>
          <w:lang w:val="bg-BG" w:eastAsia="bg-BG"/>
        </w:rPr>
        <w:t xml:space="preserve"> 2013</w:t>
      </w:r>
      <w:r>
        <w:rPr>
          <w:rFonts w:ascii="Verdana" w:hAnsi="Verdana" w:cs="TimesNewRoman,Bold"/>
          <w:bCs/>
          <w:sz w:val="16"/>
          <w:szCs w:val="16"/>
          <w:lang w:eastAsia="bg-BG"/>
        </w:rPr>
        <w:t xml:space="preserve"> </w:t>
      </w:r>
      <w:proofErr w:type="spellStart"/>
      <w:r w:rsidRPr="003F037C">
        <w:rPr>
          <w:rFonts w:ascii="Verdana" w:hAnsi="Verdana" w:cs="TimesNewRoman,Bold"/>
          <w:bCs/>
          <w:sz w:val="16"/>
          <w:szCs w:val="16"/>
          <w:lang w:val="bg-BG" w:eastAsia="bg-BG"/>
        </w:rPr>
        <w:t>laying</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down</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common</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provisions</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on</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the</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European</w:t>
      </w:r>
      <w:proofErr w:type="spellEnd"/>
      <w:r w:rsidRPr="003F037C">
        <w:rPr>
          <w:rFonts w:ascii="Verdana" w:hAnsi="Verdana" w:cs="TimesNewRoman,Bold"/>
          <w:bCs/>
          <w:sz w:val="16"/>
          <w:szCs w:val="16"/>
          <w:lang w:val="bg-BG" w:eastAsia="bg-BG"/>
        </w:rPr>
        <w:t xml:space="preserve"> Regional </w:t>
      </w:r>
      <w:proofErr w:type="spellStart"/>
      <w:r w:rsidRPr="003F037C">
        <w:rPr>
          <w:rFonts w:ascii="Verdana" w:hAnsi="Verdana" w:cs="TimesNewRoman,Bold"/>
          <w:bCs/>
          <w:sz w:val="16"/>
          <w:szCs w:val="16"/>
          <w:lang w:val="bg-BG" w:eastAsia="bg-BG"/>
        </w:rPr>
        <w:t>Development</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Fund</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the</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European</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Social</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Fund</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the</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Cohesion</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Fund</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the</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European</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Agricultural</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Fund</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for</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Rural</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Development</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and</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the</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European</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Maritime</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and</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Fisheries</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Fund</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and</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laying</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down</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general</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provisions</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on</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the</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European</w:t>
      </w:r>
      <w:proofErr w:type="spellEnd"/>
      <w:r w:rsidRPr="003F037C">
        <w:rPr>
          <w:rFonts w:ascii="Verdana" w:hAnsi="Verdana" w:cs="TimesNewRoman,Bold"/>
          <w:bCs/>
          <w:sz w:val="16"/>
          <w:szCs w:val="16"/>
          <w:lang w:val="bg-BG" w:eastAsia="bg-BG"/>
        </w:rPr>
        <w:t xml:space="preserve"> Regional </w:t>
      </w:r>
      <w:proofErr w:type="spellStart"/>
      <w:r w:rsidRPr="003F037C">
        <w:rPr>
          <w:rFonts w:ascii="Verdana" w:hAnsi="Verdana" w:cs="TimesNewRoman,Bold"/>
          <w:bCs/>
          <w:sz w:val="16"/>
          <w:szCs w:val="16"/>
          <w:lang w:val="bg-BG" w:eastAsia="bg-BG"/>
        </w:rPr>
        <w:t>Development</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Fund</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the</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European</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Social</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Fund</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the</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Cohesion</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Fund</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and</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the</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European</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Maritime</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and</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Fisheries</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Fund</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and</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repealing</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Council</w:t>
      </w:r>
      <w:proofErr w:type="spellEnd"/>
      <w:r w:rsidRPr="003F037C">
        <w:rPr>
          <w:rFonts w:ascii="Verdana" w:hAnsi="Verdana" w:cs="TimesNewRoman,Bold"/>
          <w:bCs/>
          <w:sz w:val="16"/>
          <w:szCs w:val="16"/>
          <w:lang w:val="bg-BG" w:eastAsia="bg-BG"/>
        </w:rPr>
        <w:t xml:space="preserve"> </w:t>
      </w:r>
      <w:proofErr w:type="spellStart"/>
      <w:r w:rsidRPr="003F037C">
        <w:rPr>
          <w:rFonts w:ascii="Verdana" w:hAnsi="Verdana" w:cs="TimesNewRoman,Bold"/>
          <w:bCs/>
          <w:sz w:val="16"/>
          <w:szCs w:val="16"/>
          <w:lang w:val="bg-BG" w:eastAsia="bg-BG"/>
        </w:rPr>
        <w:t>Regulation</w:t>
      </w:r>
      <w:proofErr w:type="spellEnd"/>
      <w:r w:rsidRPr="003F037C">
        <w:rPr>
          <w:rFonts w:ascii="Verdana" w:hAnsi="Verdana" w:cs="TimesNewRoman,Bold"/>
          <w:bCs/>
          <w:sz w:val="16"/>
          <w:szCs w:val="16"/>
          <w:lang w:val="bg-BG" w:eastAsia="bg-BG"/>
        </w:rPr>
        <w:t xml:space="preserve"> (EC) </w:t>
      </w:r>
      <w:proofErr w:type="spellStart"/>
      <w:r w:rsidRPr="003F037C">
        <w:rPr>
          <w:rFonts w:ascii="Verdana" w:hAnsi="Verdana" w:cs="TimesNewRoman,Bold"/>
          <w:bCs/>
          <w:sz w:val="16"/>
          <w:szCs w:val="16"/>
          <w:lang w:val="bg-BG" w:eastAsia="bg-BG"/>
        </w:rPr>
        <w:t>No</w:t>
      </w:r>
      <w:proofErr w:type="spellEnd"/>
      <w:r w:rsidRPr="003F037C">
        <w:rPr>
          <w:rFonts w:ascii="Verdana" w:hAnsi="Verdana" w:cs="TimesNewRoman,Bold"/>
          <w:bCs/>
          <w:sz w:val="16"/>
          <w:szCs w:val="16"/>
          <w:lang w:val="bg-BG" w:eastAsia="bg-BG"/>
        </w:rPr>
        <w:t xml:space="preserve"> 1083/2006</w:t>
      </w:r>
      <w:r w:rsidRPr="003B078D">
        <w:rPr>
          <w:rFonts w:ascii="Verdana" w:hAnsi="Verdana" w:cs="TimesNewRoman,Bold"/>
          <w:bCs/>
          <w:sz w:val="16"/>
          <w:szCs w:val="16"/>
          <w:lang w:val="bg-BG" w:eastAsia="bg-BG"/>
        </w:rPr>
        <w:t>.</w:t>
      </w:r>
    </w:p>
  </w:footnote>
  <w:footnote w:id="5">
    <w:p w:rsidR="005A221F" w:rsidRPr="00296A0C" w:rsidRDefault="005A221F" w:rsidP="00C513B7">
      <w:pPr>
        <w:autoSpaceDE w:val="0"/>
        <w:autoSpaceDN w:val="0"/>
        <w:adjustRightInd w:val="0"/>
        <w:spacing w:after="0" w:line="240" w:lineRule="auto"/>
        <w:jc w:val="both"/>
        <w:rPr>
          <w:lang w:val="bg-BG"/>
        </w:rPr>
      </w:pPr>
      <w:r w:rsidRPr="003B078D">
        <w:rPr>
          <w:rStyle w:val="FootnoteReference"/>
          <w:rFonts w:ascii="Verdana" w:hAnsi="Verdana"/>
          <w:sz w:val="16"/>
          <w:szCs w:val="16"/>
        </w:rPr>
        <w:footnoteRef/>
      </w:r>
      <w:r w:rsidRPr="003F037C">
        <w:rPr>
          <w:rFonts w:ascii="Verdana" w:hAnsi="Verdana"/>
          <w:sz w:val="16"/>
          <w:szCs w:val="16"/>
          <w:lang w:val="bg-BG"/>
        </w:rPr>
        <w:t xml:space="preserve">REGULATION (EU) </w:t>
      </w:r>
      <w:proofErr w:type="spellStart"/>
      <w:r w:rsidRPr="003F037C">
        <w:rPr>
          <w:rFonts w:ascii="Verdana" w:hAnsi="Verdana"/>
          <w:sz w:val="16"/>
          <w:szCs w:val="16"/>
          <w:lang w:val="bg-BG"/>
        </w:rPr>
        <w:t>No</w:t>
      </w:r>
      <w:proofErr w:type="spellEnd"/>
      <w:r w:rsidRPr="003F037C">
        <w:rPr>
          <w:rFonts w:ascii="Verdana" w:hAnsi="Verdana"/>
          <w:sz w:val="16"/>
          <w:szCs w:val="16"/>
          <w:lang w:val="bg-BG"/>
        </w:rPr>
        <w:t xml:space="preserve"> 1304/2013 OF THE EUROPEAN PARLIAMENT AND OF THE COUNCIL</w:t>
      </w:r>
      <w:r>
        <w:rPr>
          <w:rFonts w:ascii="Verdana" w:hAnsi="Verdana"/>
          <w:sz w:val="16"/>
          <w:szCs w:val="16"/>
        </w:rPr>
        <w:t xml:space="preserve"> </w:t>
      </w:r>
      <w:proofErr w:type="spellStart"/>
      <w:r w:rsidRPr="003F037C">
        <w:rPr>
          <w:rFonts w:ascii="Verdana" w:hAnsi="Verdana"/>
          <w:sz w:val="16"/>
          <w:szCs w:val="16"/>
          <w:lang w:val="bg-BG"/>
        </w:rPr>
        <w:t>of</w:t>
      </w:r>
      <w:proofErr w:type="spellEnd"/>
      <w:r w:rsidRPr="003F037C">
        <w:rPr>
          <w:rFonts w:ascii="Verdana" w:hAnsi="Verdana"/>
          <w:sz w:val="16"/>
          <w:szCs w:val="16"/>
          <w:lang w:val="bg-BG"/>
        </w:rPr>
        <w:t xml:space="preserve"> 17 </w:t>
      </w:r>
      <w:proofErr w:type="spellStart"/>
      <w:r w:rsidRPr="003F037C">
        <w:rPr>
          <w:rFonts w:ascii="Verdana" w:hAnsi="Verdana"/>
          <w:sz w:val="16"/>
          <w:szCs w:val="16"/>
          <w:lang w:val="bg-BG"/>
        </w:rPr>
        <w:t>December</w:t>
      </w:r>
      <w:proofErr w:type="spellEnd"/>
      <w:r w:rsidRPr="003F037C">
        <w:rPr>
          <w:rFonts w:ascii="Verdana" w:hAnsi="Verdana"/>
          <w:sz w:val="16"/>
          <w:szCs w:val="16"/>
          <w:lang w:val="bg-BG"/>
        </w:rPr>
        <w:t xml:space="preserve"> 2013</w:t>
      </w:r>
      <w:r>
        <w:rPr>
          <w:rFonts w:ascii="Verdana" w:hAnsi="Verdana"/>
          <w:sz w:val="16"/>
          <w:szCs w:val="16"/>
        </w:rPr>
        <w:t xml:space="preserve"> </w:t>
      </w:r>
      <w:proofErr w:type="spellStart"/>
      <w:r w:rsidRPr="003F037C">
        <w:rPr>
          <w:rFonts w:ascii="Verdana" w:hAnsi="Verdana"/>
          <w:sz w:val="16"/>
          <w:szCs w:val="16"/>
          <w:lang w:val="bg-BG"/>
        </w:rPr>
        <w:t>on</w:t>
      </w:r>
      <w:proofErr w:type="spellEnd"/>
      <w:r w:rsidRPr="003F037C">
        <w:rPr>
          <w:rFonts w:ascii="Verdana" w:hAnsi="Verdana"/>
          <w:sz w:val="16"/>
          <w:szCs w:val="16"/>
          <w:lang w:val="bg-BG"/>
        </w:rPr>
        <w:t xml:space="preserve"> </w:t>
      </w:r>
      <w:proofErr w:type="spellStart"/>
      <w:r w:rsidRPr="003F037C">
        <w:rPr>
          <w:rFonts w:ascii="Verdana" w:hAnsi="Verdana"/>
          <w:sz w:val="16"/>
          <w:szCs w:val="16"/>
          <w:lang w:val="bg-BG"/>
        </w:rPr>
        <w:t>the</w:t>
      </w:r>
      <w:proofErr w:type="spellEnd"/>
      <w:r w:rsidRPr="003F037C">
        <w:rPr>
          <w:rFonts w:ascii="Verdana" w:hAnsi="Verdana"/>
          <w:sz w:val="16"/>
          <w:szCs w:val="16"/>
          <w:lang w:val="bg-BG"/>
        </w:rPr>
        <w:t xml:space="preserve"> </w:t>
      </w:r>
      <w:proofErr w:type="spellStart"/>
      <w:r w:rsidRPr="003F037C">
        <w:rPr>
          <w:rFonts w:ascii="Verdana" w:hAnsi="Verdana"/>
          <w:sz w:val="16"/>
          <w:szCs w:val="16"/>
          <w:lang w:val="bg-BG"/>
        </w:rPr>
        <w:t>European</w:t>
      </w:r>
      <w:proofErr w:type="spellEnd"/>
      <w:r w:rsidRPr="003F037C">
        <w:rPr>
          <w:rFonts w:ascii="Verdana" w:hAnsi="Verdana"/>
          <w:sz w:val="16"/>
          <w:szCs w:val="16"/>
          <w:lang w:val="bg-BG"/>
        </w:rPr>
        <w:t xml:space="preserve"> </w:t>
      </w:r>
      <w:proofErr w:type="spellStart"/>
      <w:r w:rsidRPr="003F037C">
        <w:rPr>
          <w:rFonts w:ascii="Verdana" w:hAnsi="Verdana"/>
          <w:sz w:val="16"/>
          <w:szCs w:val="16"/>
          <w:lang w:val="bg-BG"/>
        </w:rPr>
        <w:t>Social</w:t>
      </w:r>
      <w:proofErr w:type="spellEnd"/>
      <w:r w:rsidRPr="003F037C">
        <w:rPr>
          <w:rFonts w:ascii="Verdana" w:hAnsi="Verdana"/>
          <w:sz w:val="16"/>
          <w:szCs w:val="16"/>
          <w:lang w:val="bg-BG"/>
        </w:rPr>
        <w:t xml:space="preserve"> </w:t>
      </w:r>
      <w:proofErr w:type="spellStart"/>
      <w:r w:rsidRPr="003F037C">
        <w:rPr>
          <w:rFonts w:ascii="Verdana" w:hAnsi="Verdana"/>
          <w:sz w:val="16"/>
          <w:szCs w:val="16"/>
          <w:lang w:val="bg-BG"/>
        </w:rPr>
        <w:t>Fund</w:t>
      </w:r>
      <w:proofErr w:type="spellEnd"/>
      <w:r w:rsidRPr="003F037C">
        <w:rPr>
          <w:rFonts w:ascii="Verdana" w:hAnsi="Verdana"/>
          <w:sz w:val="16"/>
          <w:szCs w:val="16"/>
          <w:lang w:val="bg-BG"/>
        </w:rPr>
        <w:t xml:space="preserve"> </w:t>
      </w:r>
      <w:proofErr w:type="spellStart"/>
      <w:r w:rsidRPr="003F037C">
        <w:rPr>
          <w:rFonts w:ascii="Verdana" w:hAnsi="Verdana"/>
          <w:sz w:val="16"/>
          <w:szCs w:val="16"/>
          <w:lang w:val="bg-BG"/>
        </w:rPr>
        <w:t>and</w:t>
      </w:r>
      <w:proofErr w:type="spellEnd"/>
      <w:r w:rsidRPr="003F037C">
        <w:rPr>
          <w:rFonts w:ascii="Verdana" w:hAnsi="Verdana"/>
          <w:sz w:val="16"/>
          <w:szCs w:val="16"/>
          <w:lang w:val="bg-BG"/>
        </w:rPr>
        <w:t xml:space="preserve"> </w:t>
      </w:r>
      <w:proofErr w:type="spellStart"/>
      <w:r w:rsidRPr="003F037C">
        <w:rPr>
          <w:rFonts w:ascii="Verdana" w:hAnsi="Verdana"/>
          <w:sz w:val="16"/>
          <w:szCs w:val="16"/>
          <w:lang w:val="bg-BG"/>
        </w:rPr>
        <w:t>repealing</w:t>
      </w:r>
      <w:proofErr w:type="spellEnd"/>
      <w:r w:rsidRPr="003F037C">
        <w:rPr>
          <w:rFonts w:ascii="Verdana" w:hAnsi="Verdana"/>
          <w:sz w:val="16"/>
          <w:szCs w:val="16"/>
          <w:lang w:val="bg-BG"/>
        </w:rPr>
        <w:t xml:space="preserve"> </w:t>
      </w:r>
      <w:proofErr w:type="spellStart"/>
      <w:r w:rsidRPr="003F037C">
        <w:rPr>
          <w:rFonts w:ascii="Verdana" w:hAnsi="Verdana"/>
          <w:sz w:val="16"/>
          <w:szCs w:val="16"/>
          <w:lang w:val="bg-BG"/>
        </w:rPr>
        <w:t>Council</w:t>
      </w:r>
      <w:proofErr w:type="spellEnd"/>
      <w:r w:rsidRPr="003F037C">
        <w:rPr>
          <w:rFonts w:ascii="Verdana" w:hAnsi="Verdana"/>
          <w:sz w:val="16"/>
          <w:szCs w:val="16"/>
          <w:lang w:val="bg-BG"/>
        </w:rPr>
        <w:t xml:space="preserve"> </w:t>
      </w:r>
      <w:proofErr w:type="spellStart"/>
      <w:r w:rsidRPr="003F037C">
        <w:rPr>
          <w:rFonts w:ascii="Verdana" w:hAnsi="Verdana"/>
          <w:sz w:val="16"/>
          <w:szCs w:val="16"/>
          <w:lang w:val="bg-BG"/>
        </w:rPr>
        <w:t>Regulation</w:t>
      </w:r>
      <w:proofErr w:type="spellEnd"/>
      <w:r w:rsidRPr="003F037C">
        <w:rPr>
          <w:rFonts w:ascii="Verdana" w:hAnsi="Verdana"/>
          <w:sz w:val="16"/>
          <w:szCs w:val="16"/>
          <w:lang w:val="bg-BG"/>
        </w:rPr>
        <w:t xml:space="preserve"> (EC) </w:t>
      </w:r>
      <w:proofErr w:type="spellStart"/>
      <w:r w:rsidRPr="003F037C">
        <w:rPr>
          <w:rFonts w:ascii="Verdana" w:hAnsi="Verdana"/>
          <w:sz w:val="16"/>
          <w:szCs w:val="16"/>
          <w:lang w:val="bg-BG"/>
        </w:rPr>
        <w:t>No</w:t>
      </w:r>
      <w:proofErr w:type="spellEnd"/>
      <w:r w:rsidRPr="003F037C">
        <w:rPr>
          <w:rFonts w:ascii="Verdana" w:hAnsi="Verdana"/>
          <w:sz w:val="16"/>
          <w:szCs w:val="16"/>
          <w:lang w:val="bg-BG"/>
        </w:rPr>
        <w:t xml:space="preserve"> 1081/2006</w:t>
      </w:r>
    </w:p>
  </w:footnote>
  <w:footnote w:id="6">
    <w:p w:rsidR="005A221F" w:rsidRDefault="005A221F" w:rsidP="005B6074">
      <w:pPr>
        <w:pStyle w:val="FootnoteText"/>
        <w:jc w:val="both"/>
      </w:pPr>
      <w:r>
        <w:rPr>
          <w:rStyle w:val="FootnoteReference"/>
        </w:rPr>
        <w:footnoteRef/>
      </w:r>
      <w:r>
        <w:t xml:space="preserve">Guidelines for the Ex-ante Evaluation in the programming period </w:t>
      </w:r>
      <w:r w:rsidRPr="001962B4">
        <w:t xml:space="preserve">2014-2020, </w:t>
      </w:r>
      <w:r>
        <w:t>ERDF</w:t>
      </w:r>
      <w:r w:rsidRPr="001962B4">
        <w:t xml:space="preserve">, </w:t>
      </w:r>
      <w:r>
        <w:t>CF and ESF</w:t>
      </w:r>
      <w:r w:rsidRPr="001962B4">
        <w:t xml:space="preserve">, </w:t>
      </w:r>
      <w:r>
        <w:t>‘DG</w:t>
      </w:r>
      <w:r w:rsidRPr="001962B4">
        <w:t xml:space="preserve"> </w:t>
      </w:r>
      <w:r>
        <w:t>for Regional and Urban Policy and DG for Employment, Social Affairs and Inclusion”</w:t>
      </w:r>
    </w:p>
    <w:p w:rsidR="005A221F" w:rsidRDefault="005A221F" w:rsidP="005B6074">
      <w:pPr>
        <w:pStyle w:val="FootnoteText"/>
        <w:jc w:val="both"/>
        <w:rPr>
          <w:lang w:val="bg-BG"/>
        </w:rPr>
      </w:pPr>
    </w:p>
  </w:footnote>
  <w:footnote w:id="7">
    <w:p w:rsidR="005A221F" w:rsidRDefault="005A221F" w:rsidP="005B6074">
      <w:pPr>
        <w:pStyle w:val="FootnoteText"/>
        <w:jc w:val="both"/>
        <w:rPr>
          <w:lang w:val="bg-BG"/>
        </w:rPr>
      </w:pPr>
      <w:r>
        <w:rPr>
          <w:rStyle w:val="FootnoteReference"/>
        </w:rPr>
        <w:footnoteRef/>
      </w:r>
      <w:r w:rsidRPr="005B6074">
        <w:rPr>
          <w:lang w:val="bg-BG"/>
        </w:rPr>
        <w:t xml:space="preserve"> </w:t>
      </w:r>
      <w:r>
        <w:rPr>
          <w:lang w:val="en-US"/>
        </w:rPr>
        <w:t>Programming</w:t>
      </w:r>
      <w:r w:rsidRPr="005B6074">
        <w:rPr>
          <w:lang w:val="bg-BG"/>
        </w:rPr>
        <w:t xml:space="preserve"> </w:t>
      </w:r>
      <w:r>
        <w:rPr>
          <w:lang w:val="en-US"/>
        </w:rPr>
        <w:t>period</w:t>
      </w:r>
      <w:r>
        <w:rPr>
          <w:lang w:val="bg-BG"/>
        </w:rPr>
        <w:t xml:space="preserve"> 2014-2020</w:t>
      </w:r>
      <w:r w:rsidRPr="005B6074">
        <w:rPr>
          <w:lang w:val="bg-BG"/>
        </w:rPr>
        <w:t xml:space="preserve">, </w:t>
      </w:r>
      <w:r>
        <w:rPr>
          <w:lang w:val="bg-BG"/>
        </w:rPr>
        <w:t xml:space="preserve"> </w:t>
      </w:r>
      <w:r>
        <w:rPr>
          <w:lang w:val="en-US"/>
        </w:rPr>
        <w:t>Guidance document on monitoring end evaluation</w:t>
      </w:r>
      <w:r>
        <w:rPr>
          <w:lang w:val="bg-BG"/>
        </w:rPr>
        <w:t xml:space="preserve">, </w:t>
      </w:r>
      <w:r>
        <w:rPr>
          <w:lang w:val="en-US"/>
        </w:rPr>
        <w:t>ERDF, CF and Guidelines for monitoring and evaluation of ESF</w:t>
      </w:r>
    </w:p>
  </w:footnote>
  <w:footnote w:id="8">
    <w:p w:rsidR="005A221F" w:rsidRDefault="005A221F" w:rsidP="007A2B7B">
      <w:pPr>
        <w:pStyle w:val="Default"/>
        <w:rPr>
          <w:rFonts w:asciiTheme="minorHAnsi" w:eastAsia="MS Mincho" w:hAnsiTheme="minorHAnsi"/>
          <w:bCs/>
          <w:sz w:val="16"/>
          <w:szCs w:val="16"/>
          <w:lang w:val="bg-BG" w:eastAsia="ja-JP"/>
        </w:rPr>
      </w:pPr>
      <w:r>
        <w:rPr>
          <w:rStyle w:val="FootnoteReference"/>
        </w:rPr>
        <w:footnoteRef/>
      </w:r>
      <w:r w:rsidRPr="00A0758E">
        <w:rPr>
          <w:rFonts w:asciiTheme="minorHAnsi" w:hAnsiTheme="minorHAnsi"/>
          <w:bCs/>
          <w:sz w:val="16"/>
          <w:szCs w:val="16"/>
          <w:lang w:eastAsia="bg-BG"/>
        </w:rPr>
        <w:t>Key indicators for Candidate</w:t>
      </w:r>
      <w:r>
        <w:rPr>
          <w:rFonts w:asciiTheme="minorHAnsi" w:hAnsiTheme="minorHAnsi"/>
          <w:bCs/>
          <w:sz w:val="16"/>
          <w:szCs w:val="16"/>
          <w:lang w:eastAsia="bg-BG"/>
        </w:rPr>
        <w:t xml:space="preserve"> </w:t>
      </w:r>
      <w:r w:rsidRPr="00A0758E">
        <w:rPr>
          <w:rFonts w:asciiTheme="minorHAnsi" w:hAnsiTheme="minorHAnsi"/>
          <w:bCs/>
          <w:sz w:val="16"/>
          <w:szCs w:val="16"/>
          <w:lang w:eastAsia="bg-BG"/>
        </w:rPr>
        <w:t>Countries to Effectively</w:t>
      </w:r>
      <w:r>
        <w:rPr>
          <w:rFonts w:asciiTheme="minorHAnsi" w:hAnsiTheme="minorHAnsi"/>
          <w:bCs/>
          <w:sz w:val="16"/>
          <w:szCs w:val="16"/>
          <w:lang w:eastAsia="bg-BG"/>
        </w:rPr>
        <w:t xml:space="preserve"> </w:t>
      </w:r>
      <w:r w:rsidRPr="00A0758E">
        <w:rPr>
          <w:rFonts w:asciiTheme="minorHAnsi" w:hAnsiTheme="minorHAnsi"/>
          <w:bCs/>
          <w:sz w:val="16"/>
          <w:szCs w:val="16"/>
          <w:lang w:eastAsia="bg-BG"/>
        </w:rPr>
        <w:t>Manage the Structural Funds</w:t>
      </w:r>
      <w:r>
        <w:rPr>
          <w:rFonts w:asciiTheme="minorHAnsi" w:hAnsiTheme="minorHAnsi"/>
          <w:bCs/>
          <w:sz w:val="16"/>
          <w:szCs w:val="16"/>
          <w:lang w:eastAsia="bg-BG"/>
        </w:rPr>
        <w:t>, NEI, 2002</w:t>
      </w:r>
    </w:p>
    <w:p w:rsidR="005A221F" w:rsidRPr="00E874F8" w:rsidRDefault="005A221F" w:rsidP="007A2B7B">
      <w:pPr>
        <w:pStyle w:val="Default"/>
        <w:rPr>
          <w:rFonts w:asciiTheme="minorHAnsi" w:hAnsiTheme="minorHAnsi"/>
          <w:bCs/>
          <w:sz w:val="16"/>
          <w:szCs w:val="16"/>
          <w:lang w:eastAsia="bg-BG"/>
        </w:rPr>
      </w:pPr>
      <w:r w:rsidRPr="00E874F8">
        <w:rPr>
          <w:rFonts w:asciiTheme="minorHAnsi" w:hAnsiTheme="minorHAnsi"/>
          <w:bCs/>
          <w:sz w:val="16"/>
          <w:szCs w:val="16"/>
          <w:lang w:eastAsia="bg-BG"/>
        </w:rPr>
        <w:t xml:space="preserve">EU-8 Administrative Capacity in the New Member States: The Limits of Innovation?, </w:t>
      </w:r>
      <w:r w:rsidRPr="00E874F8">
        <w:rPr>
          <w:rFonts w:asciiTheme="minorHAnsi" w:hAnsiTheme="minorHAnsi" w:hint="eastAsia"/>
          <w:bCs/>
          <w:sz w:val="16"/>
          <w:szCs w:val="16"/>
          <w:lang w:eastAsia="bg-BG"/>
        </w:rPr>
        <w:t>WB, 2006</w:t>
      </w:r>
    </w:p>
    <w:p w:rsidR="005A221F" w:rsidRPr="00E874F8" w:rsidRDefault="005A221F" w:rsidP="007A2B7B">
      <w:pPr>
        <w:pStyle w:val="FootnoteText"/>
      </w:pPr>
    </w:p>
  </w:footnote>
  <w:footnote w:id="9">
    <w:p w:rsidR="005A221F" w:rsidRPr="003377CF" w:rsidRDefault="005A221F" w:rsidP="007A2B7B">
      <w:pPr>
        <w:pStyle w:val="FootnoteText"/>
        <w:rPr>
          <w:lang w:val="bg-BG"/>
        </w:rPr>
      </w:pPr>
      <w:r>
        <w:rPr>
          <w:rStyle w:val="FootnoteReference"/>
        </w:rPr>
        <w:footnoteRef/>
      </w:r>
      <w:r>
        <w:rPr>
          <w:rFonts w:ascii="Verdana" w:hAnsi="Verdana"/>
          <w:sz w:val="16"/>
          <w:szCs w:val="16"/>
          <w:lang w:val="en-US"/>
        </w:rPr>
        <w:t xml:space="preserve"> The distribution was made on the basis of the list of employees from the site of DG SFIEP</w:t>
      </w:r>
    </w:p>
  </w:footnote>
  <w:footnote w:id="10">
    <w:p w:rsidR="005A221F" w:rsidRPr="00AA7107" w:rsidRDefault="005A221F" w:rsidP="007A2B7B">
      <w:pPr>
        <w:pStyle w:val="FootnoteText"/>
        <w:jc w:val="both"/>
        <w:rPr>
          <w:rFonts w:ascii="Verdana" w:hAnsi="Verdana"/>
          <w:sz w:val="14"/>
          <w:szCs w:val="14"/>
        </w:rPr>
      </w:pPr>
      <w:r w:rsidRPr="00AA7107">
        <w:rPr>
          <w:rStyle w:val="FootnoteReference"/>
          <w:rFonts w:ascii="Verdana" w:hAnsi="Verdana"/>
          <w:sz w:val="14"/>
          <w:szCs w:val="14"/>
        </w:rPr>
        <w:footnoteRef/>
      </w:r>
      <w:r>
        <w:rPr>
          <w:rFonts w:ascii="Verdana" w:hAnsi="Verdana"/>
          <w:bCs/>
          <w:color w:val="000000"/>
          <w:sz w:val="14"/>
          <w:szCs w:val="14"/>
          <w:lang w:val="en-US"/>
        </w:rPr>
        <w:t xml:space="preserve">The draft of the Partnership Agreement of the Republic of Bulgaria outlining the assistance under ESIF for the period </w:t>
      </w:r>
      <w:r w:rsidRPr="00AA7107">
        <w:rPr>
          <w:rFonts w:ascii="Verdana" w:hAnsi="Verdana"/>
          <w:bCs/>
          <w:color w:val="000000"/>
          <w:sz w:val="14"/>
          <w:szCs w:val="14"/>
          <w:lang w:val="bg-BG"/>
        </w:rPr>
        <w:t>2014 – 2020</w:t>
      </w:r>
    </w:p>
  </w:footnote>
  <w:footnote w:id="11">
    <w:p w:rsidR="005A221F" w:rsidRPr="00D66BF8" w:rsidRDefault="005A221F" w:rsidP="007A2B7B">
      <w:pPr>
        <w:pStyle w:val="FootnoteText"/>
        <w:jc w:val="both"/>
        <w:rPr>
          <w:rFonts w:asciiTheme="minorHAnsi" w:hAnsiTheme="minorHAnsi"/>
          <w:sz w:val="16"/>
          <w:szCs w:val="16"/>
        </w:rPr>
      </w:pPr>
      <w:r>
        <w:rPr>
          <w:rStyle w:val="FootnoteReference"/>
        </w:rPr>
        <w:footnoteRef/>
      </w:r>
      <w:r>
        <w:rPr>
          <w:rFonts w:ascii="Verdana" w:hAnsi="Verdana"/>
          <w:bCs/>
          <w:color w:val="000000"/>
          <w:sz w:val="14"/>
          <w:szCs w:val="14"/>
          <w:lang w:val="en-US"/>
        </w:rPr>
        <w:t xml:space="preserve">The draft of the Partnership Agreement of the Republic of Bulgaria outlining the assistance under ESIF for the period </w:t>
      </w:r>
      <w:r w:rsidRPr="00AA7107">
        <w:rPr>
          <w:rFonts w:ascii="Verdana" w:hAnsi="Verdana"/>
          <w:bCs/>
          <w:color w:val="000000"/>
          <w:sz w:val="14"/>
          <w:szCs w:val="14"/>
          <w:lang w:val="bg-BG"/>
        </w:rPr>
        <w:t>2014 – 2020</w:t>
      </w:r>
    </w:p>
  </w:footnote>
  <w:footnote w:id="12">
    <w:p w:rsidR="005A221F" w:rsidRPr="00190D1B" w:rsidRDefault="005A221F" w:rsidP="00F71FE2">
      <w:pPr>
        <w:spacing w:before="120" w:after="120"/>
        <w:jc w:val="both"/>
        <w:rPr>
          <w:rFonts w:ascii="Verdana" w:eastAsia="Malgun Gothic" w:hAnsi="Verdana"/>
          <w:bCs/>
          <w:color w:val="000000"/>
          <w:sz w:val="20"/>
          <w:szCs w:val="20"/>
          <w:lang w:val="bg-BG" w:eastAsia="ko-KR"/>
        </w:rPr>
      </w:pPr>
      <w:r>
        <w:rPr>
          <w:rStyle w:val="FootnoteReference"/>
        </w:rPr>
        <w:footnoteRef/>
      </w:r>
      <w:r>
        <w:rPr>
          <w:rFonts w:ascii="Verdana" w:eastAsia="Malgun Gothic" w:hAnsi="Verdana"/>
          <w:bCs/>
          <w:color w:val="000000"/>
          <w:sz w:val="16"/>
          <w:szCs w:val="16"/>
          <w:lang w:eastAsia="ko-KR"/>
        </w:rPr>
        <w:t>The risk analysis was made on the basis of the methodology developed under the project Assessment of the risk in the management of OP Administrative Capacity (OPAC) and assessment of the risk in the implementation of projects under OPAC</w:t>
      </w:r>
      <w:r w:rsidRPr="00A22EA5">
        <w:rPr>
          <w:rFonts w:ascii="Verdana" w:eastAsia="Malgun Gothic" w:hAnsi="Verdana"/>
          <w:bCs/>
          <w:color w:val="000000"/>
          <w:sz w:val="16"/>
          <w:szCs w:val="16"/>
          <w:lang w:val="bg-BG" w:eastAsia="ko-KR"/>
        </w:rPr>
        <w:t xml:space="preserve">, </w:t>
      </w:r>
      <w:r>
        <w:rPr>
          <w:rFonts w:ascii="Verdana" w:eastAsia="Malgun Gothic" w:hAnsi="Verdana"/>
          <w:bCs/>
          <w:color w:val="000000"/>
          <w:sz w:val="16"/>
          <w:szCs w:val="16"/>
          <w:lang w:eastAsia="ko-KR"/>
        </w:rPr>
        <w:t>implemented by ERCORIS CIU for the Ministry of Finance</w:t>
      </w:r>
      <w:r w:rsidRPr="00190D1B">
        <w:rPr>
          <w:rFonts w:ascii="Verdana" w:eastAsia="Malgun Gothic" w:hAnsi="Verdana"/>
          <w:bCs/>
          <w:color w:val="000000"/>
          <w:sz w:val="20"/>
          <w:szCs w:val="20"/>
          <w:lang w:val="bg-BG" w:eastAsia="ko-KR"/>
        </w:rPr>
        <w:t>.</w:t>
      </w:r>
    </w:p>
    <w:p w:rsidR="005A221F" w:rsidRPr="00A22EA5" w:rsidRDefault="005A221F" w:rsidP="00F71FE2">
      <w:pPr>
        <w:pStyle w:val="FootnoteText"/>
        <w:rPr>
          <w:lang w:val="bg-BG"/>
        </w:rPr>
      </w:pPr>
    </w:p>
  </w:footnote>
  <w:footnote w:id="13">
    <w:p w:rsidR="005A221F" w:rsidRDefault="005A221F" w:rsidP="00F71FE2">
      <w:pPr>
        <w:pStyle w:val="FootnoteText"/>
      </w:pPr>
      <w:r>
        <w:rPr>
          <w:rStyle w:val="FootnoteReference"/>
        </w:rPr>
        <w:footnoteRef/>
      </w:r>
      <w:r w:rsidRPr="00BA34AB">
        <w:rPr>
          <w:sz w:val="16"/>
          <w:szCs w:val="16"/>
          <w:lang w:val="bg-BG"/>
        </w:rPr>
        <w:t xml:space="preserve">ЕС </w:t>
      </w:r>
      <w:r>
        <w:rPr>
          <w:sz w:val="16"/>
          <w:szCs w:val="16"/>
        </w:rPr>
        <w:t xml:space="preserve">Working Paper No 5. </w:t>
      </w:r>
      <w:r w:rsidRPr="00BA34AB">
        <w:rPr>
          <w:sz w:val="16"/>
          <w:szCs w:val="16"/>
        </w:rPr>
        <w:t xml:space="preserve"> Indicative Guidelines on Evaluation Methods</w:t>
      </w:r>
    </w:p>
  </w:footnote>
  <w:footnote w:id="14">
    <w:p w:rsidR="005A221F" w:rsidRPr="00F54E78" w:rsidRDefault="005A221F" w:rsidP="00F71FE2">
      <w:pPr>
        <w:pStyle w:val="FootnoteText"/>
        <w:rPr>
          <w:rFonts w:ascii="Verdana" w:eastAsiaTheme="minorEastAsia" w:hAnsi="Verdana"/>
          <w:sz w:val="16"/>
          <w:szCs w:val="16"/>
          <w:lang w:val="bg-BG" w:eastAsia="ja-JP"/>
        </w:rPr>
      </w:pPr>
      <w:r w:rsidRPr="00F54E78">
        <w:rPr>
          <w:rStyle w:val="FootnoteReference"/>
          <w:rFonts w:ascii="Verdana" w:hAnsi="Verdana"/>
          <w:sz w:val="16"/>
          <w:szCs w:val="16"/>
        </w:rPr>
        <w:footnoteRef/>
      </w:r>
      <w:proofErr w:type="spellStart"/>
      <w:r w:rsidRPr="00F54E78">
        <w:rPr>
          <w:rFonts w:ascii="Verdana" w:eastAsiaTheme="minorEastAsia" w:hAnsi="Verdana"/>
          <w:sz w:val="16"/>
          <w:szCs w:val="16"/>
          <w:lang w:val="bg-BG" w:eastAsia="ja-JP"/>
        </w:rPr>
        <w:t>Programming</w:t>
      </w:r>
      <w:proofErr w:type="spellEnd"/>
      <w:r w:rsidRPr="00F54E78">
        <w:rPr>
          <w:rFonts w:ascii="Verdana" w:eastAsiaTheme="minorEastAsia" w:hAnsi="Verdana"/>
          <w:sz w:val="16"/>
          <w:szCs w:val="16"/>
          <w:lang w:val="bg-BG" w:eastAsia="ja-JP"/>
        </w:rPr>
        <w:t xml:space="preserve"> </w:t>
      </w:r>
      <w:proofErr w:type="spellStart"/>
      <w:r w:rsidRPr="00F54E78">
        <w:rPr>
          <w:rFonts w:ascii="Verdana" w:eastAsiaTheme="minorEastAsia" w:hAnsi="Verdana"/>
          <w:sz w:val="16"/>
          <w:szCs w:val="16"/>
          <w:lang w:val="bg-BG" w:eastAsia="ja-JP"/>
        </w:rPr>
        <w:t>Period</w:t>
      </w:r>
      <w:proofErr w:type="spellEnd"/>
      <w:r w:rsidRPr="00F54E78">
        <w:rPr>
          <w:rFonts w:ascii="Verdana" w:eastAsiaTheme="minorEastAsia" w:hAnsi="Verdana"/>
          <w:sz w:val="16"/>
          <w:szCs w:val="16"/>
          <w:lang w:val="bg-BG" w:eastAsia="ja-JP"/>
        </w:rPr>
        <w:t xml:space="preserve"> 2014-2020, „</w:t>
      </w:r>
      <w:proofErr w:type="spellStart"/>
      <w:r w:rsidRPr="00F54E78">
        <w:rPr>
          <w:rFonts w:ascii="Verdana" w:eastAsiaTheme="minorEastAsia" w:hAnsi="Verdana"/>
          <w:sz w:val="16"/>
          <w:szCs w:val="16"/>
          <w:lang w:val="bg-BG" w:eastAsia="ja-JP"/>
        </w:rPr>
        <w:t>Monitoring</w:t>
      </w:r>
      <w:proofErr w:type="spellEnd"/>
      <w:r w:rsidRPr="00F54E78">
        <w:rPr>
          <w:rFonts w:ascii="Verdana" w:eastAsiaTheme="minorEastAsia" w:hAnsi="Verdana"/>
          <w:sz w:val="16"/>
          <w:szCs w:val="16"/>
          <w:lang w:val="bg-BG" w:eastAsia="ja-JP"/>
        </w:rPr>
        <w:t xml:space="preserve"> </w:t>
      </w:r>
      <w:proofErr w:type="spellStart"/>
      <w:r w:rsidRPr="00F54E78">
        <w:rPr>
          <w:rFonts w:ascii="Verdana" w:eastAsiaTheme="minorEastAsia" w:hAnsi="Verdana"/>
          <w:sz w:val="16"/>
          <w:szCs w:val="16"/>
          <w:lang w:val="bg-BG" w:eastAsia="ja-JP"/>
        </w:rPr>
        <w:t>and</w:t>
      </w:r>
      <w:proofErr w:type="spellEnd"/>
      <w:r w:rsidRPr="00F54E78">
        <w:rPr>
          <w:rFonts w:ascii="Verdana" w:eastAsiaTheme="minorEastAsia" w:hAnsi="Verdana"/>
          <w:sz w:val="16"/>
          <w:szCs w:val="16"/>
          <w:lang w:val="bg-BG" w:eastAsia="ja-JP"/>
        </w:rPr>
        <w:t xml:space="preserve"> </w:t>
      </w:r>
      <w:proofErr w:type="spellStart"/>
      <w:r w:rsidRPr="00F54E78">
        <w:rPr>
          <w:rFonts w:ascii="Verdana" w:eastAsiaTheme="minorEastAsia" w:hAnsi="Verdana"/>
          <w:sz w:val="16"/>
          <w:szCs w:val="16"/>
          <w:lang w:val="bg-BG" w:eastAsia="ja-JP"/>
        </w:rPr>
        <w:t>Evaluation</w:t>
      </w:r>
      <w:proofErr w:type="spellEnd"/>
      <w:r w:rsidRPr="00F54E78">
        <w:rPr>
          <w:rFonts w:ascii="Verdana" w:eastAsiaTheme="minorEastAsia" w:hAnsi="Verdana"/>
          <w:sz w:val="16"/>
          <w:szCs w:val="16"/>
          <w:lang w:val="bg-BG" w:eastAsia="ja-JP"/>
        </w:rPr>
        <w:t xml:space="preserve"> </w:t>
      </w:r>
      <w:proofErr w:type="spellStart"/>
      <w:r w:rsidRPr="00F54E78">
        <w:rPr>
          <w:rFonts w:ascii="Verdana" w:eastAsiaTheme="minorEastAsia" w:hAnsi="Verdana"/>
          <w:sz w:val="16"/>
          <w:szCs w:val="16"/>
          <w:lang w:val="bg-BG" w:eastAsia="ja-JP"/>
        </w:rPr>
        <w:t>of</w:t>
      </w:r>
      <w:proofErr w:type="spellEnd"/>
      <w:r w:rsidRPr="00F54E78">
        <w:rPr>
          <w:rFonts w:ascii="Verdana" w:eastAsiaTheme="minorEastAsia" w:hAnsi="Verdana"/>
          <w:sz w:val="16"/>
          <w:szCs w:val="16"/>
          <w:lang w:val="bg-BG" w:eastAsia="ja-JP"/>
        </w:rPr>
        <w:t xml:space="preserve"> </w:t>
      </w:r>
      <w:proofErr w:type="spellStart"/>
      <w:r w:rsidRPr="00F54E78">
        <w:rPr>
          <w:rFonts w:ascii="Verdana" w:eastAsiaTheme="minorEastAsia" w:hAnsi="Verdana"/>
          <w:sz w:val="16"/>
          <w:szCs w:val="16"/>
          <w:lang w:val="bg-BG" w:eastAsia="ja-JP"/>
        </w:rPr>
        <w:t>European</w:t>
      </w:r>
      <w:proofErr w:type="spellEnd"/>
      <w:r w:rsidRPr="00F54E78">
        <w:rPr>
          <w:rFonts w:ascii="Verdana" w:eastAsiaTheme="minorEastAsia" w:hAnsi="Verdana"/>
          <w:sz w:val="16"/>
          <w:szCs w:val="16"/>
          <w:lang w:val="bg-BG" w:eastAsia="ja-JP"/>
        </w:rPr>
        <w:t xml:space="preserve"> </w:t>
      </w:r>
      <w:proofErr w:type="spellStart"/>
      <w:r w:rsidRPr="00F54E78">
        <w:rPr>
          <w:rFonts w:ascii="Verdana" w:eastAsiaTheme="minorEastAsia" w:hAnsi="Verdana"/>
          <w:sz w:val="16"/>
          <w:szCs w:val="16"/>
          <w:lang w:val="bg-BG" w:eastAsia="ja-JP"/>
        </w:rPr>
        <w:t>Cohesion</w:t>
      </w:r>
      <w:proofErr w:type="spellEnd"/>
      <w:r w:rsidRPr="00F54E78">
        <w:rPr>
          <w:rFonts w:ascii="Verdana" w:eastAsiaTheme="minorEastAsia" w:hAnsi="Verdana"/>
          <w:sz w:val="16"/>
          <w:szCs w:val="16"/>
          <w:lang w:val="bg-BG" w:eastAsia="ja-JP"/>
        </w:rPr>
        <w:t xml:space="preserve"> </w:t>
      </w:r>
      <w:proofErr w:type="spellStart"/>
      <w:r w:rsidRPr="00F54E78">
        <w:rPr>
          <w:rFonts w:ascii="Verdana" w:eastAsiaTheme="minorEastAsia" w:hAnsi="Verdana"/>
          <w:sz w:val="16"/>
          <w:szCs w:val="16"/>
          <w:lang w:val="bg-BG" w:eastAsia="ja-JP"/>
        </w:rPr>
        <w:t>Policy</w:t>
      </w:r>
      <w:proofErr w:type="spellEnd"/>
      <w:r w:rsidRPr="00F54E78">
        <w:rPr>
          <w:rFonts w:ascii="Verdana" w:eastAsiaTheme="minorEastAsia" w:hAnsi="Verdana"/>
          <w:sz w:val="16"/>
          <w:szCs w:val="16"/>
          <w:lang w:val="bg-BG" w:eastAsia="ja-JP"/>
        </w:rPr>
        <w:t xml:space="preserve">, </w:t>
      </w:r>
      <w:proofErr w:type="spellStart"/>
      <w:r w:rsidRPr="00F54E78">
        <w:rPr>
          <w:rFonts w:ascii="Verdana" w:eastAsiaTheme="minorEastAsia" w:hAnsi="Verdana"/>
          <w:sz w:val="16"/>
          <w:szCs w:val="16"/>
          <w:lang w:val="bg-BG" w:eastAsia="ja-JP"/>
        </w:rPr>
        <w:t>European</w:t>
      </w:r>
      <w:proofErr w:type="spellEnd"/>
      <w:r w:rsidRPr="00F54E78">
        <w:rPr>
          <w:rFonts w:ascii="Verdana" w:eastAsiaTheme="minorEastAsia" w:hAnsi="Verdana"/>
          <w:sz w:val="16"/>
          <w:szCs w:val="16"/>
          <w:lang w:val="bg-BG" w:eastAsia="ja-JP"/>
        </w:rPr>
        <w:t xml:space="preserve"> </w:t>
      </w:r>
      <w:proofErr w:type="spellStart"/>
      <w:r w:rsidRPr="00F54E78">
        <w:rPr>
          <w:rFonts w:ascii="Verdana" w:eastAsiaTheme="minorEastAsia" w:hAnsi="Verdana"/>
          <w:sz w:val="16"/>
          <w:szCs w:val="16"/>
          <w:lang w:val="bg-BG" w:eastAsia="ja-JP"/>
        </w:rPr>
        <w:t>Social</w:t>
      </w:r>
      <w:proofErr w:type="spellEnd"/>
      <w:r w:rsidRPr="00F54E78">
        <w:rPr>
          <w:rFonts w:ascii="Verdana" w:eastAsiaTheme="minorEastAsia" w:hAnsi="Verdana"/>
          <w:sz w:val="16"/>
          <w:szCs w:val="16"/>
          <w:lang w:val="bg-BG" w:eastAsia="ja-JP"/>
        </w:rPr>
        <w:t xml:space="preserve"> </w:t>
      </w:r>
      <w:proofErr w:type="spellStart"/>
      <w:r w:rsidRPr="00F54E78">
        <w:rPr>
          <w:rFonts w:ascii="Verdana" w:eastAsiaTheme="minorEastAsia" w:hAnsi="Verdana"/>
          <w:sz w:val="16"/>
          <w:szCs w:val="16"/>
          <w:lang w:val="bg-BG" w:eastAsia="ja-JP"/>
        </w:rPr>
        <w:t>Fund</w:t>
      </w:r>
      <w:proofErr w:type="spellEnd"/>
      <w:r w:rsidRPr="00F54E78">
        <w:rPr>
          <w:rFonts w:ascii="Verdana" w:eastAsiaTheme="minorEastAsia" w:hAnsi="Verdana"/>
          <w:sz w:val="16"/>
          <w:szCs w:val="16"/>
          <w:lang w:val="bg-BG" w:eastAsia="ja-JP"/>
        </w:rPr>
        <w:t xml:space="preserve">“, </w:t>
      </w:r>
      <w:proofErr w:type="spellStart"/>
      <w:r w:rsidRPr="00F54E78">
        <w:rPr>
          <w:rFonts w:ascii="Verdana" w:eastAsiaTheme="minorEastAsia" w:hAnsi="Verdana"/>
          <w:sz w:val="16"/>
          <w:szCs w:val="16"/>
          <w:lang w:val="bg-BG" w:eastAsia="ja-JP"/>
        </w:rPr>
        <w:t>Guidence</w:t>
      </w:r>
      <w:proofErr w:type="spellEnd"/>
      <w:r w:rsidRPr="00F54E78">
        <w:rPr>
          <w:rFonts w:ascii="Verdana" w:eastAsiaTheme="minorEastAsia" w:hAnsi="Verdana"/>
          <w:sz w:val="16"/>
          <w:szCs w:val="16"/>
          <w:lang w:val="bg-BG" w:eastAsia="ja-JP"/>
        </w:rPr>
        <w:t xml:space="preserve"> </w:t>
      </w:r>
      <w:proofErr w:type="spellStart"/>
      <w:r w:rsidRPr="00F54E78">
        <w:rPr>
          <w:rFonts w:ascii="Verdana" w:eastAsiaTheme="minorEastAsia" w:hAnsi="Verdana"/>
          <w:sz w:val="16"/>
          <w:szCs w:val="16"/>
          <w:lang w:val="bg-BG" w:eastAsia="ja-JP"/>
        </w:rPr>
        <w:t>Document</w:t>
      </w:r>
      <w:proofErr w:type="spellEnd"/>
      <w:r w:rsidRPr="00F54E78">
        <w:rPr>
          <w:rFonts w:ascii="Verdana" w:eastAsiaTheme="minorEastAsia" w:hAnsi="Verdana"/>
          <w:sz w:val="16"/>
          <w:szCs w:val="16"/>
          <w:lang w:val="bg-BG" w:eastAsia="ja-JP"/>
        </w:rPr>
        <w:t xml:space="preserve">, </w:t>
      </w:r>
      <w:proofErr w:type="spellStart"/>
      <w:r w:rsidRPr="00F54E78">
        <w:rPr>
          <w:rFonts w:ascii="Verdana" w:eastAsiaTheme="minorEastAsia" w:hAnsi="Verdana"/>
          <w:sz w:val="16"/>
          <w:szCs w:val="16"/>
          <w:lang w:val="bg-BG" w:eastAsia="ja-JP"/>
        </w:rPr>
        <w:t>January</w:t>
      </w:r>
      <w:proofErr w:type="spellEnd"/>
      <w:r w:rsidRPr="00F54E78">
        <w:rPr>
          <w:rFonts w:ascii="Verdana" w:eastAsiaTheme="minorEastAsia" w:hAnsi="Verdana"/>
          <w:sz w:val="16"/>
          <w:szCs w:val="16"/>
          <w:lang w:val="bg-BG" w:eastAsia="ja-JP"/>
        </w:rPr>
        <w:t xml:space="preserve"> 2013</w:t>
      </w:r>
    </w:p>
  </w:footnote>
  <w:footnote w:id="15">
    <w:p w:rsidR="005A221F" w:rsidRPr="00160084" w:rsidRDefault="005A221F" w:rsidP="00F71FE2">
      <w:pPr>
        <w:pStyle w:val="FootnoteText"/>
        <w:rPr>
          <w:lang w:val="en-US"/>
        </w:rPr>
      </w:pPr>
      <w:r>
        <w:rPr>
          <w:rStyle w:val="FootnoteReference"/>
        </w:rPr>
        <w:footnoteRef/>
      </w:r>
      <w:r>
        <w:rPr>
          <w:lang w:val="en-US"/>
        </w:rPr>
        <w:t xml:space="preserve"> The Programming Period 2014-2020, Guidance document on Monitoring and Evaluation, ERDF and CF and Guidance document on Monitoring and Evaluation of ESF</w:t>
      </w:r>
      <w:r>
        <w:rPr>
          <w:lang w:val="bg-BG"/>
        </w:rPr>
        <w:t xml:space="preserve">; </w:t>
      </w:r>
      <w:r>
        <w:rPr>
          <w:lang w:val="en-US"/>
        </w:rPr>
        <w:t>Draft Guidance document on evaluation Plans, EC, March 2014</w:t>
      </w:r>
    </w:p>
  </w:footnote>
  <w:footnote w:id="16">
    <w:p w:rsidR="005A221F" w:rsidRPr="00153A87" w:rsidRDefault="005A221F" w:rsidP="00F71FE2">
      <w:pPr>
        <w:pStyle w:val="FootnoteText"/>
        <w:rPr>
          <w:lang w:val="bg-BG"/>
        </w:rPr>
      </w:pPr>
      <w:r>
        <w:rPr>
          <w:rStyle w:val="FootnoteReference"/>
        </w:rPr>
        <w:footnoteRef/>
      </w:r>
      <w:r>
        <w:rPr>
          <w:lang w:val="en-US"/>
        </w:rPr>
        <w:t xml:space="preserve"> The Programming Period 2014-2020, Guidance document on Monitoring and Evaluation, ERDF and CF and Guidance document on Monitoring and Evaluation of ESF</w:t>
      </w:r>
      <w:r>
        <w:rPr>
          <w:lang w:val="bg-BG"/>
        </w:rPr>
        <w:t xml:space="preserve"> </w:t>
      </w:r>
    </w:p>
  </w:footnote>
  <w:footnote w:id="17">
    <w:p w:rsidR="005A221F" w:rsidRPr="006A6137" w:rsidRDefault="005A221F" w:rsidP="00F71FE2">
      <w:pPr>
        <w:pStyle w:val="FootnoteText"/>
        <w:rPr>
          <w:lang w:val="bg-BG"/>
        </w:rPr>
      </w:pPr>
      <w:r>
        <w:rPr>
          <w:rStyle w:val="FootnoteReference"/>
        </w:rPr>
        <w:footnoteRef/>
      </w:r>
      <w:r>
        <w:rPr>
          <w:lang w:val="en-US"/>
        </w:rPr>
        <w:t xml:space="preserve">The Programming Period 2014-2020, Guidance document on Monitoring and Evaluation, ERDF and CF </w:t>
      </w:r>
    </w:p>
  </w:footnote>
  <w:footnote w:id="18">
    <w:p w:rsidR="005A221F" w:rsidRPr="00FC48BA" w:rsidRDefault="005A221F" w:rsidP="00F71FE2">
      <w:pPr>
        <w:pStyle w:val="FootnoteText"/>
        <w:rPr>
          <w:lang w:val="bg-BG"/>
        </w:rPr>
      </w:pPr>
      <w:r>
        <w:rPr>
          <w:rStyle w:val="FootnoteReference"/>
        </w:rPr>
        <w:footnoteRef/>
      </w:r>
      <w:r w:rsidRPr="00FC48BA">
        <w:t>http</w:t>
      </w:r>
      <w:r w:rsidRPr="005B35FF">
        <w:rPr>
          <w:lang w:val="bg-BG"/>
        </w:rPr>
        <w:t>://</w:t>
      </w:r>
      <w:proofErr w:type="spellStart"/>
      <w:r w:rsidRPr="00FC48BA">
        <w:t>ec</w:t>
      </w:r>
      <w:proofErr w:type="spellEnd"/>
      <w:r w:rsidRPr="005B35FF">
        <w:rPr>
          <w:lang w:val="bg-BG"/>
        </w:rPr>
        <w:t>.</w:t>
      </w:r>
      <w:proofErr w:type="spellStart"/>
      <w:r w:rsidRPr="00FC48BA">
        <w:t>europa</w:t>
      </w:r>
      <w:proofErr w:type="spellEnd"/>
      <w:r w:rsidRPr="005B35FF">
        <w:rPr>
          <w:lang w:val="bg-BG"/>
        </w:rPr>
        <w:t>.</w:t>
      </w:r>
      <w:proofErr w:type="spellStart"/>
      <w:r w:rsidRPr="00FC48BA">
        <w:t>eu</w:t>
      </w:r>
      <w:proofErr w:type="spellEnd"/>
      <w:r w:rsidRPr="005B35FF">
        <w:rPr>
          <w:lang w:val="bg-BG"/>
        </w:rPr>
        <w:t>/</w:t>
      </w:r>
      <w:r w:rsidRPr="00FC48BA">
        <w:t>regional</w:t>
      </w:r>
      <w:r w:rsidRPr="005B35FF">
        <w:rPr>
          <w:lang w:val="bg-BG"/>
        </w:rPr>
        <w:t>_</w:t>
      </w:r>
      <w:r w:rsidRPr="00FC48BA">
        <w:t>policy</w:t>
      </w:r>
      <w:r w:rsidRPr="005B35FF">
        <w:rPr>
          <w:lang w:val="bg-BG"/>
        </w:rPr>
        <w:t>/</w:t>
      </w:r>
      <w:r w:rsidRPr="00FC48BA">
        <w:t>sources</w:t>
      </w:r>
      <w:r w:rsidRPr="005B35FF">
        <w:rPr>
          <w:lang w:val="bg-BG"/>
        </w:rPr>
        <w:t>/</w:t>
      </w:r>
      <w:proofErr w:type="spellStart"/>
      <w:r w:rsidRPr="00FC48BA">
        <w:t>docgener</w:t>
      </w:r>
      <w:proofErr w:type="spellEnd"/>
      <w:r w:rsidRPr="005B35FF">
        <w:rPr>
          <w:lang w:val="bg-BG"/>
        </w:rPr>
        <w:t>/</w:t>
      </w:r>
      <w:r w:rsidRPr="00FC48BA">
        <w:t>evaluation</w:t>
      </w:r>
      <w:r w:rsidRPr="005B35FF">
        <w:rPr>
          <w:lang w:val="bg-BG"/>
        </w:rPr>
        <w:t>/</w:t>
      </w:r>
      <w:r w:rsidRPr="00FC48BA">
        <w:t>guide</w:t>
      </w:r>
      <w:r w:rsidRPr="005B35FF">
        <w:rPr>
          <w:lang w:val="bg-BG"/>
        </w:rPr>
        <w:t>/</w:t>
      </w:r>
      <w:r w:rsidRPr="00FC48BA">
        <w:t>guide</w:t>
      </w:r>
      <w:r w:rsidRPr="005B35FF">
        <w:rPr>
          <w:lang w:val="bg-BG"/>
        </w:rPr>
        <w:t>_</w:t>
      </w:r>
      <w:proofErr w:type="spellStart"/>
      <w:r w:rsidRPr="00FC48BA">
        <w:t>evalsed</w:t>
      </w:r>
      <w:proofErr w:type="spellEnd"/>
      <w:r w:rsidRPr="005B35FF">
        <w:rPr>
          <w:lang w:val="bg-BG"/>
        </w:rPr>
        <w:t>.</w:t>
      </w:r>
      <w:r w:rsidRPr="00FC48BA">
        <w:t>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Look w:val="04A0" w:firstRow="1" w:lastRow="0" w:firstColumn="1" w:lastColumn="0" w:noHBand="0" w:noVBand="1"/>
    </w:tblPr>
    <w:tblGrid>
      <w:gridCol w:w="1418"/>
      <w:gridCol w:w="5812"/>
      <w:gridCol w:w="1842"/>
    </w:tblGrid>
    <w:tr w:rsidR="005A221F" w:rsidRPr="00816557" w:rsidTr="00F24971">
      <w:tc>
        <w:tcPr>
          <w:tcW w:w="1418" w:type="dxa"/>
          <w:shd w:val="clear" w:color="auto" w:fill="auto"/>
        </w:tcPr>
        <w:p w:rsidR="005A221F" w:rsidRPr="00B6745F" w:rsidRDefault="005A221F" w:rsidP="00F24971">
          <w:pPr>
            <w:tabs>
              <w:tab w:val="center" w:pos="601"/>
            </w:tabs>
          </w:pPr>
          <w:r>
            <w:rPr>
              <w:noProof/>
              <w:lang w:val="bg-BG" w:eastAsia="bg-BG"/>
            </w:rPr>
            <w:drawing>
              <wp:anchor distT="0" distB="0" distL="114300" distR="114300" simplePos="0" relativeHeight="251654656" behindDoc="0" locked="0" layoutInCell="1" allowOverlap="1" wp14:anchorId="335217E9" wp14:editId="6F6C2001">
                <wp:simplePos x="0" y="0"/>
                <wp:positionH relativeFrom="column">
                  <wp:posOffset>-68580</wp:posOffset>
                </wp:positionH>
                <wp:positionV relativeFrom="paragraph">
                  <wp:posOffset>12065</wp:posOffset>
                </wp:positionV>
                <wp:extent cx="858520" cy="752475"/>
                <wp:effectExtent l="0" t="0" r="0" b="9525"/>
                <wp:wrapNone/>
                <wp:docPr id="24" name="Picture 11" descr="EU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_logo_small"/>
                        <pic:cNvPicPr>
                          <a:picLocks noChangeAspect="1" noChangeArrowheads="1"/>
                        </pic:cNvPicPr>
                      </pic:nvPicPr>
                      <pic:blipFill>
                        <a:blip r:embed="rId1">
                          <a:extLst>
                            <a:ext uri="{28A0092B-C50C-407E-A947-70E740481C1C}">
                              <a14:useLocalDpi xmlns:a14="http://schemas.microsoft.com/office/drawing/2010/main" val="0"/>
                            </a:ext>
                          </a:extLst>
                        </a:blip>
                        <a:srcRect l="10165" r="10165"/>
                        <a:stretch>
                          <a:fillRect/>
                        </a:stretch>
                      </pic:blipFill>
                      <pic:spPr bwMode="auto">
                        <a:xfrm>
                          <a:off x="0" y="0"/>
                          <a:ext cx="858520" cy="752475"/>
                        </a:xfrm>
                        <a:prstGeom prst="rect">
                          <a:avLst/>
                        </a:prstGeom>
                        <a:noFill/>
                        <a:ln>
                          <a:noFill/>
                        </a:ln>
                      </pic:spPr>
                    </pic:pic>
                  </a:graphicData>
                </a:graphic>
              </wp:anchor>
            </w:drawing>
          </w:r>
          <w:r>
            <w:tab/>
          </w:r>
        </w:p>
      </w:tc>
      <w:tc>
        <w:tcPr>
          <w:tcW w:w="5812" w:type="dxa"/>
          <w:shd w:val="clear" w:color="auto" w:fill="auto"/>
          <w:vAlign w:val="center"/>
        </w:tcPr>
        <w:p w:rsidR="005A221F" w:rsidRPr="00B6745F" w:rsidRDefault="005A221F" w:rsidP="00F24971">
          <w:pPr>
            <w:spacing w:after="0" w:line="360" w:lineRule="auto"/>
            <w:jc w:val="center"/>
            <w:rPr>
              <w:rFonts w:ascii="Verdana" w:hAnsi="Verdana"/>
              <w:sz w:val="16"/>
            </w:rPr>
          </w:pPr>
        </w:p>
        <w:p w:rsidR="005A221F" w:rsidRPr="00B6745F" w:rsidRDefault="005A221F" w:rsidP="00AF2745">
          <w:pPr>
            <w:spacing w:after="0" w:line="360" w:lineRule="auto"/>
            <w:jc w:val="center"/>
            <w:rPr>
              <w:rFonts w:ascii="Verdana" w:hAnsi="Verdana"/>
              <w:sz w:val="16"/>
            </w:rPr>
          </w:pPr>
          <w:r>
            <w:rPr>
              <w:rFonts w:ascii="Verdana" w:hAnsi="Verdana"/>
              <w:sz w:val="16"/>
            </w:rPr>
            <w:t xml:space="preserve">EX-ante Evaluation of Operational Programme Science and Education for Smart Growth 2014 – 2020 </w:t>
          </w:r>
        </w:p>
      </w:tc>
      <w:tc>
        <w:tcPr>
          <w:tcW w:w="1842" w:type="dxa"/>
          <w:shd w:val="clear" w:color="auto" w:fill="auto"/>
        </w:tcPr>
        <w:p w:rsidR="005A221F" w:rsidRPr="00B6745F" w:rsidRDefault="005A221F" w:rsidP="00F24971">
          <w:pPr>
            <w:ind w:right="-28"/>
          </w:pPr>
          <w:r>
            <w:rPr>
              <w:noProof/>
              <w:lang w:val="bg-BG" w:eastAsia="bg-BG"/>
            </w:rPr>
            <w:drawing>
              <wp:anchor distT="0" distB="0" distL="114300" distR="114300" simplePos="0" relativeHeight="251655680" behindDoc="0" locked="0" layoutInCell="1" allowOverlap="1" wp14:anchorId="2214C8D1" wp14:editId="1268B68C">
                <wp:simplePos x="0" y="0"/>
                <wp:positionH relativeFrom="column">
                  <wp:posOffset>0</wp:posOffset>
                </wp:positionH>
                <wp:positionV relativeFrom="paragraph">
                  <wp:posOffset>11430</wp:posOffset>
                </wp:positionV>
                <wp:extent cx="1031240" cy="756285"/>
                <wp:effectExtent l="0" t="0" r="0" b="5715"/>
                <wp:wrapNone/>
                <wp:docPr id="32" name="Picture 12" descr="ESF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F_logo_small"/>
                        <pic:cNvPicPr>
                          <a:picLocks noChangeAspect="1" noChangeArrowheads="1"/>
                        </pic:cNvPicPr>
                      </pic:nvPicPr>
                      <pic:blipFill>
                        <a:blip r:embed="rId2">
                          <a:extLst>
                            <a:ext uri="{28A0092B-C50C-407E-A947-70E740481C1C}">
                              <a14:useLocalDpi xmlns:a14="http://schemas.microsoft.com/office/drawing/2010/main" val="0"/>
                            </a:ext>
                          </a:extLst>
                        </a:blip>
                        <a:srcRect l="2745" r="3319"/>
                        <a:stretch>
                          <a:fillRect/>
                        </a:stretch>
                      </pic:blipFill>
                      <pic:spPr bwMode="auto">
                        <a:xfrm>
                          <a:off x="0" y="0"/>
                          <a:ext cx="1031240" cy="756285"/>
                        </a:xfrm>
                        <a:prstGeom prst="rect">
                          <a:avLst/>
                        </a:prstGeom>
                        <a:noFill/>
                        <a:ln>
                          <a:noFill/>
                        </a:ln>
                      </pic:spPr>
                    </pic:pic>
                  </a:graphicData>
                </a:graphic>
              </wp:anchor>
            </w:drawing>
          </w:r>
        </w:p>
      </w:tc>
    </w:tr>
  </w:tbl>
  <w:p w:rsidR="005A221F" w:rsidRPr="005106CE" w:rsidRDefault="005A221F">
    <w:pPr>
      <w:pStyle w:val="Header"/>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03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10631"/>
      <w:gridCol w:w="1842"/>
    </w:tblGrid>
    <w:tr w:rsidR="005A221F" w:rsidRPr="00066AD8" w:rsidTr="00F24971">
      <w:trPr>
        <w:jc w:val="center"/>
      </w:trPr>
      <w:tc>
        <w:tcPr>
          <w:tcW w:w="1560" w:type="dxa"/>
        </w:tcPr>
        <w:p w:rsidR="005A221F" w:rsidRPr="005D52A8" w:rsidRDefault="005A221F" w:rsidP="00F24971">
          <w:pPr>
            <w:jc w:val="center"/>
            <w:rPr>
              <w:lang w:val="bg-BG"/>
            </w:rPr>
          </w:pPr>
          <w:r w:rsidRPr="00B77A3B">
            <w:rPr>
              <w:b/>
              <w:noProof/>
              <w:sz w:val="20"/>
              <w:szCs w:val="20"/>
              <w:lang w:val="bg-BG" w:eastAsia="bg-BG"/>
            </w:rPr>
            <w:drawing>
              <wp:anchor distT="0" distB="0" distL="114300" distR="114300" simplePos="0" relativeHeight="251662336" behindDoc="0" locked="0" layoutInCell="1" allowOverlap="1" wp14:anchorId="607574C7" wp14:editId="150DD5AE">
                <wp:simplePos x="0" y="0"/>
                <wp:positionH relativeFrom="column">
                  <wp:posOffset>-68581</wp:posOffset>
                </wp:positionH>
                <wp:positionV relativeFrom="paragraph">
                  <wp:posOffset>11927</wp:posOffset>
                </wp:positionV>
                <wp:extent cx="858741" cy="752323"/>
                <wp:effectExtent l="0" t="0" r="0" b="0"/>
                <wp:wrapNone/>
                <wp:docPr id="37" name="Picture 15" descr="EU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EU_logo_small"/>
                        <pic:cNvPicPr>
                          <a:picLocks noChangeAspect="1" noChangeArrowheads="1"/>
                        </pic:cNvPicPr>
                      </pic:nvPicPr>
                      <pic:blipFill>
                        <a:blip r:embed="rId1">
                          <a:extLst>
                            <a:ext uri="{28A0092B-C50C-407E-A947-70E740481C1C}">
                              <a14:useLocalDpi xmlns:a14="http://schemas.microsoft.com/office/drawing/2010/main" val="0"/>
                            </a:ext>
                          </a:extLst>
                        </a:blip>
                        <a:srcRect l="10165" r="10165"/>
                        <a:stretch>
                          <a:fillRect/>
                        </a:stretch>
                      </pic:blipFill>
                      <pic:spPr bwMode="auto">
                        <a:xfrm>
                          <a:off x="0" y="0"/>
                          <a:ext cx="858915" cy="752475"/>
                        </a:xfrm>
                        <a:prstGeom prst="rect">
                          <a:avLst/>
                        </a:prstGeom>
                        <a:noFill/>
                        <a:ln>
                          <a:noFill/>
                        </a:ln>
                      </pic:spPr>
                    </pic:pic>
                  </a:graphicData>
                </a:graphic>
              </wp:anchor>
            </w:drawing>
          </w:r>
          <w:r>
            <w:rPr>
              <w:b/>
              <w:noProof/>
              <w:sz w:val="20"/>
              <w:szCs w:val="20"/>
            </w:rPr>
            <w:ptab w:relativeTo="margin" w:alignment="center" w:leader="none"/>
          </w:r>
        </w:p>
      </w:tc>
      <w:tc>
        <w:tcPr>
          <w:tcW w:w="10631" w:type="dxa"/>
          <w:vAlign w:val="center"/>
        </w:tcPr>
        <w:p w:rsidR="005A221F" w:rsidRPr="005D52A8" w:rsidRDefault="005A221F" w:rsidP="00F24971">
          <w:pPr>
            <w:spacing w:before="480" w:after="480"/>
            <w:jc w:val="center"/>
            <w:rPr>
              <w:rFonts w:ascii="Verdana" w:hAnsi="Verdana"/>
              <w:sz w:val="16"/>
              <w:lang w:val="bg-BG"/>
            </w:rPr>
          </w:pPr>
          <w:r w:rsidRPr="00F85976">
            <w:rPr>
              <w:rFonts w:ascii="Verdana" w:hAnsi="Verdana"/>
              <w:sz w:val="16"/>
              <w:lang w:val="bg-BG"/>
            </w:rPr>
            <w:t>Предварителна оценка на Оперативна програма „</w:t>
          </w:r>
          <w:r>
            <w:rPr>
              <w:rFonts w:ascii="Verdana" w:hAnsi="Verdana"/>
              <w:sz w:val="16"/>
              <w:lang w:val="bg-BG"/>
            </w:rPr>
            <w:t>Наука и образование за интелигентен растеж</w:t>
          </w:r>
          <w:r w:rsidRPr="00F85976">
            <w:rPr>
              <w:rFonts w:ascii="Verdana" w:hAnsi="Verdana"/>
              <w:sz w:val="16"/>
              <w:lang w:val="bg-BG"/>
            </w:rPr>
            <w:t>” 2014 – 2020</w:t>
          </w:r>
          <w:r>
            <w:rPr>
              <w:rFonts w:ascii="Verdana" w:hAnsi="Verdana"/>
              <w:sz w:val="16"/>
            </w:rPr>
            <w:t> </w:t>
          </w:r>
          <w:r w:rsidRPr="00F85976">
            <w:rPr>
              <w:rFonts w:ascii="Verdana" w:hAnsi="Verdana"/>
              <w:sz w:val="16"/>
              <w:lang w:val="bg-BG"/>
            </w:rPr>
            <w:t>г.</w:t>
          </w:r>
        </w:p>
      </w:tc>
      <w:tc>
        <w:tcPr>
          <w:tcW w:w="1842" w:type="dxa"/>
        </w:tcPr>
        <w:p w:rsidR="005A221F" w:rsidRPr="005106CE" w:rsidRDefault="005A221F" w:rsidP="00F24971">
          <w:pPr>
            <w:ind w:right="-28"/>
            <w:rPr>
              <w:lang w:val="bg-BG"/>
            </w:rPr>
          </w:pPr>
          <w:r w:rsidRPr="00B77A3B">
            <w:rPr>
              <w:b/>
              <w:noProof/>
              <w:sz w:val="20"/>
              <w:szCs w:val="20"/>
              <w:lang w:val="bg-BG" w:eastAsia="bg-BG"/>
            </w:rPr>
            <w:drawing>
              <wp:anchor distT="0" distB="0" distL="114300" distR="114300" simplePos="0" relativeHeight="251663360" behindDoc="0" locked="0" layoutInCell="1" allowOverlap="1" wp14:anchorId="4ECB3074" wp14:editId="640EAD7A">
                <wp:simplePos x="0" y="0"/>
                <wp:positionH relativeFrom="column">
                  <wp:posOffset>-304</wp:posOffset>
                </wp:positionH>
                <wp:positionV relativeFrom="paragraph">
                  <wp:posOffset>11430</wp:posOffset>
                </wp:positionV>
                <wp:extent cx="1031240" cy="756285"/>
                <wp:effectExtent l="0" t="0" r="0" b="0"/>
                <wp:wrapNone/>
                <wp:docPr id="46" name="Picture 16" descr="ESF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2" descr="ESF_logo_small"/>
                        <pic:cNvPicPr>
                          <a:picLocks noChangeAspect="1" noChangeArrowheads="1"/>
                        </pic:cNvPicPr>
                      </pic:nvPicPr>
                      <pic:blipFill>
                        <a:blip r:embed="rId2">
                          <a:extLst>
                            <a:ext uri="{28A0092B-C50C-407E-A947-70E740481C1C}">
                              <a14:useLocalDpi xmlns:a14="http://schemas.microsoft.com/office/drawing/2010/main" val="0"/>
                            </a:ext>
                          </a:extLst>
                        </a:blip>
                        <a:srcRect l="2745" r="3319"/>
                        <a:stretch>
                          <a:fillRect/>
                        </a:stretch>
                      </pic:blipFill>
                      <pic:spPr bwMode="auto">
                        <a:xfrm>
                          <a:off x="0" y="0"/>
                          <a:ext cx="1031240" cy="756285"/>
                        </a:xfrm>
                        <a:prstGeom prst="rect">
                          <a:avLst/>
                        </a:prstGeom>
                        <a:noFill/>
                        <a:ln>
                          <a:noFill/>
                        </a:ln>
                      </pic:spPr>
                    </pic:pic>
                  </a:graphicData>
                </a:graphic>
              </wp:anchor>
            </w:drawing>
          </w:r>
        </w:p>
      </w:tc>
    </w:tr>
  </w:tbl>
  <w:p w:rsidR="005A221F" w:rsidRPr="00DC39BD" w:rsidRDefault="005A221F">
    <w:pPr>
      <w:pStyle w:val="Header"/>
      <w:rPr>
        <w:sz w:val="2"/>
        <w:szCs w:val="2"/>
        <w:lang w:val="bg-BG"/>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812"/>
      <w:gridCol w:w="1842"/>
    </w:tblGrid>
    <w:tr w:rsidR="005A221F" w:rsidRPr="00066AD8" w:rsidTr="00F24971">
      <w:trPr>
        <w:trHeight w:val="810"/>
      </w:trPr>
      <w:tc>
        <w:tcPr>
          <w:tcW w:w="1418" w:type="dxa"/>
        </w:tcPr>
        <w:p w:rsidR="005A221F" w:rsidRPr="005D52A8" w:rsidRDefault="005A221F" w:rsidP="00F24971">
          <w:pPr>
            <w:rPr>
              <w:lang w:val="bg-BG"/>
            </w:rPr>
          </w:pPr>
          <w:r w:rsidRPr="00B77A3B">
            <w:rPr>
              <w:b/>
              <w:noProof/>
              <w:sz w:val="20"/>
              <w:szCs w:val="20"/>
              <w:lang w:val="bg-BG" w:eastAsia="bg-BG"/>
            </w:rPr>
            <w:drawing>
              <wp:anchor distT="0" distB="0" distL="114300" distR="114300" simplePos="0" relativeHeight="251660288" behindDoc="0" locked="0" layoutInCell="1" allowOverlap="1" wp14:anchorId="796978CB" wp14:editId="5E4BF87C">
                <wp:simplePos x="0" y="0"/>
                <wp:positionH relativeFrom="column">
                  <wp:posOffset>-68581</wp:posOffset>
                </wp:positionH>
                <wp:positionV relativeFrom="paragraph">
                  <wp:posOffset>11927</wp:posOffset>
                </wp:positionV>
                <wp:extent cx="858741" cy="752323"/>
                <wp:effectExtent l="0" t="0" r="0" b="0"/>
                <wp:wrapNone/>
                <wp:docPr id="385" name="Picture 3" descr="EU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EU_logo_small"/>
                        <pic:cNvPicPr>
                          <a:picLocks noChangeAspect="1" noChangeArrowheads="1"/>
                        </pic:cNvPicPr>
                      </pic:nvPicPr>
                      <pic:blipFill>
                        <a:blip r:embed="rId1">
                          <a:extLst>
                            <a:ext uri="{28A0092B-C50C-407E-A947-70E740481C1C}">
                              <a14:useLocalDpi xmlns:a14="http://schemas.microsoft.com/office/drawing/2010/main" val="0"/>
                            </a:ext>
                          </a:extLst>
                        </a:blip>
                        <a:srcRect l="10165" r="10165"/>
                        <a:stretch>
                          <a:fillRect/>
                        </a:stretch>
                      </pic:blipFill>
                      <pic:spPr bwMode="auto">
                        <a:xfrm>
                          <a:off x="0" y="0"/>
                          <a:ext cx="858915" cy="752475"/>
                        </a:xfrm>
                        <a:prstGeom prst="rect">
                          <a:avLst/>
                        </a:prstGeom>
                        <a:noFill/>
                        <a:ln>
                          <a:noFill/>
                        </a:ln>
                      </pic:spPr>
                    </pic:pic>
                  </a:graphicData>
                </a:graphic>
              </wp:anchor>
            </w:drawing>
          </w:r>
          <w:r>
            <w:rPr>
              <w:b/>
              <w:noProof/>
              <w:sz w:val="20"/>
              <w:szCs w:val="20"/>
            </w:rPr>
            <w:ptab w:relativeTo="margin" w:alignment="center" w:leader="none"/>
          </w:r>
        </w:p>
      </w:tc>
      <w:tc>
        <w:tcPr>
          <w:tcW w:w="5812" w:type="dxa"/>
          <w:vAlign w:val="center"/>
        </w:tcPr>
        <w:p w:rsidR="005A221F" w:rsidRDefault="005A221F" w:rsidP="00F24971">
          <w:pPr>
            <w:spacing w:before="100" w:beforeAutospacing="1" w:after="100" w:afterAutospacing="1" w:line="360" w:lineRule="auto"/>
            <w:contextualSpacing/>
            <w:jc w:val="center"/>
            <w:rPr>
              <w:rFonts w:ascii="Verdana" w:hAnsi="Verdana"/>
              <w:sz w:val="16"/>
              <w:lang w:val="bg-BG"/>
            </w:rPr>
          </w:pPr>
        </w:p>
        <w:p w:rsidR="005A221F" w:rsidRDefault="005A221F" w:rsidP="00F24971">
          <w:pPr>
            <w:spacing w:before="100" w:beforeAutospacing="1" w:after="100" w:afterAutospacing="1" w:line="360" w:lineRule="auto"/>
            <w:contextualSpacing/>
            <w:jc w:val="center"/>
            <w:rPr>
              <w:rFonts w:ascii="Verdana" w:hAnsi="Verdana"/>
              <w:sz w:val="16"/>
              <w:lang w:val="bg-BG"/>
            </w:rPr>
          </w:pPr>
          <w:r w:rsidRPr="00F85976">
            <w:rPr>
              <w:rFonts w:ascii="Verdana" w:hAnsi="Verdana"/>
              <w:sz w:val="16"/>
              <w:lang w:val="bg-BG"/>
            </w:rPr>
            <w:t xml:space="preserve">Предварителна оценка на Оперативна програма </w:t>
          </w:r>
        </w:p>
        <w:p w:rsidR="005A221F" w:rsidRPr="005D52A8" w:rsidRDefault="005A221F" w:rsidP="00F24971">
          <w:pPr>
            <w:spacing w:before="100" w:beforeAutospacing="1" w:after="100" w:afterAutospacing="1" w:line="360" w:lineRule="auto"/>
            <w:contextualSpacing/>
            <w:jc w:val="center"/>
            <w:rPr>
              <w:rFonts w:ascii="Verdana" w:hAnsi="Verdana"/>
              <w:sz w:val="16"/>
              <w:lang w:val="bg-BG"/>
            </w:rPr>
          </w:pPr>
          <w:r w:rsidRPr="00F85976">
            <w:rPr>
              <w:rFonts w:ascii="Verdana" w:hAnsi="Verdana"/>
              <w:sz w:val="16"/>
              <w:lang w:val="bg-BG"/>
            </w:rPr>
            <w:t>„</w:t>
          </w:r>
          <w:r>
            <w:rPr>
              <w:rFonts w:ascii="Verdana" w:hAnsi="Verdana"/>
              <w:sz w:val="16"/>
              <w:lang w:val="bg-BG"/>
            </w:rPr>
            <w:t>Наука и образование за интелигентен растеж</w:t>
          </w:r>
          <w:r w:rsidRPr="00F85976">
            <w:rPr>
              <w:rFonts w:ascii="Verdana" w:hAnsi="Verdana"/>
              <w:sz w:val="16"/>
              <w:lang w:val="bg-BG"/>
            </w:rPr>
            <w:t>” 2014–2020</w:t>
          </w:r>
          <w:r>
            <w:rPr>
              <w:rFonts w:ascii="Verdana" w:hAnsi="Verdana"/>
              <w:sz w:val="16"/>
            </w:rPr>
            <w:t> </w:t>
          </w:r>
          <w:r w:rsidRPr="00F85976">
            <w:rPr>
              <w:rFonts w:ascii="Verdana" w:hAnsi="Verdana"/>
              <w:sz w:val="16"/>
              <w:lang w:val="bg-BG"/>
            </w:rPr>
            <w:t>г.</w:t>
          </w:r>
        </w:p>
      </w:tc>
      <w:tc>
        <w:tcPr>
          <w:tcW w:w="1842" w:type="dxa"/>
        </w:tcPr>
        <w:p w:rsidR="005A221F" w:rsidRPr="005106CE" w:rsidRDefault="005A221F" w:rsidP="00F24971">
          <w:pPr>
            <w:ind w:right="-28"/>
            <w:rPr>
              <w:lang w:val="bg-BG"/>
            </w:rPr>
          </w:pPr>
          <w:r w:rsidRPr="00B77A3B">
            <w:rPr>
              <w:b/>
              <w:noProof/>
              <w:sz w:val="20"/>
              <w:szCs w:val="20"/>
              <w:lang w:val="bg-BG" w:eastAsia="bg-BG"/>
            </w:rPr>
            <w:drawing>
              <wp:anchor distT="0" distB="0" distL="114300" distR="114300" simplePos="0" relativeHeight="251661312" behindDoc="0" locked="0" layoutInCell="1" allowOverlap="1" wp14:anchorId="238886E3" wp14:editId="47AB8423">
                <wp:simplePos x="0" y="0"/>
                <wp:positionH relativeFrom="column">
                  <wp:posOffset>-304</wp:posOffset>
                </wp:positionH>
                <wp:positionV relativeFrom="paragraph">
                  <wp:posOffset>11430</wp:posOffset>
                </wp:positionV>
                <wp:extent cx="1031240" cy="756285"/>
                <wp:effectExtent l="0" t="0" r="0" b="0"/>
                <wp:wrapNone/>
                <wp:docPr id="386" name="Picture 5" descr="ESF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2" descr="ESF_logo_small"/>
                        <pic:cNvPicPr>
                          <a:picLocks noChangeAspect="1" noChangeArrowheads="1"/>
                        </pic:cNvPicPr>
                      </pic:nvPicPr>
                      <pic:blipFill>
                        <a:blip r:embed="rId2">
                          <a:extLst>
                            <a:ext uri="{28A0092B-C50C-407E-A947-70E740481C1C}">
                              <a14:useLocalDpi xmlns:a14="http://schemas.microsoft.com/office/drawing/2010/main" val="0"/>
                            </a:ext>
                          </a:extLst>
                        </a:blip>
                        <a:srcRect l="2745" r="3319"/>
                        <a:stretch>
                          <a:fillRect/>
                        </a:stretch>
                      </pic:blipFill>
                      <pic:spPr bwMode="auto">
                        <a:xfrm>
                          <a:off x="0" y="0"/>
                          <a:ext cx="1031240" cy="756285"/>
                        </a:xfrm>
                        <a:prstGeom prst="rect">
                          <a:avLst/>
                        </a:prstGeom>
                        <a:noFill/>
                        <a:ln>
                          <a:noFill/>
                        </a:ln>
                      </pic:spPr>
                    </pic:pic>
                  </a:graphicData>
                </a:graphic>
              </wp:anchor>
            </w:drawing>
          </w:r>
        </w:p>
      </w:tc>
    </w:tr>
  </w:tbl>
  <w:p w:rsidR="005A221F" w:rsidRPr="005106CE" w:rsidRDefault="005A221F">
    <w:pPr>
      <w:pStyle w:val="Header"/>
      <w:rPr>
        <w:sz w:val="2"/>
        <w:szCs w:val="2"/>
        <w:lang w:val="bg-BG"/>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3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1090"/>
      <w:gridCol w:w="1842"/>
    </w:tblGrid>
    <w:tr w:rsidR="005A221F" w:rsidRPr="00066AD8" w:rsidTr="00F24971">
      <w:trPr>
        <w:trHeight w:val="810"/>
      </w:trPr>
      <w:tc>
        <w:tcPr>
          <w:tcW w:w="1418" w:type="dxa"/>
        </w:tcPr>
        <w:p w:rsidR="005A221F" w:rsidRPr="005D52A8" w:rsidRDefault="005A221F" w:rsidP="00F24971">
          <w:pPr>
            <w:rPr>
              <w:lang w:val="bg-BG"/>
            </w:rPr>
          </w:pPr>
          <w:r w:rsidRPr="00B77A3B">
            <w:rPr>
              <w:b/>
              <w:noProof/>
              <w:sz w:val="20"/>
              <w:szCs w:val="20"/>
              <w:lang w:val="bg-BG" w:eastAsia="bg-BG"/>
            </w:rPr>
            <w:drawing>
              <wp:anchor distT="0" distB="0" distL="114300" distR="114300" simplePos="0" relativeHeight="251667456" behindDoc="0" locked="0" layoutInCell="1" allowOverlap="1" wp14:anchorId="19F90C1B" wp14:editId="0252360A">
                <wp:simplePos x="0" y="0"/>
                <wp:positionH relativeFrom="column">
                  <wp:posOffset>-68581</wp:posOffset>
                </wp:positionH>
                <wp:positionV relativeFrom="paragraph">
                  <wp:posOffset>11927</wp:posOffset>
                </wp:positionV>
                <wp:extent cx="858741" cy="752323"/>
                <wp:effectExtent l="0" t="0" r="0" b="0"/>
                <wp:wrapNone/>
                <wp:docPr id="387" name="Picture 10" descr="EU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EU_logo_small"/>
                        <pic:cNvPicPr>
                          <a:picLocks noChangeAspect="1" noChangeArrowheads="1"/>
                        </pic:cNvPicPr>
                      </pic:nvPicPr>
                      <pic:blipFill>
                        <a:blip r:embed="rId1">
                          <a:extLst>
                            <a:ext uri="{28A0092B-C50C-407E-A947-70E740481C1C}">
                              <a14:useLocalDpi xmlns:a14="http://schemas.microsoft.com/office/drawing/2010/main" val="0"/>
                            </a:ext>
                          </a:extLst>
                        </a:blip>
                        <a:srcRect l="10165" r="10165"/>
                        <a:stretch>
                          <a:fillRect/>
                        </a:stretch>
                      </pic:blipFill>
                      <pic:spPr bwMode="auto">
                        <a:xfrm>
                          <a:off x="0" y="0"/>
                          <a:ext cx="858915" cy="752475"/>
                        </a:xfrm>
                        <a:prstGeom prst="rect">
                          <a:avLst/>
                        </a:prstGeom>
                        <a:noFill/>
                        <a:ln>
                          <a:noFill/>
                        </a:ln>
                      </pic:spPr>
                    </pic:pic>
                  </a:graphicData>
                </a:graphic>
              </wp:anchor>
            </w:drawing>
          </w:r>
          <w:r>
            <w:rPr>
              <w:b/>
              <w:noProof/>
              <w:sz w:val="20"/>
              <w:szCs w:val="20"/>
            </w:rPr>
            <w:ptab w:relativeTo="margin" w:alignment="center" w:leader="none"/>
          </w:r>
        </w:p>
      </w:tc>
      <w:tc>
        <w:tcPr>
          <w:tcW w:w="11090" w:type="dxa"/>
          <w:vAlign w:val="center"/>
        </w:tcPr>
        <w:p w:rsidR="005A221F" w:rsidRDefault="005A221F" w:rsidP="00F24971">
          <w:pPr>
            <w:spacing w:before="100" w:beforeAutospacing="1" w:after="100" w:afterAutospacing="1" w:line="360" w:lineRule="auto"/>
            <w:contextualSpacing/>
            <w:jc w:val="center"/>
            <w:rPr>
              <w:rFonts w:ascii="Verdana" w:hAnsi="Verdana"/>
              <w:sz w:val="16"/>
              <w:lang w:val="bg-BG"/>
            </w:rPr>
          </w:pPr>
        </w:p>
        <w:p w:rsidR="005A221F" w:rsidRDefault="005A221F" w:rsidP="00F24971">
          <w:pPr>
            <w:spacing w:before="100" w:beforeAutospacing="1" w:after="100" w:afterAutospacing="1" w:line="360" w:lineRule="auto"/>
            <w:contextualSpacing/>
            <w:jc w:val="center"/>
            <w:rPr>
              <w:rFonts w:ascii="Verdana" w:hAnsi="Verdana"/>
              <w:sz w:val="16"/>
              <w:lang w:val="bg-BG"/>
            </w:rPr>
          </w:pPr>
          <w:r w:rsidRPr="00F85976">
            <w:rPr>
              <w:rFonts w:ascii="Verdana" w:hAnsi="Verdana"/>
              <w:sz w:val="16"/>
              <w:lang w:val="bg-BG"/>
            </w:rPr>
            <w:t xml:space="preserve">Предварителна оценка на Оперативна програма </w:t>
          </w:r>
        </w:p>
        <w:p w:rsidR="005A221F" w:rsidRPr="005D52A8" w:rsidRDefault="005A221F" w:rsidP="00F24971">
          <w:pPr>
            <w:spacing w:before="100" w:beforeAutospacing="1" w:after="100" w:afterAutospacing="1" w:line="360" w:lineRule="auto"/>
            <w:contextualSpacing/>
            <w:jc w:val="center"/>
            <w:rPr>
              <w:rFonts w:ascii="Verdana" w:hAnsi="Verdana"/>
              <w:sz w:val="16"/>
              <w:lang w:val="bg-BG"/>
            </w:rPr>
          </w:pPr>
          <w:r w:rsidRPr="00F85976">
            <w:rPr>
              <w:rFonts w:ascii="Verdana" w:hAnsi="Verdana"/>
              <w:sz w:val="16"/>
              <w:lang w:val="bg-BG"/>
            </w:rPr>
            <w:t>„</w:t>
          </w:r>
          <w:r>
            <w:rPr>
              <w:rFonts w:ascii="Verdana" w:hAnsi="Verdana"/>
              <w:sz w:val="16"/>
              <w:lang w:val="bg-BG"/>
            </w:rPr>
            <w:t>Наука и образование за интелигентен растеж</w:t>
          </w:r>
          <w:r w:rsidRPr="00F85976">
            <w:rPr>
              <w:rFonts w:ascii="Verdana" w:hAnsi="Verdana"/>
              <w:sz w:val="16"/>
              <w:lang w:val="bg-BG"/>
            </w:rPr>
            <w:t>” 2014–2020</w:t>
          </w:r>
          <w:r>
            <w:rPr>
              <w:rFonts w:ascii="Verdana" w:hAnsi="Verdana"/>
              <w:sz w:val="16"/>
            </w:rPr>
            <w:t> </w:t>
          </w:r>
          <w:r w:rsidRPr="00F85976">
            <w:rPr>
              <w:rFonts w:ascii="Verdana" w:hAnsi="Verdana"/>
              <w:sz w:val="16"/>
              <w:lang w:val="bg-BG"/>
            </w:rPr>
            <w:t>г.</w:t>
          </w:r>
        </w:p>
      </w:tc>
      <w:tc>
        <w:tcPr>
          <w:tcW w:w="1842" w:type="dxa"/>
        </w:tcPr>
        <w:p w:rsidR="005A221F" w:rsidRPr="005106CE" w:rsidRDefault="005A221F" w:rsidP="00F24971">
          <w:pPr>
            <w:ind w:right="-28"/>
            <w:rPr>
              <w:lang w:val="bg-BG"/>
            </w:rPr>
          </w:pPr>
          <w:r w:rsidRPr="00B77A3B">
            <w:rPr>
              <w:b/>
              <w:noProof/>
              <w:sz w:val="20"/>
              <w:szCs w:val="20"/>
              <w:lang w:val="bg-BG" w:eastAsia="bg-BG"/>
            </w:rPr>
            <w:drawing>
              <wp:anchor distT="0" distB="0" distL="114300" distR="114300" simplePos="0" relativeHeight="251668480" behindDoc="0" locked="0" layoutInCell="1" allowOverlap="1" wp14:anchorId="26EFC306" wp14:editId="57198929">
                <wp:simplePos x="0" y="0"/>
                <wp:positionH relativeFrom="column">
                  <wp:posOffset>-304</wp:posOffset>
                </wp:positionH>
                <wp:positionV relativeFrom="paragraph">
                  <wp:posOffset>11430</wp:posOffset>
                </wp:positionV>
                <wp:extent cx="1031240" cy="756285"/>
                <wp:effectExtent l="0" t="0" r="0" b="0"/>
                <wp:wrapNone/>
                <wp:docPr id="388" name="Picture 13" descr="ESF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2" descr="ESF_logo_small"/>
                        <pic:cNvPicPr>
                          <a:picLocks noChangeAspect="1" noChangeArrowheads="1"/>
                        </pic:cNvPicPr>
                      </pic:nvPicPr>
                      <pic:blipFill>
                        <a:blip r:embed="rId2">
                          <a:extLst>
                            <a:ext uri="{28A0092B-C50C-407E-A947-70E740481C1C}">
                              <a14:useLocalDpi xmlns:a14="http://schemas.microsoft.com/office/drawing/2010/main" val="0"/>
                            </a:ext>
                          </a:extLst>
                        </a:blip>
                        <a:srcRect l="2745" r="3319"/>
                        <a:stretch>
                          <a:fillRect/>
                        </a:stretch>
                      </pic:blipFill>
                      <pic:spPr bwMode="auto">
                        <a:xfrm>
                          <a:off x="0" y="0"/>
                          <a:ext cx="1031240" cy="756285"/>
                        </a:xfrm>
                        <a:prstGeom prst="rect">
                          <a:avLst/>
                        </a:prstGeom>
                        <a:noFill/>
                        <a:ln>
                          <a:noFill/>
                        </a:ln>
                      </pic:spPr>
                    </pic:pic>
                  </a:graphicData>
                </a:graphic>
              </wp:anchor>
            </w:drawing>
          </w:r>
        </w:p>
      </w:tc>
    </w:tr>
  </w:tbl>
  <w:p w:rsidR="005A221F" w:rsidRPr="005106CE" w:rsidRDefault="005A221F">
    <w:pPr>
      <w:pStyle w:val="Header"/>
      <w:rPr>
        <w:sz w:val="2"/>
        <w:szCs w:val="2"/>
        <w:lang w:val="bg-BG"/>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812"/>
      <w:gridCol w:w="1842"/>
    </w:tblGrid>
    <w:tr w:rsidR="005A221F" w:rsidRPr="00816557" w:rsidTr="00F24971">
      <w:trPr>
        <w:trHeight w:val="810"/>
      </w:trPr>
      <w:tc>
        <w:tcPr>
          <w:tcW w:w="1418" w:type="dxa"/>
        </w:tcPr>
        <w:p w:rsidR="005A221F" w:rsidRPr="005D52A8" w:rsidRDefault="005A221F" w:rsidP="00F24971">
          <w:pPr>
            <w:rPr>
              <w:lang w:val="bg-BG"/>
            </w:rPr>
          </w:pPr>
          <w:r w:rsidRPr="00B77A3B">
            <w:rPr>
              <w:b/>
              <w:noProof/>
              <w:sz w:val="20"/>
              <w:szCs w:val="20"/>
              <w:lang w:val="bg-BG" w:eastAsia="bg-BG"/>
            </w:rPr>
            <w:drawing>
              <wp:anchor distT="0" distB="0" distL="114300" distR="114300" simplePos="0" relativeHeight="251664384" behindDoc="0" locked="0" layoutInCell="1" allowOverlap="1" wp14:anchorId="56565D39" wp14:editId="4A433770">
                <wp:simplePos x="0" y="0"/>
                <wp:positionH relativeFrom="column">
                  <wp:posOffset>-68581</wp:posOffset>
                </wp:positionH>
                <wp:positionV relativeFrom="paragraph">
                  <wp:posOffset>11927</wp:posOffset>
                </wp:positionV>
                <wp:extent cx="858741" cy="752323"/>
                <wp:effectExtent l="0" t="0" r="0" b="0"/>
                <wp:wrapNone/>
                <wp:docPr id="390" name="Picture 14" descr="EU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descr="EU_logo_small"/>
                        <pic:cNvPicPr>
                          <a:picLocks noChangeAspect="1" noChangeArrowheads="1"/>
                        </pic:cNvPicPr>
                      </pic:nvPicPr>
                      <pic:blipFill>
                        <a:blip r:embed="rId1">
                          <a:extLst>
                            <a:ext uri="{28A0092B-C50C-407E-A947-70E740481C1C}">
                              <a14:useLocalDpi xmlns:a14="http://schemas.microsoft.com/office/drawing/2010/main" val="0"/>
                            </a:ext>
                          </a:extLst>
                        </a:blip>
                        <a:srcRect l="10165" r="10165"/>
                        <a:stretch>
                          <a:fillRect/>
                        </a:stretch>
                      </pic:blipFill>
                      <pic:spPr bwMode="auto">
                        <a:xfrm>
                          <a:off x="0" y="0"/>
                          <a:ext cx="858915" cy="752475"/>
                        </a:xfrm>
                        <a:prstGeom prst="rect">
                          <a:avLst/>
                        </a:prstGeom>
                        <a:noFill/>
                        <a:ln>
                          <a:noFill/>
                        </a:ln>
                      </pic:spPr>
                    </pic:pic>
                  </a:graphicData>
                </a:graphic>
              </wp:anchor>
            </w:drawing>
          </w:r>
          <w:r>
            <w:rPr>
              <w:b/>
              <w:noProof/>
              <w:sz w:val="20"/>
              <w:szCs w:val="20"/>
            </w:rPr>
            <w:ptab w:relativeTo="margin" w:alignment="center" w:leader="none"/>
          </w:r>
        </w:p>
      </w:tc>
      <w:tc>
        <w:tcPr>
          <w:tcW w:w="5812" w:type="dxa"/>
          <w:vAlign w:val="center"/>
        </w:tcPr>
        <w:p w:rsidR="005A221F" w:rsidRDefault="005A221F" w:rsidP="00F24971">
          <w:pPr>
            <w:spacing w:before="100" w:beforeAutospacing="1" w:after="100" w:afterAutospacing="1" w:line="360" w:lineRule="auto"/>
            <w:contextualSpacing/>
            <w:jc w:val="center"/>
            <w:rPr>
              <w:rFonts w:ascii="Verdana" w:hAnsi="Verdana"/>
              <w:sz w:val="16"/>
              <w:lang w:val="bg-BG"/>
            </w:rPr>
          </w:pPr>
        </w:p>
        <w:p w:rsidR="005A221F" w:rsidRPr="005D52A8" w:rsidRDefault="005A221F" w:rsidP="00AF2745">
          <w:pPr>
            <w:spacing w:before="100" w:beforeAutospacing="1" w:after="100" w:afterAutospacing="1" w:line="360" w:lineRule="auto"/>
            <w:contextualSpacing/>
            <w:jc w:val="center"/>
            <w:rPr>
              <w:rFonts w:ascii="Verdana" w:hAnsi="Verdana"/>
              <w:sz w:val="16"/>
              <w:lang w:val="bg-BG"/>
            </w:rPr>
          </w:pPr>
          <w:r>
            <w:rPr>
              <w:rFonts w:ascii="Verdana" w:hAnsi="Verdana"/>
              <w:sz w:val="16"/>
            </w:rPr>
            <w:t xml:space="preserve">Ex-ante Evaluation of Operational Programme Science and Education for Smart Growth 2014 – 2020 </w:t>
          </w:r>
        </w:p>
      </w:tc>
      <w:tc>
        <w:tcPr>
          <w:tcW w:w="1842" w:type="dxa"/>
        </w:tcPr>
        <w:p w:rsidR="005A221F" w:rsidRPr="005106CE" w:rsidRDefault="005A221F" w:rsidP="00F24971">
          <w:pPr>
            <w:ind w:right="-28"/>
            <w:rPr>
              <w:lang w:val="bg-BG"/>
            </w:rPr>
          </w:pPr>
          <w:r w:rsidRPr="00B77A3B">
            <w:rPr>
              <w:b/>
              <w:noProof/>
              <w:sz w:val="20"/>
              <w:szCs w:val="20"/>
              <w:lang w:val="bg-BG" w:eastAsia="bg-BG"/>
            </w:rPr>
            <w:drawing>
              <wp:anchor distT="0" distB="0" distL="114300" distR="114300" simplePos="0" relativeHeight="251665408" behindDoc="0" locked="0" layoutInCell="1" allowOverlap="1" wp14:anchorId="0FB29477" wp14:editId="50F6455D">
                <wp:simplePos x="0" y="0"/>
                <wp:positionH relativeFrom="column">
                  <wp:posOffset>-304</wp:posOffset>
                </wp:positionH>
                <wp:positionV relativeFrom="paragraph">
                  <wp:posOffset>11430</wp:posOffset>
                </wp:positionV>
                <wp:extent cx="1031240" cy="756285"/>
                <wp:effectExtent l="0" t="0" r="0" b="0"/>
                <wp:wrapNone/>
                <wp:docPr id="391" name="Picture 17" descr="ESF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22" descr="ESF_logo_small"/>
                        <pic:cNvPicPr>
                          <a:picLocks noChangeAspect="1" noChangeArrowheads="1"/>
                        </pic:cNvPicPr>
                      </pic:nvPicPr>
                      <pic:blipFill>
                        <a:blip r:embed="rId2">
                          <a:extLst>
                            <a:ext uri="{28A0092B-C50C-407E-A947-70E740481C1C}">
                              <a14:useLocalDpi xmlns:a14="http://schemas.microsoft.com/office/drawing/2010/main" val="0"/>
                            </a:ext>
                          </a:extLst>
                        </a:blip>
                        <a:srcRect l="2745" r="3319"/>
                        <a:stretch>
                          <a:fillRect/>
                        </a:stretch>
                      </pic:blipFill>
                      <pic:spPr bwMode="auto">
                        <a:xfrm>
                          <a:off x="0" y="0"/>
                          <a:ext cx="1031240" cy="756285"/>
                        </a:xfrm>
                        <a:prstGeom prst="rect">
                          <a:avLst/>
                        </a:prstGeom>
                        <a:noFill/>
                        <a:ln>
                          <a:noFill/>
                        </a:ln>
                      </pic:spPr>
                    </pic:pic>
                  </a:graphicData>
                </a:graphic>
              </wp:anchor>
            </w:drawing>
          </w:r>
        </w:p>
      </w:tc>
    </w:tr>
  </w:tbl>
  <w:p w:rsidR="005A221F" w:rsidRPr="005106CE" w:rsidRDefault="005A221F">
    <w:pPr>
      <w:pStyle w:val="Header"/>
      <w:rPr>
        <w:sz w:val="2"/>
        <w:szCs w:val="2"/>
        <w:lang w:val="bg-B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01209"/>
    <w:multiLevelType w:val="hybridMultilevel"/>
    <w:tmpl w:val="FE00F892"/>
    <w:lvl w:ilvl="0" w:tplc="86B65F3C">
      <w:start w:val="1"/>
      <w:numFmt w:val="bullet"/>
      <w:pStyle w:val="wygbullets"/>
      <w:lvlText w:val=""/>
      <w:lvlJc w:val="left"/>
      <w:pPr>
        <w:tabs>
          <w:tab w:val="num" w:pos="360"/>
        </w:tabs>
        <w:ind w:left="360" w:hanging="360"/>
      </w:pPr>
      <w:rPr>
        <w:rFonts w:ascii="Symbol" w:hAnsi="Symbol" w:hint="default"/>
      </w:rPr>
    </w:lvl>
    <w:lvl w:ilvl="1" w:tplc="FF3687FA">
      <w:start w:val="1"/>
      <w:numFmt w:val="bullet"/>
      <w:lvlText w:val="o"/>
      <w:lvlJc w:val="left"/>
      <w:pPr>
        <w:tabs>
          <w:tab w:val="num" w:pos="360"/>
        </w:tabs>
        <w:ind w:left="360" w:hanging="360"/>
      </w:pPr>
      <w:rPr>
        <w:rFonts w:ascii="Courier New" w:hAnsi="Courier New" w:hint="default"/>
      </w:rPr>
    </w:lvl>
    <w:lvl w:ilvl="2" w:tplc="0FF48764">
      <w:start w:val="1"/>
      <w:numFmt w:val="bullet"/>
      <w:lvlText w:val=""/>
      <w:lvlJc w:val="left"/>
      <w:pPr>
        <w:tabs>
          <w:tab w:val="num" w:pos="1080"/>
        </w:tabs>
        <w:ind w:left="1080" w:hanging="360"/>
      </w:pPr>
      <w:rPr>
        <w:rFonts w:ascii="Wingdings" w:hAnsi="Wingdings" w:hint="default"/>
      </w:rPr>
    </w:lvl>
    <w:lvl w:ilvl="3" w:tplc="7EB423AC" w:tentative="1">
      <w:start w:val="1"/>
      <w:numFmt w:val="bullet"/>
      <w:lvlText w:val=""/>
      <w:lvlJc w:val="left"/>
      <w:pPr>
        <w:tabs>
          <w:tab w:val="num" w:pos="1800"/>
        </w:tabs>
        <w:ind w:left="1800" w:hanging="360"/>
      </w:pPr>
      <w:rPr>
        <w:rFonts w:ascii="Symbol" w:hAnsi="Symbol" w:hint="default"/>
      </w:rPr>
    </w:lvl>
    <w:lvl w:ilvl="4" w:tplc="0A84AD66" w:tentative="1">
      <w:start w:val="1"/>
      <w:numFmt w:val="bullet"/>
      <w:lvlText w:val="o"/>
      <w:lvlJc w:val="left"/>
      <w:pPr>
        <w:tabs>
          <w:tab w:val="num" w:pos="2520"/>
        </w:tabs>
        <w:ind w:left="2520" w:hanging="360"/>
      </w:pPr>
      <w:rPr>
        <w:rFonts w:ascii="Courier New" w:hAnsi="Courier New" w:hint="default"/>
      </w:rPr>
    </w:lvl>
    <w:lvl w:ilvl="5" w:tplc="B15A5E42" w:tentative="1">
      <w:start w:val="1"/>
      <w:numFmt w:val="bullet"/>
      <w:lvlText w:val=""/>
      <w:lvlJc w:val="left"/>
      <w:pPr>
        <w:tabs>
          <w:tab w:val="num" w:pos="3240"/>
        </w:tabs>
        <w:ind w:left="3240" w:hanging="360"/>
      </w:pPr>
      <w:rPr>
        <w:rFonts w:ascii="Wingdings" w:hAnsi="Wingdings" w:hint="default"/>
      </w:rPr>
    </w:lvl>
    <w:lvl w:ilvl="6" w:tplc="6A386B7E" w:tentative="1">
      <w:start w:val="1"/>
      <w:numFmt w:val="bullet"/>
      <w:lvlText w:val=""/>
      <w:lvlJc w:val="left"/>
      <w:pPr>
        <w:tabs>
          <w:tab w:val="num" w:pos="3960"/>
        </w:tabs>
        <w:ind w:left="3960" w:hanging="360"/>
      </w:pPr>
      <w:rPr>
        <w:rFonts w:ascii="Symbol" w:hAnsi="Symbol" w:hint="default"/>
      </w:rPr>
    </w:lvl>
    <w:lvl w:ilvl="7" w:tplc="5BD2FE50" w:tentative="1">
      <w:start w:val="1"/>
      <w:numFmt w:val="bullet"/>
      <w:lvlText w:val="o"/>
      <w:lvlJc w:val="left"/>
      <w:pPr>
        <w:tabs>
          <w:tab w:val="num" w:pos="4680"/>
        </w:tabs>
        <w:ind w:left="4680" w:hanging="360"/>
      </w:pPr>
      <w:rPr>
        <w:rFonts w:ascii="Courier New" w:hAnsi="Courier New" w:hint="default"/>
      </w:rPr>
    </w:lvl>
    <w:lvl w:ilvl="8" w:tplc="048CBE5E" w:tentative="1">
      <w:start w:val="1"/>
      <w:numFmt w:val="bullet"/>
      <w:lvlText w:val=""/>
      <w:lvlJc w:val="left"/>
      <w:pPr>
        <w:tabs>
          <w:tab w:val="num" w:pos="5400"/>
        </w:tabs>
        <w:ind w:left="5400" w:hanging="360"/>
      </w:pPr>
      <w:rPr>
        <w:rFonts w:ascii="Wingdings" w:hAnsi="Wingdings" w:hint="default"/>
      </w:rPr>
    </w:lvl>
  </w:abstractNum>
  <w:abstractNum w:abstractNumId="1">
    <w:nsid w:val="02356708"/>
    <w:multiLevelType w:val="hybridMultilevel"/>
    <w:tmpl w:val="B6BCDA9A"/>
    <w:lvl w:ilvl="0" w:tplc="5EEE399A">
      <w:start w:val="1"/>
      <w:numFmt w:val="bullet"/>
      <w:lvlText w:val=""/>
      <w:lvlJc w:val="left"/>
      <w:pPr>
        <w:ind w:left="720" w:hanging="360"/>
      </w:pPr>
      <w:rPr>
        <w:rFonts w:ascii="Symbol" w:hAnsi="Symbol" w:hint="default"/>
      </w:rPr>
    </w:lvl>
    <w:lvl w:ilvl="1" w:tplc="4028B582" w:tentative="1">
      <w:start w:val="1"/>
      <w:numFmt w:val="bullet"/>
      <w:lvlText w:val="o"/>
      <w:lvlJc w:val="left"/>
      <w:pPr>
        <w:ind w:left="1440" w:hanging="360"/>
      </w:pPr>
      <w:rPr>
        <w:rFonts w:ascii="Courier New" w:hAnsi="Courier New" w:cs="Courier New" w:hint="default"/>
      </w:rPr>
    </w:lvl>
    <w:lvl w:ilvl="2" w:tplc="E234A58A" w:tentative="1">
      <w:start w:val="1"/>
      <w:numFmt w:val="bullet"/>
      <w:lvlText w:val=""/>
      <w:lvlJc w:val="left"/>
      <w:pPr>
        <w:ind w:left="2160" w:hanging="360"/>
      </w:pPr>
      <w:rPr>
        <w:rFonts w:ascii="Wingdings" w:hAnsi="Wingdings" w:hint="default"/>
      </w:rPr>
    </w:lvl>
    <w:lvl w:ilvl="3" w:tplc="0E401598" w:tentative="1">
      <w:start w:val="1"/>
      <w:numFmt w:val="bullet"/>
      <w:lvlText w:val=""/>
      <w:lvlJc w:val="left"/>
      <w:pPr>
        <w:ind w:left="2880" w:hanging="360"/>
      </w:pPr>
      <w:rPr>
        <w:rFonts w:ascii="Symbol" w:hAnsi="Symbol" w:hint="default"/>
      </w:rPr>
    </w:lvl>
    <w:lvl w:ilvl="4" w:tplc="AB44D7F0" w:tentative="1">
      <w:start w:val="1"/>
      <w:numFmt w:val="bullet"/>
      <w:lvlText w:val="o"/>
      <w:lvlJc w:val="left"/>
      <w:pPr>
        <w:ind w:left="3600" w:hanging="360"/>
      </w:pPr>
      <w:rPr>
        <w:rFonts w:ascii="Courier New" w:hAnsi="Courier New" w:cs="Courier New" w:hint="default"/>
      </w:rPr>
    </w:lvl>
    <w:lvl w:ilvl="5" w:tplc="BE80B2B2" w:tentative="1">
      <w:start w:val="1"/>
      <w:numFmt w:val="bullet"/>
      <w:lvlText w:val=""/>
      <w:lvlJc w:val="left"/>
      <w:pPr>
        <w:ind w:left="4320" w:hanging="360"/>
      </w:pPr>
      <w:rPr>
        <w:rFonts w:ascii="Wingdings" w:hAnsi="Wingdings" w:hint="default"/>
      </w:rPr>
    </w:lvl>
    <w:lvl w:ilvl="6" w:tplc="FC78399A" w:tentative="1">
      <w:start w:val="1"/>
      <w:numFmt w:val="bullet"/>
      <w:lvlText w:val=""/>
      <w:lvlJc w:val="left"/>
      <w:pPr>
        <w:ind w:left="5040" w:hanging="360"/>
      </w:pPr>
      <w:rPr>
        <w:rFonts w:ascii="Symbol" w:hAnsi="Symbol" w:hint="default"/>
      </w:rPr>
    </w:lvl>
    <w:lvl w:ilvl="7" w:tplc="58C291D6" w:tentative="1">
      <w:start w:val="1"/>
      <w:numFmt w:val="bullet"/>
      <w:lvlText w:val="o"/>
      <w:lvlJc w:val="left"/>
      <w:pPr>
        <w:ind w:left="5760" w:hanging="360"/>
      </w:pPr>
      <w:rPr>
        <w:rFonts w:ascii="Courier New" w:hAnsi="Courier New" w:cs="Courier New" w:hint="default"/>
      </w:rPr>
    </w:lvl>
    <w:lvl w:ilvl="8" w:tplc="6298DF8E" w:tentative="1">
      <w:start w:val="1"/>
      <w:numFmt w:val="bullet"/>
      <w:lvlText w:val=""/>
      <w:lvlJc w:val="left"/>
      <w:pPr>
        <w:ind w:left="6480" w:hanging="360"/>
      </w:pPr>
      <w:rPr>
        <w:rFonts w:ascii="Wingdings" w:hAnsi="Wingdings" w:hint="default"/>
      </w:rPr>
    </w:lvl>
  </w:abstractNum>
  <w:abstractNum w:abstractNumId="2">
    <w:nsid w:val="03C43012"/>
    <w:multiLevelType w:val="hybridMultilevel"/>
    <w:tmpl w:val="C226A620"/>
    <w:lvl w:ilvl="0" w:tplc="859646F0">
      <w:start w:val="1"/>
      <w:numFmt w:val="bullet"/>
      <w:lvlText w:val=""/>
      <w:lvlJc w:val="left"/>
      <w:pPr>
        <w:ind w:left="720" w:hanging="360"/>
      </w:pPr>
      <w:rPr>
        <w:rFonts w:ascii="Symbol" w:hAnsi="Symbol" w:hint="default"/>
      </w:rPr>
    </w:lvl>
    <w:lvl w:ilvl="1" w:tplc="E03E53DE" w:tentative="1">
      <w:start w:val="1"/>
      <w:numFmt w:val="bullet"/>
      <w:lvlText w:val="o"/>
      <w:lvlJc w:val="left"/>
      <w:pPr>
        <w:ind w:left="1440" w:hanging="360"/>
      </w:pPr>
      <w:rPr>
        <w:rFonts w:ascii="Courier New" w:hAnsi="Courier New" w:cs="Courier New" w:hint="default"/>
      </w:rPr>
    </w:lvl>
    <w:lvl w:ilvl="2" w:tplc="E5B2648C" w:tentative="1">
      <w:start w:val="1"/>
      <w:numFmt w:val="bullet"/>
      <w:lvlText w:val=""/>
      <w:lvlJc w:val="left"/>
      <w:pPr>
        <w:ind w:left="2160" w:hanging="360"/>
      </w:pPr>
      <w:rPr>
        <w:rFonts w:ascii="Wingdings" w:hAnsi="Wingdings" w:hint="default"/>
      </w:rPr>
    </w:lvl>
    <w:lvl w:ilvl="3" w:tplc="C36ED8F6" w:tentative="1">
      <w:start w:val="1"/>
      <w:numFmt w:val="bullet"/>
      <w:lvlText w:val=""/>
      <w:lvlJc w:val="left"/>
      <w:pPr>
        <w:ind w:left="2880" w:hanging="360"/>
      </w:pPr>
      <w:rPr>
        <w:rFonts w:ascii="Symbol" w:hAnsi="Symbol" w:hint="default"/>
      </w:rPr>
    </w:lvl>
    <w:lvl w:ilvl="4" w:tplc="EBE2FE6C" w:tentative="1">
      <w:start w:val="1"/>
      <w:numFmt w:val="bullet"/>
      <w:lvlText w:val="o"/>
      <w:lvlJc w:val="left"/>
      <w:pPr>
        <w:ind w:left="3600" w:hanging="360"/>
      </w:pPr>
      <w:rPr>
        <w:rFonts w:ascii="Courier New" w:hAnsi="Courier New" w:cs="Courier New" w:hint="default"/>
      </w:rPr>
    </w:lvl>
    <w:lvl w:ilvl="5" w:tplc="092A144A" w:tentative="1">
      <w:start w:val="1"/>
      <w:numFmt w:val="bullet"/>
      <w:lvlText w:val=""/>
      <w:lvlJc w:val="left"/>
      <w:pPr>
        <w:ind w:left="4320" w:hanging="360"/>
      </w:pPr>
      <w:rPr>
        <w:rFonts w:ascii="Wingdings" w:hAnsi="Wingdings" w:hint="default"/>
      </w:rPr>
    </w:lvl>
    <w:lvl w:ilvl="6" w:tplc="D682BBB2" w:tentative="1">
      <w:start w:val="1"/>
      <w:numFmt w:val="bullet"/>
      <w:lvlText w:val=""/>
      <w:lvlJc w:val="left"/>
      <w:pPr>
        <w:ind w:left="5040" w:hanging="360"/>
      </w:pPr>
      <w:rPr>
        <w:rFonts w:ascii="Symbol" w:hAnsi="Symbol" w:hint="default"/>
      </w:rPr>
    </w:lvl>
    <w:lvl w:ilvl="7" w:tplc="4F6419D2" w:tentative="1">
      <w:start w:val="1"/>
      <w:numFmt w:val="bullet"/>
      <w:lvlText w:val="o"/>
      <w:lvlJc w:val="left"/>
      <w:pPr>
        <w:ind w:left="5760" w:hanging="360"/>
      </w:pPr>
      <w:rPr>
        <w:rFonts w:ascii="Courier New" w:hAnsi="Courier New" w:cs="Courier New" w:hint="default"/>
      </w:rPr>
    </w:lvl>
    <w:lvl w:ilvl="8" w:tplc="E45884A0" w:tentative="1">
      <w:start w:val="1"/>
      <w:numFmt w:val="bullet"/>
      <w:lvlText w:val=""/>
      <w:lvlJc w:val="left"/>
      <w:pPr>
        <w:ind w:left="6480" w:hanging="360"/>
      </w:pPr>
      <w:rPr>
        <w:rFonts w:ascii="Wingdings" w:hAnsi="Wingdings" w:hint="default"/>
      </w:rPr>
    </w:lvl>
  </w:abstractNum>
  <w:abstractNum w:abstractNumId="3">
    <w:nsid w:val="04613936"/>
    <w:multiLevelType w:val="multilevel"/>
    <w:tmpl w:val="6EB473C0"/>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
    <w:nsid w:val="04A859C1"/>
    <w:multiLevelType w:val="hybridMultilevel"/>
    <w:tmpl w:val="DDD84F52"/>
    <w:lvl w:ilvl="0" w:tplc="FE746730">
      <w:start w:val="1"/>
      <w:numFmt w:val="bullet"/>
      <w:lvlText w:val=""/>
      <w:lvlJc w:val="left"/>
      <w:pPr>
        <w:ind w:left="720" w:hanging="360"/>
      </w:pPr>
      <w:rPr>
        <w:rFonts w:ascii="Symbol" w:hAnsi="Symbol" w:hint="default"/>
      </w:rPr>
    </w:lvl>
    <w:lvl w:ilvl="1" w:tplc="1AFC9C80" w:tentative="1">
      <w:start w:val="1"/>
      <w:numFmt w:val="bullet"/>
      <w:lvlText w:val="o"/>
      <w:lvlJc w:val="left"/>
      <w:pPr>
        <w:ind w:left="1440" w:hanging="360"/>
      </w:pPr>
      <w:rPr>
        <w:rFonts w:ascii="Courier New" w:hAnsi="Courier New" w:cs="Courier New" w:hint="default"/>
      </w:rPr>
    </w:lvl>
    <w:lvl w:ilvl="2" w:tplc="52864348" w:tentative="1">
      <w:start w:val="1"/>
      <w:numFmt w:val="bullet"/>
      <w:lvlText w:val=""/>
      <w:lvlJc w:val="left"/>
      <w:pPr>
        <w:ind w:left="2160" w:hanging="360"/>
      </w:pPr>
      <w:rPr>
        <w:rFonts w:ascii="Wingdings" w:hAnsi="Wingdings" w:hint="default"/>
      </w:rPr>
    </w:lvl>
    <w:lvl w:ilvl="3" w:tplc="99DE5220" w:tentative="1">
      <w:start w:val="1"/>
      <w:numFmt w:val="bullet"/>
      <w:lvlText w:val=""/>
      <w:lvlJc w:val="left"/>
      <w:pPr>
        <w:ind w:left="2880" w:hanging="360"/>
      </w:pPr>
      <w:rPr>
        <w:rFonts w:ascii="Symbol" w:hAnsi="Symbol" w:hint="default"/>
      </w:rPr>
    </w:lvl>
    <w:lvl w:ilvl="4" w:tplc="2E32B468" w:tentative="1">
      <w:start w:val="1"/>
      <w:numFmt w:val="bullet"/>
      <w:lvlText w:val="o"/>
      <w:lvlJc w:val="left"/>
      <w:pPr>
        <w:ind w:left="3600" w:hanging="360"/>
      </w:pPr>
      <w:rPr>
        <w:rFonts w:ascii="Courier New" w:hAnsi="Courier New" w:cs="Courier New" w:hint="default"/>
      </w:rPr>
    </w:lvl>
    <w:lvl w:ilvl="5" w:tplc="8FC62C1E" w:tentative="1">
      <w:start w:val="1"/>
      <w:numFmt w:val="bullet"/>
      <w:lvlText w:val=""/>
      <w:lvlJc w:val="left"/>
      <w:pPr>
        <w:ind w:left="4320" w:hanging="360"/>
      </w:pPr>
      <w:rPr>
        <w:rFonts w:ascii="Wingdings" w:hAnsi="Wingdings" w:hint="default"/>
      </w:rPr>
    </w:lvl>
    <w:lvl w:ilvl="6" w:tplc="C7082CA2" w:tentative="1">
      <w:start w:val="1"/>
      <w:numFmt w:val="bullet"/>
      <w:lvlText w:val=""/>
      <w:lvlJc w:val="left"/>
      <w:pPr>
        <w:ind w:left="5040" w:hanging="360"/>
      </w:pPr>
      <w:rPr>
        <w:rFonts w:ascii="Symbol" w:hAnsi="Symbol" w:hint="default"/>
      </w:rPr>
    </w:lvl>
    <w:lvl w:ilvl="7" w:tplc="B99418B4" w:tentative="1">
      <w:start w:val="1"/>
      <w:numFmt w:val="bullet"/>
      <w:lvlText w:val="o"/>
      <w:lvlJc w:val="left"/>
      <w:pPr>
        <w:ind w:left="5760" w:hanging="360"/>
      </w:pPr>
      <w:rPr>
        <w:rFonts w:ascii="Courier New" w:hAnsi="Courier New" w:cs="Courier New" w:hint="default"/>
      </w:rPr>
    </w:lvl>
    <w:lvl w:ilvl="8" w:tplc="FECC6E46" w:tentative="1">
      <w:start w:val="1"/>
      <w:numFmt w:val="bullet"/>
      <w:lvlText w:val=""/>
      <w:lvlJc w:val="left"/>
      <w:pPr>
        <w:ind w:left="6480" w:hanging="360"/>
      </w:pPr>
      <w:rPr>
        <w:rFonts w:ascii="Wingdings" w:hAnsi="Wingdings" w:hint="default"/>
      </w:rPr>
    </w:lvl>
  </w:abstractNum>
  <w:abstractNum w:abstractNumId="5">
    <w:nsid w:val="04B96156"/>
    <w:multiLevelType w:val="hybridMultilevel"/>
    <w:tmpl w:val="C7AEE2D6"/>
    <w:lvl w:ilvl="0" w:tplc="0FC4387A">
      <w:start w:val="1"/>
      <w:numFmt w:val="bullet"/>
      <w:lvlText w:val=""/>
      <w:lvlJc w:val="left"/>
      <w:pPr>
        <w:ind w:left="720" w:hanging="360"/>
      </w:pPr>
      <w:rPr>
        <w:rFonts w:ascii="Symbol" w:hAnsi="Symbol" w:hint="default"/>
      </w:rPr>
    </w:lvl>
    <w:lvl w:ilvl="1" w:tplc="179C112C" w:tentative="1">
      <w:start w:val="1"/>
      <w:numFmt w:val="bullet"/>
      <w:lvlText w:val="o"/>
      <w:lvlJc w:val="left"/>
      <w:pPr>
        <w:ind w:left="1440" w:hanging="360"/>
      </w:pPr>
      <w:rPr>
        <w:rFonts w:ascii="Courier New" w:hAnsi="Courier New" w:cs="Courier New" w:hint="default"/>
      </w:rPr>
    </w:lvl>
    <w:lvl w:ilvl="2" w:tplc="2752C52A" w:tentative="1">
      <w:start w:val="1"/>
      <w:numFmt w:val="bullet"/>
      <w:lvlText w:val=""/>
      <w:lvlJc w:val="left"/>
      <w:pPr>
        <w:ind w:left="2160" w:hanging="360"/>
      </w:pPr>
      <w:rPr>
        <w:rFonts w:ascii="Wingdings" w:hAnsi="Wingdings" w:hint="default"/>
      </w:rPr>
    </w:lvl>
    <w:lvl w:ilvl="3" w:tplc="8A22A206" w:tentative="1">
      <w:start w:val="1"/>
      <w:numFmt w:val="bullet"/>
      <w:lvlText w:val=""/>
      <w:lvlJc w:val="left"/>
      <w:pPr>
        <w:ind w:left="2880" w:hanging="360"/>
      </w:pPr>
      <w:rPr>
        <w:rFonts w:ascii="Symbol" w:hAnsi="Symbol" w:hint="default"/>
      </w:rPr>
    </w:lvl>
    <w:lvl w:ilvl="4" w:tplc="4D9E392A" w:tentative="1">
      <w:start w:val="1"/>
      <w:numFmt w:val="bullet"/>
      <w:lvlText w:val="o"/>
      <w:lvlJc w:val="left"/>
      <w:pPr>
        <w:ind w:left="3600" w:hanging="360"/>
      </w:pPr>
      <w:rPr>
        <w:rFonts w:ascii="Courier New" w:hAnsi="Courier New" w:cs="Courier New" w:hint="default"/>
      </w:rPr>
    </w:lvl>
    <w:lvl w:ilvl="5" w:tplc="49AA79C2" w:tentative="1">
      <w:start w:val="1"/>
      <w:numFmt w:val="bullet"/>
      <w:lvlText w:val=""/>
      <w:lvlJc w:val="left"/>
      <w:pPr>
        <w:ind w:left="4320" w:hanging="360"/>
      </w:pPr>
      <w:rPr>
        <w:rFonts w:ascii="Wingdings" w:hAnsi="Wingdings" w:hint="default"/>
      </w:rPr>
    </w:lvl>
    <w:lvl w:ilvl="6" w:tplc="64348A04" w:tentative="1">
      <w:start w:val="1"/>
      <w:numFmt w:val="bullet"/>
      <w:lvlText w:val=""/>
      <w:lvlJc w:val="left"/>
      <w:pPr>
        <w:ind w:left="5040" w:hanging="360"/>
      </w:pPr>
      <w:rPr>
        <w:rFonts w:ascii="Symbol" w:hAnsi="Symbol" w:hint="default"/>
      </w:rPr>
    </w:lvl>
    <w:lvl w:ilvl="7" w:tplc="4F7804EA" w:tentative="1">
      <w:start w:val="1"/>
      <w:numFmt w:val="bullet"/>
      <w:lvlText w:val="o"/>
      <w:lvlJc w:val="left"/>
      <w:pPr>
        <w:ind w:left="5760" w:hanging="360"/>
      </w:pPr>
      <w:rPr>
        <w:rFonts w:ascii="Courier New" w:hAnsi="Courier New" w:cs="Courier New" w:hint="default"/>
      </w:rPr>
    </w:lvl>
    <w:lvl w:ilvl="8" w:tplc="E716E946" w:tentative="1">
      <w:start w:val="1"/>
      <w:numFmt w:val="bullet"/>
      <w:lvlText w:val=""/>
      <w:lvlJc w:val="left"/>
      <w:pPr>
        <w:ind w:left="6480" w:hanging="360"/>
      </w:pPr>
      <w:rPr>
        <w:rFonts w:ascii="Wingdings" w:hAnsi="Wingdings" w:hint="default"/>
      </w:rPr>
    </w:lvl>
  </w:abstractNum>
  <w:abstractNum w:abstractNumId="6">
    <w:nsid w:val="0506782A"/>
    <w:multiLevelType w:val="hybridMultilevel"/>
    <w:tmpl w:val="884EB476"/>
    <w:lvl w:ilvl="0" w:tplc="440AAB52">
      <w:start w:val="2"/>
      <w:numFmt w:val="bullet"/>
      <w:lvlText w:val="-"/>
      <w:lvlJc w:val="left"/>
      <w:pPr>
        <w:ind w:left="720" w:hanging="360"/>
      </w:pPr>
      <w:rPr>
        <w:rFonts w:ascii="Times New Roman" w:eastAsia="SimSun" w:hAnsi="Times New Roman" w:hint="default"/>
      </w:rPr>
    </w:lvl>
    <w:lvl w:ilvl="1" w:tplc="F7F05BAA" w:tentative="1">
      <w:start w:val="1"/>
      <w:numFmt w:val="bullet"/>
      <w:lvlText w:val="o"/>
      <w:lvlJc w:val="left"/>
      <w:pPr>
        <w:ind w:left="1440" w:hanging="360"/>
      </w:pPr>
      <w:rPr>
        <w:rFonts w:ascii="Courier New" w:hAnsi="Courier New" w:cs="Courier New" w:hint="default"/>
      </w:rPr>
    </w:lvl>
    <w:lvl w:ilvl="2" w:tplc="01D00A10" w:tentative="1">
      <w:start w:val="1"/>
      <w:numFmt w:val="bullet"/>
      <w:lvlText w:val=""/>
      <w:lvlJc w:val="left"/>
      <w:pPr>
        <w:ind w:left="2160" w:hanging="360"/>
      </w:pPr>
      <w:rPr>
        <w:rFonts w:ascii="Wingdings" w:hAnsi="Wingdings" w:hint="default"/>
      </w:rPr>
    </w:lvl>
    <w:lvl w:ilvl="3" w:tplc="6EC4DC78" w:tentative="1">
      <w:start w:val="1"/>
      <w:numFmt w:val="bullet"/>
      <w:lvlText w:val=""/>
      <w:lvlJc w:val="left"/>
      <w:pPr>
        <w:ind w:left="2880" w:hanging="360"/>
      </w:pPr>
      <w:rPr>
        <w:rFonts w:ascii="Symbol" w:hAnsi="Symbol" w:hint="default"/>
      </w:rPr>
    </w:lvl>
    <w:lvl w:ilvl="4" w:tplc="8BA484AE" w:tentative="1">
      <w:start w:val="1"/>
      <w:numFmt w:val="bullet"/>
      <w:lvlText w:val="o"/>
      <w:lvlJc w:val="left"/>
      <w:pPr>
        <w:ind w:left="3600" w:hanging="360"/>
      </w:pPr>
      <w:rPr>
        <w:rFonts w:ascii="Courier New" w:hAnsi="Courier New" w:cs="Courier New" w:hint="default"/>
      </w:rPr>
    </w:lvl>
    <w:lvl w:ilvl="5" w:tplc="69E85648" w:tentative="1">
      <w:start w:val="1"/>
      <w:numFmt w:val="bullet"/>
      <w:lvlText w:val=""/>
      <w:lvlJc w:val="left"/>
      <w:pPr>
        <w:ind w:left="4320" w:hanging="360"/>
      </w:pPr>
      <w:rPr>
        <w:rFonts w:ascii="Wingdings" w:hAnsi="Wingdings" w:hint="default"/>
      </w:rPr>
    </w:lvl>
    <w:lvl w:ilvl="6" w:tplc="79729D82" w:tentative="1">
      <w:start w:val="1"/>
      <w:numFmt w:val="bullet"/>
      <w:lvlText w:val=""/>
      <w:lvlJc w:val="left"/>
      <w:pPr>
        <w:ind w:left="5040" w:hanging="360"/>
      </w:pPr>
      <w:rPr>
        <w:rFonts w:ascii="Symbol" w:hAnsi="Symbol" w:hint="default"/>
      </w:rPr>
    </w:lvl>
    <w:lvl w:ilvl="7" w:tplc="2DD0F3A2" w:tentative="1">
      <w:start w:val="1"/>
      <w:numFmt w:val="bullet"/>
      <w:lvlText w:val="o"/>
      <w:lvlJc w:val="left"/>
      <w:pPr>
        <w:ind w:left="5760" w:hanging="360"/>
      </w:pPr>
      <w:rPr>
        <w:rFonts w:ascii="Courier New" w:hAnsi="Courier New" w:cs="Courier New" w:hint="default"/>
      </w:rPr>
    </w:lvl>
    <w:lvl w:ilvl="8" w:tplc="3A5C5D92" w:tentative="1">
      <w:start w:val="1"/>
      <w:numFmt w:val="bullet"/>
      <w:lvlText w:val=""/>
      <w:lvlJc w:val="left"/>
      <w:pPr>
        <w:ind w:left="6480" w:hanging="360"/>
      </w:pPr>
      <w:rPr>
        <w:rFonts w:ascii="Wingdings" w:hAnsi="Wingdings" w:hint="default"/>
      </w:rPr>
    </w:lvl>
  </w:abstractNum>
  <w:abstractNum w:abstractNumId="7">
    <w:nsid w:val="06D37CBC"/>
    <w:multiLevelType w:val="hybridMultilevel"/>
    <w:tmpl w:val="3A542DDC"/>
    <w:lvl w:ilvl="0" w:tplc="EE70FF8A">
      <w:start w:val="1"/>
      <w:numFmt w:val="bullet"/>
      <w:lvlText w:val=""/>
      <w:lvlJc w:val="left"/>
      <w:pPr>
        <w:ind w:left="720" w:hanging="360"/>
      </w:pPr>
      <w:rPr>
        <w:rFonts w:ascii="Symbol" w:hAnsi="Symbol" w:cs="Symbol" w:hint="default"/>
      </w:rPr>
    </w:lvl>
    <w:lvl w:ilvl="1" w:tplc="17F455F8">
      <w:start w:val="1"/>
      <w:numFmt w:val="bullet"/>
      <w:lvlText w:val="o"/>
      <w:lvlJc w:val="left"/>
      <w:pPr>
        <w:ind w:left="1440" w:hanging="360"/>
      </w:pPr>
      <w:rPr>
        <w:rFonts w:ascii="Courier New" w:hAnsi="Courier New" w:cs="Courier New" w:hint="default"/>
      </w:rPr>
    </w:lvl>
    <w:lvl w:ilvl="2" w:tplc="6F4C5036">
      <w:start w:val="1"/>
      <w:numFmt w:val="bullet"/>
      <w:lvlText w:val=""/>
      <w:lvlJc w:val="left"/>
      <w:pPr>
        <w:ind w:left="2160" w:hanging="360"/>
      </w:pPr>
      <w:rPr>
        <w:rFonts w:ascii="Wingdings" w:hAnsi="Wingdings" w:cs="Wingdings" w:hint="default"/>
      </w:rPr>
    </w:lvl>
    <w:lvl w:ilvl="3" w:tplc="A2D8E40C">
      <w:start w:val="1"/>
      <w:numFmt w:val="bullet"/>
      <w:lvlText w:val=""/>
      <w:lvlJc w:val="left"/>
      <w:pPr>
        <w:ind w:left="2880" w:hanging="360"/>
      </w:pPr>
      <w:rPr>
        <w:rFonts w:ascii="Symbol" w:hAnsi="Symbol" w:cs="Symbol" w:hint="default"/>
      </w:rPr>
    </w:lvl>
    <w:lvl w:ilvl="4" w:tplc="5BD46F76">
      <w:start w:val="1"/>
      <w:numFmt w:val="bullet"/>
      <w:lvlText w:val="o"/>
      <w:lvlJc w:val="left"/>
      <w:pPr>
        <w:ind w:left="3600" w:hanging="360"/>
      </w:pPr>
      <w:rPr>
        <w:rFonts w:ascii="Courier New" w:hAnsi="Courier New" w:cs="Courier New" w:hint="default"/>
      </w:rPr>
    </w:lvl>
    <w:lvl w:ilvl="5" w:tplc="841CBF22">
      <w:start w:val="1"/>
      <w:numFmt w:val="bullet"/>
      <w:lvlText w:val=""/>
      <w:lvlJc w:val="left"/>
      <w:pPr>
        <w:ind w:left="4320" w:hanging="360"/>
      </w:pPr>
      <w:rPr>
        <w:rFonts w:ascii="Wingdings" w:hAnsi="Wingdings" w:cs="Wingdings" w:hint="default"/>
      </w:rPr>
    </w:lvl>
    <w:lvl w:ilvl="6" w:tplc="21BA667A">
      <w:start w:val="1"/>
      <w:numFmt w:val="bullet"/>
      <w:lvlText w:val=""/>
      <w:lvlJc w:val="left"/>
      <w:pPr>
        <w:ind w:left="5040" w:hanging="360"/>
      </w:pPr>
      <w:rPr>
        <w:rFonts w:ascii="Symbol" w:hAnsi="Symbol" w:cs="Symbol" w:hint="default"/>
      </w:rPr>
    </w:lvl>
    <w:lvl w:ilvl="7" w:tplc="CBA03748">
      <w:start w:val="1"/>
      <w:numFmt w:val="bullet"/>
      <w:lvlText w:val="o"/>
      <w:lvlJc w:val="left"/>
      <w:pPr>
        <w:ind w:left="5760" w:hanging="360"/>
      </w:pPr>
      <w:rPr>
        <w:rFonts w:ascii="Courier New" w:hAnsi="Courier New" w:cs="Courier New" w:hint="default"/>
      </w:rPr>
    </w:lvl>
    <w:lvl w:ilvl="8" w:tplc="39C4787A">
      <w:start w:val="1"/>
      <w:numFmt w:val="bullet"/>
      <w:lvlText w:val=""/>
      <w:lvlJc w:val="left"/>
      <w:pPr>
        <w:ind w:left="6480" w:hanging="360"/>
      </w:pPr>
      <w:rPr>
        <w:rFonts w:ascii="Wingdings" w:hAnsi="Wingdings" w:cs="Wingdings" w:hint="default"/>
      </w:rPr>
    </w:lvl>
  </w:abstractNum>
  <w:abstractNum w:abstractNumId="8">
    <w:nsid w:val="070C76E5"/>
    <w:multiLevelType w:val="hybridMultilevel"/>
    <w:tmpl w:val="F482D2C2"/>
    <w:name w:val="WW8Num172"/>
    <w:lvl w:ilvl="0" w:tplc="07DA7C00">
      <w:start w:val="1"/>
      <w:numFmt w:val="bullet"/>
      <w:lvlText w:val=""/>
      <w:lvlJc w:val="left"/>
      <w:pPr>
        <w:tabs>
          <w:tab w:val="num" w:pos="720"/>
        </w:tabs>
        <w:ind w:left="720" w:hanging="360"/>
      </w:pPr>
      <w:rPr>
        <w:rFonts w:ascii="Wingdings" w:hAnsi="Wingdings" w:hint="default"/>
      </w:rPr>
    </w:lvl>
    <w:lvl w:ilvl="1" w:tplc="7CAAE5A6" w:tentative="1">
      <w:start w:val="1"/>
      <w:numFmt w:val="bullet"/>
      <w:lvlText w:val="o"/>
      <w:lvlJc w:val="left"/>
      <w:pPr>
        <w:tabs>
          <w:tab w:val="num" w:pos="1728"/>
        </w:tabs>
        <w:ind w:left="1728" w:hanging="360"/>
      </w:pPr>
      <w:rPr>
        <w:rFonts w:ascii="Courier New" w:hAnsi="Courier New" w:cs="Courier New" w:hint="default"/>
      </w:rPr>
    </w:lvl>
    <w:lvl w:ilvl="2" w:tplc="CCA45A08" w:tentative="1">
      <w:start w:val="1"/>
      <w:numFmt w:val="bullet"/>
      <w:lvlText w:val=""/>
      <w:lvlJc w:val="left"/>
      <w:pPr>
        <w:tabs>
          <w:tab w:val="num" w:pos="2448"/>
        </w:tabs>
        <w:ind w:left="2448" w:hanging="360"/>
      </w:pPr>
      <w:rPr>
        <w:rFonts w:ascii="Wingdings" w:hAnsi="Wingdings" w:hint="default"/>
      </w:rPr>
    </w:lvl>
    <w:lvl w:ilvl="3" w:tplc="5442F0AC" w:tentative="1">
      <w:start w:val="1"/>
      <w:numFmt w:val="bullet"/>
      <w:lvlText w:val=""/>
      <w:lvlJc w:val="left"/>
      <w:pPr>
        <w:tabs>
          <w:tab w:val="num" w:pos="3168"/>
        </w:tabs>
        <w:ind w:left="3168" w:hanging="360"/>
      </w:pPr>
      <w:rPr>
        <w:rFonts w:ascii="Symbol" w:hAnsi="Symbol" w:hint="default"/>
      </w:rPr>
    </w:lvl>
    <w:lvl w:ilvl="4" w:tplc="8F4006FE" w:tentative="1">
      <w:start w:val="1"/>
      <w:numFmt w:val="bullet"/>
      <w:lvlText w:val="o"/>
      <w:lvlJc w:val="left"/>
      <w:pPr>
        <w:tabs>
          <w:tab w:val="num" w:pos="3888"/>
        </w:tabs>
        <w:ind w:left="3888" w:hanging="360"/>
      </w:pPr>
      <w:rPr>
        <w:rFonts w:ascii="Courier New" w:hAnsi="Courier New" w:cs="Courier New" w:hint="default"/>
      </w:rPr>
    </w:lvl>
    <w:lvl w:ilvl="5" w:tplc="B20AC19E" w:tentative="1">
      <w:start w:val="1"/>
      <w:numFmt w:val="bullet"/>
      <w:lvlText w:val=""/>
      <w:lvlJc w:val="left"/>
      <w:pPr>
        <w:tabs>
          <w:tab w:val="num" w:pos="4608"/>
        </w:tabs>
        <w:ind w:left="4608" w:hanging="360"/>
      </w:pPr>
      <w:rPr>
        <w:rFonts w:ascii="Wingdings" w:hAnsi="Wingdings" w:hint="default"/>
      </w:rPr>
    </w:lvl>
    <w:lvl w:ilvl="6" w:tplc="60C4AB26" w:tentative="1">
      <w:start w:val="1"/>
      <w:numFmt w:val="bullet"/>
      <w:lvlText w:val=""/>
      <w:lvlJc w:val="left"/>
      <w:pPr>
        <w:tabs>
          <w:tab w:val="num" w:pos="5328"/>
        </w:tabs>
        <w:ind w:left="5328" w:hanging="360"/>
      </w:pPr>
      <w:rPr>
        <w:rFonts w:ascii="Symbol" w:hAnsi="Symbol" w:hint="default"/>
      </w:rPr>
    </w:lvl>
    <w:lvl w:ilvl="7" w:tplc="7EC029F6" w:tentative="1">
      <w:start w:val="1"/>
      <w:numFmt w:val="bullet"/>
      <w:lvlText w:val="o"/>
      <w:lvlJc w:val="left"/>
      <w:pPr>
        <w:tabs>
          <w:tab w:val="num" w:pos="6048"/>
        </w:tabs>
        <w:ind w:left="6048" w:hanging="360"/>
      </w:pPr>
      <w:rPr>
        <w:rFonts w:ascii="Courier New" w:hAnsi="Courier New" w:cs="Courier New" w:hint="default"/>
      </w:rPr>
    </w:lvl>
    <w:lvl w:ilvl="8" w:tplc="4EFA408A" w:tentative="1">
      <w:start w:val="1"/>
      <w:numFmt w:val="bullet"/>
      <w:lvlText w:val=""/>
      <w:lvlJc w:val="left"/>
      <w:pPr>
        <w:tabs>
          <w:tab w:val="num" w:pos="6768"/>
        </w:tabs>
        <w:ind w:left="6768" w:hanging="360"/>
      </w:pPr>
      <w:rPr>
        <w:rFonts w:ascii="Wingdings" w:hAnsi="Wingdings" w:hint="default"/>
      </w:rPr>
    </w:lvl>
  </w:abstractNum>
  <w:abstractNum w:abstractNumId="9">
    <w:nsid w:val="07382EF7"/>
    <w:multiLevelType w:val="hybridMultilevel"/>
    <w:tmpl w:val="CBEA7EB2"/>
    <w:lvl w:ilvl="0" w:tplc="0480E8A2">
      <w:start w:val="1"/>
      <w:numFmt w:val="bullet"/>
      <w:lvlText w:val=""/>
      <w:lvlJc w:val="left"/>
      <w:pPr>
        <w:ind w:left="720" w:hanging="360"/>
      </w:pPr>
      <w:rPr>
        <w:rFonts w:ascii="Symbol" w:hAnsi="Symbol" w:hint="default"/>
      </w:rPr>
    </w:lvl>
    <w:lvl w:ilvl="1" w:tplc="2AE035CA" w:tentative="1">
      <w:start w:val="1"/>
      <w:numFmt w:val="bullet"/>
      <w:lvlText w:val="o"/>
      <w:lvlJc w:val="left"/>
      <w:pPr>
        <w:ind w:left="1440" w:hanging="360"/>
      </w:pPr>
      <w:rPr>
        <w:rFonts w:ascii="Courier New" w:hAnsi="Courier New" w:cs="Courier New" w:hint="default"/>
      </w:rPr>
    </w:lvl>
    <w:lvl w:ilvl="2" w:tplc="08EA45FA" w:tentative="1">
      <w:start w:val="1"/>
      <w:numFmt w:val="bullet"/>
      <w:lvlText w:val=""/>
      <w:lvlJc w:val="left"/>
      <w:pPr>
        <w:ind w:left="2160" w:hanging="360"/>
      </w:pPr>
      <w:rPr>
        <w:rFonts w:ascii="Wingdings" w:hAnsi="Wingdings" w:hint="default"/>
      </w:rPr>
    </w:lvl>
    <w:lvl w:ilvl="3" w:tplc="E8F8273E" w:tentative="1">
      <w:start w:val="1"/>
      <w:numFmt w:val="bullet"/>
      <w:lvlText w:val=""/>
      <w:lvlJc w:val="left"/>
      <w:pPr>
        <w:ind w:left="2880" w:hanging="360"/>
      </w:pPr>
      <w:rPr>
        <w:rFonts w:ascii="Symbol" w:hAnsi="Symbol" w:hint="default"/>
      </w:rPr>
    </w:lvl>
    <w:lvl w:ilvl="4" w:tplc="0384283E" w:tentative="1">
      <w:start w:val="1"/>
      <w:numFmt w:val="bullet"/>
      <w:lvlText w:val="o"/>
      <w:lvlJc w:val="left"/>
      <w:pPr>
        <w:ind w:left="3600" w:hanging="360"/>
      </w:pPr>
      <w:rPr>
        <w:rFonts w:ascii="Courier New" w:hAnsi="Courier New" w:cs="Courier New" w:hint="default"/>
      </w:rPr>
    </w:lvl>
    <w:lvl w:ilvl="5" w:tplc="541AD8BA" w:tentative="1">
      <w:start w:val="1"/>
      <w:numFmt w:val="bullet"/>
      <w:lvlText w:val=""/>
      <w:lvlJc w:val="left"/>
      <w:pPr>
        <w:ind w:left="4320" w:hanging="360"/>
      </w:pPr>
      <w:rPr>
        <w:rFonts w:ascii="Wingdings" w:hAnsi="Wingdings" w:hint="default"/>
      </w:rPr>
    </w:lvl>
    <w:lvl w:ilvl="6" w:tplc="068C8BC2" w:tentative="1">
      <w:start w:val="1"/>
      <w:numFmt w:val="bullet"/>
      <w:lvlText w:val=""/>
      <w:lvlJc w:val="left"/>
      <w:pPr>
        <w:ind w:left="5040" w:hanging="360"/>
      </w:pPr>
      <w:rPr>
        <w:rFonts w:ascii="Symbol" w:hAnsi="Symbol" w:hint="default"/>
      </w:rPr>
    </w:lvl>
    <w:lvl w:ilvl="7" w:tplc="0B225F8E" w:tentative="1">
      <w:start w:val="1"/>
      <w:numFmt w:val="bullet"/>
      <w:lvlText w:val="o"/>
      <w:lvlJc w:val="left"/>
      <w:pPr>
        <w:ind w:left="5760" w:hanging="360"/>
      </w:pPr>
      <w:rPr>
        <w:rFonts w:ascii="Courier New" w:hAnsi="Courier New" w:cs="Courier New" w:hint="default"/>
      </w:rPr>
    </w:lvl>
    <w:lvl w:ilvl="8" w:tplc="5FBC1C86" w:tentative="1">
      <w:start w:val="1"/>
      <w:numFmt w:val="bullet"/>
      <w:lvlText w:val=""/>
      <w:lvlJc w:val="left"/>
      <w:pPr>
        <w:ind w:left="6480" w:hanging="360"/>
      </w:pPr>
      <w:rPr>
        <w:rFonts w:ascii="Wingdings" w:hAnsi="Wingdings" w:hint="default"/>
      </w:rPr>
    </w:lvl>
  </w:abstractNum>
  <w:abstractNum w:abstractNumId="10">
    <w:nsid w:val="0798705A"/>
    <w:multiLevelType w:val="hybridMultilevel"/>
    <w:tmpl w:val="F9361338"/>
    <w:lvl w:ilvl="0" w:tplc="A530B3D6">
      <w:start w:val="1"/>
      <w:numFmt w:val="bullet"/>
      <w:lvlText w:val="◦"/>
      <w:lvlJc w:val="left"/>
      <w:pPr>
        <w:ind w:left="720" w:hanging="360"/>
      </w:pPr>
      <w:rPr>
        <w:rFonts w:ascii="Courier New" w:hAnsi="Courier New" w:hint="default"/>
        <w:color w:val="507396"/>
        <w:sz w:val="28"/>
        <w:u w:color="0070C0"/>
      </w:rPr>
    </w:lvl>
    <w:lvl w:ilvl="1" w:tplc="914A2AD6" w:tentative="1">
      <w:start w:val="1"/>
      <w:numFmt w:val="bullet"/>
      <w:lvlText w:val="o"/>
      <w:lvlJc w:val="left"/>
      <w:pPr>
        <w:ind w:left="1440" w:hanging="360"/>
      </w:pPr>
      <w:rPr>
        <w:rFonts w:ascii="Courier New" w:hAnsi="Courier New" w:cs="Courier New" w:hint="default"/>
      </w:rPr>
    </w:lvl>
    <w:lvl w:ilvl="2" w:tplc="DA4AEAB8" w:tentative="1">
      <w:start w:val="1"/>
      <w:numFmt w:val="bullet"/>
      <w:lvlText w:val=""/>
      <w:lvlJc w:val="left"/>
      <w:pPr>
        <w:ind w:left="2160" w:hanging="360"/>
      </w:pPr>
      <w:rPr>
        <w:rFonts w:ascii="Wingdings" w:hAnsi="Wingdings" w:hint="default"/>
      </w:rPr>
    </w:lvl>
    <w:lvl w:ilvl="3" w:tplc="3D4AA15C" w:tentative="1">
      <w:start w:val="1"/>
      <w:numFmt w:val="bullet"/>
      <w:lvlText w:val=""/>
      <w:lvlJc w:val="left"/>
      <w:pPr>
        <w:ind w:left="2880" w:hanging="360"/>
      </w:pPr>
      <w:rPr>
        <w:rFonts w:ascii="Symbol" w:hAnsi="Symbol" w:hint="default"/>
      </w:rPr>
    </w:lvl>
    <w:lvl w:ilvl="4" w:tplc="ED4880D8" w:tentative="1">
      <w:start w:val="1"/>
      <w:numFmt w:val="bullet"/>
      <w:lvlText w:val="o"/>
      <w:lvlJc w:val="left"/>
      <w:pPr>
        <w:ind w:left="3600" w:hanging="360"/>
      </w:pPr>
      <w:rPr>
        <w:rFonts w:ascii="Courier New" w:hAnsi="Courier New" w:cs="Courier New" w:hint="default"/>
      </w:rPr>
    </w:lvl>
    <w:lvl w:ilvl="5" w:tplc="43EC03DA" w:tentative="1">
      <w:start w:val="1"/>
      <w:numFmt w:val="bullet"/>
      <w:lvlText w:val=""/>
      <w:lvlJc w:val="left"/>
      <w:pPr>
        <w:ind w:left="4320" w:hanging="360"/>
      </w:pPr>
      <w:rPr>
        <w:rFonts w:ascii="Wingdings" w:hAnsi="Wingdings" w:hint="default"/>
      </w:rPr>
    </w:lvl>
    <w:lvl w:ilvl="6" w:tplc="FB8CE854" w:tentative="1">
      <w:start w:val="1"/>
      <w:numFmt w:val="bullet"/>
      <w:lvlText w:val=""/>
      <w:lvlJc w:val="left"/>
      <w:pPr>
        <w:ind w:left="5040" w:hanging="360"/>
      </w:pPr>
      <w:rPr>
        <w:rFonts w:ascii="Symbol" w:hAnsi="Symbol" w:hint="default"/>
      </w:rPr>
    </w:lvl>
    <w:lvl w:ilvl="7" w:tplc="8A1278EC" w:tentative="1">
      <w:start w:val="1"/>
      <w:numFmt w:val="bullet"/>
      <w:lvlText w:val="o"/>
      <w:lvlJc w:val="left"/>
      <w:pPr>
        <w:ind w:left="5760" w:hanging="360"/>
      </w:pPr>
      <w:rPr>
        <w:rFonts w:ascii="Courier New" w:hAnsi="Courier New" w:cs="Courier New" w:hint="default"/>
      </w:rPr>
    </w:lvl>
    <w:lvl w:ilvl="8" w:tplc="66CE66F0" w:tentative="1">
      <w:start w:val="1"/>
      <w:numFmt w:val="bullet"/>
      <w:lvlText w:val=""/>
      <w:lvlJc w:val="left"/>
      <w:pPr>
        <w:ind w:left="6480" w:hanging="360"/>
      </w:pPr>
      <w:rPr>
        <w:rFonts w:ascii="Wingdings" w:hAnsi="Wingdings" w:hint="default"/>
      </w:rPr>
    </w:lvl>
  </w:abstractNum>
  <w:abstractNum w:abstractNumId="11">
    <w:nsid w:val="0D3908AB"/>
    <w:multiLevelType w:val="hybridMultilevel"/>
    <w:tmpl w:val="4EAEE9D6"/>
    <w:lvl w:ilvl="0" w:tplc="7D4E8B4A">
      <w:start w:val="1"/>
      <w:numFmt w:val="bullet"/>
      <w:lvlText w:val=""/>
      <w:lvlJc w:val="left"/>
      <w:pPr>
        <w:ind w:left="720" w:hanging="360"/>
      </w:pPr>
      <w:rPr>
        <w:rFonts w:ascii="Symbol" w:hAnsi="Symbol" w:hint="default"/>
      </w:rPr>
    </w:lvl>
    <w:lvl w:ilvl="1" w:tplc="27C61C36" w:tentative="1">
      <w:start w:val="1"/>
      <w:numFmt w:val="bullet"/>
      <w:lvlText w:val="o"/>
      <w:lvlJc w:val="left"/>
      <w:pPr>
        <w:ind w:left="1440" w:hanging="360"/>
      </w:pPr>
      <w:rPr>
        <w:rFonts w:ascii="Courier New" w:hAnsi="Courier New" w:cs="Courier New" w:hint="default"/>
      </w:rPr>
    </w:lvl>
    <w:lvl w:ilvl="2" w:tplc="ADAE758C" w:tentative="1">
      <w:start w:val="1"/>
      <w:numFmt w:val="bullet"/>
      <w:lvlText w:val=""/>
      <w:lvlJc w:val="left"/>
      <w:pPr>
        <w:ind w:left="2160" w:hanging="360"/>
      </w:pPr>
      <w:rPr>
        <w:rFonts w:ascii="Wingdings" w:hAnsi="Wingdings" w:hint="default"/>
      </w:rPr>
    </w:lvl>
    <w:lvl w:ilvl="3" w:tplc="0042218E" w:tentative="1">
      <w:start w:val="1"/>
      <w:numFmt w:val="bullet"/>
      <w:lvlText w:val=""/>
      <w:lvlJc w:val="left"/>
      <w:pPr>
        <w:ind w:left="2880" w:hanging="360"/>
      </w:pPr>
      <w:rPr>
        <w:rFonts w:ascii="Symbol" w:hAnsi="Symbol" w:hint="default"/>
      </w:rPr>
    </w:lvl>
    <w:lvl w:ilvl="4" w:tplc="85C69982" w:tentative="1">
      <w:start w:val="1"/>
      <w:numFmt w:val="bullet"/>
      <w:lvlText w:val="o"/>
      <w:lvlJc w:val="left"/>
      <w:pPr>
        <w:ind w:left="3600" w:hanging="360"/>
      </w:pPr>
      <w:rPr>
        <w:rFonts w:ascii="Courier New" w:hAnsi="Courier New" w:cs="Courier New" w:hint="default"/>
      </w:rPr>
    </w:lvl>
    <w:lvl w:ilvl="5" w:tplc="BD560284" w:tentative="1">
      <w:start w:val="1"/>
      <w:numFmt w:val="bullet"/>
      <w:lvlText w:val=""/>
      <w:lvlJc w:val="left"/>
      <w:pPr>
        <w:ind w:left="4320" w:hanging="360"/>
      </w:pPr>
      <w:rPr>
        <w:rFonts w:ascii="Wingdings" w:hAnsi="Wingdings" w:hint="default"/>
      </w:rPr>
    </w:lvl>
    <w:lvl w:ilvl="6" w:tplc="BE64737A" w:tentative="1">
      <w:start w:val="1"/>
      <w:numFmt w:val="bullet"/>
      <w:lvlText w:val=""/>
      <w:lvlJc w:val="left"/>
      <w:pPr>
        <w:ind w:left="5040" w:hanging="360"/>
      </w:pPr>
      <w:rPr>
        <w:rFonts w:ascii="Symbol" w:hAnsi="Symbol" w:hint="default"/>
      </w:rPr>
    </w:lvl>
    <w:lvl w:ilvl="7" w:tplc="A57E4628" w:tentative="1">
      <w:start w:val="1"/>
      <w:numFmt w:val="bullet"/>
      <w:lvlText w:val="o"/>
      <w:lvlJc w:val="left"/>
      <w:pPr>
        <w:ind w:left="5760" w:hanging="360"/>
      </w:pPr>
      <w:rPr>
        <w:rFonts w:ascii="Courier New" w:hAnsi="Courier New" w:cs="Courier New" w:hint="default"/>
      </w:rPr>
    </w:lvl>
    <w:lvl w:ilvl="8" w:tplc="F2C893B2" w:tentative="1">
      <w:start w:val="1"/>
      <w:numFmt w:val="bullet"/>
      <w:lvlText w:val=""/>
      <w:lvlJc w:val="left"/>
      <w:pPr>
        <w:ind w:left="6480" w:hanging="360"/>
      </w:pPr>
      <w:rPr>
        <w:rFonts w:ascii="Wingdings" w:hAnsi="Wingdings" w:hint="default"/>
      </w:rPr>
    </w:lvl>
  </w:abstractNum>
  <w:abstractNum w:abstractNumId="12">
    <w:nsid w:val="15BA309A"/>
    <w:multiLevelType w:val="hybridMultilevel"/>
    <w:tmpl w:val="89F0456A"/>
    <w:lvl w:ilvl="0" w:tplc="64CEBFFE">
      <w:start w:val="1"/>
      <w:numFmt w:val="bullet"/>
      <w:lvlText w:val=""/>
      <w:lvlJc w:val="left"/>
      <w:pPr>
        <w:ind w:left="720" w:hanging="360"/>
      </w:pPr>
      <w:rPr>
        <w:rFonts w:ascii="Symbol" w:hAnsi="Symbol" w:hint="default"/>
        <w:color w:val="auto"/>
      </w:rPr>
    </w:lvl>
    <w:lvl w:ilvl="1" w:tplc="135E6054" w:tentative="1">
      <w:start w:val="1"/>
      <w:numFmt w:val="bullet"/>
      <w:lvlText w:val="o"/>
      <w:lvlJc w:val="left"/>
      <w:pPr>
        <w:ind w:left="1440" w:hanging="360"/>
      </w:pPr>
      <w:rPr>
        <w:rFonts w:ascii="Courier New" w:hAnsi="Courier New" w:cs="Courier New" w:hint="default"/>
      </w:rPr>
    </w:lvl>
    <w:lvl w:ilvl="2" w:tplc="0E1215DA" w:tentative="1">
      <w:start w:val="1"/>
      <w:numFmt w:val="bullet"/>
      <w:lvlText w:val=""/>
      <w:lvlJc w:val="left"/>
      <w:pPr>
        <w:ind w:left="2160" w:hanging="360"/>
      </w:pPr>
      <w:rPr>
        <w:rFonts w:ascii="Wingdings" w:hAnsi="Wingdings" w:hint="default"/>
      </w:rPr>
    </w:lvl>
    <w:lvl w:ilvl="3" w:tplc="D0EEE674" w:tentative="1">
      <w:start w:val="1"/>
      <w:numFmt w:val="bullet"/>
      <w:lvlText w:val=""/>
      <w:lvlJc w:val="left"/>
      <w:pPr>
        <w:ind w:left="2880" w:hanging="360"/>
      </w:pPr>
      <w:rPr>
        <w:rFonts w:ascii="Symbol" w:hAnsi="Symbol" w:hint="default"/>
      </w:rPr>
    </w:lvl>
    <w:lvl w:ilvl="4" w:tplc="9E86FE76" w:tentative="1">
      <w:start w:val="1"/>
      <w:numFmt w:val="bullet"/>
      <w:lvlText w:val="o"/>
      <w:lvlJc w:val="left"/>
      <w:pPr>
        <w:ind w:left="3600" w:hanging="360"/>
      </w:pPr>
      <w:rPr>
        <w:rFonts w:ascii="Courier New" w:hAnsi="Courier New" w:cs="Courier New" w:hint="default"/>
      </w:rPr>
    </w:lvl>
    <w:lvl w:ilvl="5" w:tplc="BFEC7888" w:tentative="1">
      <w:start w:val="1"/>
      <w:numFmt w:val="bullet"/>
      <w:lvlText w:val=""/>
      <w:lvlJc w:val="left"/>
      <w:pPr>
        <w:ind w:left="4320" w:hanging="360"/>
      </w:pPr>
      <w:rPr>
        <w:rFonts w:ascii="Wingdings" w:hAnsi="Wingdings" w:hint="default"/>
      </w:rPr>
    </w:lvl>
    <w:lvl w:ilvl="6" w:tplc="556A473C" w:tentative="1">
      <w:start w:val="1"/>
      <w:numFmt w:val="bullet"/>
      <w:lvlText w:val=""/>
      <w:lvlJc w:val="left"/>
      <w:pPr>
        <w:ind w:left="5040" w:hanging="360"/>
      </w:pPr>
      <w:rPr>
        <w:rFonts w:ascii="Symbol" w:hAnsi="Symbol" w:hint="default"/>
      </w:rPr>
    </w:lvl>
    <w:lvl w:ilvl="7" w:tplc="225ED264" w:tentative="1">
      <w:start w:val="1"/>
      <w:numFmt w:val="bullet"/>
      <w:lvlText w:val="o"/>
      <w:lvlJc w:val="left"/>
      <w:pPr>
        <w:ind w:left="5760" w:hanging="360"/>
      </w:pPr>
      <w:rPr>
        <w:rFonts w:ascii="Courier New" w:hAnsi="Courier New" w:cs="Courier New" w:hint="default"/>
      </w:rPr>
    </w:lvl>
    <w:lvl w:ilvl="8" w:tplc="EDAA244E" w:tentative="1">
      <w:start w:val="1"/>
      <w:numFmt w:val="bullet"/>
      <w:lvlText w:val=""/>
      <w:lvlJc w:val="left"/>
      <w:pPr>
        <w:ind w:left="6480" w:hanging="360"/>
      </w:pPr>
      <w:rPr>
        <w:rFonts w:ascii="Wingdings" w:hAnsi="Wingdings" w:hint="default"/>
      </w:rPr>
    </w:lvl>
  </w:abstractNum>
  <w:abstractNum w:abstractNumId="13">
    <w:nsid w:val="1A445EEE"/>
    <w:multiLevelType w:val="hybridMultilevel"/>
    <w:tmpl w:val="22E639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1D155F1E"/>
    <w:multiLevelType w:val="hybridMultilevel"/>
    <w:tmpl w:val="A364C796"/>
    <w:lvl w:ilvl="0" w:tplc="34AAB5BE">
      <w:start w:val="1"/>
      <w:numFmt w:val="bullet"/>
      <w:lvlText w:val=""/>
      <w:lvlJc w:val="left"/>
      <w:pPr>
        <w:ind w:left="720" w:hanging="360"/>
      </w:pPr>
      <w:rPr>
        <w:rFonts w:ascii="Symbol" w:hAnsi="Symbol" w:hint="default"/>
      </w:rPr>
    </w:lvl>
    <w:lvl w:ilvl="1" w:tplc="E996A172" w:tentative="1">
      <w:start w:val="1"/>
      <w:numFmt w:val="bullet"/>
      <w:lvlText w:val="o"/>
      <w:lvlJc w:val="left"/>
      <w:pPr>
        <w:ind w:left="1440" w:hanging="360"/>
      </w:pPr>
      <w:rPr>
        <w:rFonts w:ascii="Courier New" w:hAnsi="Courier New" w:cs="Courier New" w:hint="default"/>
      </w:rPr>
    </w:lvl>
    <w:lvl w:ilvl="2" w:tplc="270E910A" w:tentative="1">
      <w:start w:val="1"/>
      <w:numFmt w:val="bullet"/>
      <w:lvlText w:val=""/>
      <w:lvlJc w:val="left"/>
      <w:pPr>
        <w:ind w:left="2160" w:hanging="360"/>
      </w:pPr>
      <w:rPr>
        <w:rFonts w:ascii="Wingdings" w:hAnsi="Wingdings" w:hint="default"/>
      </w:rPr>
    </w:lvl>
    <w:lvl w:ilvl="3" w:tplc="A25C3AF8" w:tentative="1">
      <w:start w:val="1"/>
      <w:numFmt w:val="bullet"/>
      <w:lvlText w:val=""/>
      <w:lvlJc w:val="left"/>
      <w:pPr>
        <w:ind w:left="2880" w:hanging="360"/>
      </w:pPr>
      <w:rPr>
        <w:rFonts w:ascii="Symbol" w:hAnsi="Symbol" w:hint="default"/>
      </w:rPr>
    </w:lvl>
    <w:lvl w:ilvl="4" w:tplc="A532186A" w:tentative="1">
      <w:start w:val="1"/>
      <w:numFmt w:val="bullet"/>
      <w:lvlText w:val="o"/>
      <w:lvlJc w:val="left"/>
      <w:pPr>
        <w:ind w:left="3600" w:hanging="360"/>
      </w:pPr>
      <w:rPr>
        <w:rFonts w:ascii="Courier New" w:hAnsi="Courier New" w:cs="Courier New" w:hint="default"/>
      </w:rPr>
    </w:lvl>
    <w:lvl w:ilvl="5" w:tplc="E1E0C9DC" w:tentative="1">
      <w:start w:val="1"/>
      <w:numFmt w:val="bullet"/>
      <w:lvlText w:val=""/>
      <w:lvlJc w:val="left"/>
      <w:pPr>
        <w:ind w:left="4320" w:hanging="360"/>
      </w:pPr>
      <w:rPr>
        <w:rFonts w:ascii="Wingdings" w:hAnsi="Wingdings" w:hint="default"/>
      </w:rPr>
    </w:lvl>
    <w:lvl w:ilvl="6" w:tplc="74685F50" w:tentative="1">
      <w:start w:val="1"/>
      <w:numFmt w:val="bullet"/>
      <w:lvlText w:val=""/>
      <w:lvlJc w:val="left"/>
      <w:pPr>
        <w:ind w:left="5040" w:hanging="360"/>
      </w:pPr>
      <w:rPr>
        <w:rFonts w:ascii="Symbol" w:hAnsi="Symbol" w:hint="default"/>
      </w:rPr>
    </w:lvl>
    <w:lvl w:ilvl="7" w:tplc="162A8F3E" w:tentative="1">
      <w:start w:val="1"/>
      <w:numFmt w:val="bullet"/>
      <w:lvlText w:val="o"/>
      <w:lvlJc w:val="left"/>
      <w:pPr>
        <w:ind w:left="5760" w:hanging="360"/>
      </w:pPr>
      <w:rPr>
        <w:rFonts w:ascii="Courier New" w:hAnsi="Courier New" w:cs="Courier New" w:hint="default"/>
      </w:rPr>
    </w:lvl>
    <w:lvl w:ilvl="8" w:tplc="BE6CD36A" w:tentative="1">
      <w:start w:val="1"/>
      <w:numFmt w:val="bullet"/>
      <w:lvlText w:val=""/>
      <w:lvlJc w:val="left"/>
      <w:pPr>
        <w:ind w:left="6480" w:hanging="360"/>
      </w:pPr>
      <w:rPr>
        <w:rFonts w:ascii="Wingdings" w:hAnsi="Wingdings" w:hint="default"/>
      </w:rPr>
    </w:lvl>
  </w:abstractNum>
  <w:abstractNum w:abstractNumId="15">
    <w:nsid w:val="209B06EA"/>
    <w:multiLevelType w:val="hybridMultilevel"/>
    <w:tmpl w:val="F7C8771E"/>
    <w:lvl w:ilvl="0" w:tplc="482C2BB2">
      <w:start w:val="1"/>
      <w:numFmt w:val="bullet"/>
      <w:lvlText w:val=""/>
      <w:lvlJc w:val="left"/>
      <w:pPr>
        <w:ind w:left="720" w:hanging="360"/>
      </w:pPr>
      <w:rPr>
        <w:rFonts w:ascii="Symbol" w:hAnsi="Symbol" w:hint="default"/>
      </w:rPr>
    </w:lvl>
    <w:lvl w:ilvl="1" w:tplc="C5A008AE" w:tentative="1">
      <w:start w:val="1"/>
      <w:numFmt w:val="bullet"/>
      <w:lvlText w:val="o"/>
      <w:lvlJc w:val="left"/>
      <w:pPr>
        <w:ind w:left="1440" w:hanging="360"/>
      </w:pPr>
      <w:rPr>
        <w:rFonts w:ascii="Courier New" w:hAnsi="Courier New" w:cs="Courier New" w:hint="default"/>
      </w:rPr>
    </w:lvl>
    <w:lvl w:ilvl="2" w:tplc="6BA046AE" w:tentative="1">
      <w:start w:val="1"/>
      <w:numFmt w:val="bullet"/>
      <w:lvlText w:val=""/>
      <w:lvlJc w:val="left"/>
      <w:pPr>
        <w:ind w:left="2160" w:hanging="360"/>
      </w:pPr>
      <w:rPr>
        <w:rFonts w:ascii="Wingdings" w:hAnsi="Wingdings" w:hint="default"/>
      </w:rPr>
    </w:lvl>
    <w:lvl w:ilvl="3" w:tplc="06D0CFB0" w:tentative="1">
      <w:start w:val="1"/>
      <w:numFmt w:val="bullet"/>
      <w:lvlText w:val=""/>
      <w:lvlJc w:val="left"/>
      <w:pPr>
        <w:ind w:left="2880" w:hanging="360"/>
      </w:pPr>
      <w:rPr>
        <w:rFonts w:ascii="Symbol" w:hAnsi="Symbol" w:hint="default"/>
      </w:rPr>
    </w:lvl>
    <w:lvl w:ilvl="4" w:tplc="4B02110A" w:tentative="1">
      <w:start w:val="1"/>
      <w:numFmt w:val="bullet"/>
      <w:lvlText w:val="o"/>
      <w:lvlJc w:val="left"/>
      <w:pPr>
        <w:ind w:left="3600" w:hanging="360"/>
      </w:pPr>
      <w:rPr>
        <w:rFonts w:ascii="Courier New" w:hAnsi="Courier New" w:cs="Courier New" w:hint="default"/>
      </w:rPr>
    </w:lvl>
    <w:lvl w:ilvl="5" w:tplc="EFFE6BB2" w:tentative="1">
      <w:start w:val="1"/>
      <w:numFmt w:val="bullet"/>
      <w:lvlText w:val=""/>
      <w:lvlJc w:val="left"/>
      <w:pPr>
        <w:ind w:left="4320" w:hanging="360"/>
      </w:pPr>
      <w:rPr>
        <w:rFonts w:ascii="Wingdings" w:hAnsi="Wingdings" w:hint="default"/>
      </w:rPr>
    </w:lvl>
    <w:lvl w:ilvl="6" w:tplc="E7E2644A" w:tentative="1">
      <w:start w:val="1"/>
      <w:numFmt w:val="bullet"/>
      <w:lvlText w:val=""/>
      <w:lvlJc w:val="left"/>
      <w:pPr>
        <w:ind w:left="5040" w:hanging="360"/>
      </w:pPr>
      <w:rPr>
        <w:rFonts w:ascii="Symbol" w:hAnsi="Symbol" w:hint="default"/>
      </w:rPr>
    </w:lvl>
    <w:lvl w:ilvl="7" w:tplc="D74610CC" w:tentative="1">
      <w:start w:val="1"/>
      <w:numFmt w:val="bullet"/>
      <w:lvlText w:val="o"/>
      <w:lvlJc w:val="left"/>
      <w:pPr>
        <w:ind w:left="5760" w:hanging="360"/>
      </w:pPr>
      <w:rPr>
        <w:rFonts w:ascii="Courier New" w:hAnsi="Courier New" w:cs="Courier New" w:hint="default"/>
      </w:rPr>
    </w:lvl>
    <w:lvl w:ilvl="8" w:tplc="A61285FC" w:tentative="1">
      <w:start w:val="1"/>
      <w:numFmt w:val="bullet"/>
      <w:lvlText w:val=""/>
      <w:lvlJc w:val="left"/>
      <w:pPr>
        <w:ind w:left="6480" w:hanging="360"/>
      </w:pPr>
      <w:rPr>
        <w:rFonts w:ascii="Wingdings" w:hAnsi="Wingdings" w:hint="default"/>
      </w:rPr>
    </w:lvl>
  </w:abstractNum>
  <w:abstractNum w:abstractNumId="16">
    <w:nsid w:val="215C0DD5"/>
    <w:multiLevelType w:val="hybridMultilevel"/>
    <w:tmpl w:val="A0CAD0EE"/>
    <w:lvl w:ilvl="0" w:tplc="589A62AC">
      <w:start w:val="1"/>
      <w:numFmt w:val="bullet"/>
      <w:lvlText w:val=""/>
      <w:lvlJc w:val="left"/>
      <w:pPr>
        <w:ind w:left="720" w:hanging="360"/>
      </w:pPr>
      <w:rPr>
        <w:rFonts w:ascii="Symbol" w:hAnsi="Symbol" w:hint="default"/>
      </w:rPr>
    </w:lvl>
    <w:lvl w:ilvl="1" w:tplc="F522B75C" w:tentative="1">
      <w:start w:val="1"/>
      <w:numFmt w:val="bullet"/>
      <w:lvlText w:val="o"/>
      <w:lvlJc w:val="left"/>
      <w:pPr>
        <w:ind w:left="1440" w:hanging="360"/>
      </w:pPr>
      <w:rPr>
        <w:rFonts w:ascii="Courier New" w:hAnsi="Courier New" w:cs="Courier New" w:hint="default"/>
      </w:rPr>
    </w:lvl>
    <w:lvl w:ilvl="2" w:tplc="C98A5A34" w:tentative="1">
      <w:start w:val="1"/>
      <w:numFmt w:val="bullet"/>
      <w:lvlText w:val=""/>
      <w:lvlJc w:val="left"/>
      <w:pPr>
        <w:ind w:left="2160" w:hanging="360"/>
      </w:pPr>
      <w:rPr>
        <w:rFonts w:ascii="Wingdings" w:hAnsi="Wingdings" w:hint="default"/>
      </w:rPr>
    </w:lvl>
    <w:lvl w:ilvl="3" w:tplc="F4922444" w:tentative="1">
      <w:start w:val="1"/>
      <w:numFmt w:val="bullet"/>
      <w:lvlText w:val=""/>
      <w:lvlJc w:val="left"/>
      <w:pPr>
        <w:ind w:left="2880" w:hanging="360"/>
      </w:pPr>
      <w:rPr>
        <w:rFonts w:ascii="Symbol" w:hAnsi="Symbol" w:hint="default"/>
      </w:rPr>
    </w:lvl>
    <w:lvl w:ilvl="4" w:tplc="A0A667C6" w:tentative="1">
      <w:start w:val="1"/>
      <w:numFmt w:val="bullet"/>
      <w:lvlText w:val="o"/>
      <w:lvlJc w:val="left"/>
      <w:pPr>
        <w:ind w:left="3600" w:hanging="360"/>
      </w:pPr>
      <w:rPr>
        <w:rFonts w:ascii="Courier New" w:hAnsi="Courier New" w:cs="Courier New" w:hint="default"/>
      </w:rPr>
    </w:lvl>
    <w:lvl w:ilvl="5" w:tplc="88F0FAFE" w:tentative="1">
      <w:start w:val="1"/>
      <w:numFmt w:val="bullet"/>
      <w:lvlText w:val=""/>
      <w:lvlJc w:val="left"/>
      <w:pPr>
        <w:ind w:left="4320" w:hanging="360"/>
      </w:pPr>
      <w:rPr>
        <w:rFonts w:ascii="Wingdings" w:hAnsi="Wingdings" w:hint="default"/>
      </w:rPr>
    </w:lvl>
    <w:lvl w:ilvl="6" w:tplc="700CFFD4" w:tentative="1">
      <w:start w:val="1"/>
      <w:numFmt w:val="bullet"/>
      <w:lvlText w:val=""/>
      <w:lvlJc w:val="left"/>
      <w:pPr>
        <w:ind w:left="5040" w:hanging="360"/>
      </w:pPr>
      <w:rPr>
        <w:rFonts w:ascii="Symbol" w:hAnsi="Symbol" w:hint="default"/>
      </w:rPr>
    </w:lvl>
    <w:lvl w:ilvl="7" w:tplc="FE40A688" w:tentative="1">
      <w:start w:val="1"/>
      <w:numFmt w:val="bullet"/>
      <w:lvlText w:val="o"/>
      <w:lvlJc w:val="left"/>
      <w:pPr>
        <w:ind w:left="5760" w:hanging="360"/>
      </w:pPr>
      <w:rPr>
        <w:rFonts w:ascii="Courier New" w:hAnsi="Courier New" w:cs="Courier New" w:hint="default"/>
      </w:rPr>
    </w:lvl>
    <w:lvl w:ilvl="8" w:tplc="5CD0EC9E" w:tentative="1">
      <w:start w:val="1"/>
      <w:numFmt w:val="bullet"/>
      <w:lvlText w:val=""/>
      <w:lvlJc w:val="left"/>
      <w:pPr>
        <w:ind w:left="6480" w:hanging="360"/>
      </w:pPr>
      <w:rPr>
        <w:rFonts w:ascii="Wingdings" w:hAnsi="Wingdings" w:hint="default"/>
      </w:rPr>
    </w:lvl>
  </w:abstractNum>
  <w:abstractNum w:abstractNumId="17">
    <w:nsid w:val="227359D2"/>
    <w:multiLevelType w:val="hybridMultilevel"/>
    <w:tmpl w:val="D7567BAE"/>
    <w:lvl w:ilvl="0" w:tplc="9FAAD372">
      <w:start w:val="1"/>
      <w:numFmt w:val="decimal"/>
      <w:lvlText w:val="3.%1."/>
      <w:lvlJc w:val="left"/>
      <w:pPr>
        <w:ind w:left="630" w:hanging="360"/>
      </w:pPr>
      <w:rPr>
        <w:rFonts w:hint="default"/>
        <w:b w:val="0"/>
      </w:rPr>
    </w:lvl>
    <w:lvl w:ilvl="1" w:tplc="78EE9DB0">
      <w:start w:val="1"/>
      <w:numFmt w:val="decimal"/>
      <w:lvlText w:val="1.%2."/>
      <w:lvlJc w:val="left"/>
      <w:pPr>
        <w:ind w:left="1350" w:hanging="360"/>
      </w:pPr>
      <w:rPr>
        <w:rFonts w:hint="default"/>
        <w:b w:val="0"/>
      </w:rPr>
    </w:lvl>
    <w:lvl w:ilvl="2" w:tplc="1448515A" w:tentative="1">
      <w:start w:val="1"/>
      <w:numFmt w:val="lowerRoman"/>
      <w:lvlText w:val="%3."/>
      <w:lvlJc w:val="right"/>
      <w:pPr>
        <w:ind w:left="2070" w:hanging="180"/>
      </w:pPr>
    </w:lvl>
    <w:lvl w:ilvl="3" w:tplc="4A7E341E" w:tentative="1">
      <w:start w:val="1"/>
      <w:numFmt w:val="decimal"/>
      <w:lvlText w:val="%4."/>
      <w:lvlJc w:val="left"/>
      <w:pPr>
        <w:ind w:left="2790" w:hanging="360"/>
      </w:pPr>
    </w:lvl>
    <w:lvl w:ilvl="4" w:tplc="D1A09D40" w:tentative="1">
      <w:start w:val="1"/>
      <w:numFmt w:val="lowerLetter"/>
      <w:lvlText w:val="%5."/>
      <w:lvlJc w:val="left"/>
      <w:pPr>
        <w:ind w:left="3510" w:hanging="360"/>
      </w:pPr>
    </w:lvl>
    <w:lvl w:ilvl="5" w:tplc="47085F90" w:tentative="1">
      <w:start w:val="1"/>
      <w:numFmt w:val="lowerRoman"/>
      <w:lvlText w:val="%6."/>
      <w:lvlJc w:val="right"/>
      <w:pPr>
        <w:ind w:left="4230" w:hanging="180"/>
      </w:pPr>
    </w:lvl>
    <w:lvl w:ilvl="6" w:tplc="A1FE2FA4" w:tentative="1">
      <w:start w:val="1"/>
      <w:numFmt w:val="decimal"/>
      <w:lvlText w:val="%7."/>
      <w:lvlJc w:val="left"/>
      <w:pPr>
        <w:ind w:left="4950" w:hanging="360"/>
      </w:pPr>
    </w:lvl>
    <w:lvl w:ilvl="7" w:tplc="1A36D3B4" w:tentative="1">
      <w:start w:val="1"/>
      <w:numFmt w:val="lowerLetter"/>
      <w:lvlText w:val="%8."/>
      <w:lvlJc w:val="left"/>
      <w:pPr>
        <w:ind w:left="5670" w:hanging="360"/>
      </w:pPr>
    </w:lvl>
    <w:lvl w:ilvl="8" w:tplc="3466B21E" w:tentative="1">
      <w:start w:val="1"/>
      <w:numFmt w:val="lowerRoman"/>
      <w:lvlText w:val="%9."/>
      <w:lvlJc w:val="right"/>
      <w:pPr>
        <w:ind w:left="6390" w:hanging="180"/>
      </w:pPr>
    </w:lvl>
  </w:abstractNum>
  <w:abstractNum w:abstractNumId="18">
    <w:nsid w:val="25BD6E8C"/>
    <w:multiLevelType w:val="hybridMultilevel"/>
    <w:tmpl w:val="6E90F824"/>
    <w:lvl w:ilvl="0" w:tplc="3A50651C">
      <w:start w:val="1"/>
      <w:numFmt w:val="bullet"/>
      <w:lvlText w:val=""/>
      <w:lvlJc w:val="left"/>
      <w:pPr>
        <w:ind w:left="720" w:hanging="360"/>
      </w:pPr>
      <w:rPr>
        <w:rFonts w:ascii="Symbol" w:hAnsi="Symbol" w:hint="default"/>
      </w:rPr>
    </w:lvl>
    <w:lvl w:ilvl="1" w:tplc="7026DFEA" w:tentative="1">
      <w:start w:val="1"/>
      <w:numFmt w:val="bullet"/>
      <w:lvlText w:val="o"/>
      <w:lvlJc w:val="left"/>
      <w:pPr>
        <w:ind w:left="1440" w:hanging="360"/>
      </w:pPr>
      <w:rPr>
        <w:rFonts w:ascii="Courier New" w:hAnsi="Courier New" w:cs="Courier New" w:hint="default"/>
      </w:rPr>
    </w:lvl>
    <w:lvl w:ilvl="2" w:tplc="9112ED4C" w:tentative="1">
      <w:start w:val="1"/>
      <w:numFmt w:val="bullet"/>
      <w:lvlText w:val=""/>
      <w:lvlJc w:val="left"/>
      <w:pPr>
        <w:ind w:left="2160" w:hanging="360"/>
      </w:pPr>
      <w:rPr>
        <w:rFonts w:ascii="Wingdings" w:hAnsi="Wingdings" w:hint="default"/>
      </w:rPr>
    </w:lvl>
    <w:lvl w:ilvl="3" w:tplc="0CEAAFDC" w:tentative="1">
      <w:start w:val="1"/>
      <w:numFmt w:val="bullet"/>
      <w:lvlText w:val=""/>
      <w:lvlJc w:val="left"/>
      <w:pPr>
        <w:ind w:left="2880" w:hanging="360"/>
      </w:pPr>
      <w:rPr>
        <w:rFonts w:ascii="Symbol" w:hAnsi="Symbol" w:hint="default"/>
      </w:rPr>
    </w:lvl>
    <w:lvl w:ilvl="4" w:tplc="02EEB206" w:tentative="1">
      <w:start w:val="1"/>
      <w:numFmt w:val="bullet"/>
      <w:lvlText w:val="o"/>
      <w:lvlJc w:val="left"/>
      <w:pPr>
        <w:ind w:left="3600" w:hanging="360"/>
      </w:pPr>
      <w:rPr>
        <w:rFonts w:ascii="Courier New" w:hAnsi="Courier New" w:cs="Courier New" w:hint="default"/>
      </w:rPr>
    </w:lvl>
    <w:lvl w:ilvl="5" w:tplc="2360A4B8" w:tentative="1">
      <w:start w:val="1"/>
      <w:numFmt w:val="bullet"/>
      <w:lvlText w:val=""/>
      <w:lvlJc w:val="left"/>
      <w:pPr>
        <w:ind w:left="4320" w:hanging="360"/>
      </w:pPr>
      <w:rPr>
        <w:rFonts w:ascii="Wingdings" w:hAnsi="Wingdings" w:hint="default"/>
      </w:rPr>
    </w:lvl>
    <w:lvl w:ilvl="6" w:tplc="B666F1DE" w:tentative="1">
      <w:start w:val="1"/>
      <w:numFmt w:val="bullet"/>
      <w:lvlText w:val=""/>
      <w:lvlJc w:val="left"/>
      <w:pPr>
        <w:ind w:left="5040" w:hanging="360"/>
      </w:pPr>
      <w:rPr>
        <w:rFonts w:ascii="Symbol" w:hAnsi="Symbol" w:hint="default"/>
      </w:rPr>
    </w:lvl>
    <w:lvl w:ilvl="7" w:tplc="7F7C40C8" w:tentative="1">
      <w:start w:val="1"/>
      <w:numFmt w:val="bullet"/>
      <w:lvlText w:val="o"/>
      <w:lvlJc w:val="left"/>
      <w:pPr>
        <w:ind w:left="5760" w:hanging="360"/>
      </w:pPr>
      <w:rPr>
        <w:rFonts w:ascii="Courier New" w:hAnsi="Courier New" w:cs="Courier New" w:hint="default"/>
      </w:rPr>
    </w:lvl>
    <w:lvl w:ilvl="8" w:tplc="8D72C36C" w:tentative="1">
      <w:start w:val="1"/>
      <w:numFmt w:val="bullet"/>
      <w:lvlText w:val=""/>
      <w:lvlJc w:val="left"/>
      <w:pPr>
        <w:ind w:left="6480" w:hanging="360"/>
      </w:pPr>
      <w:rPr>
        <w:rFonts w:ascii="Wingdings" w:hAnsi="Wingdings" w:hint="default"/>
      </w:rPr>
    </w:lvl>
  </w:abstractNum>
  <w:abstractNum w:abstractNumId="19">
    <w:nsid w:val="263E52B0"/>
    <w:multiLevelType w:val="multilevel"/>
    <w:tmpl w:val="198EE176"/>
    <w:lvl w:ilvl="0">
      <w:start w:val="4"/>
      <w:numFmt w:val="decimal"/>
      <w:lvlText w:val="%1"/>
      <w:lvlJc w:val="left"/>
      <w:pPr>
        <w:ind w:left="360" w:hanging="360"/>
      </w:pPr>
      <w:rPr>
        <w:rFonts w:hint="default"/>
        <w:b/>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288" w:hanging="72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932" w:hanging="108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20">
    <w:nsid w:val="272913F4"/>
    <w:multiLevelType w:val="hybridMultilevel"/>
    <w:tmpl w:val="4448FABE"/>
    <w:lvl w:ilvl="0" w:tplc="47980E9C">
      <w:start w:val="1"/>
      <w:numFmt w:val="bullet"/>
      <w:lvlText w:val=""/>
      <w:lvlJc w:val="left"/>
      <w:pPr>
        <w:tabs>
          <w:tab w:val="num" w:pos="1428"/>
        </w:tabs>
        <w:ind w:left="1428" w:hanging="360"/>
      </w:pPr>
      <w:rPr>
        <w:rFonts w:ascii="Wingdings" w:hAnsi="Wingdings" w:hint="default"/>
        <w:sz w:val="20"/>
      </w:rPr>
    </w:lvl>
    <w:lvl w:ilvl="1" w:tplc="D0749DA2">
      <w:start w:val="1"/>
      <w:numFmt w:val="bullet"/>
      <w:lvlText w:val="o"/>
      <w:lvlJc w:val="left"/>
      <w:pPr>
        <w:tabs>
          <w:tab w:val="num" w:pos="2148"/>
        </w:tabs>
        <w:ind w:left="2148" w:hanging="360"/>
      </w:pPr>
      <w:rPr>
        <w:rFonts w:ascii="Courier New" w:hAnsi="Courier New" w:cs="Times New Roman" w:hint="default"/>
      </w:rPr>
    </w:lvl>
    <w:lvl w:ilvl="2" w:tplc="F7367C82">
      <w:start w:val="1"/>
      <w:numFmt w:val="bullet"/>
      <w:lvlText w:val=""/>
      <w:lvlJc w:val="left"/>
      <w:pPr>
        <w:tabs>
          <w:tab w:val="num" w:pos="2868"/>
        </w:tabs>
        <w:ind w:left="2868" w:hanging="360"/>
      </w:pPr>
      <w:rPr>
        <w:rFonts w:ascii="Wingdings" w:hAnsi="Wingdings" w:hint="default"/>
      </w:rPr>
    </w:lvl>
    <w:lvl w:ilvl="3" w:tplc="13F04916">
      <w:start w:val="1"/>
      <w:numFmt w:val="bullet"/>
      <w:lvlText w:val=""/>
      <w:lvlJc w:val="left"/>
      <w:pPr>
        <w:tabs>
          <w:tab w:val="num" w:pos="3588"/>
        </w:tabs>
        <w:ind w:left="3588" w:hanging="360"/>
      </w:pPr>
      <w:rPr>
        <w:rFonts w:ascii="Symbol" w:hAnsi="Symbol" w:hint="default"/>
      </w:rPr>
    </w:lvl>
    <w:lvl w:ilvl="4" w:tplc="309AE286">
      <w:start w:val="1"/>
      <w:numFmt w:val="bullet"/>
      <w:lvlText w:val="o"/>
      <w:lvlJc w:val="left"/>
      <w:pPr>
        <w:tabs>
          <w:tab w:val="num" w:pos="4308"/>
        </w:tabs>
        <w:ind w:left="4308" w:hanging="360"/>
      </w:pPr>
      <w:rPr>
        <w:rFonts w:ascii="Courier New" w:hAnsi="Courier New" w:cs="Times New Roman" w:hint="default"/>
      </w:rPr>
    </w:lvl>
    <w:lvl w:ilvl="5" w:tplc="EA320B06">
      <w:start w:val="1"/>
      <w:numFmt w:val="bullet"/>
      <w:lvlText w:val=""/>
      <w:lvlJc w:val="left"/>
      <w:pPr>
        <w:tabs>
          <w:tab w:val="num" w:pos="5028"/>
        </w:tabs>
        <w:ind w:left="5028" w:hanging="360"/>
      </w:pPr>
      <w:rPr>
        <w:rFonts w:ascii="Wingdings" w:hAnsi="Wingdings" w:hint="default"/>
      </w:rPr>
    </w:lvl>
    <w:lvl w:ilvl="6" w:tplc="5F20E5AA">
      <w:start w:val="1"/>
      <w:numFmt w:val="bullet"/>
      <w:lvlText w:val=""/>
      <w:lvlJc w:val="left"/>
      <w:pPr>
        <w:tabs>
          <w:tab w:val="num" w:pos="5748"/>
        </w:tabs>
        <w:ind w:left="5748" w:hanging="360"/>
      </w:pPr>
      <w:rPr>
        <w:rFonts w:ascii="Symbol" w:hAnsi="Symbol" w:hint="default"/>
      </w:rPr>
    </w:lvl>
    <w:lvl w:ilvl="7" w:tplc="71C29520">
      <w:start w:val="1"/>
      <w:numFmt w:val="bullet"/>
      <w:lvlText w:val="o"/>
      <w:lvlJc w:val="left"/>
      <w:pPr>
        <w:tabs>
          <w:tab w:val="num" w:pos="6468"/>
        </w:tabs>
        <w:ind w:left="6468" w:hanging="360"/>
      </w:pPr>
      <w:rPr>
        <w:rFonts w:ascii="Courier New" w:hAnsi="Courier New" w:cs="Times New Roman" w:hint="default"/>
      </w:rPr>
    </w:lvl>
    <w:lvl w:ilvl="8" w:tplc="67A6D338">
      <w:start w:val="1"/>
      <w:numFmt w:val="bullet"/>
      <w:lvlText w:val=""/>
      <w:lvlJc w:val="left"/>
      <w:pPr>
        <w:tabs>
          <w:tab w:val="num" w:pos="7188"/>
        </w:tabs>
        <w:ind w:left="7188" w:hanging="360"/>
      </w:pPr>
      <w:rPr>
        <w:rFonts w:ascii="Wingdings" w:hAnsi="Wingdings" w:hint="default"/>
      </w:rPr>
    </w:lvl>
  </w:abstractNum>
  <w:abstractNum w:abstractNumId="21">
    <w:nsid w:val="27AD465C"/>
    <w:multiLevelType w:val="hybridMultilevel"/>
    <w:tmpl w:val="EB3CDDC6"/>
    <w:lvl w:ilvl="0" w:tplc="E56872D4">
      <w:start w:val="1"/>
      <w:numFmt w:val="decimal"/>
      <w:lvlText w:val="1.%1."/>
      <w:lvlJc w:val="left"/>
      <w:pPr>
        <w:ind w:left="720" w:hanging="360"/>
      </w:pPr>
      <w:rPr>
        <w:rFonts w:hint="default"/>
        <w:b w:val="0"/>
      </w:rPr>
    </w:lvl>
    <w:lvl w:ilvl="1" w:tplc="B76059E4">
      <w:start w:val="1"/>
      <w:numFmt w:val="lowerLetter"/>
      <w:lvlText w:val="%2."/>
      <w:lvlJc w:val="left"/>
      <w:pPr>
        <w:ind w:left="1440" w:hanging="360"/>
      </w:pPr>
    </w:lvl>
    <w:lvl w:ilvl="2" w:tplc="055CF854" w:tentative="1">
      <w:start w:val="1"/>
      <w:numFmt w:val="lowerRoman"/>
      <w:lvlText w:val="%3."/>
      <w:lvlJc w:val="right"/>
      <w:pPr>
        <w:ind w:left="2160" w:hanging="180"/>
      </w:pPr>
    </w:lvl>
    <w:lvl w:ilvl="3" w:tplc="46466258" w:tentative="1">
      <w:start w:val="1"/>
      <w:numFmt w:val="decimal"/>
      <w:lvlText w:val="%4."/>
      <w:lvlJc w:val="left"/>
      <w:pPr>
        <w:ind w:left="2880" w:hanging="360"/>
      </w:pPr>
    </w:lvl>
    <w:lvl w:ilvl="4" w:tplc="3DB014EE" w:tentative="1">
      <w:start w:val="1"/>
      <w:numFmt w:val="lowerLetter"/>
      <w:lvlText w:val="%5."/>
      <w:lvlJc w:val="left"/>
      <w:pPr>
        <w:ind w:left="3600" w:hanging="360"/>
      </w:pPr>
    </w:lvl>
    <w:lvl w:ilvl="5" w:tplc="2E967D36" w:tentative="1">
      <w:start w:val="1"/>
      <w:numFmt w:val="lowerRoman"/>
      <w:lvlText w:val="%6."/>
      <w:lvlJc w:val="right"/>
      <w:pPr>
        <w:ind w:left="4320" w:hanging="180"/>
      </w:pPr>
    </w:lvl>
    <w:lvl w:ilvl="6" w:tplc="F252F154" w:tentative="1">
      <w:start w:val="1"/>
      <w:numFmt w:val="decimal"/>
      <w:lvlText w:val="%7."/>
      <w:lvlJc w:val="left"/>
      <w:pPr>
        <w:ind w:left="5040" w:hanging="360"/>
      </w:pPr>
    </w:lvl>
    <w:lvl w:ilvl="7" w:tplc="E572F83C" w:tentative="1">
      <w:start w:val="1"/>
      <w:numFmt w:val="lowerLetter"/>
      <w:lvlText w:val="%8."/>
      <w:lvlJc w:val="left"/>
      <w:pPr>
        <w:ind w:left="5760" w:hanging="360"/>
      </w:pPr>
    </w:lvl>
    <w:lvl w:ilvl="8" w:tplc="BC580FCC" w:tentative="1">
      <w:start w:val="1"/>
      <w:numFmt w:val="lowerRoman"/>
      <w:lvlText w:val="%9."/>
      <w:lvlJc w:val="right"/>
      <w:pPr>
        <w:ind w:left="6480" w:hanging="180"/>
      </w:pPr>
    </w:lvl>
  </w:abstractNum>
  <w:abstractNum w:abstractNumId="22">
    <w:nsid w:val="28020443"/>
    <w:multiLevelType w:val="hybridMultilevel"/>
    <w:tmpl w:val="80804470"/>
    <w:lvl w:ilvl="0" w:tplc="671C1CFA">
      <w:start w:val="1"/>
      <w:numFmt w:val="decimal"/>
      <w:lvlText w:val="2.%1."/>
      <w:lvlJc w:val="left"/>
      <w:pPr>
        <w:ind w:left="862" w:hanging="360"/>
      </w:pPr>
      <w:rPr>
        <w:rFonts w:hint="default"/>
        <w:b w:val="0"/>
      </w:rPr>
    </w:lvl>
    <w:lvl w:ilvl="1" w:tplc="11AA19F8" w:tentative="1">
      <w:start w:val="1"/>
      <w:numFmt w:val="lowerLetter"/>
      <w:lvlText w:val="%2."/>
      <w:lvlJc w:val="left"/>
      <w:pPr>
        <w:ind w:left="1582" w:hanging="360"/>
      </w:pPr>
    </w:lvl>
    <w:lvl w:ilvl="2" w:tplc="986AB708" w:tentative="1">
      <w:start w:val="1"/>
      <w:numFmt w:val="lowerRoman"/>
      <w:lvlText w:val="%3."/>
      <w:lvlJc w:val="right"/>
      <w:pPr>
        <w:ind w:left="2302" w:hanging="180"/>
      </w:pPr>
    </w:lvl>
    <w:lvl w:ilvl="3" w:tplc="4F2CA00A" w:tentative="1">
      <w:start w:val="1"/>
      <w:numFmt w:val="decimal"/>
      <w:lvlText w:val="%4."/>
      <w:lvlJc w:val="left"/>
      <w:pPr>
        <w:ind w:left="3022" w:hanging="360"/>
      </w:pPr>
    </w:lvl>
    <w:lvl w:ilvl="4" w:tplc="27569B50" w:tentative="1">
      <w:start w:val="1"/>
      <w:numFmt w:val="lowerLetter"/>
      <w:lvlText w:val="%5."/>
      <w:lvlJc w:val="left"/>
      <w:pPr>
        <w:ind w:left="3742" w:hanging="360"/>
      </w:pPr>
    </w:lvl>
    <w:lvl w:ilvl="5" w:tplc="CFAA5CCC" w:tentative="1">
      <w:start w:val="1"/>
      <w:numFmt w:val="lowerRoman"/>
      <w:lvlText w:val="%6."/>
      <w:lvlJc w:val="right"/>
      <w:pPr>
        <w:ind w:left="4462" w:hanging="180"/>
      </w:pPr>
    </w:lvl>
    <w:lvl w:ilvl="6" w:tplc="8A3A36AA" w:tentative="1">
      <w:start w:val="1"/>
      <w:numFmt w:val="decimal"/>
      <w:lvlText w:val="%7."/>
      <w:lvlJc w:val="left"/>
      <w:pPr>
        <w:ind w:left="5182" w:hanging="360"/>
      </w:pPr>
    </w:lvl>
    <w:lvl w:ilvl="7" w:tplc="6180D752" w:tentative="1">
      <w:start w:val="1"/>
      <w:numFmt w:val="lowerLetter"/>
      <w:lvlText w:val="%8."/>
      <w:lvlJc w:val="left"/>
      <w:pPr>
        <w:ind w:left="5902" w:hanging="360"/>
      </w:pPr>
    </w:lvl>
    <w:lvl w:ilvl="8" w:tplc="DE2E0644" w:tentative="1">
      <w:start w:val="1"/>
      <w:numFmt w:val="lowerRoman"/>
      <w:lvlText w:val="%9."/>
      <w:lvlJc w:val="right"/>
      <w:pPr>
        <w:ind w:left="6622" w:hanging="180"/>
      </w:pPr>
    </w:lvl>
  </w:abstractNum>
  <w:abstractNum w:abstractNumId="23">
    <w:nsid w:val="28753DD9"/>
    <w:multiLevelType w:val="hybridMultilevel"/>
    <w:tmpl w:val="D82CBFFC"/>
    <w:lvl w:ilvl="0" w:tplc="3E62AD42">
      <w:start w:val="1"/>
      <w:numFmt w:val="bullet"/>
      <w:lvlText w:val=""/>
      <w:lvlJc w:val="left"/>
      <w:pPr>
        <w:ind w:left="720" w:hanging="360"/>
      </w:pPr>
      <w:rPr>
        <w:rFonts w:ascii="Symbol" w:hAnsi="Symbol" w:hint="default"/>
      </w:rPr>
    </w:lvl>
    <w:lvl w:ilvl="1" w:tplc="6BA62852" w:tentative="1">
      <w:start w:val="1"/>
      <w:numFmt w:val="bullet"/>
      <w:lvlText w:val="o"/>
      <w:lvlJc w:val="left"/>
      <w:pPr>
        <w:ind w:left="1440" w:hanging="360"/>
      </w:pPr>
      <w:rPr>
        <w:rFonts w:ascii="Courier New" w:hAnsi="Courier New" w:cs="Courier New" w:hint="default"/>
      </w:rPr>
    </w:lvl>
    <w:lvl w:ilvl="2" w:tplc="4F5E5136" w:tentative="1">
      <w:start w:val="1"/>
      <w:numFmt w:val="bullet"/>
      <w:lvlText w:val=""/>
      <w:lvlJc w:val="left"/>
      <w:pPr>
        <w:ind w:left="2160" w:hanging="360"/>
      </w:pPr>
      <w:rPr>
        <w:rFonts w:ascii="Wingdings" w:hAnsi="Wingdings" w:hint="default"/>
      </w:rPr>
    </w:lvl>
    <w:lvl w:ilvl="3" w:tplc="120474F4" w:tentative="1">
      <w:start w:val="1"/>
      <w:numFmt w:val="bullet"/>
      <w:lvlText w:val=""/>
      <w:lvlJc w:val="left"/>
      <w:pPr>
        <w:ind w:left="2880" w:hanging="360"/>
      </w:pPr>
      <w:rPr>
        <w:rFonts w:ascii="Symbol" w:hAnsi="Symbol" w:hint="default"/>
      </w:rPr>
    </w:lvl>
    <w:lvl w:ilvl="4" w:tplc="3586C48C" w:tentative="1">
      <w:start w:val="1"/>
      <w:numFmt w:val="bullet"/>
      <w:lvlText w:val="o"/>
      <w:lvlJc w:val="left"/>
      <w:pPr>
        <w:ind w:left="3600" w:hanging="360"/>
      </w:pPr>
      <w:rPr>
        <w:rFonts w:ascii="Courier New" w:hAnsi="Courier New" w:cs="Courier New" w:hint="default"/>
      </w:rPr>
    </w:lvl>
    <w:lvl w:ilvl="5" w:tplc="BA027428" w:tentative="1">
      <w:start w:val="1"/>
      <w:numFmt w:val="bullet"/>
      <w:lvlText w:val=""/>
      <w:lvlJc w:val="left"/>
      <w:pPr>
        <w:ind w:left="4320" w:hanging="360"/>
      </w:pPr>
      <w:rPr>
        <w:rFonts w:ascii="Wingdings" w:hAnsi="Wingdings" w:hint="default"/>
      </w:rPr>
    </w:lvl>
    <w:lvl w:ilvl="6" w:tplc="A7E6D426" w:tentative="1">
      <w:start w:val="1"/>
      <w:numFmt w:val="bullet"/>
      <w:lvlText w:val=""/>
      <w:lvlJc w:val="left"/>
      <w:pPr>
        <w:ind w:left="5040" w:hanging="360"/>
      </w:pPr>
      <w:rPr>
        <w:rFonts w:ascii="Symbol" w:hAnsi="Symbol" w:hint="default"/>
      </w:rPr>
    </w:lvl>
    <w:lvl w:ilvl="7" w:tplc="5642814E" w:tentative="1">
      <w:start w:val="1"/>
      <w:numFmt w:val="bullet"/>
      <w:lvlText w:val="o"/>
      <w:lvlJc w:val="left"/>
      <w:pPr>
        <w:ind w:left="5760" w:hanging="360"/>
      </w:pPr>
      <w:rPr>
        <w:rFonts w:ascii="Courier New" w:hAnsi="Courier New" w:cs="Courier New" w:hint="default"/>
      </w:rPr>
    </w:lvl>
    <w:lvl w:ilvl="8" w:tplc="0D2CC0C2" w:tentative="1">
      <w:start w:val="1"/>
      <w:numFmt w:val="bullet"/>
      <w:lvlText w:val=""/>
      <w:lvlJc w:val="left"/>
      <w:pPr>
        <w:ind w:left="6480" w:hanging="360"/>
      </w:pPr>
      <w:rPr>
        <w:rFonts w:ascii="Wingdings" w:hAnsi="Wingdings" w:hint="default"/>
      </w:rPr>
    </w:lvl>
  </w:abstractNum>
  <w:abstractNum w:abstractNumId="24">
    <w:nsid w:val="291A1593"/>
    <w:multiLevelType w:val="hybridMultilevel"/>
    <w:tmpl w:val="BF8610A8"/>
    <w:lvl w:ilvl="0" w:tplc="886C059C">
      <w:start w:val="1"/>
      <w:numFmt w:val="bullet"/>
      <w:lvlText w:val=""/>
      <w:lvlJc w:val="left"/>
      <w:pPr>
        <w:ind w:left="720" w:hanging="360"/>
      </w:pPr>
      <w:rPr>
        <w:rFonts w:ascii="Symbol" w:hAnsi="Symbol" w:hint="default"/>
      </w:rPr>
    </w:lvl>
    <w:lvl w:ilvl="1" w:tplc="6A666788" w:tentative="1">
      <w:start w:val="1"/>
      <w:numFmt w:val="bullet"/>
      <w:lvlText w:val="o"/>
      <w:lvlJc w:val="left"/>
      <w:pPr>
        <w:ind w:left="1440" w:hanging="360"/>
      </w:pPr>
      <w:rPr>
        <w:rFonts w:ascii="Courier New" w:hAnsi="Courier New" w:cs="Courier New" w:hint="default"/>
      </w:rPr>
    </w:lvl>
    <w:lvl w:ilvl="2" w:tplc="327C4624" w:tentative="1">
      <w:start w:val="1"/>
      <w:numFmt w:val="bullet"/>
      <w:lvlText w:val=""/>
      <w:lvlJc w:val="left"/>
      <w:pPr>
        <w:ind w:left="2160" w:hanging="360"/>
      </w:pPr>
      <w:rPr>
        <w:rFonts w:ascii="Wingdings" w:hAnsi="Wingdings" w:hint="default"/>
      </w:rPr>
    </w:lvl>
    <w:lvl w:ilvl="3" w:tplc="5BECF7D6" w:tentative="1">
      <w:start w:val="1"/>
      <w:numFmt w:val="bullet"/>
      <w:lvlText w:val=""/>
      <w:lvlJc w:val="left"/>
      <w:pPr>
        <w:ind w:left="2880" w:hanging="360"/>
      </w:pPr>
      <w:rPr>
        <w:rFonts w:ascii="Symbol" w:hAnsi="Symbol" w:hint="default"/>
      </w:rPr>
    </w:lvl>
    <w:lvl w:ilvl="4" w:tplc="541C0F3C" w:tentative="1">
      <w:start w:val="1"/>
      <w:numFmt w:val="bullet"/>
      <w:lvlText w:val="o"/>
      <w:lvlJc w:val="left"/>
      <w:pPr>
        <w:ind w:left="3600" w:hanging="360"/>
      </w:pPr>
      <w:rPr>
        <w:rFonts w:ascii="Courier New" w:hAnsi="Courier New" w:cs="Courier New" w:hint="default"/>
      </w:rPr>
    </w:lvl>
    <w:lvl w:ilvl="5" w:tplc="B24CB8E0" w:tentative="1">
      <w:start w:val="1"/>
      <w:numFmt w:val="bullet"/>
      <w:lvlText w:val=""/>
      <w:lvlJc w:val="left"/>
      <w:pPr>
        <w:ind w:left="4320" w:hanging="360"/>
      </w:pPr>
      <w:rPr>
        <w:rFonts w:ascii="Wingdings" w:hAnsi="Wingdings" w:hint="default"/>
      </w:rPr>
    </w:lvl>
    <w:lvl w:ilvl="6" w:tplc="08F60DBE" w:tentative="1">
      <w:start w:val="1"/>
      <w:numFmt w:val="bullet"/>
      <w:lvlText w:val=""/>
      <w:lvlJc w:val="left"/>
      <w:pPr>
        <w:ind w:left="5040" w:hanging="360"/>
      </w:pPr>
      <w:rPr>
        <w:rFonts w:ascii="Symbol" w:hAnsi="Symbol" w:hint="default"/>
      </w:rPr>
    </w:lvl>
    <w:lvl w:ilvl="7" w:tplc="768C438A" w:tentative="1">
      <w:start w:val="1"/>
      <w:numFmt w:val="bullet"/>
      <w:lvlText w:val="o"/>
      <w:lvlJc w:val="left"/>
      <w:pPr>
        <w:ind w:left="5760" w:hanging="360"/>
      </w:pPr>
      <w:rPr>
        <w:rFonts w:ascii="Courier New" w:hAnsi="Courier New" w:cs="Courier New" w:hint="default"/>
      </w:rPr>
    </w:lvl>
    <w:lvl w:ilvl="8" w:tplc="5770FBF8" w:tentative="1">
      <w:start w:val="1"/>
      <w:numFmt w:val="bullet"/>
      <w:lvlText w:val=""/>
      <w:lvlJc w:val="left"/>
      <w:pPr>
        <w:ind w:left="6480" w:hanging="360"/>
      </w:pPr>
      <w:rPr>
        <w:rFonts w:ascii="Wingdings" w:hAnsi="Wingdings" w:hint="default"/>
      </w:rPr>
    </w:lvl>
  </w:abstractNum>
  <w:abstractNum w:abstractNumId="25">
    <w:nsid w:val="2A900165"/>
    <w:multiLevelType w:val="hybridMultilevel"/>
    <w:tmpl w:val="3E5E0FDE"/>
    <w:lvl w:ilvl="0" w:tplc="CB0C1268">
      <w:start w:val="1"/>
      <w:numFmt w:val="bullet"/>
      <w:lvlText w:val=""/>
      <w:lvlJc w:val="left"/>
      <w:pPr>
        <w:ind w:left="720" w:hanging="360"/>
      </w:pPr>
      <w:rPr>
        <w:rFonts w:ascii="Symbol" w:hAnsi="Symbol" w:hint="default"/>
      </w:rPr>
    </w:lvl>
    <w:lvl w:ilvl="1" w:tplc="7A6054CC" w:tentative="1">
      <w:start w:val="1"/>
      <w:numFmt w:val="bullet"/>
      <w:lvlText w:val="o"/>
      <w:lvlJc w:val="left"/>
      <w:pPr>
        <w:ind w:left="1440" w:hanging="360"/>
      </w:pPr>
      <w:rPr>
        <w:rFonts w:ascii="Courier New" w:hAnsi="Courier New" w:cs="Courier New" w:hint="default"/>
      </w:rPr>
    </w:lvl>
    <w:lvl w:ilvl="2" w:tplc="8E0CDD84" w:tentative="1">
      <w:start w:val="1"/>
      <w:numFmt w:val="bullet"/>
      <w:lvlText w:val=""/>
      <w:lvlJc w:val="left"/>
      <w:pPr>
        <w:ind w:left="2160" w:hanging="360"/>
      </w:pPr>
      <w:rPr>
        <w:rFonts w:ascii="Wingdings" w:hAnsi="Wingdings" w:hint="default"/>
      </w:rPr>
    </w:lvl>
    <w:lvl w:ilvl="3" w:tplc="C18EE074" w:tentative="1">
      <w:start w:val="1"/>
      <w:numFmt w:val="bullet"/>
      <w:lvlText w:val=""/>
      <w:lvlJc w:val="left"/>
      <w:pPr>
        <w:ind w:left="2880" w:hanging="360"/>
      </w:pPr>
      <w:rPr>
        <w:rFonts w:ascii="Symbol" w:hAnsi="Symbol" w:hint="default"/>
      </w:rPr>
    </w:lvl>
    <w:lvl w:ilvl="4" w:tplc="79AA099A" w:tentative="1">
      <w:start w:val="1"/>
      <w:numFmt w:val="bullet"/>
      <w:lvlText w:val="o"/>
      <w:lvlJc w:val="left"/>
      <w:pPr>
        <w:ind w:left="3600" w:hanging="360"/>
      </w:pPr>
      <w:rPr>
        <w:rFonts w:ascii="Courier New" w:hAnsi="Courier New" w:cs="Courier New" w:hint="default"/>
      </w:rPr>
    </w:lvl>
    <w:lvl w:ilvl="5" w:tplc="D2CC55A8" w:tentative="1">
      <w:start w:val="1"/>
      <w:numFmt w:val="bullet"/>
      <w:lvlText w:val=""/>
      <w:lvlJc w:val="left"/>
      <w:pPr>
        <w:ind w:left="4320" w:hanging="360"/>
      </w:pPr>
      <w:rPr>
        <w:rFonts w:ascii="Wingdings" w:hAnsi="Wingdings" w:hint="default"/>
      </w:rPr>
    </w:lvl>
    <w:lvl w:ilvl="6" w:tplc="61FEB70A" w:tentative="1">
      <w:start w:val="1"/>
      <w:numFmt w:val="bullet"/>
      <w:lvlText w:val=""/>
      <w:lvlJc w:val="left"/>
      <w:pPr>
        <w:ind w:left="5040" w:hanging="360"/>
      </w:pPr>
      <w:rPr>
        <w:rFonts w:ascii="Symbol" w:hAnsi="Symbol" w:hint="default"/>
      </w:rPr>
    </w:lvl>
    <w:lvl w:ilvl="7" w:tplc="A94AF68C" w:tentative="1">
      <w:start w:val="1"/>
      <w:numFmt w:val="bullet"/>
      <w:lvlText w:val="o"/>
      <w:lvlJc w:val="left"/>
      <w:pPr>
        <w:ind w:left="5760" w:hanging="360"/>
      </w:pPr>
      <w:rPr>
        <w:rFonts w:ascii="Courier New" w:hAnsi="Courier New" w:cs="Courier New" w:hint="default"/>
      </w:rPr>
    </w:lvl>
    <w:lvl w:ilvl="8" w:tplc="1DC8F648" w:tentative="1">
      <w:start w:val="1"/>
      <w:numFmt w:val="bullet"/>
      <w:lvlText w:val=""/>
      <w:lvlJc w:val="left"/>
      <w:pPr>
        <w:ind w:left="6480" w:hanging="360"/>
      </w:pPr>
      <w:rPr>
        <w:rFonts w:ascii="Wingdings" w:hAnsi="Wingdings" w:hint="default"/>
      </w:rPr>
    </w:lvl>
  </w:abstractNum>
  <w:abstractNum w:abstractNumId="26">
    <w:nsid w:val="2CB730E5"/>
    <w:multiLevelType w:val="hybridMultilevel"/>
    <w:tmpl w:val="1ED65080"/>
    <w:lvl w:ilvl="0" w:tplc="1CAC55E8">
      <w:start w:val="1"/>
      <w:numFmt w:val="bullet"/>
      <w:lvlText w:val=""/>
      <w:lvlJc w:val="left"/>
      <w:pPr>
        <w:ind w:left="720" w:hanging="360"/>
      </w:pPr>
      <w:rPr>
        <w:rFonts w:ascii="Symbol" w:hAnsi="Symbol" w:hint="default"/>
      </w:rPr>
    </w:lvl>
    <w:lvl w:ilvl="1" w:tplc="35B86686" w:tentative="1">
      <w:start w:val="1"/>
      <w:numFmt w:val="bullet"/>
      <w:lvlText w:val="o"/>
      <w:lvlJc w:val="left"/>
      <w:pPr>
        <w:ind w:left="1440" w:hanging="360"/>
      </w:pPr>
      <w:rPr>
        <w:rFonts w:ascii="Courier New" w:hAnsi="Courier New" w:cs="Courier New" w:hint="default"/>
      </w:rPr>
    </w:lvl>
    <w:lvl w:ilvl="2" w:tplc="ACE20738" w:tentative="1">
      <w:start w:val="1"/>
      <w:numFmt w:val="bullet"/>
      <w:lvlText w:val=""/>
      <w:lvlJc w:val="left"/>
      <w:pPr>
        <w:ind w:left="2160" w:hanging="360"/>
      </w:pPr>
      <w:rPr>
        <w:rFonts w:ascii="Wingdings" w:hAnsi="Wingdings" w:hint="default"/>
      </w:rPr>
    </w:lvl>
    <w:lvl w:ilvl="3" w:tplc="532AC6CA" w:tentative="1">
      <w:start w:val="1"/>
      <w:numFmt w:val="bullet"/>
      <w:lvlText w:val=""/>
      <w:lvlJc w:val="left"/>
      <w:pPr>
        <w:ind w:left="2880" w:hanging="360"/>
      </w:pPr>
      <w:rPr>
        <w:rFonts w:ascii="Symbol" w:hAnsi="Symbol" w:hint="default"/>
      </w:rPr>
    </w:lvl>
    <w:lvl w:ilvl="4" w:tplc="C1FC762C" w:tentative="1">
      <w:start w:val="1"/>
      <w:numFmt w:val="bullet"/>
      <w:lvlText w:val="o"/>
      <w:lvlJc w:val="left"/>
      <w:pPr>
        <w:ind w:left="3600" w:hanging="360"/>
      </w:pPr>
      <w:rPr>
        <w:rFonts w:ascii="Courier New" w:hAnsi="Courier New" w:cs="Courier New" w:hint="default"/>
      </w:rPr>
    </w:lvl>
    <w:lvl w:ilvl="5" w:tplc="F048A02E" w:tentative="1">
      <w:start w:val="1"/>
      <w:numFmt w:val="bullet"/>
      <w:lvlText w:val=""/>
      <w:lvlJc w:val="left"/>
      <w:pPr>
        <w:ind w:left="4320" w:hanging="360"/>
      </w:pPr>
      <w:rPr>
        <w:rFonts w:ascii="Wingdings" w:hAnsi="Wingdings" w:hint="default"/>
      </w:rPr>
    </w:lvl>
    <w:lvl w:ilvl="6" w:tplc="91A60A68" w:tentative="1">
      <w:start w:val="1"/>
      <w:numFmt w:val="bullet"/>
      <w:lvlText w:val=""/>
      <w:lvlJc w:val="left"/>
      <w:pPr>
        <w:ind w:left="5040" w:hanging="360"/>
      </w:pPr>
      <w:rPr>
        <w:rFonts w:ascii="Symbol" w:hAnsi="Symbol" w:hint="default"/>
      </w:rPr>
    </w:lvl>
    <w:lvl w:ilvl="7" w:tplc="9A321154" w:tentative="1">
      <w:start w:val="1"/>
      <w:numFmt w:val="bullet"/>
      <w:lvlText w:val="o"/>
      <w:lvlJc w:val="left"/>
      <w:pPr>
        <w:ind w:left="5760" w:hanging="360"/>
      </w:pPr>
      <w:rPr>
        <w:rFonts w:ascii="Courier New" w:hAnsi="Courier New" w:cs="Courier New" w:hint="default"/>
      </w:rPr>
    </w:lvl>
    <w:lvl w:ilvl="8" w:tplc="01FA4438" w:tentative="1">
      <w:start w:val="1"/>
      <w:numFmt w:val="bullet"/>
      <w:lvlText w:val=""/>
      <w:lvlJc w:val="left"/>
      <w:pPr>
        <w:ind w:left="6480" w:hanging="360"/>
      </w:pPr>
      <w:rPr>
        <w:rFonts w:ascii="Wingdings" w:hAnsi="Wingdings" w:hint="default"/>
      </w:rPr>
    </w:lvl>
  </w:abstractNum>
  <w:abstractNum w:abstractNumId="27">
    <w:nsid w:val="2D6114C4"/>
    <w:multiLevelType w:val="hybridMultilevel"/>
    <w:tmpl w:val="D15A10C0"/>
    <w:lvl w:ilvl="0" w:tplc="0EF4E98C">
      <w:start w:val="1"/>
      <w:numFmt w:val="bullet"/>
      <w:lvlText w:val="o"/>
      <w:lvlJc w:val="left"/>
      <w:pPr>
        <w:ind w:left="1800" w:hanging="360"/>
      </w:pPr>
      <w:rPr>
        <w:rFonts w:ascii="Courier New" w:hAnsi="Courier New" w:cs="Courier New" w:hint="default"/>
      </w:rPr>
    </w:lvl>
    <w:lvl w:ilvl="1" w:tplc="5BC40018" w:tentative="1">
      <w:start w:val="1"/>
      <w:numFmt w:val="bullet"/>
      <w:lvlText w:val="o"/>
      <w:lvlJc w:val="left"/>
      <w:pPr>
        <w:ind w:left="2520" w:hanging="360"/>
      </w:pPr>
      <w:rPr>
        <w:rFonts w:ascii="Courier New" w:hAnsi="Courier New" w:cs="Courier New" w:hint="default"/>
      </w:rPr>
    </w:lvl>
    <w:lvl w:ilvl="2" w:tplc="F924A524" w:tentative="1">
      <w:start w:val="1"/>
      <w:numFmt w:val="bullet"/>
      <w:lvlText w:val=""/>
      <w:lvlJc w:val="left"/>
      <w:pPr>
        <w:ind w:left="3240" w:hanging="360"/>
      </w:pPr>
      <w:rPr>
        <w:rFonts w:ascii="Wingdings" w:hAnsi="Wingdings" w:hint="default"/>
      </w:rPr>
    </w:lvl>
    <w:lvl w:ilvl="3" w:tplc="E5F23882" w:tentative="1">
      <w:start w:val="1"/>
      <w:numFmt w:val="bullet"/>
      <w:lvlText w:val=""/>
      <w:lvlJc w:val="left"/>
      <w:pPr>
        <w:ind w:left="3960" w:hanging="360"/>
      </w:pPr>
      <w:rPr>
        <w:rFonts w:ascii="Symbol" w:hAnsi="Symbol" w:hint="default"/>
      </w:rPr>
    </w:lvl>
    <w:lvl w:ilvl="4" w:tplc="1C0686EE" w:tentative="1">
      <w:start w:val="1"/>
      <w:numFmt w:val="bullet"/>
      <w:lvlText w:val="o"/>
      <w:lvlJc w:val="left"/>
      <w:pPr>
        <w:ind w:left="4680" w:hanging="360"/>
      </w:pPr>
      <w:rPr>
        <w:rFonts w:ascii="Courier New" w:hAnsi="Courier New" w:cs="Courier New" w:hint="default"/>
      </w:rPr>
    </w:lvl>
    <w:lvl w:ilvl="5" w:tplc="D35AA170" w:tentative="1">
      <w:start w:val="1"/>
      <w:numFmt w:val="bullet"/>
      <w:lvlText w:val=""/>
      <w:lvlJc w:val="left"/>
      <w:pPr>
        <w:ind w:left="5400" w:hanging="360"/>
      </w:pPr>
      <w:rPr>
        <w:rFonts w:ascii="Wingdings" w:hAnsi="Wingdings" w:hint="default"/>
      </w:rPr>
    </w:lvl>
    <w:lvl w:ilvl="6" w:tplc="E44E1B12" w:tentative="1">
      <w:start w:val="1"/>
      <w:numFmt w:val="bullet"/>
      <w:lvlText w:val=""/>
      <w:lvlJc w:val="left"/>
      <w:pPr>
        <w:ind w:left="6120" w:hanging="360"/>
      </w:pPr>
      <w:rPr>
        <w:rFonts w:ascii="Symbol" w:hAnsi="Symbol" w:hint="default"/>
      </w:rPr>
    </w:lvl>
    <w:lvl w:ilvl="7" w:tplc="E3A6D364" w:tentative="1">
      <w:start w:val="1"/>
      <w:numFmt w:val="bullet"/>
      <w:lvlText w:val="o"/>
      <w:lvlJc w:val="left"/>
      <w:pPr>
        <w:ind w:left="6840" w:hanging="360"/>
      </w:pPr>
      <w:rPr>
        <w:rFonts w:ascii="Courier New" w:hAnsi="Courier New" w:cs="Courier New" w:hint="default"/>
      </w:rPr>
    </w:lvl>
    <w:lvl w:ilvl="8" w:tplc="4D066F30" w:tentative="1">
      <w:start w:val="1"/>
      <w:numFmt w:val="bullet"/>
      <w:lvlText w:val=""/>
      <w:lvlJc w:val="left"/>
      <w:pPr>
        <w:ind w:left="7560" w:hanging="360"/>
      </w:pPr>
      <w:rPr>
        <w:rFonts w:ascii="Wingdings" w:hAnsi="Wingdings" w:hint="default"/>
      </w:rPr>
    </w:lvl>
  </w:abstractNum>
  <w:abstractNum w:abstractNumId="28">
    <w:nsid w:val="2E953E9F"/>
    <w:multiLevelType w:val="hybridMultilevel"/>
    <w:tmpl w:val="16701582"/>
    <w:lvl w:ilvl="0" w:tplc="01186364">
      <w:start w:val="1"/>
      <w:numFmt w:val="bullet"/>
      <w:lvlText w:val=""/>
      <w:lvlJc w:val="left"/>
      <w:pPr>
        <w:ind w:left="720" w:hanging="360"/>
      </w:pPr>
      <w:rPr>
        <w:rFonts w:ascii="Symbol" w:hAnsi="Symbol" w:hint="default"/>
      </w:rPr>
    </w:lvl>
    <w:lvl w:ilvl="1" w:tplc="84DA2F8E" w:tentative="1">
      <w:start w:val="1"/>
      <w:numFmt w:val="bullet"/>
      <w:lvlText w:val="o"/>
      <w:lvlJc w:val="left"/>
      <w:pPr>
        <w:ind w:left="1440" w:hanging="360"/>
      </w:pPr>
      <w:rPr>
        <w:rFonts w:ascii="Courier New" w:hAnsi="Courier New" w:cs="Courier New" w:hint="default"/>
      </w:rPr>
    </w:lvl>
    <w:lvl w:ilvl="2" w:tplc="CC8828E2" w:tentative="1">
      <w:start w:val="1"/>
      <w:numFmt w:val="bullet"/>
      <w:lvlText w:val=""/>
      <w:lvlJc w:val="left"/>
      <w:pPr>
        <w:ind w:left="2160" w:hanging="360"/>
      </w:pPr>
      <w:rPr>
        <w:rFonts w:ascii="Wingdings" w:hAnsi="Wingdings" w:hint="default"/>
      </w:rPr>
    </w:lvl>
    <w:lvl w:ilvl="3" w:tplc="E6DC4864" w:tentative="1">
      <w:start w:val="1"/>
      <w:numFmt w:val="bullet"/>
      <w:lvlText w:val=""/>
      <w:lvlJc w:val="left"/>
      <w:pPr>
        <w:ind w:left="2880" w:hanging="360"/>
      </w:pPr>
      <w:rPr>
        <w:rFonts w:ascii="Symbol" w:hAnsi="Symbol" w:hint="default"/>
      </w:rPr>
    </w:lvl>
    <w:lvl w:ilvl="4" w:tplc="91947D64" w:tentative="1">
      <w:start w:val="1"/>
      <w:numFmt w:val="bullet"/>
      <w:lvlText w:val="o"/>
      <w:lvlJc w:val="left"/>
      <w:pPr>
        <w:ind w:left="3600" w:hanging="360"/>
      </w:pPr>
      <w:rPr>
        <w:rFonts w:ascii="Courier New" w:hAnsi="Courier New" w:cs="Courier New" w:hint="default"/>
      </w:rPr>
    </w:lvl>
    <w:lvl w:ilvl="5" w:tplc="DE3661C6" w:tentative="1">
      <w:start w:val="1"/>
      <w:numFmt w:val="bullet"/>
      <w:lvlText w:val=""/>
      <w:lvlJc w:val="left"/>
      <w:pPr>
        <w:ind w:left="4320" w:hanging="360"/>
      </w:pPr>
      <w:rPr>
        <w:rFonts w:ascii="Wingdings" w:hAnsi="Wingdings" w:hint="default"/>
      </w:rPr>
    </w:lvl>
    <w:lvl w:ilvl="6" w:tplc="4B764210" w:tentative="1">
      <w:start w:val="1"/>
      <w:numFmt w:val="bullet"/>
      <w:lvlText w:val=""/>
      <w:lvlJc w:val="left"/>
      <w:pPr>
        <w:ind w:left="5040" w:hanging="360"/>
      </w:pPr>
      <w:rPr>
        <w:rFonts w:ascii="Symbol" w:hAnsi="Symbol" w:hint="default"/>
      </w:rPr>
    </w:lvl>
    <w:lvl w:ilvl="7" w:tplc="F2009D52" w:tentative="1">
      <w:start w:val="1"/>
      <w:numFmt w:val="bullet"/>
      <w:lvlText w:val="o"/>
      <w:lvlJc w:val="left"/>
      <w:pPr>
        <w:ind w:left="5760" w:hanging="360"/>
      </w:pPr>
      <w:rPr>
        <w:rFonts w:ascii="Courier New" w:hAnsi="Courier New" w:cs="Courier New" w:hint="default"/>
      </w:rPr>
    </w:lvl>
    <w:lvl w:ilvl="8" w:tplc="E7F2DF7E" w:tentative="1">
      <w:start w:val="1"/>
      <w:numFmt w:val="bullet"/>
      <w:lvlText w:val=""/>
      <w:lvlJc w:val="left"/>
      <w:pPr>
        <w:ind w:left="6480" w:hanging="360"/>
      </w:pPr>
      <w:rPr>
        <w:rFonts w:ascii="Wingdings" w:hAnsi="Wingdings" w:hint="default"/>
      </w:rPr>
    </w:lvl>
  </w:abstractNum>
  <w:abstractNum w:abstractNumId="29">
    <w:nsid w:val="2F6F6677"/>
    <w:multiLevelType w:val="hybridMultilevel"/>
    <w:tmpl w:val="5C660DF2"/>
    <w:lvl w:ilvl="0" w:tplc="BAEEEB90">
      <w:start w:val="1"/>
      <w:numFmt w:val="bullet"/>
      <w:lvlText w:val=""/>
      <w:lvlJc w:val="left"/>
      <w:pPr>
        <w:ind w:left="720" w:hanging="360"/>
      </w:pPr>
      <w:rPr>
        <w:rFonts w:ascii="Symbol" w:hAnsi="Symbol" w:hint="default"/>
      </w:rPr>
    </w:lvl>
    <w:lvl w:ilvl="1" w:tplc="AF922724" w:tentative="1">
      <w:start w:val="1"/>
      <w:numFmt w:val="bullet"/>
      <w:lvlText w:val="o"/>
      <w:lvlJc w:val="left"/>
      <w:pPr>
        <w:ind w:left="1440" w:hanging="360"/>
      </w:pPr>
      <w:rPr>
        <w:rFonts w:ascii="Courier New" w:hAnsi="Courier New" w:cs="Courier New" w:hint="default"/>
      </w:rPr>
    </w:lvl>
    <w:lvl w:ilvl="2" w:tplc="0A06CAAC" w:tentative="1">
      <w:start w:val="1"/>
      <w:numFmt w:val="bullet"/>
      <w:lvlText w:val=""/>
      <w:lvlJc w:val="left"/>
      <w:pPr>
        <w:ind w:left="2160" w:hanging="360"/>
      </w:pPr>
      <w:rPr>
        <w:rFonts w:ascii="Wingdings" w:hAnsi="Wingdings" w:hint="default"/>
      </w:rPr>
    </w:lvl>
    <w:lvl w:ilvl="3" w:tplc="CB3098EE" w:tentative="1">
      <w:start w:val="1"/>
      <w:numFmt w:val="bullet"/>
      <w:lvlText w:val=""/>
      <w:lvlJc w:val="left"/>
      <w:pPr>
        <w:ind w:left="2880" w:hanging="360"/>
      </w:pPr>
      <w:rPr>
        <w:rFonts w:ascii="Symbol" w:hAnsi="Symbol" w:hint="default"/>
      </w:rPr>
    </w:lvl>
    <w:lvl w:ilvl="4" w:tplc="806885AC" w:tentative="1">
      <w:start w:val="1"/>
      <w:numFmt w:val="bullet"/>
      <w:lvlText w:val="o"/>
      <w:lvlJc w:val="left"/>
      <w:pPr>
        <w:ind w:left="3600" w:hanging="360"/>
      </w:pPr>
      <w:rPr>
        <w:rFonts w:ascii="Courier New" w:hAnsi="Courier New" w:cs="Courier New" w:hint="default"/>
      </w:rPr>
    </w:lvl>
    <w:lvl w:ilvl="5" w:tplc="C14622D8" w:tentative="1">
      <w:start w:val="1"/>
      <w:numFmt w:val="bullet"/>
      <w:lvlText w:val=""/>
      <w:lvlJc w:val="left"/>
      <w:pPr>
        <w:ind w:left="4320" w:hanging="360"/>
      </w:pPr>
      <w:rPr>
        <w:rFonts w:ascii="Wingdings" w:hAnsi="Wingdings" w:hint="default"/>
      </w:rPr>
    </w:lvl>
    <w:lvl w:ilvl="6" w:tplc="42C4BFCC" w:tentative="1">
      <w:start w:val="1"/>
      <w:numFmt w:val="bullet"/>
      <w:lvlText w:val=""/>
      <w:lvlJc w:val="left"/>
      <w:pPr>
        <w:ind w:left="5040" w:hanging="360"/>
      </w:pPr>
      <w:rPr>
        <w:rFonts w:ascii="Symbol" w:hAnsi="Symbol" w:hint="default"/>
      </w:rPr>
    </w:lvl>
    <w:lvl w:ilvl="7" w:tplc="7F3E0130" w:tentative="1">
      <w:start w:val="1"/>
      <w:numFmt w:val="bullet"/>
      <w:lvlText w:val="o"/>
      <w:lvlJc w:val="left"/>
      <w:pPr>
        <w:ind w:left="5760" w:hanging="360"/>
      </w:pPr>
      <w:rPr>
        <w:rFonts w:ascii="Courier New" w:hAnsi="Courier New" w:cs="Courier New" w:hint="default"/>
      </w:rPr>
    </w:lvl>
    <w:lvl w:ilvl="8" w:tplc="CA7A5060" w:tentative="1">
      <w:start w:val="1"/>
      <w:numFmt w:val="bullet"/>
      <w:lvlText w:val=""/>
      <w:lvlJc w:val="left"/>
      <w:pPr>
        <w:ind w:left="6480" w:hanging="360"/>
      </w:pPr>
      <w:rPr>
        <w:rFonts w:ascii="Wingdings" w:hAnsi="Wingdings" w:hint="default"/>
      </w:rPr>
    </w:lvl>
  </w:abstractNum>
  <w:abstractNum w:abstractNumId="30">
    <w:nsid w:val="31AD7DFD"/>
    <w:multiLevelType w:val="hybridMultilevel"/>
    <w:tmpl w:val="59F687C0"/>
    <w:lvl w:ilvl="0" w:tplc="EA8213E2">
      <w:start w:val="1"/>
      <w:numFmt w:val="decimal"/>
      <w:lvlText w:val="2.%1."/>
      <w:lvlJc w:val="left"/>
      <w:pPr>
        <w:ind w:left="630" w:hanging="360"/>
      </w:pPr>
      <w:rPr>
        <w:rFonts w:hint="default"/>
        <w:b w:val="0"/>
      </w:rPr>
    </w:lvl>
    <w:lvl w:ilvl="1" w:tplc="3196C59E">
      <w:start w:val="1"/>
      <w:numFmt w:val="decimal"/>
      <w:lvlText w:val="1.%2."/>
      <w:lvlJc w:val="left"/>
      <w:pPr>
        <w:ind w:left="1350" w:hanging="360"/>
      </w:pPr>
      <w:rPr>
        <w:rFonts w:hint="default"/>
        <w:b w:val="0"/>
      </w:rPr>
    </w:lvl>
    <w:lvl w:ilvl="2" w:tplc="DB3C0DC4" w:tentative="1">
      <w:start w:val="1"/>
      <w:numFmt w:val="lowerRoman"/>
      <w:lvlText w:val="%3."/>
      <w:lvlJc w:val="right"/>
      <w:pPr>
        <w:ind w:left="2070" w:hanging="180"/>
      </w:pPr>
    </w:lvl>
    <w:lvl w:ilvl="3" w:tplc="8EC24436" w:tentative="1">
      <w:start w:val="1"/>
      <w:numFmt w:val="decimal"/>
      <w:lvlText w:val="%4."/>
      <w:lvlJc w:val="left"/>
      <w:pPr>
        <w:ind w:left="2790" w:hanging="360"/>
      </w:pPr>
    </w:lvl>
    <w:lvl w:ilvl="4" w:tplc="1DBC1C14" w:tentative="1">
      <w:start w:val="1"/>
      <w:numFmt w:val="lowerLetter"/>
      <w:lvlText w:val="%5."/>
      <w:lvlJc w:val="left"/>
      <w:pPr>
        <w:ind w:left="3510" w:hanging="360"/>
      </w:pPr>
    </w:lvl>
    <w:lvl w:ilvl="5" w:tplc="7C1A8456" w:tentative="1">
      <w:start w:val="1"/>
      <w:numFmt w:val="lowerRoman"/>
      <w:lvlText w:val="%6."/>
      <w:lvlJc w:val="right"/>
      <w:pPr>
        <w:ind w:left="4230" w:hanging="180"/>
      </w:pPr>
    </w:lvl>
    <w:lvl w:ilvl="6" w:tplc="671032E2" w:tentative="1">
      <w:start w:val="1"/>
      <w:numFmt w:val="decimal"/>
      <w:lvlText w:val="%7."/>
      <w:lvlJc w:val="left"/>
      <w:pPr>
        <w:ind w:left="4950" w:hanging="360"/>
      </w:pPr>
    </w:lvl>
    <w:lvl w:ilvl="7" w:tplc="8E40C5F6" w:tentative="1">
      <w:start w:val="1"/>
      <w:numFmt w:val="lowerLetter"/>
      <w:lvlText w:val="%8."/>
      <w:lvlJc w:val="left"/>
      <w:pPr>
        <w:ind w:left="5670" w:hanging="360"/>
      </w:pPr>
    </w:lvl>
    <w:lvl w:ilvl="8" w:tplc="0BC4D970" w:tentative="1">
      <w:start w:val="1"/>
      <w:numFmt w:val="lowerRoman"/>
      <w:lvlText w:val="%9."/>
      <w:lvlJc w:val="right"/>
      <w:pPr>
        <w:ind w:left="6390" w:hanging="180"/>
      </w:pPr>
    </w:lvl>
  </w:abstractNum>
  <w:abstractNum w:abstractNumId="31">
    <w:nsid w:val="34920DBB"/>
    <w:multiLevelType w:val="hybridMultilevel"/>
    <w:tmpl w:val="F064E426"/>
    <w:lvl w:ilvl="0" w:tplc="2D36BAEA">
      <w:start w:val="1"/>
      <w:numFmt w:val="decimal"/>
      <w:lvlText w:val="%1."/>
      <w:lvlJc w:val="left"/>
      <w:pPr>
        <w:ind w:left="450" w:hanging="360"/>
      </w:pPr>
      <w:rPr>
        <w:color w:val="auto"/>
      </w:rPr>
    </w:lvl>
    <w:lvl w:ilvl="1" w:tplc="17D6DF68" w:tentative="1">
      <w:start w:val="1"/>
      <w:numFmt w:val="lowerLetter"/>
      <w:lvlText w:val="%2."/>
      <w:lvlJc w:val="left"/>
      <w:pPr>
        <w:ind w:left="1440" w:hanging="360"/>
      </w:pPr>
    </w:lvl>
    <w:lvl w:ilvl="2" w:tplc="4FCCB85C" w:tentative="1">
      <w:start w:val="1"/>
      <w:numFmt w:val="lowerRoman"/>
      <w:lvlText w:val="%3."/>
      <w:lvlJc w:val="right"/>
      <w:pPr>
        <w:ind w:left="2160" w:hanging="180"/>
      </w:pPr>
    </w:lvl>
    <w:lvl w:ilvl="3" w:tplc="34AAC5E4" w:tentative="1">
      <w:start w:val="1"/>
      <w:numFmt w:val="decimal"/>
      <w:lvlText w:val="%4."/>
      <w:lvlJc w:val="left"/>
      <w:pPr>
        <w:ind w:left="2880" w:hanging="360"/>
      </w:pPr>
    </w:lvl>
    <w:lvl w:ilvl="4" w:tplc="555E4840" w:tentative="1">
      <w:start w:val="1"/>
      <w:numFmt w:val="lowerLetter"/>
      <w:lvlText w:val="%5."/>
      <w:lvlJc w:val="left"/>
      <w:pPr>
        <w:ind w:left="3600" w:hanging="360"/>
      </w:pPr>
    </w:lvl>
    <w:lvl w:ilvl="5" w:tplc="14F69996" w:tentative="1">
      <w:start w:val="1"/>
      <w:numFmt w:val="lowerRoman"/>
      <w:lvlText w:val="%6."/>
      <w:lvlJc w:val="right"/>
      <w:pPr>
        <w:ind w:left="4320" w:hanging="180"/>
      </w:pPr>
    </w:lvl>
    <w:lvl w:ilvl="6" w:tplc="AEF4415A" w:tentative="1">
      <w:start w:val="1"/>
      <w:numFmt w:val="decimal"/>
      <w:lvlText w:val="%7."/>
      <w:lvlJc w:val="left"/>
      <w:pPr>
        <w:ind w:left="5040" w:hanging="360"/>
      </w:pPr>
    </w:lvl>
    <w:lvl w:ilvl="7" w:tplc="83502B10" w:tentative="1">
      <w:start w:val="1"/>
      <w:numFmt w:val="lowerLetter"/>
      <w:lvlText w:val="%8."/>
      <w:lvlJc w:val="left"/>
      <w:pPr>
        <w:ind w:left="5760" w:hanging="360"/>
      </w:pPr>
    </w:lvl>
    <w:lvl w:ilvl="8" w:tplc="5560B354" w:tentative="1">
      <w:start w:val="1"/>
      <w:numFmt w:val="lowerRoman"/>
      <w:lvlText w:val="%9."/>
      <w:lvlJc w:val="right"/>
      <w:pPr>
        <w:ind w:left="6480" w:hanging="180"/>
      </w:pPr>
    </w:lvl>
  </w:abstractNum>
  <w:abstractNum w:abstractNumId="32">
    <w:nsid w:val="351A557F"/>
    <w:multiLevelType w:val="hybridMultilevel"/>
    <w:tmpl w:val="D5EEBCBC"/>
    <w:lvl w:ilvl="0" w:tplc="747AF09C">
      <w:start w:val="1"/>
      <w:numFmt w:val="decimal"/>
      <w:lvlText w:val="1.%1."/>
      <w:lvlJc w:val="left"/>
      <w:pPr>
        <w:ind w:left="862" w:hanging="360"/>
      </w:pPr>
      <w:rPr>
        <w:rFonts w:hint="default"/>
        <w:b/>
      </w:rPr>
    </w:lvl>
    <w:lvl w:ilvl="1" w:tplc="16DC563A">
      <w:start w:val="1"/>
      <w:numFmt w:val="decimal"/>
      <w:lvlText w:val="1.%2."/>
      <w:lvlJc w:val="left"/>
      <w:pPr>
        <w:ind w:left="1582" w:hanging="360"/>
      </w:pPr>
      <w:rPr>
        <w:rFonts w:hint="default"/>
        <w:b w:val="0"/>
      </w:rPr>
    </w:lvl>
    <w:lvl w:ilvl="2" w:tplc="E8AEDEC8">
      <w:start w:val="1"/>
      <w:numFmt w:val="decimal"/>
      <w:lvlText w:val="%3."/>
      <w:lvlJc w:val="left"/>
      <w:pPr>
        <w:ind w:left="2482" w:hanging="360"/>
      </w:pPr>
      <w:rPr>
        <w:rFonts w:hint="default"/>
      </w:rPr>
    </w:lvl>
    <w:lvl w:ilvl="3" w:tplc="03923458" w:tentative="1">
      <w:start w:val="1"/>
      <w:numFmt w:val="decimal"/>
      <w:lvlText w:val="%4."/>
      <w:lvlJc w:val="left"/>
      <w:pPr>
        <w:ind w:left="3022" w:hanging="360"/>
      </w:pPr>
    </w:lvl>
    <w:lvl w:ilvl="4" w:tplc="795C233A" w:tentative="1">
      <w:start w:val="1"/>
      <w:numFmt w:val="lowerLetter"/>
      <w:lvlText w:val="%5."/>
      <w:lvlJc w:val="left"/>
      <w:pPr>
        <w:ind w:left="3742" w:hanging="360"/>
      </w:pPr>
    </w:lvl>
    <w:lvl w:ilvl="5" w:tplc="B74A0EC6" w:tentative="1">
      <w:start w:val="1"/>
      <w:numFmt w:val="lowerRoman"/>
      <w:lvlText w:val="%6."/>
      <w:lvlJc w:val="right"/>
      <w:pPr>
        <w:ind w:left="4462" w:hanging="180"/>
      </w:pPr>
    </w:lvl>
    <w:lvl w:ilvl="6" w:tplc="4090263C" w:tentative="1">
      <w:start w:val="1"/>
      <w:numFmt w:val="decimal"/>
      <w:lvlText w:val="%7."/>
      <w:lvlJc w:val="left"/>
      <w:pPr>
        <w:ind w:left="5182" w:hanging="360"/>
      </w:pPr>
    </w:lvl>
    <w:lvl w:ilvl="7" w:tplc="2FA8AB00" w:tentative="1">
      <w:start w:val="1"/>
      <w:numFmt w:val="lowerLetter"/>
      <w:lvlText w:val="%8."/>
      <w:lvlJc w:val="left"/>
      <w:pPr>
        <w:ind w:left="5902" w:hanging="360"/>
      </w:pPr>
    </w:lvl>
    <w:lvl w:ilvl="8" w:tplc="90184CE2" w:tentative="1">
      <w:start w:val="1"/>
      <w:numFmt w:val="lowerRoman"/>
      <w:lvlText w:val="%9."/>
      <w:lvlJc w:val="right"/>
      <w:pPr>
        <w:ind w:left="6622" w:hanging="180"/>
      </w:pPr>
    </w:lvl>
  </w:abstractNum>
  <w:abstractNum w:abstractNumId="33">
    <w:nsid w:val="377B1751"/>
    <w:multiLevelType w:val="hybridMultilevel"/>
    <w:tmpl w:val="6B82F296"/>
    <w:lvl w:ilvl="0" w:tplc="9B885B7A">
      <w:start w:val="1"/>
      <w:numFmt w:val="bullet"/>
      <w:lvlText w:val=""/>
      <w:lvlJc w:val="left"/>
      <w:pPr>
        <w:ind w:left="720" w:hanging="360"/>
      </w:pPr>
      <w:rPr>
        <w:rFonts w:ascii="Symbol" w:hAnsi="Symbol" w:hint="default"/>
      </w:rPr>
    </w:lvl>
    <w:lvl w:ilvl="1" w:tplc="C19C0728" w:tentative="1">
      <w:start w:val="1"/>
      <w:numFmt w:val="bullet"/>
      <w:lvlText w:val="o"/>
      <w:lvlJc w:val="left"/>
      <w:pPr>
        <w:ind w:left="1440" w:hanging="360"/>
      </w:pPr>
      <w:rPr>
        <w:rFonts w:ascii="Courier New" w:hAnsi="Courier New" w:cs="Courier New" w:hint="default"/>
      </w:rPr>
    </w:lvl>
    <w:lvl w:ilvl="2" w:tplc="098A4818" w:tentative="1">
      <w:start w:val="1"/>
      <w:numFmt w:val="bullet"/>
      <w:lvlText w:val=""/>
      <w:lvlJc w:val="left"/>
      <w:pPr>
        <w:ind w:left="2160" w:hanging="360"/>
      </w:pPr>
      <w:rPr>
        <w:rFonts w:ascii="Wingdings" w:hAnsi="Wingdings" w:hint="default"/>
      </w:rPr>
    </w:lvl>
    <w:lvl w:ilvl="3" w:tplc="26FE423A" w:tentative="1">
      <w:start w:val="1"/>
      <w:numFmt w:val="bullet"/>
      <w:lvlText w:val=""/>
      <w:lvlJc w:val="left"/>
      <w:pPr>
        <w:ind w:left="2880" w:hanging="360"/>
      </w:pPr>
      <w:rPr>
        <w:rFonts w:ascii="Symbol" w:hAnsi="Symbol" w:hint="default"/>
      </w:rPr>
    </w:lvl>
    <w:lvl w:ilvl="4" w:tplc="052CC090" w:tentative="1">
      <w:start w:val="1"/>
      <w:numFmt w:val="bullet"/>
      <w:lvlText w:val="o"/>
      <w:lvlJc w:val="left"/>
      <w:pPr>
        <w:ind w:left="3600" w:hanging="360"/>
      </w:pPr>
      <w:rPr>
        <w:rFonts w:ascii="Courier New" w:hAnsi="Courier New" w:cs="Courier New" w:hint="default"/>
      </w:rPr>
    </w:lvl>
    <w:lvl w:ilvl="5" w:tplc="05084A78" w:tentative="1">
      <w:start w:val="1"/>
      <w:numFmt w:val="bullet"/>
      <w:lvlText w:val=""/>
      <w:lvlJc w:val="left"/>
      <w:pPr>
        <w:ind w:left="4320" w:hanging="360"/>
      </w:pPr>
      <w:rPr>
        <w:rFonts w:ascii="Wingdings" w:hAnsi="Wingdings" w:hint="default"/>
      </w:rPr>
    </w:lvl>
    <w:lvl w:ilvl="6" w:tplc="4A3C2FE4" w:tentative="1">
      <w:start w:val="1"/>
      <w:numFmt w:val="bullet"/>
      <w:lvlText w:val=""/>
      <w:lvlJc w:val="left"/>
      <w:pPr>
        <w:ind w:left="5040" w:hanging="360"/>
      </w:pPr>
      <w:rPr>
        <w:rFonts w:ascii="Symbol" w:hAnsi="Symbol" w:hint="default"/>
      </w:rPr>
    </w:lvl>
    <w:lvl w:ilvl="7" w:tplc="A9384E48" w:tentative="1">
      <w:start w:val="1"/>
      <w:numFmt w:val="bullet"/>
      <w:lvlText w:val="o"/>
      <w:lvlJc w:val="left"/>
      <w:pPr>
        <w:ind w:left="5760" w:hanging="360"/>
      </w:pPr>
      <w:rPr>
        <w:rFonts w:ascii="Courier New" w:hAnsi="Courier New" w:cs="Courier New" w:hint="default"/>
      </w:rPr>
    </w:lvl>
    <w:lvl w:ilvl="8" w:tplc="78CED86C" w:tentative="1">
      <w:start w:val="1"/>
      <w:numFmt w:val="bullet"/>
      <w:lvlText w:val=""/>
      <w:lvlJc w:val="left"/>
      <w:pPr>
        <w:ind w:left="6480" w:hanging="360"/>
      </w:pPr>
      <w:rPr>
        <w:rFonts w:ascii="Wingdings" w:hAnsi="Wingdings" w:hint="default"/>
      </w:rPr>
    </w:lvl>
  </w:abstractNum>
  <w:abstractNum w:abstractNumId="34">
    <w:nsid w:val="39EF5322"/>
    <w:multiLevelType w:val="hybridMultilevel"/>
    <w:tmpl w:val="0AD29ECC"/>
    <w:lvl w:ilvl="0" w:tplc="040207BE">
      <w:start w:val="1"/>
      <w:numFmt w:val="bullet"/>
      <w:lvlText w:val=""/>
      <w:lvlJc w:val="left"/>
      <w:pPr>
        <w:ind w:left="1440" w:hanging="360"/>
      </w:pPr>
      <w:rPr>
        <w:rFonts w:ascii="Symbol" w:hAnsi="Symbol" w:hint="default"/>
      </w:rPr>
    </w:lvl>
    <w:lvl w:ilvl="1" w:tplc="4462BB9C" w:tentative="1">
      <w:start w:val="1"/>
      <w:numFmt w:val="bullet"/>
      <w:lvlText w:val="o"/>
      <w:lvlJc w:val="left"/>
      <w:pPr>
        <w:ind w:left="2160" w:hanging="360"/>
      </w:pPr>
      <w:rPr>
        <w:rFonts w:ascii="Courier New" w:hAnsi="Courier New" w:cs="Courier New" w:hint="default"/>
      </w:rPr>
    </w:lvl>
    <w:lvl w:ilvl="2" w:tplc="F42003B0" w:tentative="1">
      <w:start w:val="1"/>
      <w:numFmt w:val="bullet"/>
      <w:lvlText w:val=""/>
      <w:lvlJc w:val="left"/>
      <w:pPr>
        <w:ind w:left="2880" w:hanging="360"/>
      </w:pPr>
      <w:rPr>
        <w:rFonts w:ascii="Wingdings" w:hAnsi="Wingdings" w:hint="default"/>
      </w:rPr>
    </w:lvl>
    <w:lvl w:ilvl="3" w:tplc="DD34C570" w:tentative="1">
      <w:start w:val="1"/>
      <w:numFmt w:val="bullet"/>
      <w:lvlText w:val=""/>
      <w:lvlJc w:val="left"/>
      <w:pPr>
        <w:ind w:left="3600" w:hanging="360"/>
      </w:pPr>
      <w:rPr>
        <w:rFonts w:ascii="Symbol" w:hAnsi="Symbol" w:hint="default"/>
      </w:rPr>
    </w:lvl>
    <w:lvl w:ilvl="4" w:tplc="089817D6" w:tentative="1">
      <w:start w:val="1"/>
      <w:numFmt w:val="bullet"/>
      <w:lvlText w:val="o"/>
      <w:lvlJc w:val="left"/>
      <w:pPr>
        <w:ind w:left="4320" w:hanging="360"/>
      </w:pPr>
      <w:rPr>
        <w:rFonts w:ascii="Courier New" w:hAnsi="Courier New" w:cs="Courier New" w:hint="default"/>
      </w:rPr>
    </w:lvl>
    <w:lvl w:ilvl="5" w:tplc="AF2E1B1A" w:tentative="1">
      <w:start w:val="1"/>
      <w:numFmt w:val="bullet"/>
      <w:lvlText w:val=""/>
      <w:lvlJc w:val="left"/>
      <w:pPr>
        <w:ind w:left="5040" w:hanging="360"/>
      </w:pPr>
      <w:rPr>
        <w:rFonts w:ascii="Wingdings" w:hAnsi="Wingdings" w:hint="default"/>
      </w:rPr>
    </w:lvl>
    <w:lvl w:ilvl="6" w:tplc="02280272" w:tentative="1">
      <w:start w:val="1"/>
      <w:numFmt w:val="bullet"/>
      <w:lvlText w:val=""/>
      <w:lvlJc w:val="left"/>
      <w:pPr>
        <w:ind w:left="5760" w:hanging="360"/>
      </w:pPr>
      <w:rPr>
        <w:rFonts w:ascii="Symbol" w:hAnsi="Symbol" w:hint="default"/>
      </w:rPr>
    </w:lvl>
    <w:lvl w:ilvl="7" w:tplc="28C0AFA8" w:tentative="1">
      <w:start w:val="1"/>
      <w:numFmt w:val="bullet"/>
      <w:lvlText w:val="o"/>
      <w:lvlJc w:val="left"/>
      <w:pPr>
        <w:ind w:left="6480" w:hanging="360"/>
      </w:pPr>
      <w:rPr>
        <w:rFonts w:ascii="Courier New" w:hAnsi="Courier New" w:cs="Courier New" w:hint="default"/>
      </w:rPr>
    </w:lvl>
    <w:lvl w:ilvl="8" w:tplc="641888EE" w:tentative="1">
      <w:start w:val="1"/>
      <w:numFmt w:val="bullet"/>
      <w:lvlText w:val=""/>
      <w:lvlJc w:val="left"/>
      <w:pPr>
        <w:ind w:left="7200" w:hanging="360"/>
      </w:pPr>
      <w:rPr>
        <w:rFonts w:ascii="Wingdings" w:hAnsi="Wingdings" w:hint="default"/>
      </w:rPr>
    </w:lvl>
  </w:abstractNum>
  <w:abstractNum w:abstractNumId="35">
    <w:nsid w:val="3BA736C9"/>
    <w:multiLevelType w:val="singleLevel"/>
    <w:tmpl w:val="9BD81856"/>
    <w:name w:val="8,972824E-02"/>
    <w:lvl w:ilvl="0">
      <w:start w:val="1"/>
      <w:numFmt w:val="bullet"/>
      <w:pStyle w:val="Tiret0"/>
      <w:lvlText w:val="–"/>
      <w:lvlJc w:val="left"/>
      <w:pPr>
        <w:tabs>
          <w:tab w:val="num" w:pos="850"/>
        </w:tabs>
        <w:ind w:left="850" w:hanging="850"/>
      </w:pPr>
    </w:lvl>
  </w:abstractNum>
  <w:abstractNum w:abstractNumId="36">
    <w:nsid w:val="3BFC7284"/>
    <w:multiLevelType w:val="multilevel"/>
    <w:tmpl w:val="E8D24792"/>
    <w:lvl w:ilvl="0">
      <w:start w:val="5"/>
      <w:numFmt w:val="decimal"/>
      <w:lvlText w:val="%1"/>
      <w:lvlJc w:val="left"/>
      <w:pPr>
        <w:ind w:left="360" w:hanging="360"/>
      </w:pPr>
      <w:rPr>
        <w:rFonts w:hint="default"/>
        <w:b/>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288" w:hanging="72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932" w:hanging="108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37">
    <w:nsid w:val="3C332306"/>
    <w:multiLevelType w:val="multilevel"/>
    <w:tmpl w:val="1EF4C3CA"/>
    <w:lvl w:ilvl="0">
      <w:start w:val="5"/>
      <w:numFmt w:val="decimal"/>
      <w:lvlText w:val="%1"/>
      <w:lvlJc w:val="left"/>
      <w:pPr>
        <w:ind w:left="405" w:hanging="405"/>
      </w:pPr>
      <w:rPr>
        <w:rFonts w:hint="default"/>
      </w:rPr>
    </w:lvl>
    <w:lvl w:ilvl="1">
      <w:start w:val="1"/>
      <w:numFmt w:val="decimal"/>
      <w:pStyle w:val="Heading3"/>
      <w:lvlText w:val="4.%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8">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39">
    <w:nsid w:val="3E086778"/>
    <w:multiLevelType w:val="hybridMultilevel"/>
    <w:tmpl w:val="794AA0DC"/>
    <w:lvl w:ilvl="0" w:tplc="779C2B78">
      <w:start w:val="1"/>
      <w:numFmt w:val="decimal"/>
      <w:lvlText w:val="2.%1."/>
      <w:lvlJc w:val="left"/>
      <w:pPr>
        <w:ind w:left="720" w:hanging="360"/>
      </w:pPr>
      <w:rPr>
        <w:rFonts w:hint="default"/>
        <w:b w:val="0"/>
      </w:rPr>
    </w:lvl>
    <w:lvl w:ilvl="1" w:tplc="039A9602" w:tentative="1">
      <w:start w:val="1"/>
      <w:numFmt w:val="lowerLetter"/>
      <w:lvlText w:val="%2."/>
      <w:lvlJc w:val="left"/>
      <w:pPr>
        <w:ind w:left="1440" w:hanging="360"/>
      </w:pPr>
    </w:lvl>
    <w:lvl w:ilvl="2" w:tplc="6750E3FA" w:tentative="1">
      <w:start w:val="1"/>
      <w:numFmt w:val="lowerRoman"/>
      <w:lvlText w:val="%3."/>
      <w:lvlJc w:val="right"/>
      <w:pPr>
        <w:ind w:left="2160" w:hanging="180"/>
      </w:pPr>
    </w:lvl>
    <w:lvl w:ilvl="3" w:tplc="AC2241B6" w:tentative="1">
      <w:start w:val="1"/>
      <w:numFmt w:val="decimal"/>
      <w:lvlText w:val="%4."/>
      <w:lvlJc w:val="left"/>
      <w:pPr>
        <w:ind w:left="2880" w:hanging="360"/>
      </w:pPr>
    </w:lvl>
    <w:lvl w:ilvl="4" w:tplc="32542E94" w:tentative="1">
      <w:start w:val="1"/>
      <w:numFmt w:val="lowerLetter"/>
      <w:lvlText w:val="%5."/>
      <w:lvlJc w:val="left"/>
      <w:pPr>
        <w:ind w:left="3600" w:hanging="360"/>
      </w:pPr>
    </w:lvl>
    <w:lvl w:ilvl="5" w:tplc="4A32E0C4" w:tentative="1">
      <w:start w:val="1"/>
      <w:numFmt w:val="lowerRoman"/>
      <w:lvlText w:val="%6."/>
      <w:lvlJc w:val="right"/>
      <w:pPr>
        <w:ind w:left="4320" w:hanging="180"/>
      </w:pPr>
    </w:lvl>
    <w:lvl w:ilvl="6" w:tplc="59685BEC" w:tentative="1">
      <w:start w:val="1"/>
      <w:numFmt w:val="decimal"/>
      <w:lvlText w:val="%7."/>
      <w:lvlJc w:val="left"/>
      <w:pPr>
        <w:ind w:left="5040" w:hanging="360"/>
      </w:pPr>
    </w:lvl>
    <w:lvl w:ilvl="7" w:tplc="016000AE" w:tentative="1">
      <w:start w:val="1"/>
      <w:numFmt w:val="lowerLetter"/>
      <w:lvlText w:val="%8."/>
      <w:lvlJc w:val="left"/>
      <w:pPr>
        <w:ind w:left="5760" w:hanging="360"/>
      </w:pPr>
    </w:lvl>
    <w:lvl w:ilvl="8" w:tplc="81229E06" w:tentative="1">
      <w:start w:val="1"/>
      <w:numFmt w:val="lowerRoman"/>
      <w:lvlText w:val="%9."/>
      <w:lvlJc w:val="right"/>
      <w:pPr>
        <w:ind w:left="6480" w:hanging="180"/>
      </w:pPr>
    </w:lvl>
  </w:abstractNum>
  <w:abstractNum w:abstractNumId="40">
    <w:nsid w:val="3E8113D0"/>
    <w:multiLevelType w:val="hybridMultilevel"/>
    <w:tmpl w:val="A130231C"/>
    <w:lvl w:ilvl="0" w:tplc="C0FE4824">
      <w:start w:val="1"/>
      <w:numFmt w:val="bullet"/>
      <w:lvlText w:val=""/>
      <w:lvlJc w:val="left"/>
      <w:pPr>
        <w:ind w:left="720" w:hanging="360"/>
      </w:pPr>
      <w:rPr>
        <w:rFonts w:ascii="Symbol" w:hAnsi="Symbol" w:hint="default"/>
      </w:rPr>
    </w:lvl>
    <w:lvl w:ilvl="1" w:tplc="E496D5BC" w:tentative="1">
      <w:start w:val="1"/>
      <w:numFmt w:val="bullet"/>
      <w:lvlText w:val="o"/>
      <w:lvlJc w:val="left"/>
      <w:pPr>
        <w:ind w:left="1440" w:hanging="360"/>
      </w:pPr>
      <w:rPr>
        <w:rFonts w:ascii="Courier New" w:hAnsi="Courier New" w:cs="Courier New" w:hint="default"/>
      </w:rPr>
    </w:lvl>
    <w:lvl w:ilvl="2" w:tplc="1E0AD624" w:tentative="1">
      <w:start w:val="1"/>
      <w:numFmt w:val="bullet"/>
      <w:lvlText w:val=""/>
      <w:lvlJc w:val="left"/>
      <w:pPr>
        <w:ind w:left="2160" w:hanging="360"/>
      </w:pPr>
      <w:rPr>
        <w:rFonts w:ascii="Wingdings" w:hAnsi="Wingdings" w:hint="default"/>
      </w:rPr>
    </w:lvl>
    <w:lvl w:ilvl="3" w:tplc="E362A692" w:tentative="1">
      <w:start w:val="1"/>
      <w:numFmt w:val="bullet"/>
      <w:lvlText w:val=""/>
      <w:lvlJc w:val="left"/>
      <w:pPr>
        <w:ind w:left="2880" w:hanging="360"/>
      </w:pPr>
      <w:rPr>
        <w:rFonts w:ascii="Symbol" w:hAnsi="Symbol" w:hint="default"/>
      </w:rPr>
    </w:lvl>
    <w:lvl w:ilvl="4" w:tplc="9C563EFE" w:tentative="1">
      <w:start w:val="1"/>
      <w:numFmt w:val="bullet"/>
      <w:lvlText w:val="o"/>
      <w:lvlJc w:val="left"/>
      <w:pPr>
        <w:ind w:left="3600" w:hanging="360"/>
      </w:pPr>
      <w:rPr>
        <w:rFonts w:ascii="Courier New" w:hAnsi="Courier New" w:cs="Courier New" w:hint="default"/>
      </w:rPr>
    </w:lvl>
    <w:lvl w:ilvl="5" w:tplc="0390098E" w:tentative="1">
      <w:start w:val="1"/>
      <w:numFmt w:val="bullet"/>
      <w:lvlText w:val=""/>
      <w:lvlJc w:val="left"/>
      <w:pPr>
        <w:ind w:left="4320" w:hanging="360"/>
      </w:pPr>
      <w:rPr>
        <w:rFonts w:ascii="Wingdings" w:hAnsi="Wingdings" w:hint="default"/>
      </w:rPr>
    </w:lvl>
    <w:lvl w:ilvl="6" w:tplc="119E60EC" w:tentative="1">
      <w:start w:val="1"/>
      <w:numFmt w:val="bullet"/>
      <w:lvlText w:val=""/>
      <w:lvlJc w:val="left"/>
      <w:pPr>
        <w:ind w:left="5040" w:hanging="360"/>
      </w:pPr>
      <w:rPr>
        <w:rFonts w:ascii="Symbol" w:hAnsi="Symbol" w:hint="default"/>
      </w:rPr>
    </w:lvl>
    <w:lvl w:ilvl="7" w:tplc="A6AE079E" w:tentative="1">
      <w:start w:val="1"/>
      <w:numFmt w:val="bullet"/>
      <w:lvlText w:val="o"/>
      <w:lvlJc w:val="left"/>
      <w:pPr>
        <w:ind w:left="5760" w:hanging="360"/>
      </w:pPr>
      <w:rPr>
        <w:rFonts w:ascii="Courier New" w:hAnsi="Courier New" w:cs="Courier New" w:hint="default"/>
      </w:rPr>
    </w:lvl>
    <w:lvl w:ilvl="8" w:tplc="829CFF02" w:tentative="1">
      <w:start w:val="1"/>
      <w:numFmt w:val="bullet"/>
      <w:lvlText w:val=""/>
      <w:lvlJc w:val="left"/>
      <w:pPr>
        <w:ind w:left="6480" w:hanging="360"/>
      </w:pPr>
      <w:rPr>
        <w:rFonts w:ascii="Wingdings" w:hAnsi="Wingdings" w:hint="default"/>
      </w:rPr>
    </w:lvl>
  </w:abstractNum>
  <w:abstractNum w:abstractNumId="41">
    <w:nsid w:val="3EE236D5"/>
    <w:multiLevelType w:val="hybridMultilevel"/>
    <w:tmpl w:val="8D8E01E4"/>
    <w:lvl w:ilvl="0" w:tplc="81702F80">
      <w:start w:val="1"/>
      <w:numFmt w:val="decimal"/>
      <w:lvlText w:val="2.%1."/>
      <w:lvlJc w:val="left"/>
      <w:pPr>
        <w:ind w:left="1350" w:hanging="360"/>
      </w:pPr>
      <w:rPr>
        <w:rFonts w:hint="default"/>
        <w:b w:val="0"/>
      </w:rPr>
    </w:lvl>
    <w:lvl w:ilvl="1" w:tplc="CD329878" w:tentative="1">
      <w:start w:val="1"/>
      <w:numFmt w:val="lowerLetter"/>
      <w:lvlText w:val="%2."/>
      <w:lvlJc w:val="left"/>
      <w:pPr>
        <w:ind w:left="2070" w:hanging="360"/>
      </w:pPr>
    </w:lvl>
    <w:lvl w:ilvl="2" w:tplc="E2404A8E" w:tentative="1">
      <w:start w:val="1"/>
      <w:numFmt w:val="lowerRoman"/>
      <w:lvlText w:val="%3."/>
      <w:lvlJc w:val="right"/>
      <w:pPr>
        <w:ind w:left="2790" w:hanging="180"/>
      </w:pPr>
    </w:lvl>
    <w:lvl w:ilvl="3" w:tplc="93466854" w:tentative="1">
      <w:start w:val="1"/>
      <w:numFmt w:val="decimal"/>
      <w:lvlText w:val="%4."/>
      <w:lvlJc w:val="left"/>
      <w:pPr>
        <w:ind w:left="3510" w:hanging="360"/>
      </w:pPr>
    </w:lvl>
    <w:lvl w:ilvl="4" w:tplc="D706867E" w:tentative="1">
      <w:start w:val="1"/>
      <w:numFmt w:val="lowerLetter"/>
      <w:lvlText w:val="%5."/>
      <w:lvlJc w:val="left"/>
      <w:pPr>
        <w:ind w:left="4230" w:hanging="360"/>
      </w:pPr>
    </w:lvl>
    <w:lvl w:ilvl="5" w:tplc="2F08A2DA" w:tentative="1">
      <w:start w:val="1"/>
      <w:numFmt w:val="lowerRoman"/>
      <w:lvlText w:val="%6."/>
      <w:lvlJc w:val="right"/>
      <w:pPr>
        <w:ind w:left="4950" w:hanging="180"/>
      </w:pPr>
    </w:lvl>
    <w:lvl w:ilvl="6" w:tplc="FBE4E712" w:tentative="1">
      <w:start w:val="1"/>
      <w:numFmt w:val="decimal"/>
      <w:lvlText w:val="%7."/>
      <w:lvlJc w:val="left"/>
      <w:pPr>
        <w:ind w:left="5670" w:hanging="360"/>
      </w:pPr>
    </w:lvl>
    <w:lvl w:ilvl="7" w:tplc="6358AA0A" w:tentative="1">
      <w:start w:val="1"/>
      <w:numFmt w:val="lowerLetter"/>
      <w:lvlText w:val="%8."/>
      <w:lvlJc w:val="left"/>
      <w:pPr>
        <w:ind w:left="6390" w:hanging="360"/>
      </w:pPr>
    </w:lvl>
    <w:lvl w:ilvl="8" w:tplc="E4F41952" w:tentative="1">
      <w:start w:val="1"/>
      <w:numFmt w:val="lowerRoman"/>
      <w:lvlText w:val="%9."/>
      <w:lvlJc w:val="right"/>
      <w:pPr>
        <w:ind w:left="7110" w:hanging="180"/>
      </w:pPr>
    </w:lvl>
  </w:abstractNum>
  <w:abstractNum w:abstractNumId="42">
    <w:nsid w:val="40233A4F"/>
    <w:multiLevelType w:val="multilevel"/>
    <w:tmpl w:val="38CAEBA8"/>
    <w:lvl w:ilvl="0">
      <w:start w:val="1"/>
      <w:numFmt w:val="bullet"/>
      <w:pStyle w:val="Style1"/>
      <w:lvlText w:val=""/>
      <w:lvlJc w:val="left"/>
      <w:pPr>
        <w:tabs>
          <w:tab w:val="num" w:pos="360"/>
        </w:tabs>
        <w:ind w:left="360" w:hanging="360"/>
      </w:pPr>
      <w:rPr>
        <w:rFonts w:ascii="Symbol" w:hAnsi="Symbol" w:hint="default"/>
        <w:color w:val="39BB9E"/>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3">
    <w:nsid w:val="466C551F"/>
    <w:multiLevelType w:val="multilevel"/>
    <w:tmpl w:val="87EABC1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469C1A6A"/>
    <w:multiLevelType w:val="hybridMultilevel"/>
    <w:tmpl w:val="30582316"/>
    <w:lvl w:ilvl="0" w:tplc="33C8D468">
      <w:start w:val="1"/>
      <w:numFmt w:val="bullet"/>
      <w:lvlText w:val=""/>
      <w:lvlJc w:val="left"/>
      <w:pPr>
        <w:ind w:left="720" w:hanging="360"/>
      </w:pPr>
      <w:rPr>
        <w:rFonts w:ascii="Symbol" w:hAnsi="Symbol" w:hint="default"/>
      </w:rPr>
    </w:lvl>
    <w:lvl w:ilvl="1" w:tplc="1F6E37B6" w:tentative="1">
      <w:start w:val="1"/>
      <w:numFmt w:val="bullet"/>
      <w:lvlText w:val="o"/>
      <w:lvlJc w:val="left"/>
      <w:pPr>
        <w:ind w:left="1440" w:hanging="360"/>
      </w:pPr>
      <w:rPr>
        <w:rFonts w:ascii="Courier New" w:hAnsi="Courier New" w:cs="Courier New" w:hint="default"/>
      </w:rPr>
    </w:lvl>
    <w:lvl w:ilvl="2" w:tplc="8CA2CF18" w:tentative="1">
      <w:start w:val="1"/>
      <w:numFmt w:val="bullet"/>
      <w:lvlText w:val=""/>
      <w:lvlJc w:val="left"/>
      <w:pPr>
        <w:ind w:left="2160" w:hanging="360"/>
      </w:pPr>
      <w:rPr>
        <w:rFonts w:ascii="Wingdings" w:hAnsi="Wingdings" w:hint="default"/>
      </w:rPr>
    </w:lvl>
    <w:lvl w:ilvl="3" w:tplc="4EB03954" w:tentative="1">
      <w:start w:val="1"/>
      <w:numFmt w:val="bullet"/>
      <w:lvlText w:val=""/>
      <w:lvlJc w:val="left"/>
      <w:pPr>
        <w:ind w:left="2880" w:hanging="360"/>
      </w:pPr>
      <w:rPr>
        <w:rFonts w:ascii="Symbol" w:hAnsi="Symbol" w:hint="default"/>
      </w:rPr>
    </w:lvl>
    <w:lvl w:ilvl="4" w:tplc="AC4A0300" w:tentative="1">
      <w:start w:val="1"/>
      <w:numFmt w:val="bullet"/>
      <w:lvlText w:val="o"/>
      <w:lvlJc w:val="left"/>
      <w:pPr>
        <w:ind w:left="3600" w:hanging="360"/>
      </w:pPr>
      <w:rPr>
        <w:rFonts w:ascii="Courier New" w:hAnsi="Courier New" w:cs="Courier New" w:hint="default"/>
      </w:rPr>
    </w:lvl>
    <w:lvl w:ilvl="5" w:tplc="6D6C395E" w:tentative="1">
      <w:start w:val="1"/>
      <w:numFmt w:val="bullet"/>
      <w:lvlText w:val=""/>
      <w:lvlJc w:val="left"/>
      <w:pPr>
        <w:ind w:left="4320" w:hanging="360"/>
      </w:pPr>
      <w:rPr>
        <w:rFonts w:ascii="Wingdings" w:hAnsi="Wingdings" w:hint="default"/>
      </w:rPr>
    </w:lvl>
    <w:lvl w:ilvl="6" w:tplc="550AE586" w:tentative="1">
      <w:start w:val="1"/>
      <w:numFmt w:val="bullet"/>
      <w:lvlText w:val=""/>
      <w:lvlJc w:val="left"/>
      <w:pPr>
        <w:ind w:left="5040" w:hanging="360"/>
      </w:pPr>
      <w:rPr>
        <w:rFonts w:ascii="Symbol" w:hAnsi="Symbol" w:hint="default"/>
      </w:rPr>
    </w:lvl>
    <w:lvl w:ilvl="7" w:tplc="E8605498" w:tentative="1">
      <w:start w:val="1"/>
      <w:numFmt w:val="bullet"/>
      <w:lvlText w:val="o"/>
      <w:lvlJc w:val="left"/>
      <w:pPr>
        <w:ind w:left="5760" w:hanging="360"/>
      </w:pPr>
      <w:rPr>
        <w:rFonts w:ascii="Courier New" w:hAnsi="Courier New" w:cs="Courier New" w:hint="default"/>
      </w:rPr>
    </w:lvl>
    <w:lvl w:ilvl="8" w:tplc="E53E405C" w:tentative="1">
      <w:start w:val="1"/>
      <w:numFmt w:val="bullet"/>
      <w:lvlText w:val=""/>
      <w:lvlJc w:val="left"/>
      <w:pPr>
        <w:ind w:left="6480" w:hanging="360"/>
      </w:pPr>
      <w:rPr>
        <w:rFonts w:ascii="Wingdings" w:hAnsi="Wingdings" w:hint="default"/>
      </w:rPr>
    </w:lvl>
  </w:abstractNum>
  <w:abstractNum w:abstractNumId="45">
    <w:nsid w:val="47F13D20"/>
    <w:multiLevelType w:val="hybridMultilevel"/>
    <w:tmpl w:val="830E1536"/>
    <w:lvl w:ilvl="0" w:tplc="095A4256">
      <w:start w:val="1"/>
      <w:numFmt w:val="bullet"/>
      <w:lvlText w:val=""/>
      <w:lvlJc w:val="left"/>
      <w:pPr>
        <w:ind w:left="720" w:hanging="360"/>
      </w:pPr>
      <w:rPr>
        <w:rFonts w:ascii="Symbol" w:hAnsi="Symbol" w:hint="default"/>
      </w:rPr>
    </w:lvl>
    <w:lvl w:ilvl="1" w:tplc="598E146E" w:tentative="1">
      <w:start w:val="1"/>
      <w:numFmt w:val="bullet"/>
      <w:lvlText w:val="o"/>
      <w:lvlJc w:val="left"/>
      <w:pPr>
        <w:ind w:left="1440" w:hanging="360"/>
      </w:pPr>
      <w:rPr>
        <w:rFonts w:ascii="Courier New" w:hAnsi="Courier New" w:cs="Courier New" w:hint="default"/>
      </w:rPr>
    </w:lvl>
    <w:lvl w:ilvl="2" w:tplc="38F0CBE4" w:tentative="1">
      <w:start w:val="1"/>
      <w:numFmt w:val="bullet"/>
      <w:lvlText w:val=""/>
      <w:lvlJc w:val="left"/>
      <w:pPr>
        <w:ind w:left="2160" w:hanging="360"/>
      </w:pPr>
      <w:rPr>
        <w:rFonts w:ascii="Wingdings" w:hAnsi="Wingdings" w:hint="default"/>
      </w:rPr>
    </w:lvl>
    <w:lvl w:ilvl="3" w:tplc="68363A84" w:tentative="1">
      <w:start w:val="1"/>
      <w:numFmt w:val="bullet"/>
      <w:lvlText w:val=""/>
      <w:lvlJc w:val="left"/>
      <w:pPr>
        <w:ind w:left="2880" w:hanging="360"/>
      </w:pPr>
      <w:rPr>
        <w:rFonts w:ascii="Symbol" w:hAnsi="Symbol" w:hint="default"/>
      </w:rPr>
    </w:lvl>
    <w:lvl w:ilvl="4" w:tplc="3B4E6E84" w:tentative="1">
      <w:start w:val="1"/>
      <w:numFmt w:val="bullet"/>
      <w:lvlText w:val="o"/>
      <w:lvlJc w:val="left"/>
      <w:pPr>
        <w:ind w:left="3600" w:hanging="360"/>
      </w:pPr>
      <w:rPr>
        <w:rFonts w:ascii="Courier New" w:hAnsi="Courier New" w:cs="Courier New" w:hint="default"/>
      </w:rPr>
    </w:lvl>
    <w:lvl w:ilvl="5" w:tplc="4F3C32FA" w:tentative="1">
      <w:start w:val="1"/>
      <w:numFmt w:val="bullet"/>
      <w:lvlText w:val=""/>
      <w:lvlJc w:val="left"/>
      <w:pPr>
        <w:ind w:left="4320" w:hanging="360"/>
      </w:pPr>
      <w:rPr>
        <w:rFonts w:ascii="Wingdings" w:hAnsi="Wingdings" w:hint="default"/>
      </w:rPr>
    </w:lvl>
    <w:lvl w:ilvl="6" w:tplc="1512911C" w:tentative="1">
      <w:start w:val="1"/>
      <w:numFmt w:val="bullet"/>
      <w:lvlText w:val=""/>
      <w:lvlJc w:val="left"/>
      <w:pPr>
        <w:ind w:left="5040" w:hanging="360"/>
      </w:pPr>
      <w:rPr>
        <w:rFonts w:ascii="Symbol" w:hAnsi="Symbol" w:hint="default"/>
      </w:rPr>
    </w:lvl>
    <w:lvl w:ilvl="7" w:tplc="5A7A4D8A" w:tentative="1">
      <w:start w:val="1"/>
      <w:numFmt w:val="bullet"/>
      <w:lvlText w:val="o"/>
      <w:lvlJc w:val="left"/>
      <w:pPr>
        <w:ind w:left="5760" w:hanging="360"/>
      </w:pPr>
      <w:rPr>
        <w:rFonts w:ascii="Courier New" w:hAnsi="Courier New" w:cs="Courier New" w:hint="default"/>
      </w:rPr>
    </w:lvl>
    <w:lvl w:ilvl="8" w:tplc="0A98E6E2" w:tentative="1">
      <w:start w:val="1"/>
      <w:numFmt w:val="bullet"/>
      <w:lvlText w:val=""/>
      <w:lvlJc w:val="left"/>
      <w:pPr>
        <w:ind w:left="6480" w:hanging="360"/>
      </w:pPr>
      <w:rPr>
        <w:rFonts w:ascii="Wingdings" w:hAnsi="Wingdings" w:hint="default"/>
      </w:rPr>
    </w:lvl>
  </w:abstractNum>
  <w:abstractNum w:abstractNumId="46">
    <w:nsid w:val="48E71505"/>
    <w:multiLevelType w:val="hybridMultilevel"/>
    <w:tmpl w:val="0CAEF254"/>
    <w:lvl w:ilvl="0" w:tplc="A04CF968">
      <w:start w:val="1"/>
      <w:numFmt w:val="bullet"/>
      <w:lvlText w:val=""/>
      <w:lvlJc w:val="left"/>
      <w:pPr>
        <w:ind w:left="720" w:hanging="360"/>
      </w:pPr>
      <w:rPr>
        <w:rFonts w:ascii="Symbol" w:hAnsi="Symbol" w:hint="default"/>
      </w:rPr>
    </w:lvl>
    <w:lvl w:ilvl="1" w:tplc="D2046124" w:tentative="1">
      <w:start w:val="1"/>
      <w:numFmt w:val="bullet"/>
      <w:lvlText w:val="o"/>
      <w:lvlJc w:val="left"/>
      <w:pPr>
        <w:ind w:left="1440" w:hanging="360"/>
      </w:pPr>
      <w:rPr>
        <w:rFonts w:ascii="Courier New" w:hAnsi="Courier New" w:cs="Courier New" w:hint="default"/>
      </w:rPr>
    </w:lvl>
    <w:lvl w:ilvl="2" w:tplc="201E9DD6" w:tentative="1">
      <w:start w:val="1"/>
      <w:numFmt w:val="bullet"/>
      <w:lvlText w:val=""/>
      <w:lvlJc w:val="left"/>
      <w:pPr>
        <w:ind w:left="2160" w:hanging="360"/>
      </w:pPr>
      <w:rPr>
        <w:rFonts w:ascii="Wingdings" w:hAnsi="Wingdings" w:hint="default"/>
      </w:rPr>
    </w:lvl>
    <w:lvl w:ilvl="3" w:tplc="94B2D742" w:tentative="1">
      <w:start w:val="1"/>
      <w:numFmt w:val="bullet"/>
      <w:lvlText w:val=""/>
      <w:lvlJc w:val="left"/>
      <w:pPr>
        <w:ind w:left="2880" w:hanging="360"/>
      </w:pPr>
      <w:rPr>
        <w:rFonts w:ascii="Symbol" w:hAnsi="Symbol" w:hint="default"/>
      </w:rPr>
    </w:lvl>
    <w:lvl w:ilvl="4" w:tplc="7868918C" w:tentative="1">
      <w:start w:val="1"/>
      <w:numFmt w:val="bullet"/>
      <w:lvlText w:val="o"/>
      <w:lvlJc w:val="left"/>
      <w:pPr>
        <w:ind w:left="3600" w:hanging="360"/>
      </w:pPr>
      <w:rPr>
        <w:rFonts w:ascii="Courier New" w:hAnsi="Courier New" w:cs="Courier New" w:hint="default"/>
      </w:rPr>
    </w:lvl>
    <w:lvl w:ilvl="5" w:tplc="44386AD2" w:tentative="1">
      <w:start w:val="1"/>
      <w:numFmt w:val="bullet"/>
      <w:lvlText w:val=""/>
      <w:lvlJc w:val="left"/>
      <w:pPr>
        <w:ind w:left="4320" w:hanging="360"/>
      </w:pPr>
      <w:rPr>
        <w:rFonts w:ascii="Wingdings" w:hAnsi="Wingdings" w:hint="default"/>
      </w:rPr>
    </w:lvl>
    <w:lvl w:ilvl="6" w:tplc="5A56200E" w:tentative="1">
      <w:start w:val="1"/>
      <w:numFmt w:val="bullet"/>
      <w:lvlText w:val=""/>
      <w:lvlJc w:val="left"/>
      <w:pPr>
        <w:ind w:left="5040" w:hanging="360"/>
      </w:pPr>
      <w:rPr>
        <w:rFonts w:ascii="Symbol" w:hAnsi="Symbol" w:hint="default"/>
      </w:rPr>
    </w:lvl>
    <w:lvl w:ilvl="7" w:tplc="25EAD7E8" w:tentative="1">
      <w:start w:val="1"/>
      <w:numFmt w:val="bullet"/>
      <w:lvlText w:val="o"/>
      <w:lvlJc w:val="left"/>
      <w:pPr>
        <w:ind w:left="5760" w:hanging="360"/>
      </w:pPr>
      <w:rPr>
        <w:rFonts w:ascii="Courier New" w:hAnsi="Courier New" w:cs="Courier New" w:hint="default"/>
      </w:rPr>
    </w:lvl>
    <w:lvl w:ilvl="8" w:tplc="5C5E0248" w:tentative="1">
      <w:start w:val="1"/>
      <w:numFmt w:val="bullet"/>
      <w:lvlText w:val=""/>
      <w:lvlJc w:val="left"/>
      <w:pPr>
        <w:ind w:left="6480" w:hanging="360"/>
      </w:pPr>
      <w:rPr>
        <w:rFonts w:ascii="Wingdings" w:hAnsi="Wingdings" w:hint="default"/>
      </w:rPr>
    </w:lvl>
  </w:abstractNum>
  <w:abstractNum w:abstractNumId="47">
    <w:nsid w:val="490474D6"/>
    <w:multiLevelType w:val="hybridMultilevel"/>
    <w:tmpl w:val="D8860D62"/>
    <w:lvl w:ilvl="0" w:tplc="739C87FA">
      <w:start w:val="1"/>
      <w:numFmt w:val="decimal"/>
      <w:lvlText w:val="2.%1."/>
      <w:lvlJc w:val="left"/>
      <w:pPr>
        <w:ind w:left="720" w:hanging="360"/>
      </w:pPr>
      <w:rPr>
        <w:rFonts w:hint="default"/>
        <w:b w:val="0"/>
      </w:rPr>
    </w:lvl>
    <w:lvl w:ilvl="1" w:tplc="F14206B0" w:tentative="1">
      <w:start w:val="1"/>
      <w:numFmt w:val="lowerLetter"/>
      <w:lvlText w:val="%2."/>
      <w:lvlJc w:val="left"/>
      <w:pPr>
        <w:ind w:left="1440" w:hanging="360"/>
      </w:pPr>
    </w:lvl>
    <w:lvl w:ilvl="2" w:tplc="FE2433AE" w:tentative="1">
      <w:start w:val="1"/>
      <w:numFmt w:val="lowerRoman"/>
      <w:lvlText w:val="%3."/>
      <w:lvlJc w:val="right"/>
      <w:pPr>
        <w:ind w:left="2160" w:hanging="180"/>
      </w:pPr>
    </w:lvl>
    <w:lvl w:ilvl="3" w:tplc="F8F21D28" w:tentative="1">
      <w:start w:val="1"/>
      <w:numFmt w:val="decimal"/>
      <w:lvlText w:val="%4."/>
      <w:lvlJc w:val="left"/>
      <w:pPr>
        <w:ind w:left="2880" w:hanging="360"/>
      </w:pPr>
    </w:lvl>
    <w:lvl w:ilvl="4" w:tplc="10922BE2" w:tentative="1">
      <w:start w:val="1"/>
      <w:numFmt w:val="lowerLetter"/>
      <w:lvlText w:val="%5."/>
      <w:lvlJc w:val="left"/>
      <w:pPr>
        <w:ind w:left="3600" w:hanging="360"/>
      </w:pPr>
    </w:lvl>
    <w:lvl w:ilvl="5" w:tplc="F8406410" w:tentative="1">
      <w:start w:val="1"/>
      <w:numFmt w:val="lowerRoman"/>
      <w:lvlText w:val="%6."/>
      <w:lvlJc w:val="right"/>
      <w:pPr>
        <w:ind w:left="4320" w:hanging="180"/>
      </w:pPr>
    </w:lvl>
    <w:lvl w:ilvl="6" w:tplc="49583C3C" w:tentative="1">
      <w:start w:val="1"/>
      <w:numFmt w:val="decimal"/>
      <w:lvlText w:val="%7."/>
      <w:lvlJc w:val="left"/>
      <w:pPr>
        <w:ind w:left="5040" w:hanging="360"/>
      </w:pPr>
    </w:lvl>
    <w:lvl w:ilvl="7" w:tplc="3EB2B264" w:tentative="1">
      <w:start w:val="1"/>
      <w:numFmt w:val="lowerLetter"/>
      <w:lvlText w:val="%8."/>
      <w:lvlJc w:val="left"/>
      <w:pPr>
        <w:ind w:left="5760" w:hanging="360"/>
      </w:pPr>
    </w:lvl>
    <w:lvl w:ilvl="8" w:tplc="5B7C1B58" w:tentative="1">
      <w:start w:val="1"/>
      <w:numFmt w:val="lowerRoman"/>
      <w:lvlText w:val="%9."/>
      <w:lvlJc w:val="right"/>
      <w:pPr>
        <w:ind w:left="6480" w:hanging="180"/>
      </w:pPr>
    </w:lvl>
  </w:abstractNum>
  <w:abstractNum w:abstractNumId="48">
    <w:nsid w:val="497D7B4D"/>
    <w:multiLevelType w:val="multilevel"/>
    <w:tmpl w:val="0082C730"/>
    <w:lvl w:ilvl="0">
      <w:start w:val="1"/>
      <w:numFmt w:val="decimal"/>
      <w:lvlText w:val="%1"/>
      <w:lvlJc w:val="left"/>
      <w:pPr>
        <w:ind w:left="92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49D007BA"/>
    <w:multiLevelType w:val="hybridMultilevel"/>
    <w:tmpl w:val="579C78F6"/>
    <w:lvl w:ilvl="0" w:tplc="E1FAE380">
      <w:start w:val="1"/>
      <w:numFmt w:val="bullet"/>
      <w:lvlText w:val=""/>
      <w:lvlJc w:val="left"/>
      <w:pPr>
        <w:ind w:left="720" w:hanging="360"/>
      </w:pPr>
      <w:rPr>
        <w:rFonts w:ascii="Symbol" w:hAnsi="Symbol" w:hint="default"/>
      </w:rPr>
    </w:lvl>
    <w:lvl w:ilvl="1" w:tplc="4F96ABAC" w:tentative="1">
      <w:start w:val="1"/>
      <w:numFmt w:val="bullet"/>
      <w:lvlText w:val="o"/>
      <w:lvlJc w:val="left"/>
      <w:pPr>
        <w:ind w:left="1440" w:hanging="360"/>
      </w:pPr>
      <w:rPr>
        <w:rFonts w:ascii="Courier New" w:hAnsi="Courier New" w:cs="Courier New" w:hint="default"/>
      </w:rPr>
    </w:lvl>
    <w:lvl w:ilvl="2" w:tplc="5DF6097E" w:tentative="1">
      <w:start w:val="1"/>
      <w:numFmt w:val="bullet"/>
      <w:lvlText w:val=""/>
      <w:lvlJc w:val="left"/>
      <w:pPr>
        <w:ind w:left="2160" w:hanging="360"/>
      </w:pPr>
      <w:rPr>
        <w:rFonts w:ascii="Wingdings" w:hAnsi="Wingdings" w:hint="default"/>
      </w:rPr>
    </w:lvl>
    <w:lvl w:ilvl="3" w:tplc="902EA800" w:tentative="1">
      <w:start w:val="1"/>
      <w:numFmt w:val="bullet"/>
      <w:lvlText w:val=""/>
      <w:lvlJc w:val="left"/>
      <w:pPr>
        <w:ind w:left="2880" w:hanging="360"/>
      </w:pPr>
      <w:rPr>
        <w:rFonts w:ascii="Symbol" w:hAnsi="Symbol" w:hint="default"/>
      </w:rPr>
    </w:lvl>
    <w:lvl w:ilvl="4" w:tplc="B12EB6BA" w:tentative="1">
      <w:start w:val="1"/>
      <w:numFmt w:val="bullet"/>
      <w:lvlText w:val="o"/>
      <w:lvlJc w:val="left"/>
      <w:pPr>
        <w:ind w:left="3600" w:hanging="360"/>
      </w:pPr>
      <w:rPr>
        <w:rFonts w:ascii="Courier New" w:hAnsi="Courier New" w:cs="Courier New" w:hint="default"/>
      </w:rPr>
    </w:lvl>
    <w:lvl w:ilvl="5" w:tplc="AAB210AC" w:tentative="1">
      <w:start w:val="1"/>
      <w:numFmt w:val="bullet"/>
      <w:lvlText w:val=""/>
      <w:lvlJc w:val="left"/>
      <w:pPr>
        <w:ind w:left="4320" w:hanging="360"/>
      </w:pPr>
      <w:rPr>
        <w:rFonts w:ascii="Wingdings" w:hAnsi="Wingdings" w:hint="default"/>
      </w:rPr>
    </w:lvl>
    <w:lvl w:ilvl="6" w:tplc="1AF8176A" w:tentative="1">
      <w:start w:val="1"/>
      <w:numFmt w:val="bullet"/>
      <w:lvlText w:val=""/>
      <w:lvlJc w:val="left"/>
      <w:pPr>
        <w:ind w:left="5040" w:hanging="360"/>
      </w:pPr>
      <w:rPr>
        <w:rFonts w:ascii="Symbol" w:hAnsi="Symbol" w:hint="default"/>
      </w:rPr>
    </w:lvl>
    <w:lvl w:ilvl="7" w:tplc="884C547A" w:tentative="1">
      <w:start w:val="1"/>
      <w:numFmt w:val="bullet"/>
      <w:lvlText w:val="o"/>
      <w:lvlJc w:val="left"/>
      <w:pPr>
        <w:ind w:left="5760" w:hanging="360"/>
      </w:pPr>
      <w:rPr>
        <w:rFonts w:ascii="Courier New" w:hAnsi="Courier New" w:cs="Courier New" w:hint="default"/>
      </w:rPr>
    </w:lvl>
    <w:lvl w:ilvl="8" w:tplc="5DBC940E" w:tentative="1">
      <w:start w:val="1"/>
      <w:numFmt w:val="bullet"/>
      <w:lvlText w:val=""/>
      <w:lvlJc w:val="left"/>
      <w:pPr>
        <w:ind w:left="6480" w:hanging="360"/>
      </w:pPr>
      <w:rPr>
        <w:rFonts w:ascii="Wingdings" w:hAnsi="Wingdings" w:hint="default"/>
      </w:rPr>
    </w:lvl>
  </w:abstractNum>
  <w:abstractNum w:abstractNumId="50">
    <w:nsid w:val="4A7D5517"/>
    <w:multiLevelType w:val="hybridMultilevel"/>
    <w:tmpl w:val="4934A136"/>
    <w:lvl w:ilvl="0" w:tplc="83140E46">
      <w:start w:val="1"/>
      <w:numFmt w:val="bullet"/>
      <w:lvlText w:val=""/>
      <w:lvlJc w:val="left"/>
      <w:pPr>
        <w:ind w:left="720" w:hanging="360"/>
      </w:pPr>
      <w:rPr>
        <w:rFonts w:ascii="Symbol" w:hAnsi="Symbol" w:hint="default"/>
      </w:rPr>
    </w:lvl>
    <w:lvl w:ilvl="1" w:tplc="DA0ECD7C" w:tentative="1">
      <w:start w:val="1"/>
      <w:numFmt w:val="bullet"/>
      <w:lvlText w:val="o"/>
      <w:lvlJc w:val="left"/>
      <w:pPr>
        <w:ind w:left="1440" w:hanging="360"/>
      </w:pPr>
      <w:rPr>
        <w:rFonts w:ascii="Courier New" w:hAnsi="Courier New" w:cs="Courier New" w:hint="default"/>
      </w:rPr>
    </w:lvl>
    <w:lvl w:ilvl="2" w:tplc="A7365D8C" w:tentative="1">
      <w:start w:val="1"/>
      <w:numFmt w:val="bullet"/>
      <w:lvlText w:val=""/>
      <w:lvlJc w:val="left"/>
      <w:pPr>
        <w:ind w:left="2160" w:hanging="360"/>
      </w:pPr>
      <w:rPr>
        <w:rFonts w:ascii="Wingdings" w:hAnsi="Wingdings" w:hint="default"/>
      </w:rPr>
    </w:lvl>
    <w:lvl w:ilvl="3" w:tplc="57DC105E" w:tentative="1">
      <w:start w:val="1"/>
      <w:numFmt w:val="bullet"/>
      <w:lvlText w:val=""/>
      <w:lvlJc w:val="left"/>
      <w:pPr>
        <w:ind w:left="2880" w:hanging="360"/>
      </w:pPr>
      <w:rPr>
        <w:rFonts w:ascii="Symbol" w:hAnsi="Symbol" w:hint="default"/>
      </w:rPr>
    </w:lvl>
    <w:lvl w:ilvl="4" w:tplc="44282612" w:tentative="1">
      <w:start w:val="1"/>
      <w:numFmt w:val="bullet"/>
      <w:lvlText w:val="o"/>
      <w:lvlJc w:val="left"/>
      <w:pPr>
        <w:ind w:left="3600" w:hanging="360"/>
      </w:pPr>
      <w:rPr>
        <w:rFonts w:ascii="Courier New" w:hAnsi="Courier New" w:cs="Courier New" w:hint="default"/>
      </w:rPr>
    </w:lvl>
    <w:lvl w:ilvl="5" w:tplc="F796E278" w:tentative="1">
      <w:start w:val="1"/>
      <w:numFmt w:val="bullet"/>
      <w:lvlText w:val=""/>
      <w:lvlJc w:val="left"/>
      <w:pPr>
        <w:ind w:left="4320" w:hanging="360"/>
      </w:pPr>
      <w:rPr>
        <w:rFonts w:ascii="Wingdings" w:hAnsi="Wingdings" w:hint="default"/>
      </w:rPr>
    </w:lvl>
    <w:lvl w:ilvl="6" w:tplc="BDF63CC8" w:tentative="1">
      <w:start w:val="1"/>
      <w:numFmt w:val="bullet"/>
      <w:lvlText w:val=""/>
      <w:lvlJc w:val="left"/>
      <w:pPr>
        <w:ind w:left="5040" w:hanging="360"/>
      </w:pPr>
      <w:rPr>
        <w:rFonts w:ascii="Symbol" w:hAnsi="Symbol" w:hint="default"/>
      </w:rPr>
    </w:lvl>
    <w:lvl w:ilvl="7" w:tplc="399A21BA" w:tentative="1">
      <w:start w:val="1"/>
      <w:numFmt w:val="bullet"/>
      <w:lvlText w:val="o"/>
      <w:lvlJc w:val="left"/>
      <w:pPr>
        <w:ind w:left="5760" w:hanging="360"/>
      </w:pPr>
      <w:rPr>
        <w:rFonts w:ascii="Courier New" w:hAnsi="Courier New" w:cs="Courier New" w:hint="default"/>
      </w:rPr>
    </w:lvl>
    <w:lvl w:ilvl="8" w:tplc="3CF86348" w:tentative="1">
      <w:start w:val="1"/>
      <w:numFmt w:val="bullet"/>
      <w:lvlText w:val=""/>
      <w:lvlJc w:val="left"/>
      <w:pPr>
        <w:ind w:left="6480" w:hanging="360"/>
      </w:pPr>
      <w:rPr>
        <w:rFonts w:ascii="Wingdings" w:hAnsi="Wingdings" w:hint="default"/>
      </w:rPr>
    </w:lvl>
  </w:abstractNum>
  <w:abstractNum w:abstractNumId="51">
    <w:nsid w:val="4A933CFF"/>
    <w:multiLevelType w:val="hybridMultilevel"/>
    <w:tmpl w:val="757A5788"/>
    <w:lvl w:ilvl="0" w:tplc="51FED03A">
      <w:start w:val="1"/>
      <w:numFmt w:val="bullet"/>
      <w:lvlText w:val=""/>
      <w:lvlJc w:val="left"/>
      <w:pPr>
        <w:ind w:left="720" w:hanging="360"/>
      </w:pPr>
      <w:rPr>
        <w:rFonts w:ascii="Symbol" w:hAnsi="Symbol" w:hint="default"/>
      </w:rPr>
    </w:lvl>
    <w:lvl w:ilvl="1" w:tplc="E948EDC2" w:tentative="1">
      <w:start w:val="1"/>
      <w:numFmt w:val="bullet"/>
      <w:lvlText w:val="o"/>
      <w:lvlJc w:val="left"/>
      <w:pPr>
        <w:ind w:left="1440" w:hanging="360"/>
      </w:pPr>
      <w:rPr>
        <w:rFonts w:ascii="Courier New" w:hAnsi="Courier New" w:cs="Courier New" w:hint="default"/>
      </w:rPr>
    </w:lvl>
    <w:lvl w:ilvl="2" w:tplc="E578BBA6" w:tentative="1">
      <w:start w:val="1"/>
      <w:numFmt w:val="bullet"/>
      <w:lvlText w:val=""/>
      <w:lvlJc w:val="left"/>
      <w:pPr>
        <w:ind w:left="2160" w:hanging="360"/>
      </w:pPr>
      <w:rPr>
        <w:rFonts w:ascii="Wingdings" w:hAnsi="Wingdings" w:hint="default"/>
      </w:rPr>
    </w:lvl>
    <w:lvl w:ilvl="3" w:tplc="80D88040" w:tentative="1">
      <w:start w:val="1"/>
      <w:numFmt w:val="bullet"/>
      <w:lvlText w:val=""/>
      <w:lvlJc w:val="left"/>
      <w:pPr>
        <w:ind w:left="2880" w:hanging="360"/>
      </w:pPr>
      <w:rPr>
        <w:rFonts w:ascii="Symbol" w:hAnsi="Symbol" w:hint="default"/>
      </w:rPr>
    </w:lvl>
    <w:lvl w:ilvl="4" w:tplc="842AB76E" w:tentative="1">
      <w:start w:val="1"/>
      <w:numFmt w:val="bullet"/>
      <w:lvlText w:val="o"/>
      <w:lvlJc w:val="left"/>
      <w:pPr>
        <w:ind w:left="3600" w:hanging="360"/>
      </w:pPr>
      <w:rPr>
        <w:rFonts w:ascii="Courier New" w:hAnsi="Courier New" w:cs="Courier New" w:hint="default"/>
      </w:rPr>
    </w:lvl>
    <w:lvl w:ilvl="5" w:tplc="A3765BCC" w:tentative="1">
      <w:start w:val="1"/>
      <w:numFmt w:val="bullet"/>
      <w:lvlText w:val=""/>
      <w:lvlJc w:val="left"/>
      <w:pPr>
        <w:ind w:left="4320" w:hanging="360"/>
      </w:pPr>
      <w:rPr>
        <w:rFonts w:ascii="Wingdings" w:hAnsi="Wingdings" w:hint="default"/>
      </w:rPr>
    </w:lvl>
    <w:lvl w:ilvl="6" w:tplc="FB1AD486" w:tentative="1">
      <w:start w:val="1"/>
      <w:numFmt w:val="bullet"/>
      <w:lvlText w:val=""/>
      <w:lvlJc w:val="left"/>
      <w:pPr>
        <w:ind w:left="5040" w:hanging="360"/>
      </w:pPr>
      <w:rPr>
        <w:rFonts w:ascii="Symbol" w:hAnsi="Symbol" w:hint="default"/>
      </w:rPr>
    </w:lvl>
    <w:lvl w:ilvl="7" w:tplc="D7D4577E" w:tentative="1">
      <w:start w:val="1"/>
      <w:numFmt w:val="bullet"/>
      <w:lvlText w:val="o"/>
      <w:lvlJc w:val="left"/>
      <w:pPr>
        <w:ind w:left="5760" w:hanging="360"/>
      </w:pPr>
      <w:rPr>
        <w:rFonts w:ascii="Courier New" w:hAnsi="Courier New" w:cs="Courier New" w:hint="default"/>
      </w:rPr>
    </w:lvl>
    <w:lvl w:ilvl="8" w:tplc="EB0CEF12" w:tentative="1">
      <w:start w:val="1"/>
      <w:numFmt w:val="bullet"/>
      <w:lvlText w:val=""/>
      <w:lvlJc w:val="left"/>
      <w:pPr>
        <w:ind w:left="6480" w:hanging="360"/>
      </w:pPr>
      <w:rPr>
        <w:rFonts w:ascii="Wingdings" w:hAnsi="Wingdings" w:hint="default"/>
      </w:rPr>
    </w:lvl>
  </w:abstractNum>
  <w:abstractNum w:abstractNumId="52">
    <w:nsid w:val="4D934009"/>
    <w:multiLevelType w:val="hybridMultilevel"/>
    <w:tmpl w:val="9AA2ABB6"/>
    <w:lvl w:ilvl="0" w:tplc="5D0AA558">
      <w:start w:val="1"/>
      <w:numFmt w:val="bullet"/>
      <w:lvlText w:val=""/>
      <w:lvlJc w:val="left"/>
      <w:pPr>
        <w:ind w:left="720" w:hanging="360"/>
      </w:pPr>
      <w:rPr>
        <w:rFonts w:ascii="Symbol" w:hAnsi="Symbol" w:hint="default"/>
      </w:rPr>
    </w:lvl>
    <w:lvl w:ilvl="1" w:tplc="C3401C0E" w:tentative="1">
      <w:start w:val="1"/>
      <w:numFmt w:val="bullet"/>
      <w:lvlText w:val="o"/>
      <w:lvlJc w:val="left"/>
      <w:pPr>
        <w:ind w:left="1440" w:hanging="360"/>
      </w:pPr>
      <w:rPr>
        <w:rFonts w:ascii="Courier New" w:hAnsi="Courier New" w:cs="Courier New" w:hint="default"/>
      </w:rPr>
    </w:lvl>
    <w:lvl w:ilvl="2" w:tplc="C32288BA" w:tentative="1">
      <w:start w:val="1"/>
      <w:numFmt w:val="bullet"/>
      <w:lvlText w:val=""/>
      <w:lvlJc w:val="left"/>
      <w:pPr>
        <w:ind w:left="2160" w:hanging="360"/>
      </w:pPr>
      <w:rPr>
        <w:rFonts w:ascii="Wingdings" w:hAnsi="Wingdings" w:hint="default"/>
      </w:rPr>
    </w:lvl>
    <w:lvl w:ilvl="3" w:tplc="E272F53A" w:tentative="1">
      <w:start w:val="1"/>
      <w:numFmt w:val="bullet"/>
      <w:lvlText w:val=""/>
      <w:lvlJc w:val="left"/>
      <w:pPr>
        <w:ind w:left="2880" w:hanging="360"/>
      </w:pPr>
      <w:rPr>
        <w:rFonts w:ascii="Symbol" w:hAnsi="Symbol" w:hint="default"/>
      </w:rPr>
    </w:lvl>
    <w:lvl w:ilvl="4" w:tplc="3FBC68A6" w:tentative="1">
      <w:start w:val="1"/>
      <w:numFmt w:val="bullet"/>
      <w:lvlText w:val="o"/>
      <w:lvlJc w:val="left"/>
      <w:pPr>
        <w:ind w:left="3600" w:hanging="360"/>
      </w:pPr>
      <w:rPr>
        <w:rFonts w:ascii="Courier New" w:hAnsi="Courier New" w:cs="Courier New" w:hint="default"/>
      </w:rPr>
    </w:lvl>
    <w:lvl w:ilvl="5" w:tplc="20BC49BC" w:tentative="1">
      <w:start w:val="1"/>
      <w:numFmt w:val="bullet"/>
      <w:lvlText w:val=""/>
      <w:lvlJc w:val="left"/>
      <w:pPr>
        <w:ind w:left="4320" w:hanging="360"/>
      </w:pPr>
      <w:rPr>
        <w:rFonts w:ascii="Wingdings" w:hAnsi="Wingdings" w:hint="default"/>
      </w:rPr>
    </w:lvl>
    <w:lvl w:ilvl="6" w:tplc="089C82CC" w:tentative="1">
      <w:start w:val="1"/>
      <w:numFmt w:val="bullet"/>
      <w:lvlText w:val=""/>
      <w:lvlJc w:val="left"/>
      <w:pPr>
        <w:ind w:left="5040" w:hanging="360"/>
      </w:pPr>
      <w:rPr>
        <w:rFonts w:ascii="Symbol" w:hAnsi="Symbol" w:hint="default"/>
      </w:rPr>
    </w:lvl>
    <w:lvl w:ilvl="7" w:tplc="5D98F9AE" w:tentative="1">
      <w:start w:val="1"/>
      <w:numFmt w:val="bullet"/>
      <w:lvlText w:val="o"/>
      <w:lvlJc w:val="left"/>
      <w:pPr>
        <w:ind w:left="5760" w:hanging="360"/>
      </w:pPr>
      <w:rPr>
        <w:rFonts w:ascii="Courier New" w:hAnsi="Courier New" w:cs="Courier New" w:hint="default"/>
      </w:rPr>
    </w:lvl>
    <w:lvl w:ilvl="8" w:tplc="13DE9AE6" w:tentative="1">
      <w:start w:val="1"/>
      <w:numFmt w:val="bullet"/>
      <w:lvlText w:val=""/>
      <w:lvlJc w:val="left"/>
      <w:pPr>
        <w:ind w:left="6480" w:hanging="360"/>
      </w:pPr>
      <w:rPr>
        <w:rFonts w:ascii="Wingdings" w:hAnsi="Wingdings" w:hint="default"/>
      </w:rPr>
    </w:lvl>
  </w:abstractNum>
  <w:abstractNum w:abstractNumId="53">
    <w:nsid w:val="4DD77F8A"/>
    <w:multiLevelType w:val="hybridMultilevel"/>
    <w:tmpl w:val="458A3B64"/>
    <w:lvl w:ilvl="0" w:tplc="7CEE421E">
      <w:start w:val="1"/>
      <w:numFmt w:val="bullet"/>
      <w:lvlText w:val=""/>
      <w:lvlJc w:val="left"/>
      <w:pPr>
        <w:ind w:left="720" w:hanging="360"/>
      </w:pPr>
      <w:rPr>
        <w:rFonts w:ascii="Symbol" w:hAnsi="Symbol" w:hint="default"/>
      </w:rPr>
    </w:lvl>
    <w:lvl w:ilvl="1" w:tplc="EE6416AE" w:tentative="1">
      <w:start w:val="1"/>
      <w:numFmt w:val="bullet"/>
      <w:lvlText w:val="o"/>
      <w:lvlJc w:val="left"/>
      <w:pPr>
        <w:ind w:left="1440" w:hanging="360"/>
      </w:pPr>
      <w:rPr>
        <w:rFonts w:ascii="Courier New" w:hAnsi="Courier New" w:cs="Courier New" w:hint="default"/>
      </w:rPr>
    </w:lvl>
    <w:lvl w:ilvl="2" w:tplc="53566482" w:tentative="1">
      <w:start w:val="1"/>
      <w:numFmt w:val="bullet"/>
      <w:lvlText w:val=""/>
      <w:lvlJc w:val="left"/>
      <w:pPr>
        <w:ind w:left="2160" w:hanging="360"/>
      </w:pPr>
      <w:rPr>
        <w:rFonts w:ascii="Wingdings" w:hAnsi="Wingdings" w:hint="default"/>
      </w:rPr>
    </w:lvl>
    <w:lvl w:ilvl="3" w:tplc="5178BCD0" w:tentative="1">
      <w:start w:val="1"/>
      <w:numFmt w:val="bullet"/>
      <w:lvlText w:val=""/>
      <w:lvlJc w:val="left"/>
      <w:pPr>
        <w:ind w:left="2880" w:hanging="360"/>
      </w:pPr>
      <w:rPr>
        <w:rFonts w:ascii="Symbol" w:hAnsi="Symbol" w:hint="default"/>
      </w:rPr>
    </w:lvl>
    <w:lvl w:ilvl="4" w:tplc="2B166A50" w:tentative="1">
      <w:start w:val="1"/>
      <w:numFmt w:val="bullet"/>
      <w:lvlText w:val="o"/>
      <w:lvlJc w:val="left"/>
      <w:pPr>
        <w:ind w:left="3600" w:hanging="360"/>
      </w:pPr>
      <w:rPr>
        <w:rFonts w:ascii="Courier New" w:hAnsi="Courier New" w:cs="Courier New" w:hint="default"/>
      </w:rPr>
    </w:lvl>
    <w:lvl w:ilvl="5" w:tplc="F55C87F8" w:tentative="1">
      <w:start w:val="1"/>
      <w:numFmt w:val="bullet"/>
      <w:lvlText w:val=""/>
      <w:lvlJc w:val="left"/>
      <w:pPr>
        <w:ind w:left="4320" w:hanging="360"/>
      </w:pPr>
      <w:rPr>
        <w:rFonts w:ascii="Wingdings" w:hAnsi="Wingdings" w:hint="default"/>
      </w:rPr>
    </w:lvl>
    <w:lvl w:ilvl="6" w:tplc="A984B028" w:tentative="1">
      <w:start w:val="1"/>
      <w:numFmt w:val="bullet"/>
      <w:lvlText w:val=""/>
      <w:lvlJc w:val="left"/>
      <w:pPr>
        <w:ind w:left="5040" w:hanging="360"/>
      </w:pPr>
      <w:rPr>
        <w:rFonts w:ascii="Symbol" w:hAnsi="Symbol" w:hint="default"/>
      </w:rPr>
    </w:lvl>
    <w:lvl w:ilvl="7" w:tplc="7A1284E8" w:tentative="1">
      <w:start w:val="1"/>
      <w:numFmt w:val="bullet"/>
      <w:lvlText w:val="o"/>
      <w:lvlJc w:val="left"/>
      <w:pPr>
        <w:ind w:left="5760" w:hanging="360"/>
      </w:pPr>
      <w:rPr>
        <w:rFonts w:ascii="Courier New" w:hAnsi="Courier New" w:cs="Courier New" w:hint="default"/>
      </w:rPr>
    </w:lvl>
    <w:lvl w:ilvl="8" w:tplc="24A673B6" w:tentative="1">
      <w:start w:val="1"/>
      <w:numFmt w:val="bullet"/>
      <w:lvlText w:val=""/>
      <w:lvlJc w:val="left"/>
      <w:pPr>
        <w:ind w:left="6480" w:hanging="360"/>
      </w:pPr>
      <w:rPr>
        <w:rFonts w:ascii="Wingdings" w:hAnsi="Wingdings" w:hint="default"/>
      </w:rPr>
    </w:lvl>
  </w:abstractNum>
  <w:abstractNum w:abstractNumId="54">
    <w:nsid w:val="4E8F0A0F"/>
    <w:multiLevelType w:val="hybridMultilevel"/>
    <w:tmpl w:val="D988F4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nsid w:val="517A7EF7"/>
    <w:multiLevelType w:val="hybridMultilevel"/>
    <w:tmpl w:val="55E23AF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6">
    <w:nsid w:val="5204380B"/>
    <w:multiLevelType w:val="hybridMultilevel"/>
    <w:tmpl w:val="0E96D0AC"/>
    <w:lvl w:ilvl="0" w:tplc="4774B530">
      <w:start w:val="1"/>
      <w:numFmt w:val="decimal"/>
      <w:lvlText w:val="1.%1."/>
      <w:lvlJc w:val="left"/>
      <w:pPr>
        <w:ind w:left="1260" w:hanging="360"/>
      </w:pPr>
      <w:rPr>
        <w:rFonts w:hint="default"/>
        <w:b w:val="0"/>
      </w:rPr>
    </w:lvl>
    <w:lvl w:ilvl="1" w:tplc="722EE40A">
      <w:start w:val="1"/>
      <w:numFmt w:val="lowerLetter"/>
      <w:lvlText w:val="%2."/>
      <w:lvlJc w:val="left"/>
      <w:pPr>
        <w:ind w:left="1980" w:hanging="360"/>
      </w:pPr>
    </w:lvl>
    <w:lvl w:ilvl="2" w:tplc="DF2C46C2" w:tentative="1">
      <w:start w:val="1"/>
      <w:numFmt w:val="lowerRoman"/>
      <w:lvlText w:val="%3."/>
      <w:lvlJc w:val="right"/>
      <w:pPr>
        <w:ind w:left="2700" w:hanging="180"/>
      </w:pPr>
    </w:lvl>
    <w:lvl w:ilvl="3" w:tplc="0B7844CC" w:tentative="1">
      <w:start w:val="1"/>
      <w:numFmt w:val="decimal"/>
      <w:lvlText w:val="%4."/>
      <w:lvlJc w:val="left"/>
      <w:pPr>
        <w:ind w:left="3420" w:hanging="360"/>
      </w:pPr>
    </w:lvl>
    <w:lvl w:ilvl="4" w:tplc="A238DF9A" w:tentative="1">
      <w:start w:val="1"/>
      <w:numFmt w:val="lowerLetter"/>
      <w:lvlText w:val="%5."/>
      <w:lvlJc w:val="left"/>
      <w:pPr>
        <w:ind w:left="4140" w:hanging="360"/>
      </w:pPr>
    </w:lvl>
    <w:lvl w:ilvl="5" w:tplc="989C44A0" w:tentative="1">
      <w:start w:val="1"/>
      <w:numFmt w:val="lowerRoman"/>
      <w:lvlText w:val="%6."/>
      <w:lvlJc w:val="right"/>
      <w:pPr>
        <w:ind w:left="4860" w:hanging="180"/>
      </w:pPr>
    </w:lvl>
    <w:lvl w:ilvl="6" w:tplc="14F69AC2" w:tentative="1">
      <w:start w:val="1"/>
      <w:numFmt w:val="decimal"/>
      <w:lvlText w:val="%7."/>
      <w:lvlJc w:val="left"/>
      <w:pPr>
        <w:ind w:left="5580" w:hanging="360"/>
      </w:pPr>
    </w:lvl>
    <w:lvl w:ilvl="7" w:tplc="84A2A698" w:tentative="1">
      <w:start w:val="1"/>
      <w:numFmt w:val="lowerLetter"/>
      <w:lvlText w:val="%8."/>
      <w:lvlJc w:val="left"/>
      <w:pPr>
        <w:ind w:left="6300" w:hanging="360"/>
      </w:pPr>
    </w:lvl>
    <w:lvl w:ilvl="8" w:tplc="9D848042" w:tentative="1">
      <w:start w:val="1"/>
      <w:numFmt w:val="lowerRoman"/>
      <w:lvlText w:val="%9."/>
      <w:lvlJc w:val="right"/>
      <w:pPr>
        <w:ind w:left="7020" w:hanging="180"/>
      </w:pPr>
    </w:lvl>
  </w:abstractNum>
  <w:abstractNum w:abstractNumId="57">
    <w:nsid w:val="534D76E6"/>
    <w:multiLevelType w:val="hybridMultilevel"/>
    <w:tmpl w:val="6B400AF0"/>
    <w:lvl w:ilvl="0" w:tplc="02D87470">
      <w:start w:val="1"/>
      <w:numFmt w:val="bullet"/>
      <w:lvlText w:val=""/>
      <w:lvlJc w:val="left"/>
      <w:pPr>
        <w:ind w:left="720" w:hanging="360"/>
      </w:pPr>
      <w:rPr>
        <w:rFonts w:ascii="Symbol" w:hAnsi="Symbol" w:hint="default"/>
      </w:rPr>
    </w:lvl>
    <w:lvl w:ilvl="1" w:tplc="6BA06B48" w:tentative="1">
      <w:start w:val="1"/>
      <w:numFmt w:val="bullet"/>
      <w:lvlText w:val="o"/>
      <w:lvlJc w:val="left"/>
      <w:pPr>
        <w:ind w:left="1440" w:hanging="360"/>
      </w:pPr>
      <w:rPr>
        <w:rFonts w:ascii="Courier New" w:hAnsi="Courier New" w:cs="Courier New" w:hint="default"/>
      </w:rPr>
    </w:lvl>
    <w:lvl w:ilvl="2" w:tplc="4950E436" w:tentative="1">
      <w:start w:val="1"/>
      <w:numFmt w:val="bullet"/>
      <w:lvlText w:val=""/>
      <w:lvlJc w:val="left"/>
      <w:pPr>
        <w:ind w:left="2160" w:hanging="360"/>
      </w:pPr>
      <w:rPr>
        <w:rFonts w:ascii="Wingdings" w:hAnsi="Wingdings" w:hint="default"/>
      </w:rPr>
    </w:lvl>
    <w:lvl w:ilvl="3" w:tplc="9D44C9B6" w:tentative="1">
      <w:start w:val="1"/>
      <w:numFmt w:val="bullet"/>
      <w:lvlText w:val=""/>
      <w:lvlJc w:val="left"/>
      <w:pPr>
        <w:ind w:left="2880" w:hanging="360"/>
      </w:pPr>
      <w:rPr>
        <w:rFonts w:ascii="Symbol" w:hAnsi="Symbol" w:hint="default"/>
      </w:rPr>
    </w:lvl>
    <w:lvl w:ilvl="4" w:tplc="C09491D4" w:tentative="1">
      <w:start w:val="1"/>
      <w:numFmt w:val="bullet"/>
      <w:lvlText w:val="o"/>
      <w:lvlJc w:val="left"/>
      <w:pPr>
        <w:ind w:left="3600" w:hanging="360"/>
      </w:pPr>
      <w:rPr>
        <w:rFonts w:ascii="Courier New" w:hAnsi="Courier New" w:cs="Courier New" w:hint="default"/>
      </w:rPr>
    </w:lvl>
    <w:lvl w:ilvl="5" w:tplc="F064CA36" w:tentative="1">
      <w:start w:val="1"/>
      <w:numFmt w:val="bullet"/>
      <w:lvlText w:val=""/>
      <w:lvlJc w:val="left"/>
      <w:pPr>
        <w:ind w:left="4320" w:hanging="360"/>
      </w:pPr>
      <w:rPr>
        <w:rFonts w:ascii="Wingdings" w:hAnsi="Wingdings" w:hint="default"/>
      </w:rPr>
    </w:lvl>
    <w:lvl w:ilvl="6" w:tplc="20885A4E" w:tentative="1">
      <w:start w:val="1"/>
      <w:numFmt w:val="bullet"/>
      <w:lvlText w:val=""/>
      <w:lvlJc w:val="left"/>
      <w:pPr>
        <w:ind w:left="5040" w:hanging="360"/>
      </w:pPr>
      <w:rPr>
        <w:rFonts w:ascii="Symbol" w:hAnsi="Symbol" w:hint="default"/>
      </w:rPr>
    </w:lvl>
    <w:lvl w:ilvl="7" w:tplc="BB8C624E" w:tentative="1">
      <w:start w:val="1"/>
      <w:numFmt w:val="bullet"/>
      <w:lvlText w:val="o"/>
      <w:lvlJc w:val="left"/>
      <w:pPr>
        <w:ind w:left="5760" w:hanging="360"/>
      </w:pPr>
      <w:rPr>
        <w:rFonts w:ascii="Courier New" w:hAnsi="Courier New" w:cs="Courier New" w:hint="default"/>
      </w:rPr>
    </w:lvl>
    <w:lvl w:ilvl="8" w:tplc="E020E2D6" w:tentative="1">
      <w:start w:val="1"/>
      <w:numFmt w:val="bullet"/>
      <w:lvlText w:val=""/>
      <w:lvlJc w:val="left"/>
      <w:pPr>
        <w:ind w:left="6480" w:hanging="360"/>
      </w:pPr>
      <w:rPr>
        <w:rFonts w:ascii="Wingdings" w:hAnsi="Wingdings" w:hint="default"/>
      </w:rPr>
    </w:lvl>
  </w:abstractNum>
  <w:abstractNum w:abstractNumId="58">
    <w:nsid w:val="53F40313"/>
    <w:multiLevelType w:val="hybridMultilevel"/>
    <w:tmpl w:val="6E8430A2"/>
    <w:lvl w:ilvl="0" w:tplc="41167C18">
      <w:start w:val="1"/>
      <w:numFmt w:val="decimal"/>
      <w:lvlText w:val="3.%1."/>
      <w:lvlJc w:val="left"/>
      <w:pPr>
        <w:ind w:left="720" w:hanging="360"/>
      </w:pPr>
      <w:rPr>
        <w:rFonts w:hint="default"/>
        <w:b w:val="0"/>
      </w:rPr>
    </w:lvl>
    <w:lvl w:ilvl="1" w:tplc="2C56513E" w:tentative="1">
      <w:start w:val="1"/>
      <w:numFmt w:val="lowerLetter"/>
      <w:lvlText w:val="%2."/>
      <w:lvlJc w:val="left"/>
      <w:pPr>
        <w:ind w:left="1440" w:hanging="360"/>
      </w:pPr>
    </w:lvl>
    <w:lvl w:ilvl="2" w:tplc="426A38EA" w:tentative="1">
      <w:start w:val="1"/>
      <w:numFmt w:val="lowerRoman"/>
      <w:lvlText w:val="%3."/>
      <w:lvlJc w:val="right"/>
      <w:pPr>
        <w:ind w:left="2160" w:hanging="180"/>
      </w:pPr>
    </w:lvl>
    <w:lvl w:ilvl="3" w:tplc="F73EC7A4" w:tentative="1">
      <w:start w:val="1"/>
      <w:numFmt w:val="decimal"/>
      <w:lvlText w:val="%4."/>
      <w:lvlJc w:val="left"/>
      <w:pPr>
        <w:ind w:left="2880" w:hanging="360"/>
      </w:pPr>
    </w:lvl>
    <w:lvl w:ilvl="4" w:tplc="589025FE" w:tentative="1">
      <w:start w:val="1"/>
      <w:numFmt w:val="lowerLetter"/>
      <w:lvlText w:val="%5."/>
      <w:lvlJc w:val="left"/>
      <w:pPr>
        <w:ind w:left="3600" w:hanging="360"/>
      </w:pPr>
    </w:lvl>
    <w:lvl w:ilvl="5" w:tplc="C6AC52B8" w:tentative="1">
      <w:start w:val="1"/>
      <w:numFmt w:val="lowerRoman"/>
      <w:lvlText w:val="%6."/>
      <w:lvlJc w:val="right"/>
      <w:pPr>
        <w:ind w:left="4320" w:hanging="180"/>
      </w:pPr>
    </w:lvl>
    <w:lvl w:ilvl="6" w:tplc="BAF26F78" w:tentative="1">
      <w:start w:val="1"/>
      <w:numFmt w:val="decimal"/>
      <w:lvlText w:val="%7."/>
      <w:lvlJc w:val="left"/>
      <w:pPr>
        <w:ind w:left="5040" w:hanging="360"/>
      </w:pPr>
    </w:lvl>
    <w:lvl w:ilvl="7" w:tplc="C07E48D2" w:tentative="1">
      <w:start w:val="1"/>
      <w:numFmt w:val="lowerLetter"/>
      <w:lvlText w:val="%8."/>
      <w:lvlJc w:val="left"/>
      <w:pPr>
        <w:ind w:left="5760" w:hanging="360"/>
      </w:pPr>
    </w:lvl>
    <w:lvl w:ilvl="8" w:tplc="00E252EE" w:tentative="1">
      <w:start w:val="1"/>
      <w:numFmt w:val="lowerRoman"/>
      <w:lvlText w:val="%9."/>
      <w:lvlJc w:val="right"/>
      <w:pPr>
        <w:ind w:left="6480" w:hanging="180"/>
      </w:pPr>
    </w:lvl>
  </w:abstractNum>
  <w:abstractNum w:abstractNumId="59">
    <w:nsid w:val="556B351F"/>
    <w:multiLevelType w:val="multilevel"/>
    <w:tmpl w:val="AC84E028"/>
    <w:lvl w:ilvl="0">
      <w:start w:val="1"/>
      <w:numFmt w:val="upperRoman"/>
      <w:pStyle w:val="wygheadinglevel1"/>
      <w:lvlText w:val="%1."/>
      <w:lvlJc w:val="left"/>
      <w:pPr>
        <w:tabs>
          <w:tab w:val="num" w:pos="567"/>
        </w:tabs>
        <w:ind w:left="567" w:hanging="567"/>
      </w:pPr>
      <w:rPr>
        <w:rFonts w:cs="Times New Roman" w:hint="default"/>
      </w:rPr>
    </w:lvl>
    <w:lvl w:ilvl="1">
      <w:start w:val="1"/>
      <w:numFmt w:val="decimal"/>
      <w:pStyle w:val="wygheadinglevel2"/>
      <w:suff w:val="space"/>
      <w:lvlText w:val="%1.%2."/>
      <w:lvlJc w:val="left"/>
      <w:pPr>
        <w:ind w:left="284" w:hanging="284"/>
      </w:pPr>
      <w:rPr>
        <w:rFonts w:cs="Times New Roman" w:hint="default"/>
      </w:rPr>
    </w:lvl>
    <w:lvl w:ilvl="2">
      <w:start w:val="1"/>
      <w:numFmt w:val="decimal"/>
      <w:pStyle w:val="wygheadinglevel3"/>
      <w:lvlText w:val="%1.%2.%3."/>
      <w:lvlJc w:val="left"/>
      <w:pPr>
        <w:tabs>
          <w:tab w:val="num" w:pos="851"/>
        </w:tabs>
        <w:ind w:left="851" w:hanging="851"/>
      </w:pPr>
      <w:rPr>
        <w:rFonts w:ascii="Tahoma" w:hAnsi="Tahoma" w:cs="Times New Roman" w:hint="default"/>
        <w:sz w:val="20"/>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0">
    <w:nsid w:val="55707EDC"/>
    <w:multiLevelType w:val="hybridMultilevel"/>
    <w:tmpl w:val="089A7B3E"/>
    <w:lvl w:ilvl="0" w:tplc="0C964B6E">
      <w:start w:val="1"/>
      <w:numFmt w:val="bullet"/>
      <w:lvlText w:val=""/>
      <w:lvlJc w:val="left"/>
      <w:pPr>
        <w:ind w:left="1440" w:hanging="360"/>
      </w:pPr>
      <w:rPr>
        <w:rFonts w:ascii="Symbol" w:hAnsi="Symbol" w:hint="default"/>
      </w:rPr>
    </w:lvl>
    <w:lvl w:ilvl="1" w:tplc="128ABF1E" w:tentative="1">
      <w:start w:val="1"/>
      <w:numFmt w:val="bullet"/>
      <w:lvlText w:val="o"/>
      <w:lvlJc w:val="left"/>
      <w:pPr>
        <w:ind w:left="2160" w:hanging="360"/>
      </w:pPr>
      <w:rPr>
        <w:rFonts w:ascii="Courier New" w:hAnsi="Courier New" w:cs="Courier New" w:hint="default"/>
      </w:rPr>
    </w:lvl>
    <w:lvl w:ilvl="2" w:tplc="83A84D7C" w:tentative="1">
      <w:start w:val="1"/>
      <w:numFmt w:val="bullet"/>
      <w:lvlText w:val=""/>
      <w:lvlJc w:val="left"/>
      <w:pPr>
        <w:ind w:left="2880" w:hanging="360"/>
      </w:pPr>
      <w:rPr>
        <w:rFonts w:ascii="Wingdings" w:hAnsi="Wingdings" w:hint="default"/>
      </w:rPr>
    </w:lvl>
    <w:lvl w:ilvl="3" w:tplc="FF64495A" w:tentative="1">
      <w:start w:val="1"/>
      <w:numFmt w:val="bullet"/>
      <w:lvlText w:val=""/>
      <w:lvlJc w:val="left"/>
      <w:pPr>
        <w:ind w:left="3600" w:hanging="360"/>
      </w:pPr>
      <w:rPr>
        <w:rFonts w:ascii="Symbol" w:hAnsi="Symbol" w:hint="default"/>
      </w:rPr>
    </w:lvl>
    <w:lvl w:ilvl="4" w:tplc="73D63A84" w:tentative="1">
      <w:start w:val="1"/>
      <w:numFmt w:val="bullet"/>
      <w:lvlText w:val="o"/>
      <w:lvlJc w:val="left"/>
      <w:pPr>
        <w:ind w:left="4320" w:hanging="360"/>
      </w:pPr>
      <w:rPr>
        <w:rFonts w:ascii="Courier New" w:hAnsi="Courier New" w:cs="Courier New" w:hint="default"/>
      </w:rPr>
    </w:lvl>
    <w:lvl w:ilvl="5" w:tplc="51C0B16E" w:tentative="1">
      <w:start w:val="1"/>
      <w:numFmt w:val="bullet"/>
      <w:lvlText w:val=""/>
      <w:lvlJc w:val="left"/>
      <w:pPr>
        <w:ind w:left="5040" w:hanging="360"/>
      </w:pPr>
      <w:rPr>
        <w:rFonts w:ascii="Wingdings" w:hAnsi="Wingdings" w:hint="default"/>
      </w:rPr>
    </w:lvl>
    <w:lvl w:ilvl="6" w:tplc="6584E3B8" w:tentative="1">
      <w:start w:val="1"/>
      <w:numFmt w:val="bullet"/>
      <w:lvlText w:val=""/>
      <w:lvlJc w:val="left"/>
      <w:pPr>
        <w:ind w:left="5760" w:hanging="360"/>
      </w:pPr>
      <w:rPr>
        <w:rFonts w:ascii="Symbol" w:hAnsi="Symbol" w:hint="default"/>
      </w:rPr>
    </w:lvl>
    <w:lvl w:ilvl="7" w:tplc="C450CCDC" w:tentative="1">
      <w:start w:val="1"/>
      <w:numFmt w:val="bullet"/>
      <w:lvlText w:val="o"/>
      <w:lvlJc w:val="left"/>
      <w:pPr>
        <w:ind w:left="6480" w:hanging="360"/>
      </w:pPr>
      <w:rPr>
        <w:rFonts w:ascii="Courier New" w:hAnsi="Courier New" w:cs="Courier New" w:hint="default"/>
      </w:rPr>
    </w:lvl>
    <w:lvl w:ilvl="8" w:tplc="BFEAF16E" w:tentative="1">
      <w:start w:val="1"/>
      <w:numFmt w:val="bullet"/>
      <w:lvlText w:val=""/>
      <w:lvlJc w:val="left"/>
      <w:pPr>
        <w:ind w:left="7200" w:hanging="360"/>
      </w:pPr>
      <w:rPr>
        <w:rFonts w:ascii="Wingdings" w:hAnsi="Wingdings" w:hint="default"/>
      </w:rPr>
    </w:lvl>
  </w:abstractNum>
  <w:abstractNum w:abstractNumId="61">
    <w:nsid w:val="56745E93"/>
    <w:multiLevelType w:val="hybridMultilevel"/>
    <w:tmpl w:val="F1526F58"/>
    <w:lvl w:ilvl="0" w:tplc="BC08F47A">
      <w:start w:val="1"/>
      <w:numFmt w:val="decimal"/>
      <w:lvlText w:val="4.%1."/>
      <w:lvlJc w:val="left"/>
      <w:pPr>
        <w:ind w:left="1260" w:hanging="360"/>
      </w:pPr>
      <w:rPr>
        <w:rFonts w:hint="default"/>
        <w:b w:val="0"/>
      </w:rPr>
    </w:lvl>
    <w:lvl w:ilvl="1" w:tplc="712E837C">
      <w:start w:val="1"/>
      <w:numFmt w:val="lowerLetter"/>
      <w:lvlText w:val="%2."/>
      <w:lvlJc w:val="left"/>
      <w:pPr>
        <w:ind w:left="1980" w:hanging="360"/>
      </w:pPr>
    </w:lvl>
    <w:lvl w:ilvl="2" w:tplc="C5446F06" w:tentative="1">
      <w:start w:val="1"/>
      <w:numFmt w:val="lowerRoman"/>
      <w:lvlText w:val="%3."/>
      <w:lvlJc w:val="right"/>
      <w:pPr>
        <w:ind w:left="2700" w:hanging="180"/>
      </w:pPr>
    </w:lvl>
    <w:lvl w:ilvl="3" w:tplc="B0BEFB4E" w:tentative="1">
      <w:start w:val="1"/>
      <w:numFmt w:val="decimal"/>
      <w:lvlText w:val="%4."/>
      <w:lvlJc w:val="left"/>
      <w:pPr>
        <w:ind w:left="3420" w:hanging="360"/>
      </w:pPr>
    </w:lvl>
    <w:lvl w:ilvl="4" w:tplc="9F7A8D46" w:tentative="1">
      <w:start w:val="1"/>
      <w:numFmt w:val="lowerLetter"/>
      <w:lvlText w:val="%5."/>
      <w:lvlJc w:val="left"/>
      <w:pPr>
        <w:ind w:left="4140" w:hanging="360"/>
      </w:pPr>
    </w:lvl>
    <w:lvl w:ilvl="5" w:tplc="598810BE" w:tentative="1">
      <w:start w:val="1"/>
      <w:numFmt w:val="lowerRoman"/>
      <w:lvlText w:val="%6."/>
      <w:lvlJc w:val="right"/>
      <w:pPr>
        <w:ind w:left="4860" w:hanging="180"/>
      </w:pPr>
    </w:lvl>
    <w:lvl w:ilvl="6" w:tplc="98E861AE" w:tentative="1">
      <w:start w:val="1"/>
      <w:numFmt w:val="decimal"/>
      <w:lvlText w:val="%7."/>
      <w:lvlJc w:val="left"/>
      <w:pPr>
        <w:ind w:left="5580" w:hanging="360"/>
      </w:pPr>
    </w:lvl>
    <w:lvl w:ilvl="7" w:tplc="DDB60FB8" w:tentative="1">
      <w:start w:val="1"/>
      <w:numFmt w:val="lowerLetter"/>
      <w:lvlText w:val="%8."/>
      <w:lvlJc w:val="left"/>
      <w:pPr>
        <w:ind w:left="6300" w:hanging="360"/>
      </w:pPr>
    </w:lvl>
    <w:lvl w:ilvl="8" w:tplc="56F8F77A" w:tentative="1">
      <w:start w:val="1"/>
      <w:numFmt w:val="lowerRoman"/>
      <w:lvlText w:val="%9."/>
      <w:lvlJc w:val="right"/>
      <w:pPr>
        <w:ind w:left="7020" w:hanging="180"/>
      </w:pPr>
    </w:lvl>
  </w:abstractNum>
  <w:abstractNum w:abstractNumId="62">
    <w:nsid w:val="58447CDB"/>
    <w:multiLevelType w:val="hybridMultilevel"/>
    <w:tmpl w:val="6D0E465C"/>
    <w:lvl w:ilvl="0" w:tplc="A170D32A">
      <w:start w:val="1"/>
      <w:numFmt w:val="bullet"/>
      <w:lvlText w:val=""/>
      <w:lvlJc w:val="left"/>
      <w:pPr>
        <w:ind w:left="1440" w:hanging="360"/>
      </w:pPr>
      <w:rPr>
        <w:rFonts w:ascii="Symbol" w:hAnsi="Symbol" w:hint="default"/>
      </w:rPr>
    </w:lvl>
    <w:lvl w:ilvl="1" w:tplc="AB0432FC" w:tentative="1">
      <w:start w:val="1"/>
      <w:numFmt w:val="bullet"/>
      <w:lvlText w:val="o"/>
      <w:lvlJc w:val="left"/>
      <w:pPr>
        <w:ind w:left="2160" w:hanging="360"/>
      </w:pPr>
      <w:rPr>
        <w:rFonts w:ascii="Courier New" w:hAnsi="Courier New" w:cs="Courier New" w:hint="default"/>
      </w:rPr>
    </w:lvl>
    <w:lvl w:ilvl="2" w:tplc="68E8ED7A" w:tentative="1">
      <w:start w:val="1"/>
      <w:numFmt w:val="bullet"/>
      <w:lvlText w:val=""/>
      <w:lvlJc w:val="left"/>
      <w:pPr>
        <w:ind w:left="2880" w:hanging="360"/>
      </w:pPr>
      <w:rPr>
        <w:rFonts w:ascii="Wingdings" w:hAnsi="Wingdings" w:hint="default"/>
      </w:rPr>
    </w:lvl>
    <w:lvl w:ilvl="3" w:tplc="230876DA" w:tentative="1">
      <w:start w:val="1"/>
      <w:numFmt w:val="bullet"/>
      <w:lvlText w:val=""/>
      <w:lvlJc w:val="left"/>
      <w:pPr>
        <w:ind w:left="3600" w:hanging="360"/>
      </w:pPr>
      <w:rPr>
        <w:rFonts w:ascii="Symbol" w:hAnsi="Symbol" w:hint="default"/>
      </w:rPr>
    </w:lvl>
    <w:lvl w:ilvl="4" w:tplc="0BDA180C" w:tentative="1">
      <w:start w:val="1"/>
      <w:numFmt w:val="bullet"/>
      <w:lvlText w:val="o"/>
      <w:lvlJc w:val="left"/>
      <w:pPr>
        <w:ind w:left="4320" w:hanging="360"/>
      </w:pPr>
      <w:rPr>
        <w:rFonts w:ascii="Courier New" w:hAnsi="Courier New" w:cs="Courier New" w:hint="default"/>
      </w:rPr>
    </w:lvl>
    <w:lvl w:ilvl="5" w:tplc="03C4F9E0" w:tentative="1">
      <w:start w:val="1"/>
      <w:numFmt w:val="bullet"/>
      <w:lvlText w:val=""/>
      <w:lvlJc w:val="left"/>
      <w:pPr>
        <w:ind w:left="5040" w:hanging="360"/>
      </w:pPr>
      <w:rPr>
        <w:rFonts w:ascii="Wingdings" w:hAnsi="Wingdings" w:hint="default"/>
      </w:rPr>
    </w:lvl>
    <w:lvl w:ilvl="6" w:tplc="9ABCCDFC" w:tentative="1">
      <w:start w:val="1"/>
      <w:numFmt w:val="bullet"/>
      <w:lvlText w:val=""/>
      <w:lvlJc w:val="left"/>
      <w:pPr>
        <w:ind w:left="5760" w:hanging="360"/>
      </w:pPr>
      <w:rPr>
        <w:rFonts w:ascii="Symbol" w:hAnsi="Symbol" w:hint="default"/>
      </w:rPr>
    </w:lvl>
    <w:lvl w:ilvl="7" w:tplc="BC3E1C94" w:tentative="1">
      <w:start w:val="1"/>
      <w:numFmt w:val="bullet"/>
      <w:lvlText w:val="o"/>
      <w:lvlJc w:val="left"/>
      <w:pPr>
        <w:ind w:left="6480" w:hanging="360"/>
      </w:pPr>
      <w:rPr>
        <w:rFonts w:ascii="Courier New" w:hAnsi="Courier New" w:cs="Courier New" w:hint="default"/>
      </w:rPr>
    </w:lvl>
    <w:lvl w:ilvl="8" w:tplc="A7E8DDD6" w:tentative="1">
      <w:start w:val="1"/>
      <w:numFmt w:val="bullet"/>
      <w:lvlText w:val=""/>
      <w:lvlJc w:val="left"/>
      <w:pPr>
        <w:ind w:left="7200" w:hanging="360"/>
      </w:pPr>
      <w:rPr>
        <w:rFonts w:ascii="Wingdings" w:hAnsi="Wingdings" w:hint="default"/>
      </w:rPr>
    </w:lvl>
  </w:abstractNum>
  <w:abstractNum w:abstractNumId="63">
    <w:nsid w:val="585C1969"/>
    <w:multiLevelType w:val="hybridMultilevel"/>
    <w:tmpl w:val="F5AC4E4E"/>
    <w:lvl w:ilvl="0" w:tplc="A3A22CFE">
      <w:start w:val="1"/>
      <w:numFmt w:val="bullet"/>
      <w:lvlText w:val=""/>
      <w:lvlJc w:val="left"/>
      <w:pPr>
        <w:ind w:left="720" w:hanging="360"/>
      </w:pPr>
      <w:rPr>
        <w:rFonts w:ascii="Symbol" w:hAnsi="Symbol" w:hint="default"/>
      </w:rPr>
    </w:lvl>
    <w:lvl w:ilvl="1" w:tplc="59C2D672" w:tentative="1">
      <w:start w:val="1"/>
      <w:numFmt w:val="bullet"/>
      <w:lvlText w:val="o"/>
      <w:lvlJc w:val="left"/>
      <w:pPr>
        <w:ind w:left="1440" w:hanging="360"/>
      </w:pPr>
      <w:rPr>
        <w:rFonts w:ascii="Courier New" w:hAnsi="Courier New" w:cs="Courier New" w:hint="default"/>
      </w:rPr>
    </w:lvl>
    <w:lvl w:ilvl="2" w:tplc="80C694AC" w:tentative="1">
      <w:start w:val="1"/>
      <w:numFmt w:val="bullet"/>
      <w:lvlText w:val=""/>
      <w:lvlJc w:val="left"/>
      <w:pPr>
        <w:ind w:left="2160" w:hanging="360"/>
      </w:pPr>
      <w:rPr>
        <w:rFonts w:ascii="Wingdings" w:hAnsi="Wingdings" w:hint="default"/>
      </w:rPr>
    </w:lvl>
    <w:lvl w:ilvl="3" w:tplc="0F9C5162" w:tentative="1">
      <w:start w:val="1"/>
      <w:numFmt w:val="bullet"/>
      <w:lvlText w:val=""/>
      <w:lvlJc w:val="left"/>
      <w:pPr>
        <w:ind w:left="2880" w:hanging="360"/>
      </w:pPr>
      <w:rPr>
        <w:rFonts w:ascii="Symbol" w:hAnsi="Symbol" w:hint="default"/>
      </w:rPr>
    </w:lvl>
    <w:lvl w:ilvl="4" w:tplc="AD8E9796" w:tentative="1">
      <w:start w:val="1"/>
      <w:numFmt w:val="bullet"/>
      <w:lvlText w:val="o"/>
      <w:lvlJc w:val="left"/>
      <w:pPr>
        <w:ind w:left="3600" w:hanging="360"/>
      </w:pPr>
      <w:rPr>
        <w:rFonts w:ascii="Courier New" w:hAnsi="Courier New" w:cs="Courier New" w:hint="default"/>
      </w:rPr>
    </w:lvl>
    <w:lvl w:ilvl="5" w:tplc="D2CEDEE0" w:tentative="1">
      <w:start w:val="1"/>
      <w:numFmt w:val="bullet"/>
      <w:lvlText w:val=""/>
      <w:lvlJc w:val="left"/>
      <w:pPr>
        <w:ind w:left="4320" w:hanging="360"/>
      </w:pPr>
      <w:rPr>
        <w:rFonts w:ascii="Wingdings" w:hAnsi="Wingdings" w:hint="default"/>
      </w:rPr>
    </w:lvl>
    <w:lvl w:ilvl="6" w:tplc="D9D44530" w:tentative="1">
      <w:start w:val="1"/>
      <w:numFmt w:val="bullet"/>
      <w:lvlText w:val=""/>
      <w:lvlJc w:val="left"/>
      <w:pPr>
        <w:ind w:left="5040" w:hanging="360"/>
      </w:pPr>
      <w:rPr>
        <w:rFonts w:ascii="Symbol" w:hAnsi="Symbol" w:hint="default"/>
      </w:rPr>
    </w:lvl>
    <w:lvl w:ilvl="7" w:tplc="C730F038" w:tentative="1">
      <w:start w:val="1"/>
      <w:numFmt w:val="bullet"/>
      <w:lvlText w:val="o"/>
      <w:lvlJc w:val="left"/>
      <w:pPr>
        <w:ind w:left="5760" w:hanging="360"/>
      </w:pPr>
      <w:rPr>
        <w:rFonts w:ascii="Courier New" w:hAnsi="Courier New" w:cs="Courier New" w:hint="default"/>
      </w:rPr>
    </w:lvl>
    <w:lvl w:ilvl="8" w:tplc="212ACF36" w:tentative="1">
      <w:start w:val="1"/>
      <w:numFmt w:val="bullet"/>
      <w:lvlText w:val=""/>
      <w:lvlJc w:val="left"/>
      <w:pPr>
        <w:ind w:left="6480" w:hanging="360"/>
      </w:pPr>
      <w:rPr>
        <w:rFonts w:ascii="Wingdings" w:hAnsi="Wingdings" w:hint="default"/>
      </w:rPr>
    </w:lvl>
  </w:abstractNum>
  <w:abstractNum w:abstractNumId="64">
    <w:nsid w:val="58FC0D2C"/>
    <w:multiLevelType w:val="hybridMultilevel"/>
    <w:tmpl w:val="13D41310"/>
    <w:lvl w:ilvl="0" w:tplc="5B621184">
      <w:start w:val="1"/>
      <w:numFmt w:val="bullet"/>
      <w:lvlText w:val=""/>
      <w:lvlJc w:val="left"/>
      <w:pPr>
        <w:ind w:left="720" w:hanging="360"/>
      </w:pPr>
      <w:rPr>
        <w:rFonts w:ascii="Symbol" w:hAnsi="Symbol" w:hint="default"/>
      </w:rPr>
    </w:lvl>
    <w:lvl w:ilvl="1" w:tplc="4544D220" w:tentative="1">
      <w:start w:val="1"/>
      <w:numFmt w:val="bullet"/>
      <w:lvlText w:val="o"/>
      <w:lvlJc w:val="left"/>
      <w:pPr>
        <w:ind w:left="1440" w:hanging="360"/>
      </w:pPr>
      <w:rPr>
        <w:rFonts w:ascii="Courier New" w:hAnsi="Courier New" w:cs="Courier New" w:hint="default"/>
      </w:rPr>
    </w:lvl>
    <w:lvl w:ilvl="2" w:tplc="C7C090F4" w:tentative="1">
      <w:start w:val="1"/>
      <w:numFmt w:val="bullet"/>
      <w:lvlText w:val=""/>
      <w:lvlJc w:val="left"/>
      <w:pPr>
        <w:ind w:left="2160" w:hanging="360"/>
      </w:pPr>
      <w:rPr>
        <w:rFonts w:ascii="Wingdings" w:hAnsi="Wingdings" w:hint="default"/>
      </w:rPr>
    </w:lvl>
    <w:lvl w:ilvl="3" w:tplc="78302460" w:tentative="1">
      <w:start w:val="1"/>
      <w:numFmt w:val="bullet"/>
      <w:lvlText w:val=""/>
      <w:lvlJc w:val="left"/>
      <w:pPr>
        <w:ind w:left="2880" w:hanging="360"/>
      </w:pPr>
      <w:rPr>
        <w:rFonts w:ascii="Symbol" w:hAnsi="Symbol" w:hint="default"/>
      </w:rPr>
    </w:lvl>
    <w:lvl w:ilvl="4" w:tplc="E24291C4" w:tentative="1">
      <w:start w:val="1"/>
      <w:numFmt w:val="bullet"/>
      <w:lvlText w:val="o"/>
      <w:lvlJc w:val="left"/>
      <w:pPr>
        <w:ind w:left="3600" w:hanging="360"/>
      </w:pPr>
      <w:rPr>
        <w:rFonts w:ascii="Courier New" w:hAnsi="Courier New" w:cs="Courier New" w:hint="default"/>
      </w:rPr>
    </w:lvl>
    <w:lvl w:ilvl="5" w:tplc="9FAE592E" w:tentative="1">
      <w:start w:val="1"/>
      <w:numFmt w:val="bullet"/>
      <w:lvlText w:val=""/>
      <w:lvlJc w:val="left"/>
      <w:pPr>
        <w:ind w:left="4320" w:hanging="360"/>
      </w:pPr>
      <w:rPr>
        <w:rFonts w:ascii="Wingdings" w:hAnsi="Wingdings" w:hint="default"/>
      </w:rPr>
    </w:lvl>
    <w:lvl w:ilvl="6" w:tplc="D29669AC" w:tentative="1">
      <w:start w:val="1"/>
      <w:numFmt w:val="bullet"/>
      <w:lvlText w:val=""/>
      <w:lvlJc w:val="left"/>
      <w:pPr>
        <w:ind w:left="5040" w:hanging="360"/>
      </w:pPr>
      <w:rPr>
        <w:rFonts w:ascii="Symbol" w:hAnsi="Symbol" w:hint="default"/>
      </w:rPr>
    </w:lvl>
    <w:lvl w:ilvl="7" w:tplc="50043ED4" w:tentative="1">
      <w:start w:val="1"/>
      <w:numFmt w:val="bullet"/>
      <w:lvlText w:val="o"/>
      <w:lvlJc w:val="left"/>
      <w:pPr>
        <w:ind w:left="5760" w:hanging="360"/>
      </w:pPr>
      <w:rPr>
        <w:rFonts w:ascii="Courier New" w:hAnsi="Courier New" w:cs="Courier New" w:hint="default"/>
      </w:rPr>
    </w:lvl>
    <w:lvl w:ilvl="8" w:tplc="C494F47C" w:tentative="1">
      <w:start w:val="1"/>
      <w:numFmt w:val="bullet"/>
      <w:lvlText w:val=""/>
      <w:lvlJc w:val="left"/>
      <w:pPr>
        <w:ind w:left="6480" w:hanging="360"/>
      </w:pPr>
      <w:rPr>
        <w:rFonts w:ascii="Wingdings" w:hAnsi="Wingdings" w:hint="default"/>
      </w:rPr>
    </w:lvl>
  </w:abstractNum>
  <w:abstractNum w:abstractNumId="65">
    <w:nsid w:val="596E0D43"/>
    <w:multiLevelType w:val="hybridMultilevel"/>
    <w:tmpl w:val="E3003990"/>
    <w:lvl w:ilvl="0" w:tplc="6C44D314">
      <w:start w:val="1"/>
      <w:numFmt w:val="bullet"/>
      <w:lvlText w:val=""/>
      <w:lvlJc w:val="left"/>
      <w:pPr>
        <w:ind w:left="720" w:hanging="360"/>
      </w:pPr>
      <w:rPr>
        <w:rFonts w:ascii="Symbol" w:hAnsi="Symbol" w:hint="default"/>
      </w:rPr>
    </w:lvl>
    <w:lvl w:ilvl="1" w:tplc="52609F0C" w:tentative="1">
      <w:start w:val="1"/>
      <w:numFmt w:val="bullet"/>
      <w:lvlText w:val="o"/>
      <w:lvlJc w:val="left"/>
      <w:pPr>
        <w:ind w:left="1440" w:hanging="360"/>
      </w:pPr>
      <w:rPr>
        <w:rFonts w:ascii="Courier New" w:hAnsi="Courier New" w:cs="Courier New" w:hint="default"/>
      </w:rPr>
    </w:lvl>
    <w:lvl w:ilvl="2" w:tplc="36CA370E" w:tentative="1">
      <w:start w:val="1"/>
      <w:numFmt w:val="bullet"/>
      <w:lvlText w:val=""/>
      <w:lvlJc w:val="left"/>
      <w:pPr>
        <w:ind w:left="2160" w:hanging="360"/>
      </w:pPr>
      <w:rPr>
        <w:rFonts w:ascii="Wingdings" w:hAnsi="Wingdings" w:hint="default"/>
      </w:rPr>
    </w:lvl>
    <w:lvl w:ilvl="3" w:tplc="86607646" w:tentative="1">
      <w:start w:val="1"/>
      <w:numFmt w:val="bullet"/>
      <w:lvlText w:val=""/>
      <w:lvlJc w:val="left"/>
      <w:pPr>
        <w:ind w:left="2880" w:hanging="360"/>
      </w:pPr>
      <w:rPr>
        <w:rFonts w:ascii="Symbol" w:hAnsi="Symbol" w:hint="default"/>
      </w:rPr>
    </w:lvl>
    <w:lvl w:ilvl="4" w:tplc="F98CFA22" w:tentative="1">
      <w:start w:val="1"/>
      <w:numFmt w:val="bullet"/>
      <w:lvlText w:val="o"/>
      <w:lvlJc w:val="left"/>
      <w:pPr>
        <w:ind w:left="3600" w:hanging="360"/>
      </w:pPr>
      <w:rPr>
        <w:rFonts w:ascii="Courier New" w:hAnsi="Courier New" w:cs="Courier New" w:hint="default"/>
      </w:rPr>
    </w:lvl>
    <w:lvl w:ilvl="5" w:tplc="8F204170" w:tentative="1">
      <w:start w:val="1"/>
      <w:numFmt w:val="bullet"/>
      <w:lvlText w:val=""/>
      <w:lvlJc w:val="left"/>
      <w:pPr>
        <w:ind w:left="4320" w:hanging="360"/>
      </w:pPr>
      <w:rPr>
        <w:rFonts w:ascii="Wingdings" w:hAnsi="Wingdings" w:hint="default"/>
      </w:rPr>
    </w:lvl>
    <w:lvl w:ilvl="6" w:tplc="D08C3DDA" w:tentative="1">
      <w:start w:val="1"/>
      <w:numFmt w:val="bullet"/>
      <w:lvlText w:val=""/>
      <w:lvlJc w:val="left"/>
      <w:pPr>
        <w:ind w:left="5040" w:hanging="360"/>
      </w:pPr>
      <w:rPr>
        <w:rFonts w:ascii="Symbol" w:hAnsi="Symbol" w:hint="default"/>
      </w:rPr>
    </w:lvl>
    <w:lvl w:ilvl="7" w:tplc="331C108A" w:tentative="1">
      <w:start w:val="1"/>
      <w:numFmt w:val="bullet"/>
      <w:lvlText w:val="o"/>
      <w:lvlJc w:val="left"/>
      <w:pPr>
        <w:ind w:left="5760" w:hanging="360"/>
      </w:pPr>
      <w:rPr>
        <w:rFonts w:ascii="Courier New" w:hAnsi="Courier New" w:cs="Courier New" w:hint="default"/>
      </w:rPr>
    </w:lvl>
    <w:lvl w:ilvl="8" w:tplc="D2267716" w:tentative="1">
      <w:start w:val="1"/>
      <w:numFmt w:val="bullet"/>
      <w:lvlText w:val=""/>
      <w:lvlJc w:val="left"/>
      <w:pPr>
        <w:ind w:left="6480" w:hanging="360"/>
      </w:pPr>
      <w:rPr>
        <w:rFonts w:ascii="Wingdings" w:hAnsi="Wingdings" w:hint="default"/>
      </w:rPr>
    </w:lvl>
  </w:abstractNum>
  <w:abstractNum w:abstractNumId="66">
    <w:nsid w:val="5EAF3752"/>
    <w:multiLevelType w:val="hybridMultilevel"/>
    <w:tmpl w:val="1E96E070"/>
    <w:lvl w:ilvl="0" w:tplc="F1526868">
      <w:start w:val="1"/>
      <w:numFmt w:val="bullet"/>
      <w:lvlText w:val=""/>
      <w:lvlJc w:val="left"/>
      <w:pPr>
        <w:ind w:left="720" w:hanging="360"/>
      </w:pPr>
      <w:rPr>
        <w:rFonts w:ascii="Symbol" w:hAnsi="Symbol" w:hint="default"/>
      </w:rPr>
    </w:lvl>
    <w:lvl w:ilvl="1" w:tplc="E3C8F2FA" w:tentative="1">
      <w:start w:val="1"/>
      <w:numFmt w:val="bullet"/>
      <w:lvlText w:val="o"/>
      <w:lvlJc w:val="left"/>
      <w:pPr>
        <w:ind w:left="1440" w:hanging="360"/>
      </w:pPr>
      <w:rPr>
        <w:rFonts w:ascii="Courier New" w:hAnsi="Courier New" w:cs="Courier New" w:hint="default"/>
      </w:rPr>
    </w:lvl>
    <w:lvl w:ilvl="2" w:tplc="ECF6478A" w:tentative="1">
      <w:start w:val="1"/>
      <w:numFmt w:val="bullet"/>
      <w:lvlText w:val=""/>
      <w:lvlJc w:val="left"/>
      <w:pPr>
        <w:ind w:left="2160" w:hanging="360"/>
      </w:pPr>
      <w:rPr>
        <w:rFonts w:ascii="Wingdings" w:hAnsi="Wingdings" w:hint="default"/>
      </w:rPr>
    </w:lvl>
    <w:lvl w:ilvl="3" w:tplc="FDEA7E72" w:tentative="1">
      <w:start w:val="1"/>
      <w:numFmt w:val="bullet"/>
      <w:lvlText w:val=""/>
      <w:lvlJc w:val="left"/>
      <w:pPr>
        <w:ind w:left="2880" w:hanging="360"/>
      </w:pPr>
      <w:rPr>
        <w:rFonts w:ascii="Symbol" w:hAnsi="Symbol" w:hint="default"/>
      </w:rPr>
    </w:lvl>
    <w:lvl w:ilvl="4" w:tplc="52DC2EC0" w:tentative="1">
      <w:start w:val="1"/>
      <w:numFmt w:val="bullet"/>
      <w:lvlText w:val="o"/>
      <w:lvlJc w:val="left"/>
      <w:pPr>
        <w:ind w:left="3600" w:hanging="360"/>
      </w:pPr>
      <w:rPr>
        <w:rFonts w:ascii="Courier New" w:hAnsi="Courier New" w:cs="Courier New" w:hint="default"/>
      </w:rPr>
    </w:lvl>
    <w:lvl w:ilvl="5" w:tplc="0A9A1D76" w:tentative="1">
      <w:start w:val="1"/>
      <w:numFmt w:val="bullet"/>
      <w:lvlText w:val=""/>
      <w:lvlJc w:val="left"/>
      <w:pPr>
        <w:ind w:left="4320" w:hanging="360"/>
      </w:pPr>
      <w:rPr>
        <w:rFonts w:ascii="Wingdings" w:hAnsi="Wingdings" w:hint="default"/>
      </w:rPr>
    </w:lvl>
    <w:lvl w:ilvl="6" w:tplc="B66AA4E6" w:tentative="1">
      <w:start w:val="1"/>
      <w:numFmt w:val="bullet"/>
      <w:lvlText w:val=""/>
      <w:lvlJc w:val="left"/>
      <w:pPr>
        <w:ind w:left="5040" w:hanging="360"/>
      </w:pPr>
      <w:rPr>
        <w:rFonts w:ascii="Symbol" w:hAnsi="Symbol" w:hint="default"/>
      </w:rPr>
    </w:lvl>
    <w:lvl w:ilvl="7" w:tplc="B2FABBA0" w:tentative="1">
      <w:start w:val="1"/>
      <w:numFmt w:val="bullet"/>
      <w:lvlText w:val="o"/>
      <w:lvlJc w:val="left"/>
      <w:pPr>
        <w:ind w:left="5760" w:hanging="360"/>
      </w:pPr>
      <w:rPr>
        <w:rFonts w:ascii="Courier New" w:hAnsi="Courier New" w:cs="Courier New" w:hint="default"/>
      </w:rPr>
    </w:lvl>
    <w:lvl w:ilvl="8" w:tplc="6EA888CC" w:tentative="1">
      <w:start w:val="1"/>
      <w:numFmt w:val="bullet"/>
      <w:lvlText w:val=""/>
      <w:lvlJc w:val="left"/>
      <w:pPr>
        <w:ind w:left="6480" w:hanging="360"/>
      </w:pPr>
      <w:rPr>
        <w:rFonts w:ascii="Wingdings" w:hAnsi="Wingdings" w:hint="default"/>
      </w:rPr>
    </w:lvl>
  </w:abstractNum>
  <w:abstractNum w:abstractNumId="67">
    <w:nsid w:val="60F56B88"/>
    <w:multiLevelType w:val="hybridMultilevel"/>
    <w:tmpl w:val="1D80F7F4"/>
    <w:lvl w:ilvl="0" w:tplc="E1A4DB04">
      <w:start w:val="1"/>
      <w:numFmt w:val="bullet"/>
      <w:lvlText w:val=""/>
      <w:lvlJc w:val="left"/>
      <w:pPr>
        <w:tabs>
          <w:tab w:val="num" w:pos="720"/>
        </w:tabs>
        <w:ind w:left="720" w:hanging="360"/>
      </w:pPr>
      <w:rPr>
        <w:rFonts w:ascii="Wingdings" w:hAnsi="Wingdings" w:hint="default"/>
        <w:sz w:val="20"/>
      </w:rPr>
    </w:lvl>
    <w:lvl w:ilvl="1" w:tplc="DAB4ED94">
      <w:start w:val="1"/>
      <w:numFmt w:val="bullet"/>
      <w:lvlText w:val="o"/>
      <w:lvlJc w:val="left"/>
      <w:pPr>
        <w:tabs>
          <w:tab w:val="num" w:pos="1440"/>
        </w:tabs>
        <w:ind w:left="1440" w:hanging="360"/>
      </w:pPr>
      <w:rPr>
        <w:rFonts w:ascii="Courier New" w:hAnsi="Courier New" w:cs="Times New Roman" w:hint="default"/>
      </w:rPr>
    </w:lvl>
    <w:lvl w:ilvl="2" w:tplc="FCFE3E74">
      <w:start w:val="1"/>
      <w:numFmt w:val="bullet"/>
      <w:lvlText w:val=""/>
      <w:lvlJc w:val="left"/>
      <w:pPr>
        <w:tabs>
          <w:tab w:val="num" w:pos="2160"/>
        </w:tabs>
        <w:ind w:left="2160" w:hanging="360"/>
      </w:pPr>
      <w:rPr>
        <w:rFonts w:ascii="Wingdings" w:hAnsi="Wingdings" w:hint="default"/>
      </w:rPr>
    </w:lvl>
    <w:lvl w:ilvl="3" w:tplc="601CA544">
      <w:start w:val="1"/>
      <w:numFmt w:val="bullet"/>
      <w:lvlText w:val=""/>
      <w:lvlJc w:val="left"/>
      <w:pPr>
        <w:tabs>
          <w:tab w:val="num" w:pos="2880"/>
        </w:tabs>
        <w:ind w:left="2880" w:hanging="360"/>
      </w:pPr>
      <w:rPr>
        <w:rFonts w:ascii="Symbol" w:hAnsi="Symbol" w:hint="default"/>
      </w:rPr>
    </w:lvl>
    <w:lvl w:ilvl="4" w:tplc="8A02D1CC">
      <w:start w:val="1"/>
      <w:numFmt w:val="bullet"/>
      <w:lvlText w:val="o"/>
      <w:lvlJc w:val="left"/>
      <w:pPr>
        <w:tabs>
          <w:tab w:val="num" w:pos="3600"/>
        </w:tabs>
        <w:ind w:left="3600" w:hanging="360"/>
      </w:pPr>
      <w:rPr>
        <w:rFonts w:ascii="Courier New" w:hAnsi="Courier New" w:cs="Times New Roman" w:hint="default"/>
      </w:rPr>
    </w:lvl>
    <w:lvl w:ilvl="5" w:tplc="0A02381A">
      <w:start w:val="1"/>
      <w:numFmt w:val="bullet"/>
      <w:lvlText w:val=""/>
      <w:lvlJc w:val="left"/>
      <w:pPr>
        <w:tabs>
          <w:tab w:val="num" w:pos="4320"/>
        </w:tabs>
        <w:ind w:left="4320" w:hanging="360"/>
      </w:pPr>
      <w:rPr>
        <w:rFonts w:ascii="Wingdings" w:hAnsi="Wingdings" w:hint="default"/>
      </w:rPr>
    </w:lvl>
    <w:lvl w:ilvl="6" w:tplc="AB3E0F34">
      <w:start w:val="1"/>
      <w:numFmt w:val="bullet"/>
      <w:lvlText w:val=""/>
      <w:lvlJc w:val="left"/>
      <w:pPr>
        <w:tabs>
          <w:tab w:val="num" w:pos="5040"/>
        </w:tabs>
        <w:ind w:left="5040" w:hanging="360"/>
      </w:pPr>
      <w:rPr>
        <w:rFonts w:ascii="Symbol" w:hAnsi="Symbol" w:hint="default"/>
      </w:rPr>
    </w:lvl>
    <w:lvl w:ilvl="7" w:tplc="AC282840">
      <w:start w:val="1"/>
      <w:numFmt w:val="bullet"/>
      <w:lvlText w:val="o"/>
      <w:lvlJc w:val="left"/>
      <w:pPr>
        <w:tabs>
          <w:tab w:val="num" w:pos="5760"/>
        </w:tabs>
        <w:ind w:left="5760" w:hanging="360"/>
      </w:pPr>
      <w:rPr>
        <w:rFonts w:ascii="Courier New" w:hAnsi="Courier New" w:cs="Times New Roman" w:hint="default"/>
      </w:rPr>
    </w:lvl>
    <w:lvl w:ilvl="8" w:tplc="8E3E760A">
      <w:start w:val="1"/>
      <w:numFmt w:val="bullet"/>
      <w:lvlText w:val=""/>
      <w:lvlJc w:val="left"/>
      <w:pPr>
        <w:tabs>
          <w:tab w:val="num" w:pos="6480"/>
        </w:tabs>
        <w:ind w:left="6480" w:hanging="360"/>
      </w:pPr>
      <w:rPr>
        <w:rFonts w:ascii="Wingdings" w:hAnsi="Wingdings" w:hint="default"/>
      </w:rPr>
    </w:lvl>
  </w:abstractNum>
  <w:abstractNum w:abstractNumId="68">
    <w:nsid w:val="616E776D"/>
    <w:multiLevelType w:val="hybridMultilevel"/>
    <w:tmpl w:val="AAE494C2"/>
    <w:name w:val="WW8Num1723"/>
    <w:lvl w:ilvl="0" w:tplc="CD6C2450">
      <w:start w:val="1"/>
      <w:numFmt w:val="bullet"/>
      <w:lvlText w:val=""/>
      <w:lvlJc w:val="left"/>
      <w:pPr>
        <w:tabs>
          <w:tab w:val="num" w:pos="432"/>
        </w:tabs>
        <w:ind w:left="432" w:hanging="360"/>
      </w:pPr>
      <w:rPr>
        <w:rFonts w:ascii="Wingdings" w:hAnsi="Wingdings" w:hint="default"/>
      </w:rPr>
    </w:lvl>
    <w:lvl w:ilvl="1" w:tplc="536EFD40" w:tentative="1">
      <w:start w:val="1"/>
      <w:numFmt w:val="bullet"/>
      <w:lvlText w:val="o"/>
      <w:lvlJc w:val="left"/>
      <w:pPr>
        <w:tabs>
          <w:tab w:val="num" w:pos="1440"/>
        </w:tabs>
        <w:ind w:left="1440" w:hanging="360"/>
      </w:pPr>
      <w:rPr>
        <w:rFonts w:ascii="Courier New" w:hAnsi="Courier New" w:cs="Courier New" w:hint="default"/>
      </w:rPr>
    </w:lvl>
    <w:lvl w:ilvl="2" w:tplc="4EB61EF2" w:tentative="1">
      <w:start w:val="1"/>
      <w:numFmt w:val="bullet"/>
      <w:lvlText w:val=""/>
      <w:lvlJc w:val="left"/>
      <w:pPr>
        <w:tabs>
          <w:tab w:val="num" w:pos="2160"/>
        </w:tabs>
        <w:ind w:left="2160" w:hanging="360"/>
      </w:pPr>
      <w:rPr>
        <w:rFonts w:ascii="Wingdings" w:hAnsi="Wingdings" w:hint="default"/>
      </w:rPr>
    </w:lvl>
    <w:lvl w:ilvl="3" w:tplc="753885C2" w:tentative="1">
      <w:start w:val="1"/>
      <w:numFmt w:val="bullet"/>
      <w:lvlText w:val=""/>
      <w:lvlJc w:val="left"/>
      <w:pPr>
        <w:tabs>
          <w:tab w:val="num" w:pos="2880"/>
        </w:tabs>
        <w:ind w:left="2880" w:hanging="360"/>
      </w:pPr>
      <w:rPr>
        <w:rFonts w:ascii="Symbol" w:hAnsi="Symbol" w:hint="default"/>
      </w:rPr>
    </w:lvl>
    <w:lvl w:ilvl="4" w:tplc="D2BAAB14" w:tentative="1">
      <w:start w:val="1"/>
      <w:numFmt w:val="bullet"/>
      <w:lvlText w:val="o"/>
      <w:lvlJc w:val="left"/>
      <w:pPr>
        <w:tabs>
          <w:tab w:val="num" w:pos="3600"/>
        </w:tabs>
        <w:ind w:left="3600" w:hanging="360"/>
      </w:pPr>
      <w:rPr>
        <w:rFonts w:ascii="Courier New" w:hAnsi="Courier New" w:cs="Courier New" w:hint="default"/>
      </w:rPr>
    </w:lvl>
    <w:lvl w:ilvl="5" w:tplc="9850E058" w:tentative="1">
      <w:start w:val="1"/>
      <w:numFmt w:val="bullet"/>
      <w:lvlText w:val=""/>
      <w:lvlJc w:val="left"/>
      <w:pPr>
        <w:tabs>
          <w:tab w:val="num" w:pos="4320"/>
        </w:tabs>
        <w:ind w:left="4320" w:hanging="360"/>
      </w:pPr>
      <w:rPr>
        <w:rFonts w:ascii="Wingdings" w:hAnsi="Wingdings" w:hint="default"/>
      </w:rPr>
    </w:lvl>
    <w:lvl w:ilvl="6" w:tplc="2F368A70" w:tentative="1">
      <w:start w:val="1"/>
      <w:numFmt w:val="bullet"/>
      <w:lvlText w:val=""/>
      <w:lvlJc w:val="left"/>
      <w:pPr>
        <w:tabs>
          <w:tab w:val="num" w:pos="5040"/>
        </w:tabs>
        <w:ind w:left="5040" w:hanging="360"/>
      </w:pPr>
      <w:rPr>
        <w:rFonts w:ascii="Symbol" w:hAnsi="Symbol" w:hint="default"/>
      </w:rPr>
    </w:lvl>
    <w:lvl w:ilvl="7" w:tplc="88BAEDA6" w:tentative="1">
      <w:start w:val="1"/>
      <w:numFmt w:val="bullet"/>
      <w:lvlText w:val="o"/>
      <w:lvlJc w:val="left"/>
      <w:pPr>
        <w:tabs>
          <w:tab w:val="num" w:pos="5760"/>
        </w:tabs>
        <w:ind w:left="5760" w:hanging="360"/>
      </w:pPr>
      <w:rPr>
        <w:rFonts w:ascii="Courier New" w:hAnsi="Courier New" w:cs="Courier New" w:hint="default"/>
      </w:rPr>
    </w:lvl>
    <w:lvl w:ilvl="8" w:tplc="820A2E1C" w:tentative="1">
      <w:start w:val="1"/>
      <w:numFmt w:val="bullet"/>
      <w:lvlText w:val=""/>
      <w:lvlJc w:val="left"/>
      <w:pPr>
        <w:tabs>
          <w:tab w:val="num" w:pos="6480"/>
        </w:tabs>
        <w:ind w:left="6480" w:hanging="360"/>
      </w:pPr>
      <w:rPr>
        <w:rFonts w:ascii="Wingdings" w:hAnsi="Wingdings" w:hint="default"/>
      </w:rPr>
    </w:lvl>
  </w:abstractNum>
  <w:abstractNum w:abstractNumId="69">
    <w:nsid w:val="61E72729"/>
    <w:multiLevelType w:val="hybridMultilevel"/>
    <w:tmpl w:val="3306EAE8"/>
    <w:lvl w:ilvl="0" w:tplc="82B6F5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62605B64"/>
    <w:multiLevelType w:val="multilevel"/>
    <w:tmpl w:val="C7A235EE"/>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71">
    <w:nsid w:val="62970F71"/>
    <w:multiLevelType w:val="singleLevel"/>
    <w:tmpl w:val="5AFA8C72"/>
    <w:name w:val="List Number"/>
    <w:lvl w:ilvl="0">
      <w:start w:val="1"/>
      <w:numFmt w:val="bullet"/>
      <w:pStyle w:val="Tiret2"/>
      <w:lvlText w:val="–"/>
      <w:lvlJc w:val="left"/>
      <w:pPr>
        <w:tabs>
          <w:tab w:val="num" w:pos="1984"/>
        </w:tabs>
        <w:ind w:left="1984" w:hanging="567"/>
      </w:pPr>
    </w:lvl>
  </w:abstractNum>
  <w:abstractNum w:abstractNumId="72">
    <w:nsid w:val="632540FA"/>
    <w:multiLevelType w:val="hybridMultilevel"/>
    <w:tmpl w:val="08981764"/>
    <w:lvl w:ilvl="0" w:tplc="592A2694">
      <w:start w:val="1"/>
      <w:numFmt w:val="bullet"/>
      <w:lvlText w:val=""/>
      <w:lvlJc w:val="left"/>
      <w:pPr>
        <w:ind w:left="720" w:hanging="360"/>
      </w:pPr>
      <w:rPr>
        <w:rFonts w:ascii="Symbol" w:hAnsi="Symbol" w:hint="default"/>
      </w:rPr>
    </w:lvl>
    <w:lvl w:ilvl="1" w:tplc="6EA2D100" w:tentative="1">
      <w:start w:val="1"/>
      <w:numFmt w:val="bullet"/>
      <w:lvlText w:val="o"/>
      <w:lvlJc w:val="left"/>
      <w:pPr>
        <w:ind w:left="1440" w:hanging="360"/>
      </w:pPr>
      <w:rPr>
        <w:rFonts w:ascii="Courier New" w:hAnsi="Courier New" w:cs="Courier New" w:hint="default"/>
      </w:rPr>
    </w:lvl>
    <w:lvl w:ilvl="2" w:tplc="62D28D44" w:tentative="1">
      <w:start w:val="1"/>
      <w:numFmt w:val="bullet"/>
      <w:lvlText w:val=""/>
      <w:lvlJc w:val="left"/>
      <w:pPr>
        <w:ind w:left="2160" w:hanging="360"/>
      </w:pPr>
      <w:rPr>
        <w:rFonts w:ascii="Wingdings" w:hAnsi="Wingdings" w:hint="default"/>
      </w:rPr>
    </w:lvl>
    <w:lvl w:ilvl="3" w:tplc="D716E962" w:tentative="1">
      <w:start w:val="1"/>
      <w:numFmt w:val="bullet"/>
      <w:lvlText w:val=""/>
      <w:lvlJc w:val="left"/>
      <w:pPr>
        <w:ind w:left="2880" w:hanging="360"/>
      </w:pPr>
      <w:rPr>
        <w:rFonts w:ascii="Symbol" w:hAnsi="Symbol" w:hint="default"/>
      </w:rPr>
    </w:lvl>
    <w:lvl w:ilvl="4" w:tplc="F478537A" w:tentative="1">
      <w:start w:val="1"/>
      <w:numFmt w:val="bullet"/>
      <w:lvlText w:val="o"/>
      <w:lvlJc w:val="left"/>
      <w:pPr>
        <w:ind w:left="3600" w:hanging="360"/>
      </w:pPr>
      <w:rPr>
        <w:rFonts w:ascii="Courier New" w:hAnsi="Courier New" w:cs="Courier New" w:hint="default"/>
      </w:rPr>
    </w:lvl>
    <w:lvl w:ilvl="5" w:tplc="CC78975A" w:tentative="1">
      <w:start w:val="1"/>
      <w:numFmt w:val="bullet"/>
      <w:lvlText w:val=""/>
      <w:lvlJc w:val="left"/>
      <w:pPr>
        <w:ind w:left="4320" w:hanging="360"/>
      </w:pPr>
      <w:rPr>
        <w:rFonts w:ascii="Wingdings" w:hAnsi="Wingdings" w:hint="default"/>
      </w:rPr>
    </w:lvl>
    <w:lvl w:ilvl="6" w:tplc="C20E461C" w:tentative="1">
      <w:start w:val="1"/>
      <w:numFmt w:val="bullet"/>
      <w:lvlText w:val=""/>
      <w:lvlJc w:val="left"/>
      <w:pPr>
        <w:ind w:left="5040" w:hanging="360"/>
      </w:pPr>
      <w:rPr>
        <w:rFonts w:ascii="Symbol" w:hAnsi="Symbol" w:hint="default"/>
      </w:rPr>
    </w:lvl>
    <w:lvl w:ilvl="7" w:tplc="05D63F6A" w:tentative="1">
      <w:start w:val="1"/>
      <w:numFmt w:val="bullet"/>
      <w:lvlText w:val="o"/>
      <w:lvlJc w:val="left"/>
      <w:pPr>
        <w:ind w:left="5760" w:hanging="360"/>
      </w:pPr>
      <w:rPr>
        <w:rFonts w:ascii="Courier New" w:hAnsi="Courier New" w:cs="Courier New" w:hint="default"/>
      </w:rPr>
    </w:lvl>
    <w:lvl w:ilvl="8" w:tplc="2C60C6FC" w:tentative="1">
      <w:start w:val="1"/>
      <w:numFmt w:val="bullet"/>
      <w:lvlText w:val=""/>
      <w:lvlJc w:val="left"/>
      <w:pPr>
        <w:ind w:left="6480" w:hanging="360"/>
      </w:pPr>
      <w:rPr>
        <w:rFonts w:ascii="Wingdings" w:hAnsi="Wingdings" w:hint="default"/>
      </w:rPr>
    </w:lvl>
  </w:abstractNum>
  <w:abstractNum w:abstractNumId="73">
    <w:nsid w:val="63852E0A"/>
    <w:multiLevelType w:val="hybridMultilevel"/>
    <w:tmpl w:val="F5E4E81C"/>
    <w:lvl w:ilvl="0" w:tplc="E592D360">
      <w:start w:val="1"/>
      <w:numFmt w:val="decimal"/>
      <w:lvlText w:val="%1."/>
      <w:lvlJc w:val="left"/>
      <w:pPr>
        <w:ind w:left="720" w:hanging="360"/>
      </w:pPr>
      <w:rPr>
        <w:spacing w:val="20"/>
      </w:rPr>
    </w:lvl>
    <w:lvl w:ilvl="1" w:tplc="C7300974">
      <w:start w:val="1"/>
      <w:numFmt w:val="bullet"/>
      <w:lvlText w:val="o"/>
      <w:lvlJc w:val="left"/>
      <w:pPr>
        <w:ind w:left="1440" w:hanging="360"/>
      </w:pPr>
      <w:rPr>
        <w:rFonts w:ascii="Courier New" w:hAnsi="Courier New" w:cs="Times New Roman" w:hint="default"/>
      </w:rPr>
    </w:lvl>
    <w:lvl w:ilvl="2" w:tplc="0BCA8D1C">
      <w:start w:val="1"/>
      <w:numFmt w:val="bullet"/>
      <w:lvlText w:val=""/>
      <w:lvlJc w:val="left"/>
      <w:pPr>
        <w:ind w:left="2160" w:hanging="360"/>
      </w:pPr>
      <w:rPr>
        <w:rFonts w:ascii="Wingdings" w:hAnsi="Wingdings" w:hint="default"/>
      </w:rPr>
    </w:lvl>
    <w:lvl w:ilvl="3" w:tplc="FE606E7A">
      <w:start w:val="1"/>
      <w:numFmt w:val="bullet"/>
      <w:lvlText w:val=""/>
      <w:lvlJc w:val="left"/>
      <w:pPr>
        <w:ind w:left="2880" w:hanging="360"/>
      </w:pPr>
      <w:rPr>
        <w:rFonts w:ascii="Symbol" w:hAnsi="Symbol" w:hint="default"/>
      </w:rPr>
    </w:lvl>
    <w:lvl w:ilvl="4" w:tplc="BD304B88">
      <w:start w:val="1"/>
      <w:numFmt w:val="bullet"/>
      <w:lvlText w:val="o"/>
      <w:lvlJc w:val="left"/>
      <w:pPr>
        <w:ind w:left="3600" w:hanging="360"/>
      </w:pPr>
      <w:rPr>
        <w:rFonts w:ascii="Courier New" w:hAnsi="Courier New" w:cs="Times New Roman" w:hint="default"/>
      </w:rPr>
    </w:lvl>
    <w:lvl w:ilvl="5" w:tplc="F288FD88">
      <w:start w:val="1"/>
      <w:numFmt w:val="bullet"/>
      <w:lvlText w:val=""/>
      <w:lvlJc w:val="left"/>
      <w:pPr>
        <w:ind w:left="4320" w:hanging="360"/>
      </w:pPr>
      <w:rPr>
        <w:rFonts w:ascii="Wingdings" w:hAnsi="Wingdings" w:hint="default"/>
      </w:rPr>
    </w:lvl>
    <w:lvl w:ilvl="6" w:tplc="EE06F9BA">
      <w:start w:val="1"/>
      <w:numFmt w:val="bullet"/>
      <w:lvlText w:val=""/>
      <w:lvlJc w:val="left"/>
      <w:pPr>
        <w:ind w:left="5040" w:hanging="360"/>
      </w:pPr>
      <w:rPr>
        <w:rFonts w:ascii="Symbol" w:hAnsi="Symbol" w:hint="default"/>
      </w:rPr>
    </w:lvl>
    <w:lvl w:ilvl="7" w:tplc="1382C8BA">
      <w:start w:val="1"/>
      <w:numFmt w:val="bullet"/>
      <w:lvlText w:val="o"/>
      <w:lvlJc w:val="left"/>
      <w:pPr>
        <w:ind w:left="5760" w:hanging="360"/>
      </w:pPr>
      <w:rPr>
        <w:rFonts w:ascii="Courier New" w:hAnsi="Courier New" w:cs="Times New Roman" w:hint="default"/>
      </w:rPr>
    </w:lvl>
    <w:lvl w:ilvl="8" w:tplc="1AFCB644">
      <w:start w:val="1"/>
      <w:numFmt w:val="bullet"/>
      <w:lvlText w:val=""/>
      <w:lvlJc w:val="left"/>
      <w:pPr>
        <w:ind w:left="6480" w:hanging="360"/>
      </w:pPr>
      <w:rPr>
        <w:rFonts w:ascii="Wingdings" w:hAnsi="Wingdings" w:hint="default"/>
      </w:rPr>
    </w:lvl>
  </w:abstractNum>
  <w:abstractNum w:abstractNumId="74">
    <w:nsid w:val="638B1359"/>
    <w:multiLevelType w:val="hybridMultilevel"/>
    <w:tmpl w:val="25AA72F4"/>
    <w:lvl w:ilvl="0" w:tplc="4634D030">
      <w:start w:val="1"/>
      <w:numFmt w:val="decimal"/>
      <w:lvlText w:val="1.%1."/>
      <w:lvlJc w:val="left"/>
      <w:pPr>
        <w:ind w:left="630" w:hanging="360"/>
      </w:pPr>
      <w:rPr>
        <w:rFonts w:hint="default"/>
        <w:b w:val="0"/>
      </w:rPr>
    </w:lvl>
    <w:lvl w:ilvl="1" w:tplc="480AF638">
      <w:start w:val="1"/>
      <w:numFmt w:val="decimal"/>
      <w:lvlText w:val="1.%2."/>
      <w:lvlJc w:val="left"/>
      <w:pPr>
        <w:ind w:left="1350" w:hanging="360"/>
      </w:pPr>
      <w:rPr>
        <w:rFonts w:hint="default"/>
        <w:b w:val="0"/>
      </w:rPr>
    </w:lvl>
    <w:lvl w:ilvl="2" w:tplc="51268C60" w:tentative="1">
      <w:start w:val="1"/>
      <w:numFmt w:val="lowerRoman"/>
      <w:lvlText w:val="%3."/>
      <w:lvlJc w:val="right"/>
      <w:pPr>
        <w:ind w:left="2070" w:hanging="180"/>
      </w:pPr>
    </w:lvl>
    <w:lvl w:ilvl="3" w:tplc="BB206158" w:tentative="1">
      <w:start w:val="1"/>
      <w:numFmt w:val="decimal"/>
      <w:lvlText w:val="%4."/>
      <w:lvlJc w:val="left"/>
      <w:pPr>
        <w:ind w:left="2790" w:hanging="360"/>
      </w:pPr>
    </w:lvl>
    <w:lvl w:ilvl="4" w:tplc="EF344184" w:tentative="1">
      <w:start w:val="1"/>
      <w:numFmt w:val="lowerLetter"/>
      <w:lvlText w:val="%5."/>
      <w:lvlJc w:val="left"/>
      <w:pPr>
        <w:ind w:left="3510" w:hanging="360"/>
      </w:pPr>
    </w:lvl>
    <w:lvl w:ilvl="5" w:tplc="D0BAFFFC" w:tentative="1">
      <w:start w:val="1"/>
      <w:numFmt w:val="lowerRoman"/>
      <w:lvlText w:val="%6."/>
      <w:lvlJc w:val="right"/>
      <w:pPr>
        <w:ind w:left="4230" w:hanging="180"/>
      </w:pPr>
    </w:lvl>
    <w:lvl w:ilvl="6" w:tplc="35926E88" w:tentative="1">
      <w:start w:val="1"/>
      <w:numFmt w:val="decimal"/>
      <w:lvlText w:val="%7."/>
      <w:lvlJc w:val="left"/>
      <w:pPr>
        <w:ind w:left="4950" w:hanging="360"/>
      </w:pPr>
    </w:lvl>
    <w:lvl w:ilvl="7" w:tplc="EBA478AA" w:tentative="1">
      <w:start w:val="1"/>
      <w:numFmt w:val="lowerLetter"/>
      <w:lvlText w:val="%8."/>
      <w:lvlJc w:val="left"/>
      <w:pPr>
        <w:ind w:left="5670" w:hanging="360"/>
      </w:pPr>
    </w:lvl>
    <w:lvl w:ilvl="8" w:tplc="A1B0546C" w:tentative="1">
      <w:start w:val="1"/>
      <w:numFmt w:val="lowerRoman"/>
      <w:lvlText w:val="%9."/>
      <w:lvlJc w:val="right"/>
      <w:pPr>
        <w:ind w:left="6390" w:hanging="180"/>
      </w:pPr>
    </w:lvl>
  </w:abstractNum>
  <w:abstractNum w:abstractNumId="75">
    <w:nsid w:val="678650E8"/>
    <w:multiLevelType w:val="hybridMultilevel"/>
    <w:tmpl w:val="16B80442"/>
    <w:lvl w:ilvl="0" w:tplc="9CE8D588">
      <w:start w:val="1"/>
      <w:numFmt w:val="bullet"/>
      <w:lvlText w:val=""/>
      <w:lvlJc w:val="left"/>
      <w:pPr>
        <w:ind w:left="1080" w:hanging="360"/>
      </w:pPr>
      <w:rPr>
        <w:rFonts w:ascii="Symbol" w:hAnsi="Symbol" w:hint="default"/>
        <w:color w:val="auto"/>
      </w:rPr>
    </w:lvl>
    <w:lvl w:ilvl="1" w:tplc="6D8AAB24" w:tentative="1">
      <w:start w:val="1"/>
      <w:numFmt w:val="bullet"/>
      <w:lvlText w:val="o"/>
      <w:lvlJc w:val="left"/>
      <w:pPr>
        <w:ind w:left="1800" w:hanging="360"/>
      </w:pPr>
      <w:rPr>
        <w:rFonts w:ascii="Courier New" w:hAnsi="Courier New" w:cs="Courier New" w:hint="default"/>
      </w:rPr>
    </w:lvl>
    <w:lvl w:ilvl="2" w:tplc="F73A2B92" w:tentative="1">
      <w:start w:val="1"/>
      <w:numFmt w:val="bullet"/>
      <w:lvlText w:val=""/>
      <w:lvlJc w:val="left"/>
      <w:pPr>
        <w:ind w:left="2520" w:hanging="360"/>
      </w:pPr>
      <w:rPr>
        <w:rFonts w:ascii="Wingdings" w:hAnsi="Wingdings" w:hint="default"/>
      </w:rPr>
    </w:lvl>
    <w:lvl w:ilvl="3" w:tplc="ED56A89E" w:tentative="1">
      <w:start w:val="1"/>
      <w:numFmt w:val="bullet"/>
      <w:lvlText w:val=""/>
      <w:lvlJc w:val="left"/>
      <w:pPr>
        <w:ind w:left="3240" w:hanging="360"/>
      </w:pPr>
      <w:rPr>
        <w:rFonts w:ascii="Symbol" w:hAnsi="Symbol" w:hint="default"/>
      </w:rPr>
    </w:lvl>
    <w:lvl w:ilvl="4" w:tplc="620CC120" w:tentative="1">
      <w:start w:val="1"/>
      <w:numFmt w:val="bullet"/>
      <w:lvlText w:val="o"/>
      <w:lvlJc w:val="left"/>
      <w:pPr>
        <w:ind w:left="3960" w:hanging="360"/>
      </w:pPr>
      <w:rPr>
        <w:rFonts w:ascii="Courier New" w:hAnsi="Courier New" w:cs="Courier New" w:hint="default"/>
      </w:rPr>
    </w:lvl>
    <w:lvl w:ilvl="5" w:tplc="6E228614" w:tentative="1">
      <w:start w:val="1"/>
      <w:numFmt w:val="bullet"/>
      <w:lvlText w:val=""/>
      <w:lvlJc w:val="left"/>
      <w:pPr>
        <w:ind w:left="4680" w:hanging="360"/>
      </w:pPr>
      <w:rPr>
        <w:rFonts w:ascii="Wingdings" w:hAnsi="Wingdings" w:hint="default"/>
      </w:rPr>
    </w:lvl>
    <w:lvl w:ilvl="6" w:tplc="4C7A54EE" w:tentative="1">
      <w:start w:val="1"/>
      <w:numFmt w:val="bullet"/>
      <w:lvlText w:val=""/>
      <w:lvlJc w:val="left"/>
      <w:pPr>
        <w:ind w:left="5400" w:hanging="360"/>
      </w:pPr>
      <w:rPr>
        <w:rFonts w:ascii="Symbol" w:hAnsi="Symbol" w:hint="default"/>
      </w:rPr>
    </w:lvl>
    <w:lvl w:ilvl="7" w:tplc="9E8846C2" w:tentative="1">
      <w:start w:val="1"/>
      <w:numFmt w:val="bullet"/>
      <w:lvlText w:val="o"/>
      <w:lvlJc w:val="left"/>
      <w:pPr>
        <w:ind w:left="6120" w:hanging="360"/>
      </w:pPr>
      <w:rPr>
        <w:rFonts w:ascii="Courier New" w:hAnsi="Courier New" w:cs="Courier New" w:hint="default"/>
      </w:rPr>
    </w:lvl>
    <w:lvl w:ilvl="8" w:tplc="F63AC1BE" w:tentative="1">
      <w:start w:val="1"/>
      <w:numFmt w:val="bullet"/>
      <w:lvlText w:val=""/>
      <w:lvlJc w:val="left"/>
      <w:pPr>
        <w:ind w:left="6840" w:hanging="360"/>
      </w:pPr>
      <w:rPr>
        <w:rFonts w:ascii="Wingdings" w:hAnsi="Wingdings" w:hint="default"/>
      </w:rPr>
    </w:lvl>
  </w:abstractNum>
  <w:abstractNum w:abstractNumId="76">
    <w:nsid w:val="678D5561"/>
    <w:multiLevelType w:val="hybridMultilevel"/>
    <w:tmpl w:val="5B8C790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7">
    <w:nsid w:val="69472473"/>
    <w:multiLevelType w:val="hybridMultilevel"/>
    <w:tmpl w:val="045A52F8"/>
    <w:lvl w:ilvl="0" w:tplc="4C20F802">
      <w:start w:val="1"/>
      <w:numFmt w:val="bullet"/>
      <w:lvlText w:val=""/>
      <w:lvlJc w:val="left"/>
      <w:pPr>
        <w:ind w:left="720" w:hanging="360"/>
      </w:pPr>
      <w:rPr>
        <w:rFonts w:ascii="Symbol" w:hAnsi="Symbol" w:hint="default"/>
      </w:rPr>
    </w:lvl>
    <w:lvl w:ilvl="1" w:tplc="EC8430D6" w:tentative="1">
      <w:start w:val="1"/>
      <w:numFmt w:val="bullet"/>
      <w:lvlText w:val="o"/>
      <w:lvlJc w:val="left"/>
      <w:pPr>
        <w:ind w:left="1440" w:hanging="360"/>
      </w:pPr>
      <w:rPr>
        <w:rFonts w:ascii="Courier New" w:hAnsi="Courier New" w:cs="Courier New" w:hint="default"/>
      </w:rPr>
    </w:lvl>
    <w:lvl w:ilvl="2" w:tplc="D922AFF2" w:tentative="1">
      <w:start w:val="1"/>
      <w:numFmt w:val="bullet"/>
      <w:lvlText w:val=""/>
      <w:lvlJc w:val="left"/>
      <w:pPr>
        <w:ind w:left="2160" w:hanging="360"/>
      </w:pPr>
      <w:rPr>
        <w:rFonts w:ascii="Wingdings" w:hAnsi="Wingdings" w:hint="default"/>
      </w:rPr>
    </w:lvl>
    <w:lvl w:ilvl="3" w:tplc="7F0A06BC" w:tentative="1">
      <w:start w:val="1"/>
      <w:numFmt w:val="bullet"/>
      <w:lvlText w:val=""/>
      <w:lvlJc w:val="left"/>
      <w:pPr>
        <w:ind w:left="2880" w:hanging="360"/>
      </w:pPr>
      <w:rPr>
        <w:rFonts w:ascii="Symbol" w:hAnsi="Symbol" w:hint="default"/>
      </w:rPr>
    </w:lvl>
    <w:lvl w:ilvl="4" w:tplc="C448A070" w:tentative="1">
      <w:start w:val="1"/>
      <w:numFmt w:val="bullet"/>
      <w:lvlText w:val="o"/>
      <w:lvlJc w:val="left"/>
      <w:pPr>
        <w:ind w:left="3600" w:hanging="360"/>
      </w:pPr>
      <w:rPr>
        <w:rFonts w:ascii="Courier New" w:hAnsi="Courier New" w:cs="Courier New" w:hint="default"/>
      </w:rPr>
    </w:lvl>
    <w:lvl w:ilvl="5" w:tplc="9918CDA2" w:tentative="1">
      <w:start w:val="1"/>
      <w:numFmt w:val="bullet"/>
      <w:lvlText w:val=""/>
      <w:lvlJc w:val="left"/>
      <w:pPr>
        <w:ind w:left="4320" w:hanging="360"/>
      </w:pPr>
      <w:rPr>
        <w:rFonts w:ascii="Wingdings" w:hAnsi="Wingdings" w:hint="default"/>
      </w:rPr>
    </w:lvl>
    <w:lvl w:ilvl="6" w:tplc="57D4C866" w:tentative="1">
      <w:start w:val="1"/>
      <w:numFmt w:val="bullet"/>
      <w:lvlText w:val=""/>
      <w:lvlJc w:val="left"/>
      <w:pPr>
        <w:ind w:left="5040" w:hanging="360"/>
      </w:pPr>
      <w:rPr>
        <w:rFonts w:ascii="Symbol" w:hAnsi="Symbol" w:hint="default"/>
      </w:rPr>
    </w:lvl>
    <w:lvl w:ilvl="7" w:tplc="9756643A" w:tentative="1">
      <w:start w:val="1"/>
      <w:numFmt w:val="bullet"/>
      <w:lvlText w:val="o"/>
      <w:lvlJc w:val="left"/>
      <w:pPr>
        <w:ind w:left="5760" w:hanging="360"/>
      </w:pPr>
      <w:rPr>
        <w:rFonts w:ascii="Courier New" w:hAnsi="Courier New" w:cs="Courier New" w:hint="default"/>
      </w:rPr>
    </w:lvl>
    <w:lvl w:ilvl="8" w:tplc="63C4F388" w:tentative="1">
      <w:start w:val="1"/>
      <w:numFmt w:val="bullet"/>
      <w:lvlText w:val=""/>
      <w:lvlJc w:val="left"/>
      <w:pPr>
        <w:ind w:left="6480" w:hanging="360"/>
      </w:pPr>
      <w:rPr>
        <w:rFonts w:ascii="Wingdings" w:hAnsi="Wingdings" w:hint="default"/>
      </w:rPr>
    </w:lvl>
  </w:abstractNum>
  <w:abstractNum w:abstractNumId="78">
    <w:nsid w:val="69A93C21"/>
    <w:multiLevelType w:val="hybridMultilevel"/>
    <w:tmpl w:val="D8280DAE"/>
    <w:lvl w:ilvl="0" w:tplc="82B6F5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A33051D"/>
    <w:multiLevelType w:val="hybridMultilevel"/>
    <w:tmpl w:val="6BC4C112"/>
    <w:lvl w:ilvl="0" w:tplc="9580C3BA">
      <w:start w:val="1"/>
      <w:numFmt w:val="bullet"/>
      <w:lvlText w:val=""/>
      <w:lvlJc w:val="left"/>
      <w:pPr>
        <w:tabs>
          <w:tab w:val="num" w:pos="720"/>
        </w:tabs>
        <w:ind w:left="720" w:hanging="360"/>
      </w:pPr>
      <w:rPr>
        <w:rFonts w:ascii="Wingdings" w:hAnsi="Wingdings" w:hint="default"/>
        <w:sz w:val="24"/>
        <w:szCs w:val="24"/>
      </w:rPr>
    </w:lvl>
    <w:lvl w:ilvl="1" w:tplc="544C640E" w:tentative="1">
      <w:start w:val="1"/>
      <w:numFmt w:val="bullet"/>
      <w:lvlText w:val="o"/>
      <w:lvlJc w:val="left"/>
      <w:pPr>
        <w:tabs>
          <w:tab w:val="num" w:pos="1440"/>
        </w:tabs>
        <w:ind w:left="1440" w:hanging="360"/>
      </w:pPr>
      <w:rPr>
        <w:rFonts w:ascii="Courier New" w:hAnsi="Courier New" w:cs="Courier New" w:hint="default"/>
      </w:rPr>
    </w:lvl>
    <w:lvl w:ilvl="2" w:tplc="E0D29D6C" w:tentative="1">
      <w:start w:val="1"/>
      <w:numFmt w:val="bullet"/>
      <w:lvlText w:val=""/>
      <w:lvlJc w:val="left"/>
      <w:pPr>
        <w:tabs>
          <w:tab w:val="num" w:pos="2160"/>
        </w:tabs>
        <w:ind w:left="2160" w:hanging="360"/>
      </w:pPr>
      <w:rPr>
        <w:rFonts w:ascii="Wingdings" w:hAnsi="Wingdings" w:hint="default"/>
      </w:rPr>
    </w:lvl>
    <w:lvl w:ilvl="3" w:tplc="C608BFF4" w:tentative="1">
      <w:start w:val="1"/>
      <w:numFmt w:val="bullet"/>
      <w:lvlText w:val=""/>
      <w:lvlJc w:val="left"/>
      <w:pPr>
        <w:tabs>
          <w:tab w:val="num" w:pos="2880"/>
        </w:tabs>
        <w:ind w:left="2880" w:hanging="360"/>
      </w:pPr>
      <w:rPr>
        <w:rFonts w:ascii="Symbol" w:hAnsi="Symbol" w:hint="default"/>
      </w:rPr>
    </w:lvl>
    <w:lvl w:ilvl="4" w:tplc="AC8266F2" w:tentative="1">
      <w:start w:val="1"/>
      <w:numFmt w:val="bullet"/>
      <w:lvlText w:val="o"/>
      <w:lvlJc w:val="left"/>
      <w:pPr>
        <w:tabs>
          <w:tab w:val="num" w:pos="3600"/>
        </w:tabs>
        <w:ind w:left="3600" w:hanging="360"/>
      </w:pPr>
      <w:rPr>
        <w:rFonts w:ascii="Courier New" w:hAnsi="Courier New" w:cs="Courier New" w:hint="default"/>
      </w:rPr>
    </w:lvl>
    <w:lvl w:ilvl="5" w:tplc="DCF094F2" w:tentative="1">
      <w:start w:val="1"/>
      <w:numFmt w:val="bullet"/>
      <w:lvlText w:val=""/>
      <w:lvlJc w:val="left"/>
      <w:pPr>
        <w:tabs>
          <w:tab w:val="num" w:pos="4320"/>
        </w:tabs>
        <w:ind w:left="4320" w:hanging="360"/>
      </w:pPr>
      <w:rPr>
        <w:rFonts w:ascii="Wingdings" w:hAnsi="Wingdings" w:hint="default"/>
      </w:rPr>
    </w:lvl>
    <w:lvl w:ilvl="6" w:tplc="B2026C16" w:tentative="1">
      <w:start w:val="1"/>
      <w:numFmt w:val="bullet"/>
      <w:lvlText w:val=""/>
      <w:lvlJc w:val="left"/>
      <w:pPr>
        <w:tabs>
          <w:tab w:val="num" w:pos="5040"/>
        </w:tabs>
        <w:ind w:left="5040" w:hanging="360"/>
      </w:pPr>
      <w:rPr>
        <w:rFonts w:ascii="Symbol" w:hAnsi="Symbol" w:hint="default"/>
      </w:rPr>
    </w:lvl>
    <w:lvl w:ilvl="7" w:tplc="24B0D3E8" w:tentative="1">
      <w:start w:val="1"/>
      <w:numFmt w:val="bullet"/>
      <w:lvlText w:val="o"/>
      <w:lvlJc w:val="left"/>
      <w:pPr>
        <w:tabs>
          <w:tab w:val="num" w:pos="5760"/>
        </w:tabs>
        <w:ind w:left="5760" w:hanging="360"/>
      </w:pPr>
      <w:rPr>
        <w:rFonts w:ascii="Courier New" w:hAnsi="Courier New" w:cs="Courier New" w:hint="default"/>
      </w:rPr>
    </w:lvl>
    <w:lvl w:ilvl="8" w:tplc="2000FECC" w:tentative="1">
      <w:start w:val="1"/>
      <w:numFmt w:val="bullet"/>
      <w:lvlText w:val=""/>
      <w:lvlJc w:val="left"/>
      <w:pPr>
        <w:tabs>
          <w:tab w:val="num" w:pos="6480"/>
        </w:tabs>
        <w:ind w:left="6480" w:hanging="360"/>
      </w:pPr>
      <w:rPr>
        <w:rFonts w:ascii="Wingdings" w:hAnsi="Wingdings" w:hint="default"/>
      </w:rPr>
    </w:lvl>
  </w:abstractNum>
  <w:abstractNum w:abstractNumId="80">
    <w:nsid w:val="6BA202EF"/>
    <w:multiLevelType w:val="hybridMultilevel"/>
    <w:tmpl w:val="80BE7160"/>
    <w:lvl w:ilvl="0" w:tplc="FBF8E300">
      <w:start w:val="1"/>
      <w:numFmt w:val="bullet"/>
      <w:lvlText w:val=""/>
      <w:lvlJc w:val="left"/>
      <w:pPr>
        <w:ind w:left="720" w:hanging="360"/>
      </w:pPr>
      <w:rPr>
        <w:rFonts w:ascii="Symbol" w:hAnsi="Symbol" w:hint="default"/>
      </w:rPr>
    </w:lvl>
    <w:lvl w:ilvl="1" w:tplc="F2684024">
      <w:numFmt w:val="bullet"/>
      <w:lvlText w:val="•"/>
      <w:lvlJc w:val="left"/>
      <w:pPr>
        <w:ind w:left="1440" w:hanging="360"/>
      </w:pPr>
      <w:rPr>
        <w:rFonts w:ascii="Verdana" w:eastAsia="SimSun" w:hAnsi="Verdana" w:cs="Times New Roman" w:hint="default"/>
      </w:rPr>
    </w:lvl>
    <w:lvl w:ilvl="2" w:tplc="371E04D6" w:tentative="1">
      <w:start w:val="1"/>
      <w:numFmt w:val="bullet"/>
      <w:lvlText w:val=""/>
      <w:lvlJc w:val="left"/>
      <w:pPr>
        <w:ind w:left="2160" w:hanging="360"/>
      </w:pPr>
      <w:rPr>
        <w:rFonts w:ascii="Wingdings" w:hAnsi="Wingdings" w:hint="default"/>
      </w:rPr>
    </w:lvl>
    <w:lvl w:ilvl="3" w:tplc="CA885F18" w:tentative="1">
      <w:start w:val="1"/>
      <w:numFmt w:val="bullet"/>
      <w:lvlText w:val=""/>
      <w:lvlJc w:val="left"/>
      <w:pPr>
        <w:ind w:left="2880" w:hanging="360"/>
      </w:pPr>
      <w:rPr>
        <w:rFonts w:ascii="Symbol" w:hAnsi="Symbol" w:hint="default"/>
      </w:rPr>
    </w:lvl>
    <w:lvl w:ilvl="4" w:tplc="AE5EC5A8" w:tentative="1">
      <w:start w:val="1"/>
      <w:numFmt w:val="bullet"/>
      <w:lvlText w:val="o"/>
      <w:lvlJc w:val="left"/>
      <w:pPr>
        <w:ind w:left="3600" w:hanging="360"/>
      </w:pPr>
      <w:rPr>
        <w:rFonts w:ascii="Courier New" w:hAnsi="Courier New" w:cs="Courier New" w:hint="default"/>
      </w:rPr>
    </w:lvl>
    <w:lvl w:ilvl="5" w:tplc="470E6F54" w:tentative="1">
      <w:start w:val="1"/>
      <w:numFmt w:val="bullet"/>
      <w:lvlText w:val=""/>
      <w:lvlJc w:val="left"/>
      <w:pPr>
        <w:ind w:left="4320" w:hanging="360"/>
      </w:pPr>
      <w:rPr>
        <w:rFonts w:ascii="Wingdings" w:hAnsi="Wingdings" w:hint="default"/>
      </w:rPr>
    </w:lvl>
    <w:lvl w:ilvl="6" w:tplc="617433F8" w:tentative="1">
      <w:start w:val="1"/>
      <w:numFmt w:val="bullet"/>
      <w:lvlText w:val=""/>
      <w:lvlJc w:val="left"/>
      <w:pPr>
        <w:ind w:left="5040" w:hanging="360"/>
      </w:pPr>
      <w:rPr>
        <w:rFonts w:ascii="Symbol" w:hAnsi="Symbol" w:hint="default"/>
      </w:rPr>
    </w:lvl>
    <w:lvl w:ilvl="7" w:tplc="3EFCB4F2" w:tentative="1">
      <w:start w:val="1"/>
      <w:numFmt w:val="bullet"/>
      <w:lvlText w:val="o"/>
      <w:lvlJc w:val="left"/>
      <w:pPr>
        <w:ind w:left="5760" w:hanging="360"/>
      </w:pPr>
      <w:rPr>
        <w:rFonts w:ascii="Courier New" w:hAnsi="Courier New" w:cs="Courier New" w:hint="default"/>
      </w:rPr>
    </w:lvl>
    <w:lvl w:ilvl="8" w:tplc="19D0C57E" w:tentative="1">
      <w:start w:val="1"/>
      <w:numFmt w:val="bullet"/>
      <w:lvlText w:val=""/>
      <w:lvlJc w:val="left"/>
      <w:pPr>
        <w:ind w:left="6480" w:hanging="360"/>
      </w:pPr>
      <w:rPr>
        <w:rFonts w:ascii="Wingdings" w:hAnsi="Wingdings" w:hint="default"/>
      </w:rPr>
    </w:lvl>
  </w:abstractNum>
  <w:abstractNum w:abstractNumId="81">
    <w:nsid w:val="6C1A7038"/>
    <w:multiLevelType w:val="multilevel"/>
    <w:tmpl w:val="C3447C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2">
    <w:nsid w:val="6CAF5779"/>
    <w:multiLevelType w:val="multilevel"/>
    <w:tmpl w:val="B646188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83">
    <w:nsid w:val="6DBE4F39"/>
    <w:multiLevelType w:val="hybridMultilevel"/>
    <w:tmpl w:val="BFF804AA"/>
    <w:lvl w:ilvl="0" w:tplc="E5546270">
      <w:start w:val="1"/>
      <w:numFmt w:val="bullet"/>
      <w:lvlText w:val=""/>
      <w:lvlJc w:val="left"/>
      <w:pPr>
        <w:ind w:left="720" w:hanging="360"/>
      </w:pPr>
      <w:rPr>
        <w:rFonts w:ascii="Symbol" w:hAnsi="Symbol" w:hint="default"/>
      </w:rPr>
    </w:lvl>
    <w:lvl w:ilvl="1" w:tplc="E0886CDA">
      <w:start w:val="1"/>
      <w:numFmt w:val="bullet"/>
      <w:lvlText w:val="o"/>
      <w:lvlJc w:val="left"/>
      <w:pPr>
        <w:ind w:left="1440" w:hanging="360"/>
      </w:pPr>
      <w:rPr>
        <w:rFonts w:ascii="Courier New" w:hAnsi="Courier New" w:cs="Courier New" w:hint="default"/>
      </w:rPr>
    </w:lvl>
    <w:lvl w:ilvl="2" w:tplc="7624B5CC" w:tentative="1">
      <w:start w:val="1"/>
      <w:numFmt w:val="bullet"/>
      <w:lvlText w:val=""/>
      <w:lvlJc w:val="left"/>
      <w:pPr>
        <w:ind w:left="2160" w:hanging="360"/>
      </w:pPr>
      <w:rPr>
        <w:rFonts w:ascii="Wingdings" w:hAnsi="Wingdings" w:hint="default"/>
      </w:rPr>
    </w:lvl>
    <w:lvl w:ilvl="3" w:tplc="C13E0F24" w:tentative="1">
      <w:start w:val="1"/>
      <w:numFmt w:val="bullet"/>
      <w:lvlText w:val=""/>
      <w:lvlJc w:val="left"/>
      <w:pPr>
        <w:ind w:left="2880" w:hanging="360"/>
      </w:pPr>
      <w:rPr>
        <w:rFonts w:ascii="Symbol" w:hAnsi="Symbol" w:hint="default"/>
      </w:rPr>
    </w:lvl>
    <w:lvl w:ilvl="4" w:tplc="324C0D9E" w:tentative="1">
      <w:start w:val="1"/>
      <w:numFmt w:val="bullet"/>
      <w:lvlText w:val="o"/>
      <w:lvlJc w:val="left"/>
      <w:pPr>
        <w:ind w:left="3600" w:hanging="360"/>
      </w:pPr>
      <w:rPr>
        <w:rFonts w:ascii="Courier New" w:hAnsi="Courier New" w:cs="Courier New" w:hint="default"/>
      </w:rPr>
    </w:lvl>
    <w:lvl w:ilvl="5" w:tplc="D0329D30" w:tentative="1">
      <w:start w:val="1"/>
      <w:numFmt w:val="bullet"/>
      <w:lvlText w:val=""/>
      <w:lvlJc w:val="left"/>
      <w:pPr>
        <w:ind w:left="4320" w:hanging="360"/>
      </w:pPr>
      <w:rPr>
        <w:rFonts w:ascii="Wingdings" w:hAnsi="Wingdings" w:hint="default"/>
      </w:rPr>
    </w:lvl>
    <w:lvl w:ilvl="6" w:tplc="DFE27398" w:tentative="1">
      <w:start w:val="1"/>
      <w:numFmt w:val="bullet"/>
      <w:lvlText w:val=""/>
      <w:lvlJc w:val="left"/>
      <w:pPr>
        <w:ind w:left="5040" w:hanging="360"/>
      </w:pPr>
      <w:rPr>
        <w:rFonts w:ascii="Symbol" w:hAnsi="Symbol" w:hint="default"/>
      </w:rPr>
    </w:lvl>
    <w:lvl w:ilvl="7" w:tplc="1C7C0178" w:tentative="1">
      <w:start w:val="1"/>
      <w:numFmt w:val="bullet"/>
      <w:lvlText w:val="o"/>
      <w:lvlJc w:val="left"/>
      <w:pPr>
        <w:ind w:left="5760" w:hanging="360"/>
      </w:pPr>
      <w:rPr>
        <w:rFonts w:ascii="Courier New" w:hAnsi="Courier New" w:cs="Courier New" w:hint="default"/>
      </w:rPr>
    </w:lvl>
    <w:lvl w:ilvl="8" w:tplc="B6DA629E" w:tentative="1">
      <w:start w:val="1"/>
      <w:numFmt w:val="bullet"/>
      <w:lvlText w:val=""/>
      <w:lvlJc w:val="left"/>
      <w:pPr>
        <w:ind w:left="6480" w:hanging="360"/>
      </w:pPr>
      <w:rPr>
        <w:rFonts w:ascii="Wingdings" w:hAnsi="Wingdings" w:hint="default"/>
      </w:rPr>
    </w:lvl>
  </w:abstractNum>
  <w:abstractNum w:abstractNumId="84">
    <w:nsid w:val="6F172525"/>
    <w:multiLevelType w:val="hybridMultilevel"/>
    <w:tmpl w:val="5FCEF218"/>
    <w:lvl w:ilvl="0" w:tplc="C15EEFAE">
      <w:start w:val="1"/>
      <w:numFmt w:val="bullet"/>
      <w:lvlText w:val=""/>
      <w:lvlJc w:val="left"/>
      <w:pPr>
        <w:ind w:left="720" w:hanging="360"/>
      </w:pPr>
      <w:rPr>
        <w:rFonts w:ascii="Symbol" w:hAnsi="Symbol" w:hint="default"/>
      </w:rPr>
    </w:lvl>
    <w:lvl w:ilvl="1" w:tplc="9C8C188C" w:tentative="1">
      <w:start w:val="1"/>
      <w:numFmt w:val="bullet"/>
      <w:lvlText w:val="o"/>
      <w:lvlJc w:val="left"/>
      <w:pPr>
        <w:ind w:left="1440" w:hanging="360"/>
      </w:pPr>
      <w:rPr>
        <w:rFonts w:ascii="Courier New" w:hAnsi="Courier New" w:cs="Courier New" w:hint="default"/>
      </w:rPr>
    </w:lvl>
    <w:lvl w:ilvl="2" w:tplc="1B9ECA0C" w:tentative="1">
      <w:start w:val="1"/>
      <w:numFmt w:val="bullet"/>
      <w:lvlText w:val=""/>
      <w:lvlJc w:val="left"/>
      <w:pPr>
        <w:ind w:left="2160" w:hanging="360"/>
      </w:pPr>
      <w:rPr>
        <w:rFonts w:ascii="Wingdings" w:hAnsi="Wingdings" w:hint="default"/>
      </w:rPr>
    </w:lvl>
    <w:lvl w:ilvl="3" w:tplc="CC5EAB6A" w:tentative="1">
      <w:start w:val="1"/>
      <w:numFmt w:val="bullet"/>
      <w:lvlText w:val=""/>
      <w:lvlJc w:val="left"/>
      <w:pPr>
        <w:ind w:left="2880" w:hanging="360"/>
      </w:pPr>
      <w:rPr>
        <w:rFonts w:ascii="Symbol" w:hAnsi="Symbol" w:hint="default"/>
      </w:rPr>
    </w:lvl>
    <w:lvl w:ilvl="4" w:tplc="705252D2" w:tentative="1">
      <w:start w:val="1"/>
      <w:numFmt w:val="bullet"/>
      <w:lvlText w:val="o"/>
      <w:lvlJc w:val="left"/>
      <w:pPr>
        <w:ind w:left="3600" w:hanging="360"/>
      </w:pPr>
      <w:rPr>
        <w:rFonts w:ascii="Courier New" w:hAnsi="Courier New" w:cs="Courier New" w:hint="default"/>
      </w:rPr>
    </w:lvl>
    <w:lvl w:ilvl="5" w:tplc="C16CE5AA" w:tentative="1">
      <w:start w:val="1"/>
      <w:numFmt w:val="bullet"/>
      <w:lvlText w:val=""/>
      <w:lvlJc w:val="left"/>
      <w:pPr>
        <w:ind w:left="4320" w:hanging="360"/>
      </w:pPr>
      <w:rPr>
        <w:rFonts w:ascii="Wingdings" w:hAnsi="Wingdings" w:hint="default"/>
      </w:rPr>
    </w:lvl>
    <w:lvl w:ilvl="6" w:tplc="5F603F72" w:tentative="1">
      <w:start w:val="1"/>
      <w:numFmt w:val="bullet"/>
      <w:lvlText w:val=""/>
      <w:lvlJc w:val="left"/>
      <w:pPr>
        <w:ind w:left="5040" w:hanging="360"/>
      </w:pPr>
      <w:rPr>
        <w:rFonts w:ascii="Symbol" w:hAnsi="Symbol" w:hint="default"/>
      </w:rPr>
    </w:lvl>
    <w:lvl w:ilvl="7" w:tplc="6218B074" w:tentative="1">
      <w:start w:val="1"/>
      <w:numFmt w:val="bullet"/>
      <w:lvlText w:val="o"/>
      <w:lvlJc w:val="left"/>
      <w:pPr>
        <w:ind w:left="5760" w:hanging="360"/>
      </w:pPr>
      <w:rPr>
        <w:rFonts w:ascii="Courier New" w:hAnsi="Courier New" w:cs="Courier New" w:hint="default"/>
      </w:rPr>
    </w:lvl>
    <w:lvl w:ilvl="8" w:tplc="DD081612" w:tentative="1">
      <w:start w:val="1"/>
      <w:numFmt w:val="bullet"/>
      <w:lvlText w:val=""/>
      <w:lvlJc w:val="left"/>
      <w:pPr>
        <w:ind w:left="6480" w:hanging="360"/>
      </w:pPr>
      <w:rPr>
        <w:rFonts w:ascii="Wingdings" w:hAnsi="Wingdings" w:hint="default"/>
      </w:rPr>
    </w:lvl>
  </w:abstractNum>
  <w:abstractNum w:abstractNumId="85">
    <w:nsid w:val="6F8922B2"/>
    <w:multiLevelType w:val="hybridMultilevel"/>
    <w:tmpl w:val="B0E279F6"/>
    <w:lvl w:ilvl="0" w:tplc="69AECDDA">
      <w:start w:val="1"/>
      <w:numFmt w:val="bullet"/>
      <w:lvlText w:val=""/>
      <w:lvlJc w:val="left"/>
      <w:pPr>
        <w:ind w:left="787" w:hanging="360"/>
      </w:pPr>
      <w:rPr>
        <w:rFonts w:ascii="Symbol" w:hAnsi="Symbol" w:hint="default"/>
      </w:rPr>
    </w:lvl>
    <w:lvl w:ilvl="1" w:tplc="C2A0F2A8" w:tentative="1">
      <w:start w:val="1"/>
      <w:numFmt w:val="bullet"/>
      <w:lvlText w:val="o"/>
      <w:lvlJc w:val="left"/>
      <w:pPr>
        <w:ind w:left="1507" w:hanging="360"/>
      </w:pPr>
      <w:rPr>
        <w:rFonts w:ascii="Courier New" w:hAnsi="Courier New" w:cs="Courier New" w:hint="default"/>
      </w:rPr>
    </w:lvl>
    <w:lvl w:ilvl="2" w:tplc="9D122A2E" w:tentative="1">
      <w:start w:val="1"/>
      <w:numFmt w:val="bullet"/>
      <w:lvlText w:val=""/>
      <w:lvlJc w:val="left"/>
      <w:pPr>
        <w:ind w:left="2227" w:hanging="360"/>
      </w:pPr>
      <w:rPr>
        <w:rFonts w:ascii="Wingdings" w:hAnsi="Wingdings" w:hint="default"/>
      </w:rPr>
    </w:lvl>
    <w:lvl w:ilvl="3" w:tplc="9310320A" w:tentative="1">
      <w:start w:val="1"/>
      <w:numFmt w:val="bullet"/>
      <w:lvlText w:val=""/>
      <w:lvlJc w:val="left"/>
      <w:pPr>
        <w:ind w:left="2947" w:hanging="360"/>
      </w:pPr>
      <w:rPr>
        <w:rFonts w:ascii="Symbol" w:hAnsi="Symbol" w:hint="default"/>
      </w:rPr>
    </w:lvl>
    <w:lvl w:ilvl="4" w:tplc="355EB248" w:tentative="1">
      <w:start w:val="1"/>
      <w:numFmt w:val="bullet"/>
      <w:lvlText w:val="o"/>
      <w:lvlJc w:val="left"/>
      <w:pPr>
        <w:ind w:left="3667" w:hanging="360"/>
      </w:pPr>
      <w:rPr>
        <w:rFonts w:ascii="Courier New" w:hAnsi="Courier New" w:cs="Courier New" w:hint="default"/>
      </w:rPr>
    </w:lvl>
    <w:lvl w:ilvl="5" w:tplc="E55488F2" w:tentative="1">
      <w:start w:val="1"/>
      <w:numFmt w:val="bullet"/>
      <w:lvlText w:val=""/>
      <w:lvlJc w:val="left"/>
      <w:pPr>
        <w:ind w:left="4387" w:hanging="360"/>
      </w:pPr>
      <w:rPr>
        <w:rFonts w:ascii="Wingdings" w:hAnsi="Wingdings" w:hint="default"/>
      </w:rPr>
    </w:lvl>
    <w:lvl w:ilvl="6" w:tplc="1046B716" w:tentative="1">
      <w:start w:val="1"/>
      <w:numFmt w:val="bullet"/>
      <w:lvlText w:val=""/>
      <w:lvlJc w:val="left"/>
      <w:pPr>
        <w:ind w:left="5107" w:hanging="360"/>
      </w:pPr>
      <w:rPr>
        <w:rFonts w:ascii="Symbol" w:hAnsi="Symbol" w:hint="default"/>
      </w:rPr>
    </w:lvl>
    <w:lvl w:ilvl="7" w:tplc="3D22C0A4" w:tentative="1">
      <w:start w:val="1"/>
      <w:numFmt w:val="bullet"/>
      <w:lvlText w:val="o"/>
      <w:lvlJc w:val="left"/>
      <w:pPr>
        <w:ind w:left="5827" w:hanging="360"/>
      </w:pPr>
      <w:rPr>
        <w:rFonts w:ascii="Courier New" w:hAnsi="Courier New" w:cs="Courier New" w:hint="default"/>
      </w:rPr>
    </w:lvl>
    <w:lvl w:ilvl="8" w:tplc="0E9CEFC4" w:tentative="1">
      <w:start w:val="1"/>
      <w:numFmt w:val="bullet"/>
      <w:lvlText w:val=""/>
      <w:lvlJc w:val="left"/>
      <w:pPr>
        <w:ind w:left="6547" w:hanging="360"/>
      </w:pPr>
      <w:rPr>
        <w:rFonts w:ascii="Wingdings" w:hAnsi="Wingdings" w:hint="default"/>
      </w:rPr>
    </w:lvl>
  </w:abstractNum>
  <w:abstractNum w:abstractNumId="86">
    <w:nsid w:val="70F06D45"/>
    <w:multiLevelType w:val="hybridMultilevel"/>
    <w:tmpl w:val="A6F6D4A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7">
    <w:nsid w:val="725B66D0"/>
    <w:multiLevelType w:val="hybridMultilevel"/>
    <w:tmpl w:val="FF8AE6B6"/>
    <w:lvl w:ilvl="0" w:tplc="03F42514">
      <w:start w:val="1"/>
      <w:numFmt w:val="bullet"/>
      <w:lvlText w:val=""/>
      <w:lvlJc w:val="left"/>
      <w:pPr>
        <w:ind w:left="720" w:hanging="360"/>
      </w:pPr>
      <w:rPr>
        <w:rFonts w:ascii="Symbol" w:hAnsi="Symbol" w:hint="default"/>
      </w:rPr>
    </w:lvl>
    <w:lvl w:ilvl="1" w:tplc="FA80A288" w:tentative="1">
      <w:start w:val="1"/>
      <w:numFmt w:val="bullet"/>
      <w:lvlText w:val="o"/>
      <w:lvlJc w:val="left"/>
      <w:pPr>
        <w:ind w:left="1440" w:hanging="360"/>
      </w:pPr>
      <w:rPr>
        <w:rFonts w:ascii="Courier New" w:hAnsi="Courier New" w:cs="Courier New" w:hint="default"/>
      </w:rPr>
    </w:lvl>
    <w:lvl w:ilvl="2" w:tplc="DD60635C" w:tentative="1">
      <w:start w:val="1"/>
      <w:numFmt w:val="bullet"/>
      <w:lvlText w:val=""/>
      <w:lvlJc w:val="left"/>
      <w:pPr>
        <w:ind w:left="2160" w:hanging="360"/>
      </w:pPr>
      <w:rPr>
        <w:rFonts w:ascii="Wingdings" w:hAnsi="Wingdings" w:hint="default"/>
      </w:rPr>
    </w:lvl>
    <w:lvl w:ilvl="3" w:tplc="3A6A512E" w:tentative="1">
      <w:start w:val="1"/>
      <w:numFmt w:val="bullet"/>
      <w:lvlText w:val=""/>
      <w:lvlJc w:val="left"/>
      <w:pPr>
        <w:ind w:left="2880" w:hanging="360"/>
      </w:pPr>
      <w:rPr>
        <w:rFonts w:ascii="Symbol" w:hAnsi="Symbol" w:hint="default"/>
      </w:rPr>
    </w:lvl>
    <w:lvl w:ilvl="4" w:tplc="A2588546" w:tentative="1">
      <w:start w:val="1"/>
      <w:numFmt w:val="bullet"/>
      <w:lvlText w:val="o"/>
      <w:lvlJc w:val="left"/>
      <w:pPr>
        <w:ind w:left="3600" w:hanging="360"/>
      </w:pPr>
      <w:rPr>
        <w:rFonts w:ascii="Courier New" w:hAnsi="Courier New" w:cs="Courier New" w:hint="default"/>
      </w:rPr>
    </w:lvl>
    <w:lvl w:ilvl="5" w:tplc="43E413AE" w:tentative="1">
      <w:start w:val="1"/>
      <w:numFmt w:val="bullet"/>
      <w:lvlText w:val=""/>
      <w:lvlJc w:val="left"/>
      <w:pPr>
        <w:ind w:left="4320" w:hanging="360"/>
      </w:pPr>
      <w:rPr>
        <w:rFonts w:ascii="Wingdings" w:hAnsi="Wingdings" w:hint="default"/>
      </w:rPr>
    </w:lvl>
    <w:lvl w:ilvl="6" w:tplc="6812F542" w:tentative="1">
      <w:start w:val="1"/>
      <w:numFmt w:val="bullet"/>
      <w:lvlText w:val=""/>
      <w:lvlJc w:val="left"/>
      <w:pPr>
        <w:ind w:left="5040" w:hanging="360"/>
      </w:pPr>
      <w:rPr>
        <w:rFonts w:ascii="Symbol" w:hAnsi="Symbol" w:hint="default"/>
      </w:rPr>
    </w:lvl>
    <w:lvl w:ilvl="7" w:tplc="85C2F36A" w:tentative="1">
      <w:start w:val="1"/>
      <w:numFmt w:val="bullet"/>
      <w:lvlText w:val="o"/>
      <w:lvlJc w:val="left"/>
      <w:pPr>
        <w:ind w:left="5760" w:hanging="360"/>
      </w:pPr>
      <w:rPr>
        <w:rFonts w:ascii="Courier New" w:hAnsi="Courier New" w:cs="Courier New" w:hint="default"/>
      </w:rPr>
    </w:lvl>
    <w:lvl w:ilvl="8" w:tplc="DC5A1882" w:tentative="1">
      <w:start w:val="1"/>
      <w:numFmt w:val="bullet"/>
      <w:lvlText w:val=""/>
      <w:lvlJc w:val="left"/>
      <w:pPr>
        <w:ind w:left="6480" w:hanging="360"/>
      </w:pPr>
      <w:rPr>
        <w:rFonts w:ascii="Wingdings" w:hAnsi="Wingdings" w:hint="default"/>
      </w:rPr>
    </w:lvl>
  </w:abstractNum>
  <w:abstractNum w:abstractNumId="88">
    <w:nsid w:val="75273DB0"/>
    <w:multiLevelType w:val="hybridMultilevel"/>
    <w:tmpl w:val="962C95B0"/>
    <w:lvl w:ilvl="0" w:tplc="5424442A">
      <w:start w:val="1"/>
      <w:numFmt w:val="bullet"/>
      <w:lvlText w:val=""/>
      <w:lvlJc w:val="left"/>
      <w:pPr>
        <w:ind w:left="720" w:hanging="360"/>
      </w:pPr>
      <w:rPr>
        <w:rFonts w:ascii="Symbol" w:hAnsi="Symbol" w:hint="default"/>
      </w:rPr>
    </w:lvl>
    <w:lvl w:ilvl="1" w:tplc="792AB79E">
      <w:start w:val="1"/>
      <w:numFmt w:val="bullet"/>
      <w:lvlText w:val="o"/>
      <w:lvlJc w:val="left"/>
      <w:pPr>
        <w:ind w:left="1440" w:hanging="360"/>
      </w:pPr>
      <w:rPr>
        <w:rFonts w:ascii="Courier New" w:hAnsi="Courier New" w:cs="Courier New" w:hint="default"/>
      </w:rPr>
    </w:lvl>
    <w:lvl w:ilvl="2" w:tplc="A9CA3170" w:tentative="1">
      <w:start w:val="1"/>
      <w:numFmt w:val="bullet"/>
      <w:lvlText w:val=""/>
      <w:lvlJc w:val="left"/>
      <w:pPr>
        <w:ind w:left="2160" w:hanging="360"/>
      </w:pPr>
      <w:rPr>
        <w:rFonts w:ascii="Wingdings" w:hAnsi="Wingdings" w:hint="default"/>
      </w:rPr>
    </w:lvl>
    <w:lvl w:ilvl="3" w:tplc="0EE83404" w:tentative="1">
      <w:start w:val="1"/>
      <w:numFmt w:val="bullet"/>
      <w:lvlText w:val=""/>
      <w:lvlJc w:val="left"/>
      <w:pPr>
        <w:ind w:left="2880" w:hanging="360"/>
      </w:pPr>
      <w:rPr>
        <w:rFonts w:ascii="Symbol" w:hAnsi="Symbol" w:hint="default"/>
      </w:rPr>
    </w:lvl>
    <w:lvl w:ilvl="4" w:tplc="02FE21D6" w:tentative="1">
      <w:start w:val="1"/>
      <w:numFmt w:val="bullet"/>
      <w:lvlText w:val="o"/>
      <w:lvlJc w:val="left"/>
      <w:pPr>
        <w:ind w:left="3600" w:hanging="360"/>
      </w:pPr>
      <w:rPr>
        <w:rFonts w:ascii="Courier New" w:hAnsi="Courier New" w:cs="Courier New" w:hint="default"/>
      </w:rPr>
    </w:lvl>
    <w:lvl w:ilvl="5" w:tplc="8CEE16F4" w:tentative="1">
      <w:start w:val="1"/>
      <w:numFmt w:val="bullet"/>
      <w:lvlText w:val=""/>
      <w:lvlJc w:val="left"/>
      <w:pPr>
        <w:ind w:left="4320" w:hanging="360"/>
      </w:pPr>
      <w:rPr>
        <w:rFonts w:ascii="Wingdings" w:hAnsi="Wingdings" w:hint="default"/>
      </w:rPr>
    </w:lvl>
    <w:lvl w:ilvl="6" w:tplc="F3F6CB66" w:tentative="1">
      <w:start w:val="1"/>
      <w:numFmt w:val="bullet"/>
      <w:lvlText w:val=""/>
      <w:lvlJc w:val="left"/>
      <w:pPr>
        <w:ind w:left="5040" w:hanging="360"/>
      </w:pPr>
      <w:rPr>
        <w:rFonts w:ascii="Symbol" w:hAnsi="Symbol" w:hint="default"/>
      </w:rPr>
    </w:lvl>
    <w:lvl w:ilvl="7" w:tplc="A07A08FC" w:tentative="1">
      <w:start w:val="1"/>
      <w:numFmt w:val="bullet"/>
      <w:lvlText w:val="o"/>
      <w:lvlJc w:val="left"/>
      <w:pPr>
        <w:ind w:left="5760" w:hanging="360"/>
      </w:pPr>
      <w:rPr>
        <w:rFonts w:ascii="Courier New" w:hAnsi="Courier New" w:cs="Courier New" w:hint="default"/>
      </w:rPr>
    </w:lvl>
    <w:lvl w:ilvl="8" w:tplc="F9C6E668" w:tentative="1">
      <w:start w:val="1"/>
      <w:numFmt w:val="bullet"/>
      <w:lvlText w:val=""/>
      <w:lvlJc w:val="left"/>
      <w:pPr>
        <w:ind w:left="6480" w:hanging="360"/>
      </w:pPr>
      <w:rPr>
        <w:rFonts w:ascii="Wingdings" w:hAnsi="Wingdings" w:hint="default"/>
      </w:rPr>
    </w:lvl>
  </w:abstractNum>
  <w:abstractNum w:abstractNumId="89">
    <w:nsid w:val="75BD23FF"/>
    <w:multiLevelType w:val="hybridMultilevel"/>
    <w:tmpl w:val="40B248DA"/>
    <w:lvl w:ilvl="0" w:tplc="2DBE5A62">
      <w:start w:val="1"/>
      <w:numFmt w:val="bullet"/>
      <w:lvlText w:val=""/>
      <w:lvlJc w:val="left"/>
      <w:pPr>
        <w:ind w:left="720" w:hanging="360"/>
      </w:pPr>
      <w:rPr>
        <w:rFonts w:ascii="Symbol" w:hAnsi="Symbol" w:hint="default"/>
      </w:rPr>
    </w:lvl>
    <w:lvl w:ilvl="1" w:tplc="F5766C24" w:tentative="1">
      <w:start w:val="1"/>
      <w:numFmt w:val="bullet"/>
      <w:lvlText w:val="o"/>
      <w:lvlJc w:val="left"/>
      <w:pPr>
        <w:ind w:left="1440" w:hanging="360"/>
      </w:pPr>
      <w:rPr>
        <w:rFonts w:ascii="Courier New" w:hAnsi="Courier New" w:cs="Courier New" w:hint="default"/>
      </w:rPr>
    </w:lvl>
    <w:lvl w:ilvl="2" w:tplc="1488276A" w:tentative="1">
      <w:start w:val="1"/>
      <w:numFmt w:val="bullet"/>
      <w:lvlText w:val=""/>
      <w:lvlJc w:val="left"/>
      <w:pPr>
        <w:ind w:left="2160" w:hanging="360"/>
      </w:pPr>
      <w:rPr>
        <w:rFonts w:ascii="Wingdings" w:hAnsi="Wingdings" w:hint="default"/>
      </w:rPr>
    </w:lvl>
    <w:lvl w:ilvl="3" w:tplc="5032F8C0" w:tentative="1">
      <w:start w:val="1"/>
      <w:numFmt w:val="bullet"/>
      <w:lvlText w:val=""/>
      <w:lvlJc w:val="left"/>
      <w:pPr>
        <w:ind w:left="2880" w:hanging="360"/>
      </w:pPr>
      <w:rPr>
        <w:rFonts w:ascii="Symbol" w:hAnsi="Symbol" w:hint="default"/>
      </w:rPr>
    </w:lvl>
    <w:lvl w:ilvl="4" w:tplc="68842D5E" w:tentative="1">
      <w:start w:val="1"/>
      <w:numFmt w:val="bullet"/>
      <w:lvlText w:val="o"/>
      <w:lvlJc w:val="left"/>
      <w:pPr>
        <w:ind w:left="3600" w:hanging="360"/>
      </w:pPr>
      <w:rPr>
        <w:rFonts w:ascii="Courier New" w:hAnsi="Courier New" w:cs="Courier New" w:hint="default"/>
      </w:rPr>
    </w:lvl>
    <w:lvl w:ilvl="5" w:tplc="D93EBF94" w:tentative="1">
      <w:start w:val="1"/>
      <w:numFmt w:val="bullet"/>
      <w:lvlText w:val=""/>
      <w:lvlJc w:val="left"/>
      <w:pPr>
        <w:ind w:left="4320" w:hanging="360"/>
      </w:pPr>
      <w:rPr>
        <w:rFonts w:ascii="Wingdings" w:hAnsi="Wingdings" w:hint="default"/>
      </w:rPr>
    </w:lvl>
    <w:lvl w:ilvl="6" w:tplc="08806E38" w:tentative="1">
      <w:start w:val="1"/>
      <w:numFmt w:val="bullet"/>
      <w:lvlText w:val=""/>
      <w:lvlJc w:val="left"/>
      <w:pPr>
        <w:ind w:left="5040" w:hanging="360"/>
      </w:pPr>
      <w:rPr>
        <w:rFonts w:ascii="Symbol" w:hAnsi="Symbol" w:hint="default"/>
      </w:rPr>
    </w:lvl>
    <w:lvl w:ilvl="7" w:tplc="B854FB82" w:tentative="1">
      <w:start w:val="1"/>
      <w:numFmt w:val="bullet"/>
      <w:lvlText w:val="o"/>
      <w:lvlJc w:val="left"/>
      <w:pPr>
        <w:ind w:left="5760" w:hanging="360"/>
      </w:pPr>
      <w:rPr>
        <w:rFonts w:ascii="Courier New" w:hAnsi="Courier New" w:cs="Courier New" w:hint="default"/>
      </w:rPr>
    </w:lvl>
    <w:lvl w:ilvl="8" w:tplc="76145484" w:tentative="1">
      <w:start w:val="1"/>
      <w:numFmt w:val="bullet"/>
      <w:lvlText w:val=""/>
      <w:lvlJc w:val="left"/>
      <w:pPr>
        <w:ind w:left="6480" w:hanging="360"/>
      </w:pPr>
      <w:rPr>
        <w:rFonts w:ascii="Wingdings" w:hAnsi="Wingdings" w:hint="default"/>
      </w:rPr>
    </w:lvl>
  </w:abstractNum>
  <w:abstractNum w:abstractNumId="90">
    <w:nsid w:val="75BF7A82"/>
    <w:multiLevelType w:val="hybridMultilevel"/>
    <w:tmpl w:val="665EAC88"/>
    <w:lvl w:ilvl="0" w:tplc="8B388424">
      <w:start w:val="1"/>
      <w:numFmt w:val="bullet"/>
      <w:lvlText w:val=""/>
      <w:lvlJc w:val="left"/>
      <w:pPr>
        <w:ind w:left="432" w:hanging="360"/>
      </w:pPr>
      <w:rPr>
        <w:rFonts w:ascii="Symbol" w:hAnsi="Symbol" w:hint="default"/>
      </w:rPr>
    </w:lvl>
    <w:lvl w:ilvl="1" w:tplc="F28EEACE" w:tentative="1">
      <w:start w:val="1"/>
      <w:numFmt w:val="bullet"/>
      <w:lvlText w:val="o"/>
      <w:lvlJc w:val="left"/>
      <w:pPr>
        <w:ind w:left="1152" w:hanging="360"/>
      </w:pPr>
      <w:rPr>
        <w:rFonts w:ascii="Courier New" w:hAnsi="Courier New" w:cs="Courier New" w:hint="default"/>
      </w:rPr>
    </w:lvl>
    <w:lvl w:ilvl="2" w:tplc="A6FEE08E" w:tentative="1">
      <w:start w:val="1"/>
      <w:numFmt w:val="bullet"/>
      <w:lvlText w:val=""/>
      <w:lvlJc w:val="left"/>
      <w:pPr>
        <w:ind w:left="1872" w:hanging="360"/>
      </w:pPr>
      <w:rPr>
        <w:rFonts w:ascii="Wingdings" w:hAnsi="Wingdings" w:hint="default"/>
      </w:rPr>
    </w:lvl>
    <w:lvl w:ilvl="3" w:tplc="659A6488" w:tentative="1">
      <w:start w:val="1"/>
      <w:numFmt w:val="bullet"/>
      <w:lvlText w:val=""/>
      <w:lvlJc w:val="left"/>
      <w:pPr>
        <w:ind w:left="2592" w:hanging="360"/>
      </w:pPr>
      <w:rPr>
        <w:rFonts w:ascii="Symbol" w:hAnsi="Symbol" w:hint="default"/>
      </w:rPr>
    </w:lvl>
    <w:lvl w:ilvl="4" w:tplc="2320DD00" w:tentative="1">
      <w:start w:val="1"/>
      <w:numFmt w:val="bullet"/>
      <w:lvlText w:val="o"/>
      <w:lvlJc w:val="left"/>
      <w:pPr>
        <w:ind w:left="3312" w:hanging="360"/>
      </w:pPr>
      <w:rPr>
        <w:rFonts w:ascii="Courier New" w:hAnsi="Courier New" w:cs="Courier New" w:hint="default"/>
      </w:rPr>
    </w:lvl>
    <w:lvl w:ilvl="5" w:tplc="F6DCF550" w:tentative="1">
      <w:start w:val="1"/>
      <w:numFmt w:val="bullet"/>
      <w:lvlText w:val=""/>
      <w:lvlJc w:val="left"/>
      <w:pPr>
        <w:ind w:left="4032" w:hanging="360"/>
      </w:pPr>
      <w:rPr>
        <w:rFonts w:ascii="Wingdings" w:hAnsi="Wingdings" w:hint="default"/>
      </w:rPr>
    </w:lvl>
    <w:lvl w:ilvl="6" w:tplc="9ABCA63E" w:tentative="1">
      <w:start w:val="1"/>
      <w:numFmt w:val="bullet"/>
      <w:lvlText w:val=""/>
      <w:lvlJc w:val="left"/>
      <w:pPr>
        <w:ind w:left="4752" w:hanging="360"/>
      </w:pPr>
      <w:rPr>
        <w:rFonts w:ascii="Symbol" w:hAnsi="Symbol" w:hint="default"/>
      </w:rPr>
    </w:lvl>
    <w:lvl w:ilvl="7" w:tplc="02C0FBE8" w:tentative="1">
      <w:start w:val="1"/>
      <w:numFmt w:val="bullet"/>
      <w:lvlText w:val="o"/>
      <w:lvlJc w:val="left"/>
      <w:pPr>
        <w:ind w:left="5472" w:hanging="360"/>
      </w:pPr>
      <w:rPr>
        <w:rFonts w:ascii="Courier New" w:hAnsi="Courier New" w:cs="Courier New" w:hint="default"/>
      </w:rPr>
    </w:lvl>
    <w:lvl w:ilvl="8" w:tplc="B516A0B2" w:tentative="1">
      <w:start w:val="1"/>
      <w:numFmt w:val="bullet"/>
      <w:lvlText w:val=""/>
      <w:lvlJc w:val="left"/>
      <w:pPr>
        <w:ind w:left="6192" w:hanging="360"/>
      </w:pPr>
      <w:rPr>
        <w:rFonts w:ascii="Wingdings" w:hAnsi="Wingdings" w:hint="default"/>
      </w:rPr>
    </w:lvl>
  </w:abstractNum>
  <w:abstractNum w:abstractNumId="91">
    <w:nsid w:val="76A905BD"/>
    <w:multiLevelType w:val="hybridMultilevel"/>
    <w:tmpl w:val="8A50A3C2"/>
    <w:lvl w:ilvl="0" w:tplc="C7DCDF64">
      <w:start w:val="1"/>
      <w:numFmt w:val="bullet"/>
      <w:lvlText w:val=""/>
      <w:lvlJc w:val="left"/>
      <w:pPr>
        <w:ind w:left="720" w:hanging="360"/>
      </w:pPr>
      <w:rPr>
        <w:rFonts w:ascii="Symbol" w:hAnsi="Symbol" w:hint="default"/>
      </w:rPr>
    </w:lvl>
    <w:lvl w:ilvl="1" w:tplc="B6267906" w:tentative="1">
      <w:start w:val="1"/>
      <w:numFmt w:val="bullet"/>
      <w:lvlText w:val="o"/>
      <w:lvlJc w:val="left"/>
      <w:pPr>
        <w:ind w:left="1440" w:hanging="360"/>
      </w:pPr>
      <w:rPr>
        <w:rFonts w:ascii="Courier New" w:hAnsi="Courier New" w:cs="Courier New" w:hint="default"/>
      </w:rPr>
    </w:lvl>
    <w:lvl w:ilvl="2" w:tplc="43243B14" w:tentative="1">
      <w:start w:val="1"/>
      <w:numFmt w:val="bullet"/>
      <w:lvlText w:val=""/>
      <w:lvlJc w:val="left"/>
      <w:pPr>
        <w:ind w:left="2160" w:hanging="360"/>
      </w:pPr>
      <w:rPr>
        <w:rFonts w:ascii="Wingdings" w:hAnsi="Wingdings" w:hint="default"/>
      </w:rPr>
    </w:lvl>
    <w:lvl w:ilvl="3" w:tplc="BB0EB82C" w:tentative="1">
      <w:start w:val="1"/>
      <w:numFmt w:val="bullet"/>
      <w:lvlText w:val=""/>
      <w:lvlJc w:val="left"/>
      <w:pPr>
        <w:ind w:left="2880" w:hanging="360"/>
      </w:pPr>
      <w:rPr>
        <w:rFonts w:ascii="Symbol" w:hAnsi="Symbol" w:hint="default"/>
      </w:rPr>
    </w:lvl>
    <w:lvl w:ilvl="4" w:tplc="EF36A908" w:tentative="1">
      <w:start w:val="1"/>
      <w:numFmt w:val="bullet"/>
      <w:lvlText w:val="o"/>
      <w:lvlJc w:val="left"/>
      <w:pPr>
        <w:ind w:left="3600" w:hanging="360"/>
      </w:pPr>
      <w:rPr>
        <w:rFonts w:ascii="Courier New" w:hAnsi="Courier New" w:cs="Courier New" w:hint="default"/>
      </w:rPr>
    </w:lvl>
    <w:lvl w:ilvl="5" w:tplc="35FA0964" w:tentative="1">
      <w:start w:val="1"/>
      <w:numFmt w:val="bullet"/>
      <w:lvlText w:val=""/>
      <w:lvlJc w:val="left"/>
      <w:pPr>
        <w:ind w:left="4320" w:hanging="360"/>
      </w:pPr>
      <w:rPr>
        <w:rFonts w:ascii="Wingdings" w:hAnsi="Wingdings" w:hint="default"/>
      </w:rPr>
    </w:lvl>
    <w:lvl w:ilvl="6" w:tplc="86B67A58" w:tentative="1">
      <w:start w:val="1"/>
      <w:numFmt w:val="bullet"/>
      <w:lvlText w:val=""/>
      <w:lvlJc w:val="left"/>
      <w:pPr>
        <w:ind w:left="5040" w:hanging="360"/>
      </w:pPr>
      <w:rPr>
        <w:rFonts w:ascii="Symbol" w:hAnsi="Symbol" w:hint="default"/>
      </w:rPr>
    </w:lvl>
    <w:lvl w:ilvl="7" w:tplc="19008496" w:tentative="1">
      <w:start w:val="1"/>
      <w:numFmt w:val="bullet"/>
      <w:lvlText w:val="o"/>
      <w:lvlJc w:val="left"/>
      <w:pPr>
        <w:ind w:left="5760" w:hanging="360"/>
      </w:pPr>
      <w:rPr>
        <w:rFonts w:ascii="Courier New" w:hAnsi="Courier New" w:cs="Courier New" w:hint="default"/>
      </w:rPr>
    </w:lvl>
    <w:lvl w:ilvl="8" w:tplc="FC7CD4BC" w:tentative="1">
      <w:start w:val="1"/>
      <w:numFmt w:val="bullet"/>
      <w:lvlText w:val=""/>
      <w:lvlJc w:val="left"/>
      <w:pPr>
        <w:ind w:left="6480" w:hanging="360"/>
      </w:pPr>
      <w:rPr>
        <w:rFonts w:ascii="Wingdings" w:hAnsi="Wingdings" w:hint="default"/>
      </w:rPr>
    </w:lvl>
  </w:abstractNum>
  <w:abstractNum w:abstractNumId="92">
    <w:nsid w:val="76EB61E3"/>
    <w:multiLevelType w:val="hybridMultilevel"/>
    <w:tmpl w:val="F56AA796"/>
    <w:lvl w:ilvl="0" w:tplc="1CDCA2EE">
      <w:start w:val="1"/>
      <w:numFmt w:val="bullet"/>
      <w:lvlText w:val=""/>
      <w:lvlJc w:val="left"/>
      <w:pPr>
        <w:ind w:left="720" w:hanging="360"/>
      </w:pPr>
      <w:rPr>
        <w:rFonts w:ascii="Symbol" w:hAnsi="Symbol" w:hint="default"/>
      </w:rPr>
    </w:lvl>
    <w:lvl w:ilvl="1" w:tplc="F8ECFFF6" w:tentative="1">
      <w:start w:val="1"/>
      <w:numFmt w:val="bullet"/>
      <w:lvlText w:val="o"/>
      <w:lvlJc w:val="left"/>
      <w:pPr>
        <w:ind w:left="1440" w:hanging="360"/>
      </w:pPr>
      <w:rPr>
        <w:rFonts w:ascii="Courier New" w:hAnsi="Courier New" w:cs="Courier New" w:hint="default"/>
      </w:rPr>
    </w:lvl>
    <w:lvl w:ilvl="2" w:tplc="4288BD3C" w:tentative="1">
      <w:start w:val="1"/>
      <w:numFmt w:val="bullet"/>
      <w:lvlText w:val=""/>
      <w:lvlJc w:val="left"/>
      <w:pPr>
        <w:ind w:left="2160" w:hanging="360"/>
      </w:pPr>
      <w:rPr>
        <w:rFonts w:ascii="Wingdings" w:hAnsi="Wingdings" w:hint="default"/>
      </w:rPr>
    </w:lvl>
    <w:lvl w:ilvl="3" w:tplc="4EDA6970" w:tentative="1">
      <w:start w:val="1"/>
      <w:numFmt w:val="bullet"/>
      <w:lvlText w:val=""/>
      <w:lvlJc w:val="left"/>
      <w:pPr>
        <w:ind w:left="2880" w:hanging="360"/>
      </w:pPr>
      <w:rPr>
        <w:rFonts w:ascii="Symbol" w:hAnsi="Symbol" w:hint="default"/>
      </w:rPr>
    </w:lvl>
    <w:lvl w:ilvl="4" w:tplc="5CBAB314" w:tentative="1">
      <w:start w:val="1"/>
      <w:numFmt w:val="bullet"/>
      <w:lvlText w:val="o"/>
      <w:lvlJc w:val="left"/>
      <w:pPr>
        <w:ind w:left="3600" w:hanging="360"/>
      </w:pPr>
      <w:rPr>
        <w:rFonts w:ascii="Courier New" w:hAnsi="Courier New" w:cs="Courier New" w:hint="default"/>
      </w:rPr>
    </w:lvl>
    <w:lvl w:ilvl="5" w:tplc="7B7806F8" w:tentative="1">
      <w:start w:val="1"/>
      <w:numFmt w:val="bullet"/>
      <w:lvlText w:val=""/>
      <w:lvlJc w:val="left"/>
      <w:pPr>
        <w:ind w:left="4320" w:hanging="360"/>
      </w:pPr>
      <w:rPr>
        <w:rFonts w:ascii="Wingdings" w:hAnsi="Wingdings" w:hint="default"/>
      </w:rPr>
    </w:lvl>
    <w:lvl w:ilvl="6" w:tplc="DBE0C6CE" w:tentative="1">
      <w:start w:val="1"/>
      <w:numFmt w:val="bullet"/>
      <w:lvlText w:val=""/>
      <w:lvlJc w:val="left"/>
      <w:pPr>
        <w:ind w:left="5040" w:hanging="360"/>
      </w:pPr>
      <w:rPr>
        <w:rFonts w:ascii="Symbol" w:hAnsi="Symbol" w:hint="default"/>
      </w:rPr>
    </w:lvl>
    <w:lvl w:ilvl="7" w:tplc="6D887210" w:tentative="1">
      <w:start w:val="1"/>
      <w:numFmt w:val="bullet"/>
      <w:lvlText w:val="o"/>
      <w:lvlJc w:val="left"/>
      <w:pPr>
        <w:ind w:left="5760" w:hanging="360"/>
      </w:pPr>
      <w:rPr>
        <w:rFonts w:ascii="Courier New" w:hAnsi="Courier New" w:cs="Courier New" w:hint="default"/>
      </w:rPr>
    </w:lvl>
    <w:lvl w:ilvl="8" w:tplc="5EC067DE" w:tentative="1">
      <w:start w:val="1"/>
      <w:numFmt w:val="bullet"/>
      <w:lvlText w:val=""/>
      <w:lvlJc w:val="left"/>
      <w:pPr>
        <w:ind w:left="6480" w:hanging="360"/>
      </w:pPr>
      <w:rPr>
        <w:rFonts w:ascii="Wingdings" w:hAnsi="Wingdings" w:hint="default"/>
      </w:rPr>
    </w:lvl>
  </w:abstractNum>
  <w:abstractNum w:abstractNumId="93">
    <w:nsid w:val="77402ED7"/>
    <w:multiLevelType w:val="multilevel"/>
    <w:tmpl w:val="10F28300"/>
    <w:lvl w:ilvl="0">
      <w:start w:val="6"/>
      <w:numFmt w:val="decimal"/>
      <w:lvlText w:val="%1"/>
      <w:lvlJc w:val="left"/>
      <w:pPr>
        <w:ind w:left="360" w:hanging="360"/>
      </w:pPr>
      <w:rPr>
        <w:rFonts w:hint="default"/>
        <w:b/>
      </w:rPr>
    </w:lvl>
    <w:lvl w:ilvl="1">
      <w:start w:val="1"/>
      <w:numFmt w:val="decimal"/>
      <w:lvlText w:val="%1.%2"/>
      <w:lvlJc w:val="left"/>
      <w:pPr>
        <w:ind w:left="502" w:hanging="360"/>
      </w:pPr>
      <w:rPr>
        <w:rFonts w:hint="default"/>
        <w:b w:val="0"/>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288" w:hanging="72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1932" w:hanging="108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94">
    <w:nsid w:val="77E42F4E"/>
    <w:multiLevelType w:val="hybridMultilevel"/>
    <w:tmpl w:val="DCD208B2"/>
    <w:lvl w:ilvl="0" w:tplc="1D9C6100">
      <w:start w:val="1"/>
      <w:numFmt w:val="bullet"/>
      <w:lvlText w:val=""/>
      <w:lvlJc w:val="left"/>
      <w:pPr>
        <w:ind w:left="720" w:hanging="360"/>
      </w:pPr>
      <w:rPr>
        <w:rFonts w:ascii="Symbol" w:hAnsi="Symbol" w:hint="default"/>
      </w:rPr>
    </w:lvl>
    <w:lvl w:ilvl="1" w:tplc="DB6AF8A4" w:tentative="1">
      <w:start w:val="1"/>
      <w:numFmt w:val="bullet"/>
      <w:lvlText w:val="o"/>
      <w:lvlJc w:val="left"/>
      <w:pPr>
        <w:ind w:left="1440" w:hanging="360"/>
      </w:pPr>
      <w:rPr>
        <w:rFonts w:ascii="Courier New" w:hAnsi="Courier New" w:cs="Courier New" w:hint="default"/>
      </w:rPr>
    </w:lvl>
    <w:lvl w:ilvl="2" w:tplc="58A064BA" w:tentative="1">
      <w:start w:val="1"/>
      <w:numFmt w:val="bullet"/>
      <w:lvlText w:val=""/>
      <w:lvlJc w:val="left"/>
      <w:pPr>
        <w:ind w:left="2160" w:hanging="360"/>
      </w:pPr>
      <w:rPr>
        <w:rFonts w:ascii="Wingdings" w:hAnsi="Wingdings" w:hint="default"/>
      </w:rPr>
    </w:lvl>
    <w:lvl w:ilvl="3" w:tplc="B4582FBE" w:tentative="1">
      <w:start w:val="1"/>
      <w:numFmt w:val="bullet"/>
      <w:lvlText w:val=""/>
      <w:lvlJc w:val="left"/>
      <w:pPr>
        <w:ind w:left="2880" w:hanging="360"/>
      </w:pPr>
      <w:rPr>
        <w:rFonts w:ascii="Symbol" w:hAnsi="Symbol" w:hint="default"/>
      </w:rPr>
    </w:lvl>
    <w:lvl w:ilvl="4" w:tplc="DFD8EB46" w:tentative="1">
      <w:start w:val="1"/>
      <w:numFmt w:val="bullet"/>
      <w:lvlText w:val="o"/>
      <w:lvlJc w:val="left"/>
      <w:pPr>
        <w:ind w:left="3600" w:hanging="360"/>
      </w:pPr>
      <w:rPr>
        <w:rFonts w:ascii="Courier New" w:hAnsi="Courier New" w:cs="Courier New" w:hint="default"/>
      </w:rPr>
    </w:lvl>
    <w:lvl w:ilvl="5" w:tplc="A5B805C2" w:tentative="1">
      <w:start w:val="1"/>
      <w:numFmt w:val="bullet"/>
      <w:lvlText w:val=""/>
      <w:lvlJc w:val="left"/>
      <w:pPr>
        <w:ind w:left="4320" w:hanging="360"/>
      </w:pPr>
      <w:rPr>
        <w:rFonts w:ascii="Wingdings" w:hAnsi="Wingdings" w:hint="default"/>
      </w:rPr>
    </w:lvl>
    <w:lvl w:ilvl="6" w:tplc="4BE60D0E" w:tentative="1">
      <w:start w:val="1"/>
      <w:numFmt w:val="bullet"/>
      <w:lvlText w:val=""/>
      <w:lvlJc w:val="left"/>
      <w:pPr>
        <w:ind w:left="5040" w:hanging="360"/>
      </w:pPr>
      <w:rPr>
        <w:rFonts w:ascii="Symbol" w:hAnsi="Symbol" w:hint="default"/>
      </w:rPr>
    </w:lvl>
    <w:lvl w:ilvl="7" w:tplc="24D0CA84" w:tentative="1">
      <w:start w:val="1"/>
      <w:numFmt w:val="bullet"/>
      <w:lvlText w:val="o"/>
      <w:lvlJc w:val="left"/>
      <w:pPr>
        <w:ind w:left="5760" w:hanging="360"/>
      </w:pPr>
      <w:rPr>
        <w:rFonts w:ascii="Courier New" w:hAnsi="Courier New" w:cs="Courier New" w:hint="default"/>
      </w:rPr>
    </w:lvl>
    <w:lvl w:ilvl="8" w:tplc="DF2E84D6" w:tentative="1">
      <w:start w:val="1"/>
      <w:numFmt w:val="bullet"/>
      <w:lvlText w:val=""/>
      <w:lvlJc w:val="left"/>
      <w:pPr>
        <w:ind w:left="6480" w:hanging="360"/>
      </w:pPr>
      <w:rPr>
        <w:rFonts w:ascii="Wingdings" w:hAnsi="Wingdings" w:hint="default"/>
      </w:rPr>
    </w:lvl>
  </w:abstractNum>
  <w:abstractNum w:abstractNumId="95">
    <w:nsid w:val="77EC5A98"/>
    <w:multiLevelType w:val="multilevel"/>
    <w:tmpl w:val="63F631D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6">
    <w:nsid w:val="7C157A87"/>
    <w:multiLevelType w:val="hybridMultilevel"/>
    <w:tmpl w:val="A75282C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7">
    <w:nsid w:val="7DF564A3"/>
    <w:multiLevelType w:val="hybridMultilevel"/>
    <w:tmpl w:val="F8DCAB54"/>
    <w:lvl w:ilvl="0" w:tplc="3C922D06">
      <w:start w:val="1"/>
      <w:numFmt w:val="bullet"/>
      <w:lvlText w:val=""/>
      <w:lvlJc w:val="left"/>
      <w:pPr>
        <w:ind w:left="720" w:hanging="360"/>
      </w:pPr>
      <w:rPr>
        <w:rFonts w:ascii="Symbol" w:hAnsi="Symbol" w:hint="default"/>
      </w:rPr>
    </w:lvl>
    <w:lvl w:ilvl="1" w:tplc="96FCCD54" w:tentative="1">
      <w:start w:val="1"/>
      <w:numFmt w:val="bullet"/>
      <w:lvlText w:val="o"/>
      <w:lvlJc w:val="left"/>
      <w:pPr>
        <w:ind w:left="1440" w:hanging="360"/>
      </w:pPr>
      <w:rPr>
        <w:rFonts w:ascii="Courier New" w:hAnsi="Courier New" w:cs="Courier New" w:hint="default"/>
      </w:rPr>
    </w:lvl>
    <w:lvl w:ilvl="2" w:tplc="AE741C04" w:tentative="1">
      <w:start w:val="1"/>
      <w:numFmt w:val="bullet"/>
      <w:lvlText w:val=""/>
      <w:lvlJc w:val="left"/>
      <w:pPr>
        <w:ind w:left="2160" w:hanging="360"/>
      </w:pPr>
      <w:rPr>
        <w:rFonts w:ascii="Wingdings" w:hAnsi="Wingdings" w:hint="default"/>
      </w:rPr>
    </w:lvl>
    <w:lvl w:ilvl="3" w:tplc="507C21A4" w:tentative="1">
      <w:start w:val="1"/>
      <w:numFmt w:val="bullet"/>
      <w:lvlText w:val=""/>
      <w:lvlJc w:val="left"/>
      <w:pPr>
        <w:ind w:left="2880" w:hanging="360"/>
      </w:pPr>
      <w:rPr>
        <w:rFonts w:ascii="Symbol" w:hAnsi="Symbol" w:hint="default"/>
      </w:rPr>
    </w:lvl>
    <w:lvl w:ilvl="4" w:tplc="086C8532" w:tentative="1">
      <w:start w:val="1"/>
      <w:numFmt w:val="bullet"/>
      <w:lvlText w:val="o"/>
      <w:lvlJc w:val="left"/>
      <w:pPr>
        <w:ind w:left="3600" w:hanging="360"/>
      </w:pPr>
      <w:rPr>
        <w:rFonts w:ascii="Courier New" w:hAnsi="Courier New" w:cs="Courier New" w:hint="default"/>
      </w:rPr>
    </w:lvl>
    <w:lvl w:ilvl="5" w:tplc="507E78BC" w:tentative="1">
      <w:start w:val="1"/>
      <w:numFmt w:val="bullet"/>
      <w:lvlText w:val=""/>
      <w:lvlJc w:val="left"/>
      <w:pPr>
        <w:ind w:left="4320" w:hanging="360"/>
      </w:pPr>
      <w:rPr>
        <w:rFonts w:ascii="Wingdings" w:hAnsi="Wingdings" w:hint="default"/>
      </w:rPr>
    </w:lvl>
    <w:lvl w:ilvl="6" w:tplc="38883598" w:tentative="1">
      <w:start w:val="1"/>
      <w:numFmt w:val="bullet"/>
      <w:lvlText w:val=""/>
      <w:lvlJc w:val="left"/>
      <w:pPr>
        <w:ind w:left="5040" w:hanging="360"/>
      </w:pPr>
      <w:rPr>
        <w:rFonts w:ascii="Symbol" w:hAnsi="Symbol" w:hint="default"/>
      </w:rPr>
    </w:lvl>
    <w:lvl w:ilvl="7" w:tplc="6A14154E" w:tentative="1">
      <w:start w:val="1"/>
      <w:numFmt w:val="bullet"/>
      <w:lvlText w:val="o"/>
      <w:lvlJc w:val="left"/>
      <w:pPr>
        <w:ind w:left="5760" w:hanging="360"/>
      </w:pPr>
      <w:rPr>
        <w:rFonts w:ascii="Courier New" w:hAnsi="Courier New" w:cs="Courier New" w:hint="default"/>
      </w:rPr>
    </w:lvl>
    <w:lvl w:ilvl="8" w:tplc="A05C6736" w:tentative="1">
      <w:start w:val="1"/>
      <w:numFmt w:val="bullet"/>
      <w:lvlText w:val=""/>
      <w:lvlJc w:val="left"/>
      <w:pPr>
        <w:ind w:left="6480" w:hanging="360"/>
      </w:pPr>
      <w:rPr>
        <w:rFonts w:ascii="Wingdings" w:hAnsi="Wingdings" w:hint="default"/>
      </w:rPr>
    </w:lvl>
  </w:abstractNum>
  <w:abstractNum w:abstractNumId="98">
    <w:nsid w:val="7E1C58DB"/>
    <w:multiLevelType w:val="hybridMultilevel"/>
    <w:tmpl w:val="4B766D0C"/>
    <w:lvl w:ilvl="0" w:tplc="F84AAF6E">
      <w:start w:val="1"/>
      <w:numFmt w:val="bullet"/>
      <w:lvlText w:val=""/>
      <w:lvlJc w:val="left"/>
      <w:pPr>
        <w:ind w:left="720" w:hanging="360"/>
      </w:pPr>
      <w:rPr>
        <w:rFonts w:ascii="Symbol" w:hAnsi="Symbol" w:hint="default"/>
      </w:rPr>
    </w:lvl>
    <w:lvl w:ilvl="1" w:tplc="80B06198" w:tentative="1">
      <w:start w:val="1"/>
      <w:numFmt w:val="bullet"/>
      <w:lvlText w:val="o"/>
      <w:lvlJc w:val="left"/>
      <w:pPr>
        <w:ind w:left="1440" w:hanging="360"/>
      </w:pPr>
      <w:rPr>
        <w:rFonts w:ascii="Courier New" w:hAnsi="Courier New" w:hint="default"/>
      </w:rPr>
    </w:lvl>
    <w:lvl w:ilvl="2" w:tplc="9000E2E6" w:tentative="1">
      <w:start w:val="1"/>
      <w:numFmt w:val="bullet"/>
      <w:lvlText w:val=""/>
      <w:lvlJc w:val="left"/>
      <w:pPr>
        <w:ind w:left="2160" w:hanging="360"/>
      </w:pPr>
      <w:rPr>
        <w:rFonts w:ascii="Wingdings" w:hAnsi="Wingdings" w:hint="default"/>
      </w:rPr>
    </w:lvl>
    <w:lvl w:ilvl="3" w:tplc="2A36AE48" w:tentative="1">
      <w:start w:val="1"/>
      <w:numFmt w:val="bullet"/>
      <w:lvlText w:val=""/>
      <w:lvlJc w:val="left"/>
      <w:pPr>
        <w:ind w:left="2880" w:hanging="360"/>
      </w:pPr>
      <w:rPr>
        <w:rFonts w:ascii="Symbol" w:hAnsi="Symbol" w:hint="default"/>
      </w:rPr>
    </w:lvl>
    <w:lvl w:ilvl="4" w:tplc="829041FC" w:tentative="1">
      <w:start w:val="1"/>
      <w:numFmt w:val="bullet"/>
      <w:lvlText w:val="o"/>
      <w:lvlJc w:val="left"/>
      <w:pPr>
        <w:ind w:left="3600" w:hanging="360"/>
      </w:pPr>
      <w:rPr>
        <w:rFonts w:ascii="Courier New" w:hAnsi="Courier New" w:hint="default"/>
      </w:rPr>
    </w:lvl>
    <w:lvl w:ilvl="5" w:tplc="E7B21838" w:tentative="1">
      <w:start w:val="1"/>
      <w:numFmt w:val="bullet"/>
      <w:lvlText w:val=""/>
      <w:lvlJc w:val="left"/>
      <w:pPr>
        <w:ind w:left="4320" w:hanging="360"/>
      </w:pPr>
      <w:rPr>
        <w:rFonts w:ascii="Wingdings" w:hAnsi="Wingdings" w:hint="default"/>
      </w:rPr>
    </w:lvl>
    <w:lvl w:ilvl="6" w:tplc="92B2344C" w:tentative="1">
      <w:start w:val="1"/>
      <w:numFmt w:val="bullet"/>
      <w:lvlText w:val=""/>
      <w:lvlJc w:val="left"/>
      <w:pPr>
        <w:ind w:left="5040" w:hanging="360"/>
      </w:pPr>
      <w:rPr>
        <w:rFonts w:ascii="Symbol" w:hAnsi="Symbol" w:hint="default"/>
      </w:rPr>
    </w:lvl>
    <w:lvl w:ilvl="7" w:tplc="9DCAE872" w:tentative="1">
      <w:start w:val="1"/>
      <w:numFmt w:val="bullet"/>
      <w:lvlText w:val="o"/>
      <w:lvlJc w:val="left"/>
      <w:pPr>
        <w:ind w:left="5760" w:hanging="360"/>
      </w:pPr>
      <w:rPr>
        <w:rFonts w:ascii="Courier New" w:hAnsi="Courier New" w:hint="default"/>
      </w:rPr>
    </w:lvl>
    <w:lvl w:ilvl="8" w:tplc="EDD4A1BC" w:tentative="1">
      <w:start w:val="1"/>
      <w:numFmt w:val="bullet"/>
      <w:lvlText w:val=""/>
      <w:lvlJc w:val="left"/>
      <w:pPr>
        <w:ind w:left="6480" w:hanging="360"/>
      </w:pPr>
      <w:rPr>
        <w:rFonts w:ascii="Wingdings" w:hAnsi="Wingdings" w:hint="default"/>
      </w:rPr>
    </w:lvl>
  </w:abstractNum>
  <w:abstractNum w:abstractNumId="99">
    <w:nsid w:val="7E3226A8"/>
    <w:multiLevelType w:val="hybridMultilevel"/>
    <w:tmpl w:val="7A32368E"/>
    <w:lvl w:ilvl="0" w:tplc="888CFE0E">
      <w:start w:val="1"/>
      <w:numFmt w:val="bullet"/>
      <w:lvlText w:val=""/>
      <w:lvlJc w:val="left"/>
      <w:pPr>
        <w:ind w:left="720" w:hanging="360"/>
      </w:pPr>
      <w:rPr>
        <w:rFonts w:ascii="Symbol" w:hAnsi="Symbol" w:hint="default"/>
      </w:rPr>
    </w:lvl>
    <w:lvl w:ilvl="1" w:tplc="F3C08E1E" w:tentative="1">
      <w:start w:val="1"/>
      <w:numFmt w:val="bullet"/>
      <w:lvlText w:val="o"/>
      <w:lvlJc w:val="left"/>
      <w:pPr>
        <w:ind w:left="1440" w:hanging="360"/>
      </w:pPr>
      <w:rPr>
        <w:rFonts w:ascii="Courier New" w:hAnsi="Courier New" w:cs="Courier New" w:hint="default"/>
      </w:rPr>
    </w:lvl>
    <w:lvl w:ilvl="2" w:tplc="BBF8B572" w:tentative="1">
      <w:start w:val="1"/>
      <w:numFmt w:val="bullet"/>
      <w:lvlText w:val=""/>
      <w:lvlJc w:val="left"/>
      <w:pPr>
        <w:ind w:left="2160" w:hanging="360"/>
      </w:pPr>
      <w:rPr>
        <w:rFonts w:ascii="Wingdings" w:hAnsi="Wingdings" w:hint="default"/>
      </w:rPr>
    </w:lvl>
    <w:lvl w:ilvl="3" w:tplc="797ABD10" w:tentative="1">
      <w:start w:val="1"/>
      <w:numFmt w:val="bullet"/>
      <w:lvlText w:val=""/>
      <w:lvlJc w:val="left"/>
      <w:pPr>
        <w:ind w:left="2880" w:hanging="360"/>
      </w:pPr>
      <w:rPr>
        <w:rFonts w:ascii="Symbol" w:hAnsi="Symbol" w:hint="default"/>
      </w:rPr>
    </w:lvl>
    <w:lvl w:ilvl="4" w:tplc="A4C4A406" w:tentative="1">
      <w:start w:val="1"/>
      <w:numFmt w:val="bullet"/>
      <w:lvlText w:val="o"/>
      <w:lvlJc w:val="left"/>
      <w:pPr>
        <w:ind w:left="3600" w:hanging="360"/>
      </w:pPr>
      <w:rPr>
        <w:rFonts w:ascii="Courier New" w:hAnsi="Courier New" w:cs="Courier New" w:hint="default"/>
      </w:rPr>
    </w:lvl>
    <w:lvl w:ilvl="5" w:tplc="05DE8F1C" w:tentative="1">
      <w:start w:val="1"/>
      <w:numFmt w:val="bullet"/>
      <w:lvlText w:val=""/>
      <w:lvlJc w:val="left"/>
      <w:pPr>
        <w:ind w:left="4320" w:hanging="360"/>
      </w:pPr>
      <w:rPr>
        <w:rFonts w:ascii="Wingdings" w:hAnsi="Wingdings" w:hint="default"/>
      </w:rPr>
    </w:lvl>
    <w:lvl w:ilvl="6" w:tplc="AD449516" w:tentative="1">
      <w:start w:val="1"/>
      <w:numFmt w:val="bullet"/>
      <w:lvlText w:val=""/>
      <w:lvlJc w:val="left"/>
      <w:pPr>
        <w:ind w:left="5040" w:hanging="360"/>
      </w:pPr>
      <w:rPr>
        <w:rFonts w:ascii="Symbol" w:hAnsi="Symbol" w:hint="default"/>
      </w:rPr>
    </w:lvl>
    <w:lvl w:ilvl="7" w:tplc="135C031A" w:tentative="1">
      <w:start w:val="1"/>
      <w:numFmt w:val="bullet"/>
      <w:lvlText w:val="o"/>
      <w:lvlJc w:val="left"/>
      <w:pPr>
        <w:ind w:left="5760" w:hanging="360"/>
      </w:pPr>
      <w:rPr>
        <w:rFonts w:ascii="Courier New" w:hAnsi="Courier New" w:cs="Courier New" w:hint="default"/>
      </w:rPr>
    </w:lvl>
    <w:lvl w:ilvl="8" w:tplc="48F8A83A" w:tentative="1">
      <w:start w:val="1"/>
      <w:numFmt w:val="bullet"/>
      <w:lvlText w:val=""/>
      <w:lvlJc w:val="left"/>
      <w:pPr>
        <w:ind w:left="6480" w:hanging="360"/>
      </w:pPr>
      <w:rPr>
        <w:rFonts w:ascii="Wingdings" w:hAnsi="Wingdings" w:hint="default"/>
      </w:rPr>
    </w:lvl>
  </w:abstractNum>
  <w:abstractNum w:abstractNumId="100">
    <w:nsid w:val="7FCD2284"/>
    <w:multiLevelType w:val="hybridMultilevel"/>
    <w:tmpl w:val="A1608E48"/>
    <w:lvl w:ilvl="0" w:tplc="B686B1FE">
      <w:start w:val="1"/>
      <w:numFmt w:val="bullet"/>
      <w:lvlText w:val=""/>
      <w:lvlJc w:val="left"/>
      <w:pPr>
        <w:ind w:left="720" w:hanging="360"/>
      </w:pPr>
      <w:rPr>
        <w:rFonts w:ascii="Symbol" w:hAnsi="Symbol" w:hint="default"/>
      </w:rPr>
    </w:lvl>
    <w:lvl w:ilvl="1" w:tplc="F094042E" w:tentative="1">
      <w:start w:val="1"/>
      <w:numFmt w:val="bullet"/>
      <w:lvlText w:val="o"/>
      <w:lvlJc w:val="left"/>
      <w:pPr>
        <w:ind w:left="1440" w:hanging="360"/>
      </w:pPr>
      <w:rPr>
        <w:rFonts w:ascii="Courier New" w:hAnsi="Courier New" w:cs="Courier New" w:hint="default"/>
      </w:rPr>
    </w:lvl>
    <w:lvl w:ilvl="2" w:tplc="CF08FCA6" w:tentative="1">
      <w:start w:val="1"/>
      <w:numFmt w:val="bullet"/>
      <w:lvlText w:val=""/>
      <w:lvlJc w:val="left"/>
      <w:pPr>
        <w:ind w:left="2160" w:hanging="360"/>
      </w:pPr>
      <w:rPr>
        <w:rFonts w:ascii="Wingdings" w:hAnsi="Wingdings" w:hint="default"/>
      </w:rPr>
    </w:lvl>
    <w:lvl w:ilvl="3" w:tplc="02DE3C18" w:tentative="1">
      <w:start w:val="1"/>
      <w:numFmt w:val="bullet"/>
      <w:lvlText w:val=""/>
      <w:lvlJc w:val="left"/>
      <w:pPr>
        <w:ind w:left="2880" w:hanging="360"/>
      </w:pPr>
      <w:rPr>
        <w:rFonts w:ascii="Symbol" w:hAnsi="Symbol" w:hint="default"/>
      </w:rPr>
    </w:lvl>
    <w:lvl w:ilvl="4" w:tplc="BDFC0CFE" w:tentative="1">
      <w:start w:val="1"/>
      <w:numFmt w:val="bullet"/>
      <w:lvlText w:val="o"/>
      <w:lvlJc w:val="left"/>
      <w:pPr>
        <w:ind w:left="3600" w:hanging="360"/>
      </w:pPr>
      <w:rPr>
        <w:rFonts w:ascii="Courier New" w:hAnsi="Courier New" w:cs="Courier New" w:hint="default"/>
      </w:rPr>
    </w:lvl>
    <w:lvl w:ilvl="5" w:tplc="B09CDBB0" w:tentative="1">
      <w:start w:val="1"/>
      <w:numFmt w:val="bullet"/>
      <w:lvlText w:val=""/>
      <w:lvlJc w:val="left"/>
      <w:pPr>
        <w:ind w:left="4320" w:hanging="360"/>
      </w:pPr>
      <w:rPr>
        <w:rFonts w:ascii="Wingdings" w:hAnsi="Wingdings" w:hint="default"/>
      </w:rPr>
    </w:lvl>
    <w:lvl w:ilvl="6" w:tplc="B0346EBC" w:tentative="1">
      <w:start w:val="1"/>
      <w:numFmt w:val="bullet"/>
      <w:lvlText w:val=""/>
      <w:lvlJc w:val="left"/>
      <w:pPr>
        <w:ind w:left="5040" w:hanging="360"/>
      </w:pPr>
      <w:rPr>
        <w:rFonts w:ascii="Symbol" w:hAnsi="Symbol" w:hint="default"/>
      </w:rPr>
    </w:lvl>
    <w:lvl w:ilvl="7" w:tplc="B8B0BEC0" w:tentative="1">
      <w:start w:val="1"/>
      <w:numFmt w:val="bullet"/>
      <w:lvlText w:val="o"/>
      <w:lvlJc w:val="left"/>
      <w:pPr>
        <w:ind w:left="5760" w:hanging="360"/>
      </w:pPr>
      <w:rPr>
        <w:rFonts w:ascii="Courier New" w:hAnsi="Courier New" w:cs="Courier New" w:hint="default"/>
      </w:rPr>
    </w:lvl>
    <w:lvl w:ilvl="8" w:tplc="50DC7D88" w:tentative="1">
      <w:start w:val="1"/>
      <w:numFmt w:val="bullet"/>
      <w:lvlText w:val=""/>
      <w:lvlJc w:val="left"/>
      <w:pPr>
        <w:ind w:left="6480" w:hanging="360"/>
      </w:pPr>
      <w:rPr>
        <w:rFonts w:ascii="Wingdings" w:hAnsi="Wingdings" w:hint="default"/>
      </w:rPr>
    </w:lvl>
  </w:abstractNum>
  <w:num w:numId="1">
    <w:abstractNumId w:val="0"/>
  </w:num>
  <w:num w:numId="2">
    <w:abstractNumId w:val="59"/>
  </w:num>
  <w:num w:numId="3">
    <w:abstractNumId w:val="38"/>
  </w:num>
  <w:num w:numId="4">
    <w:abstractNumId w:val="42"/>
  </w:num>
  <w:num w:numId="5">
    <w:abstractNumId w:val="12"/>
  </w:num>
  <w:num w:numId="6">
    <w:abstractNumId w:val="6"/>
  </w:num>
  <w:num w:numId="7">
    <w:abstractNumId w:val="75"/>
  </w:num>
  <w:num w:numId="8">
    <w:abstractNumId w:val="37"/>
  </w:num>
  <w:num w:numId="9">
    <w:abstractNumId w:val="35"/>
  </w:num>
  <w:num w:numId="10">
    <w:abstractNumId w:val="71"/>
  </w:num>
  <w:num w:numId="11">
    <w:abstractNumId w:val="85"/>
  </w:num>
  <w:num w:numId="12">
    <w:abstractNumId w:val="80"/>
  </w:num>
  <w:num w:numId="13">
    <w:abstractNumId w:val="24"/>
  </w:num>
  <w:num w:numId="14">
    <w:abstractNumId w:val="89"/>
  </w:num>
  <w:num w:numId="15">
    <w:abstractNumId w:val="9"/>
  </w:num>
  <w:num w:numId="16">
    <w:abstractNumId w:val="100"/>
  </w:num>
  <w:num w:numId="17">
    <w:abstractNumId w:val="44"/>
  </w:num>
  <w:num w:numId="18">
    <w:abstractNumId w:val="34"/>
  </w:num>
  <w:num w:numId="19">
    <w:abstractNumId w:val="72"/>
  </w:num>
  <w:num w:numId="20">
    <w:abstractNumId w:val="65"/>
  </w:num>
  <w:num w:numId="21">
    <w:abstractNumId w:val="98"/>
  </w:num>
  <w:num w:numId="22">
    <w:abstractNumId w:val="23"/>
  </w:num>
  <w:num w:numId="23">
    <w:abstractNumId w:val="66"/>
  </w:num>
  <w:num w:numId="24">
    <w:abstractNumId w:val="92"/>
  </w:num>
  <w:num w:numId="25">
    <w:abstractNumId w:val="79"/>
  </w:num>
  <w:num w:numId="26">
    <w:abstractNumId w:val="87"/>
  </w:num>
  <w:num w:numId="27">
    <w:abstractNumId w:val="51"/>
  </w:num>
  <w:num w:numId="28">
    <w:abstractNumId w:val="1"/>
  </w:num>
  <w:num w:numId="29">
    <w:abstractNumId w:val="26"/>
  </w:num>
  <w:num w:numId="30">
    <w:abstractNumId w:val="31"/>
  </w:num>
  <w:num w:numId="31">
    <w:abstractNumId w:val="83"/>
  </w:num>
  <w:num w:numId="32">
    <w:abstractNumId w:val="88"/>
  </w:num>
  <w:num w:numId="33">
    <w:abstractNumId w:val="82"/>
  </w:num>
  <w:num w:numId="34">
    <w:abstractNumId w:val="70"/>
  </w:num>
  <w:num w:numId="35">
    <w:abstractNumId w:val="19"/>
  </w:num>
  <w:num w:numId="36">
    <w:abstractNumId w:val="36"/>
  </w:num>
  <w:num w:numId="37">
    <w:abstractNumId w:val="93"/>
  </w:num>
  <w:num w:numId="38">
    <w:abstractNumId w:val="22"/>
  </w:num>
  <w:num w:numId="39">
    <w:abstractNumId w:val="32"/>
  </w:num>
  <w:num w:numId="40">
    <w:abstractNumId w:val="39"/>
  </w:num>
  <w:num w:numId="41">
    <w:abstractNumId w:val="56"/>
  </w:num>
  <w:num w:numId="42">
    <w:abstractNumId w:val="21"/>
  </w:num>
  <w:num w:numId="43">
    <w:abstractNumId w:val="41"/>
  </w:num>
  <w:num w:numId="44">
    <w:abstractNumId w:val="74"/>
  </w:num>
  <w:num w:numId="45">
    <w:abstractNumId w:val="61"/>
  </w:num>
  <w:num w:numId="46">
    <w:abstractNumId w:val="30"/>
  </w:num>
  <w:num w:numId="47">
    <w:abstractNumId w:val="17"/>
  </w:num>
  <w:num w:numId="48">
    <w:abstractNumId w:val="81"/>
  </w:num>
  <w:num w:numId="49">
    <w:abstractNumId w:val="47"/>
  </w:num>
  <w:num w:numId="50">
    <w:abstractNumId w:val="58"/>
  </w:num>
  <w:num w:numId="51">
    <w:abstractNumId w:val="2"/>
  </w:num>
  <w:num w:numId="52">
    <w:abstractNumId w:val="53"/>
  </w:num>
  <w:num w:numId="53">
    <w:abstractNumId w:val="90"/>
  </w:num>
  <w:num w:numId="54">
    <w:abstractNumId w:val="10"/>
  </w:num>
  <w:num w:numId="55">
    <w:abstractNumId w:val="91"/>
  </w:num>
  <w:num w:numId="56">
    <w:abstractNumId w:val="16"/>
  </w:num>
  <w:num w:numId="57">
    <w:abstractNumId w:val="84"/>
  </w:num>
  <w:num w:numId="58">
    <w:abstractNumId w:val="40"/>
  </w:num>
  <w:num w:numId="59">
    <w:abstractNumId w:val="64"/>
  </w:num>
  <w:num w:numId="60">
    <w:abstractNumId w:val="3"/>
  </w:num>
  <w:num w:numId="61">
    <w:abstractNumId w:val="45"/>
  </w:num>
  <w:num w:numId="62">
    <w:abstractNumId w:val="46"/>
  </w:num>
  <w:num w:numId="63">
    <w:abstractNumId w:val="62"/>
  </w:num>
  <w:num w:numId="64">
    <w:abstractNumId w:val="57"/>
  </w:num>
  <w:num w:numId="65">
    <w:abstractNumId w:val="60"/>
  </w:num>
  <w:num w:numId="66">
    <w:abstractNumId w:val="63"/>
  </w:num>
  <w:num w:numId="67">
    <w:abstractNumId w:val="29"/>
  </w:num>
  <w:num w:numId="68">
    <w:abstractNumId w:val="94"/>
  </w:num>
  <w:num w:numId="69">
    <w:abstractNumId w:val="11"/>
  </w:num>
  <w:num w:numId="70">
    <w:abstractNumId w:val="77"/>
  </w:num>
  <w:num w:numId="71">
    <w:abstractNumId w:val="97"/>
  </w:num>
  <w:num w:numId="72">
    <w:abstractNumId w:val="52"/>
  </w:num>
  <w:num w:numId="73">
    <w:abstractNumId w:val="73"/>
    <w:lvlOverride w:ilvl="0">
      <w:startOverride w:val="1"/>
    </w:lvlOverride>
    <w:lvlOverride w:ilvl="1"/>
    <w:lvlOverride w:ilvl="2"/>
    <w:lvlOverride w:ilvl="3"/>
    <w:lvlOverride w:ilvl="4"/>
    <w:lvlOverride w:ilvl="5"/>
    <w:lvlOverride w:ilvl="6"/>
    <w:lvlOverride w:ilvl="7"/>
    <w:lvlOverride w:ilvl="8"/>
  </w:num>
  <w:num w:numId="74">
    <w:abstractNumId w:val="67"/>
  </w:num>
  <w:num w:numId="75">
    <w:abstractNumId w:val="20"/>
  </w:num>
  <w:num w:numId="76">
    <w:abstractNumId w:val="48"/>
  </w:num>
  <w:num w:numId="77">
    <w:abstractNumId w:val="95"/>
  </w:num>
  <w:num w:numId="78">
    <w:abstractNumId w:val="43"/>
  </w:num>
  <w:num w:numId="79">
    <w:abstractNumId w:val="18"/>
  </w:num>
  <w:num w:numId="80">
    <w:abstractNumId w:val="99"/>
  </w:num>
  <w:num w:numId="81">
    <w:abstractNumId w:val="28"/>
  </w:num>
  <w:num w:numId="82">
    <w:abstractNumId w:val="50"/>
  </w:num>
  <w:num w:numId="83">
    <w:abstractNumId w:val="15"/>
  </w:num>
  <w:num w:numId="84">
    <w:abstractNumId w:val="49"/>
  </w:num>
  <w:num w:numId="85">
    <w:abstractNumId w:val="7"/>
  </w:num>
  <w:num w:numId="86">
    <w:abstractNumId w:val="33"/>
  </w:num>
  <w:num w:numId="87">
    <w:abstractNumId w:val="14"/>
  </w:num>
  <w:num w:numId="88">
    <w:abstractNumId w:val="4"/>
  </w:num>
  <w:num w:numId="89">
    <w:abstractNumId w:val="27"/>
  </w:num>
  <w:num w:numId="90">
    <w:abstractNumId w:val="5"/>
  </w:num>
  <w:num w:numId="91">
    <w:abstractNumId w:val="25"/>
  </w:num>
  <w:num w:numId="92">
    <w:abstractNumId w:val="69"/>
  </w:num>
  <w:num w:numId="93">
    <w:abstractNumId w:val="78"/>
  </w:num>
  <w:num w:numId="94">
    <w:abstractNumId w:val="86"/>
  </w:num>
  <w:num w:numId="95">
    <w:abstractNumId w:val="55"/>
  </w:num>
  <w:num w:numId="96">
    <w:abstractNumId w:val="96"/>
  </w:num>
  <w:num w:numId="97">
    <w:abstractNumId w:val="54"/>
  </w:num>
  <w:num w:numId="98">
    <w:abstractNumId w:val="13"/>
  </w:num>
  <w:num w:numId="99">
    <w:abstractNumId w:val="7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F6C"/>
    <w:rsid w:val="0000172E"/>
    <w:rsid w:val="00007061"/>
    <w:rsid w:val="00013E93"/>
    <w:rsid w:val="00016FA5"/>
    <w:rsid w:val="00040954"/>
    <w:rsid w:val="00046FE6"/>
    <w:rsid w:val="0006021F"/>
    <w:rsid w:val="00062475"/>
    <w:rsid w:val="0006438D"/>
    <w:rsid w:val="0006671F"/>
    <w:rsid w:val="00066AD8"/>
    <w:rsid w:val="00077848"/>
    <w:rsid w:val="000A0E48"/>
    <w:rsid w:val="000A2D1B"/>
    <w:rsid w:val="000B03AE"/>
    <w:rsid w:val="000B3E4D"/>
    <w:rsid w:val="000B7FF2"/>
    <w:rsid w:val="000C1A43"/>
    <w:rsid w:val="000D05AF"/>
    <w:rsid w:val="000D4E29"/>
    <w:rsid w:val="001043B1"/>
    <w:rsid w:val="00113F63"/>
    <w:rsid w:val="00130DCE"/>
    <w:rsid w:val="001423EB"/>
    <w:rsid w:val="00142F80"/>
    <w:rsid w:val="0014554F"/>
    <w:rsid w:val="001466D4"/>
    <w:rsid w:val="00146BB1"/>
    <w:rsid w:val="0015066D"/>
    <w:rsid w:val="00181A22"/>
    <w:rsid w:val="0018709A"/>
    <w:rsid w:val="001A27E5"/>
    <w:rsid w:val="001A2EB3"/>
    <w:rsid w:val="001B7A88"/>
    <w:rsid w:val="001C0323"/>
    <w:rsid w:val="001C7FF6"/>
    <w:rsid w:val="001E4780"/>
    <w:rsid w:val="001F5B8C"/>
    <w:rsid w:val="00200BD2"/>
    <w:rsid w:val="002242ED"/>
    <w:rsid w:val="00246319"/>
    <w:rsid w:val="00251ACD"/>
    <w:rsid w:val="0025404E"/>
    <w:rsid w:val="0025705A"/>
    <w:rsid w:val="00260BFB"/>
    <w:rsid w:val="002900DF"/>
    <w:rsid w:val="002938F5"/>
    <w:rsid w:val="002B6B66"/>
    <w:rsid w:val="002D1548"/>
    <w:rsid w:val="002E2F35"/>
    <w:rsid w:val="002E4D38"/>
    <w:rsid w:val="002F09C7"/>
    <w:rsid w:val="002F4E2B"/>
    <w:rsid w:val="00303BE1"/>
    <w:rsid w:val="00311E51"/>
    <w:rsid w:val="00312D55"/>
    <w:rsid w:val="003506FC"/>
    <w:rsid w:val="00356DA5"/>
    <w:rsid w:val="00371F81"/>
    <w:rsid w:val="003753FE"/>
    <w:rsid w:val="003764DF"/>
    <w:rsid w:val="00391FDC"/>
    <w:rsid w:val="00397CF8"/>
    <w:rsid w:val="003A06C6"/>
    <w:rsid w:val="003B4999"/>
    <w:rsid w:val="003C2963"/>
    <w:rsid w:val="003C4B00"/>
    <w:rsid w:val="003D23CC"/>
    <w:rsid w:val="003D506F"/>
    <w:rsid w:val="003E6771"/>
    <w:rsid w:val="003F490A"/>
    <w:rsid w:val="003F75CA"/>
    <w:rsid w:val="00406058"/>
    <w:rsid w:val="00425948"/>
    <w:rsid w:val="00450691"/>
    <w:rsid w:val="00450728"/>
    <w:rsid w:val="00454907"/>
    <w:rsid w:val="00466E5B"/>
    <w:rsid w:val="00490ED6"/>
    <w:rsid w:val="00494815"/>
    <w:rsid w:val="004A41DD"/>
    <w:rsid w:val="004A6B65"/>
    <w:rsid w:val="004B1EAE"/>
    <w:rsid w:val="004B278E"/>
    <w:rsid w:val="004D27A1"/>
    <w:rsid w:val="004D3F5C"/>
    <w:rsid w:val="004D5FA1"/>
    <w:rsid w:val="004E0A15"/>
    <w:rsid w:val="004E349D"/>
    <w:rsid w:val="004E6F27"/>
    <w:rsid w:val="004F6C05"/>
    <w:rsid w:val="00502E0E"/>
    <w:rsid w:val="00504619"/>
    <w:rsid w:val="005336C5"/>
    <w:rsid w:val="00551E3E"/>
    <w:rsid w:val="00596DB3"/>
    <w:rsid w:val="005A221F"/>
    <w:rsid w:val="005A3D9D"/>
    <w:rsid w:val="005A4021"/>
    <w:rsid w:val="005A4639"/>
    <w:rsid w:val="005A6371"/>
    <w:rsid w:val="005A7940"/>
    <w:rsid w:val="005B35A7"/>
    <w:rsid w:val="005B504F"/>
    <w:rsid w:val="005B6074"/>
    <w:rsid w:val="005D04B8"/>
    <w:rsid w:val="005D3D82"/>
    <w:rsid w:val="005E45B4"/>
    <w:rsid w:val="005E4F1D"/>
    <w:rsid w:val="006202AF"/>
    <w:rsid w:val="00633F6C"/>
    <w:rsid w:val="006775D1"/>
    <w:rsid w:val="006802A5"/>
    <w:rsid w:val="00686CC8"/>
    <w:rsid w:val="0069289F"/>
    <w:rsid w:val="006B0E0B"/>
    <w:rsid w:val="006B4633"/>
    <w:rsid w:val="006E7216"/>
    <w:rsid w:val="006E779C"/>
    <w:rsid w:val="00710AA7"/>
    <w:rsid w:val="00712B3D"/>
    <w:rsid w:val="007133CB"/>
    <w:rsid w:val="007400AA"/>
    <w:rsid w:val="00746D6B"/>
    <w:rsid w:val="00770E77"/>
    <w:rsid w:val="0077776E"/>
    <w:rsid w:val="00793793"/>
    <w:rsid w:val="007A2B7B"/>
    <w:rsid w:val="007B0817"/>
    <w:rsid w:val="007C4363"/>
    <w:rsid w:val="00810F37"/>
    <w:rsid w:val="008215DE"/>
    <w:rsid w:val="00831E60"/>
    <w:rsid w:val="00845752"/>
    <w:rsid w:val="0086428D"/>
    <w:rsid w:val="00864C11"/>
    <w:rsid w:val="00870E9E"/>
    <w:rsid w:val="00884575"/>
    <w:rsid w:val="00894EA2"/>
    <w:rsid w:val="00897407"/>
    <w:rsid w:val="008A08F1"/>
    <w:rsid w:val="008A0964"/>
    <w:rsid w:val="008C085A"/>
    <w:rsid w:val="008C1D64"/>
    <w:rsid w:val="008C5DB0"/>
    <w:rsid w:val="008E1E15"/>
    <w:rsid w:val="008E6270"/>
    <w:rsid w:val="008E7210"/>
    <w:rsid w:val="009143DA"/>
    <w:rsid w:val="00920E23"/>
    <w:rsid w:val="00931B15"/>
    <w:rsid w:val="009330F5"/>
    <w:rsid w:val="00942015"/>
    <w:rsid w:val="00964E0D"/>
    <w:rsid w:val="00970D3A"/>
    <w:rsid w:val="00973495"/>
    <w:rsid w:val="009909B4"/>
    <w:rsid w:val="009A33EE"/>
    <w:rsid w:val="009C0104"/>
    <w:rsid w:val="009C03F0"/>
    <w:rsid w:val="009D2A93"/>
    <w:rsid w:val="009E0260"/>
    <w:rsid w:val="009E0EF0"/>
    <w:rsid w:val="009E30CE"/>
    <w:rsid w:val="009E3F87"/>
    <w:rsid w:val="00A01A26"/>
    <w:rsid w:val="00A11546"/>
    <w:rsid w:val="00A13EAD"/>
    <w:rsid w:val="00A35E98"/>
    <w:rsid w:val="00A3783F"/>
    <w:rsid w:val="00A40B8D"/>
    <w:rsid w:val="00A44A72"/>
    <w:rsid w:val="00A4765C"/>
    <w:rsid w:val="00A511E7"/>
    <w:rsid w:val="00A5313C"/>
    <w:rsid w:val="00A53473"/>
    <w:rsid w:val="00A576B0"/>
    <w:rsid w:val="00A7228C"/>
    <w:rsid w:val="00A75B50"/>
    <w:rsid w:val="00A860E8"/>
    <w:rsid w:val="00A877FC"/>
    <w:rsid w:val="00A90E65"/>
    <w:rsid w:val="00AB4939"/>
    <w:rsid w:val="00AB7A0D"/>
    <w:rsid w:val="00AE34F0"/>
    <w:rsid w:val="00AE6B8D"/>
    <w:rsid w:val="00AE7E17"/>
    <w:rsid w:val="00AF2745"/>
    <w:rsid w:val="00AF68FE"/>
    <w:rsid w:val="00B02D47"/>
    <w:rsid w:val="00B13D4D"/>
    <w:rsid w:val="00B2073D"/>
    <w:rsid w:val="00B20AFB"/>
    <w:rsid w:val="00B332DF"/>
    <w:rsid w:val="00B4040F"/>
    <w:rsid w:val="00B42F83"/>
    <w:rsid w:val="00B56801"/>
    <w:rsid w:val="00B61225"/>
    <w:rsid w:val="00B625BD"/>
    <w:rsid w:val="00B641E0"/>
    <w:rsid w:val="00B70B8D"/>
    <w:rsid w:val="00B8284B"/>
    <w:rsid w:val="00BA44E9"/>
    <w:rsid w:val="00BA5A39"/>
    <w:rsid w:val="00BB7EF4"/>
    <w:rsid w:val="00BC7EAE"/>
    <w:rsid w:val="00BF4F87"/>
    <w:rsid w:val="00C03906"/>
    <w:rsid w:val="00C062E0"/>
    <w:rsid w:val="00C27724"/>
    <w:rsid w:val="00C32D72"/>
    <w:rsid w:val="00C513B7"/>
    <w:rsid w:val="00C601FD"/>
    <w:rsid w:val="00C72578"/>
    <w:rsid w:val="00C7730A"/>
    <w:rsid w:val="00C865A4"/>
    <w:rsid w:val="00C876BC"/>
    <w:rsid w:val="00C93ADA"/>
    <w:rsid w:val="00CA1E1C"/>
    <w:rsid w:val="00CB56A1"/>
    <w:rsid w:val="00CD053C"/>
    <w:rsid w:val="00CD1B8D"/>
    <w:rsid w:val="00CD3086"/>
    <w:rsid w:val="00CD557D"/>
    <w:rsid w:val="00CF3EE2"/>
    <w:rsid w:val="00CF46B9"/>
    <w:rsid w:val="00CF773E"/>
    <w:rsid w:val="00D04F21"/>
    <w:rsid w:val="00D05A2D"/>
    <w:rsid w:val="00D0600C"/>
    <w:rsid w:val="00D150FA"/>
    <w:rsid w:val="00D55AAB"/>
    <w:rsid w:val="00D563C3"/>
    <w:rsid w:val="00D61E62"/>
    <w:rsid w:val="00D76690"/>
    <w:rsid w:val="00DB0C08"/>
    <w:rsid w:val="00DB0F81"/>
    <w:rsid w:val="00DB6F26"/>
    <w:rsid w:val="00DC71E6"/>
    <w:rsid w:val="00DF2676"/>
    <w:rsid w:val="00DF2B01"/>
    <w:rsid w:val="00DF3377"/>
    <w:rsid w:val="00E11A57"/>
    <w:rsid w:val="00E201A8"/>
    <w:rsid w:val="00E22D9C"/>
    <w:rsid w:val="00E41136"/>
    <w:rsid w:val="00E46C7F"/>
    <w:rsid w:val="00E60BB8"/>
    <w:rsid w:val="00E747A1"/>
    <w:rsid w:val="00E77CAC"/>
    <w:rsid w:val="00E866A0"/>
    <w:rsid w:val="00E93D76"/>
    <w:rsid w:val="00E97EB6"/>
    <w:rsid w:val="00EB0006"/>
    <w:rsid w:val="00EB5E2D"/>
    <w:rsid w:val="00EC49BE"/>
    <w:rsid w:val="00EC54F8"/>
    <w:rsid w:val="00ED2E4D"/>
    <w:rsid w:val="00ED66A1"/>
    <w:rsid w:val="00EF07DB"/>
    <w:rsid w:val="00F176FD"/>
    <w:rsid w:val="00F17B3D"/>
    <w:rsid w:val="00F22695"/>
    <w:rsid w:val="00F24971"/>
    <w:rsid w:val="00F3114C"/>
    <w:rsid w:val="00F32C28"/>
    <w:rsid w:val="00F36948"/>
    <w:rsid w:val="00F4270E"/>
    <w:rsid w:val="00F5013E"/>
    <w:rsid w:val="00F52AAA"/>
    <w:rsid w:val="00F71F16"/>
    <w:rsid w:val="00F71FE2"/>
    <w:rsid w:val="00F83440"/>
    <w:rsid w:val="00F848C5"/>
    <w:rsid w:val="00FA40AA"/>
    <w:rsid w:val="00FA49EF"/>
    <w:rsid w:val="00FB7237"/>
    <w:rsid w:val="00FE1499"/>
    <w:rsid w:val="00FE5050"/>
    <w:rsid w:val="00FF6562"/>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3C1E5320-3DA3-4021-AD91-38BD85565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bg-BG" w:eastAsia="bg-BG"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846"/>
    <w:pPr>
      <w:spacing w:after="200" w:line="276" w:lineRule="auto"/>
    </w:pPr>
    <w:rPr>
      <w:sz w:val="22"/>
      <w:szCs w:val="22"/>
      <w:lang w:val="en-GB" w:eastAsia="en-GB"/>
    </w:rPr>
  </w:style>
  <w:style w:type="paragraph" w:styleId="Heading1">
    <w:name w:val="heading 1"/>
    <w:basedOn w:val="Normal"/>
    <w:next w:val="Normal"/>
    <w:link w:val="Heading1Char"/>
    <w:uiPriority w:val="9"/>
    <w:qFormat/>
    <w:rsid w:val="00230D6B"/>
    <w:pPr>
      <w:keepNext/>
      <w:spacing w:before="240" w:after="60" w:line="280" w:lineRule="atLeast"/>
      <w:outlineLvl w:val="0"/>
    </w:pPr>
    <w:rPr>
      <w:rFonts w:ascii="Arial" w:hAnsi="Arial"/>
      <w:b/>
      <w:kern w:val="32"/>
      <w:sz w:val="32"/>
      <w:szCs w:val="20"/>
    </w:rPr>
  </w:style>
  <w:style w:type="paragraph" w:styleId="Heading2">
    <w:name w:val="heading 2"/>
    <w:basedOn w:val="Normal"/>
    <w:next w:val="Normal"/>
    <w:link w:val="Heading2Char"/>
    <w:uiPriority w:val="9"/>
    <w:qFormat/>
    <w:rsid w:val="001A38D4"/>
    <w:pPr>
      <w:keepNext/>
      <w:spacing w:before="240" w:after="60" w:line="280" w:lineRule="atLeast"/>
      <w:outlineLvl w:val="1"/>
    </w:pPr>
    <w:rPr>
      <w:rFonts w:ascii="Arial" w:hAnsi="Arial"/>
      <w:b/>
      <w:i/>
      <w:sz w:val="28"/>
      <w:szCs w:val="20"/>
    </w:rPr>
  </w:style>
  <w:style w:type="paragraph" w:styleId="Heading3">
    <w:name w:val="heading 3"/>
    <w:basedOn w:val="Normal"/>
    <w:next w:val="Normal"/>
    <w:link w:val="Heading3Char"/>
    <w:uiPriority w:val="9"/>
    <w:qFormat/>
    <w:rsid w:val="002F5309"/>
    <w:pPr>
      <w:widowControl w:val="0"/>
      <w:numPr>
        <w:ilvl w:val="1"/>
        <w:numId w:val="8"/>
      </w:numPr>
      <w:overflowPunct w:val="0"/>
      <w:autoSpaceDE w:val="0"/>
      <w:autoSpaceDN w:val="0"/>
      <w:adjustRightInd w:val="0"/>
      <w:spacing w:before="120" w:after="120"/>
      <w:jc w:val="both"/>
      <w:textAlignment w:val="baseline"/>
      <w:outlineLvl w:val="2"/>
    </w:pPr>
    <w:rPr>
      <w:rFonts w:ascii="Verdana" w:hAnsi="Verdana" w:cs="Calibri"/>
      <w:b/>
      <w:color w:val="365F91"/>
    </w:rPr>
  </w:style>
  <w:style w:type="paragraph" w:styleId="Heading4">
    <w:name w:val="heading 4"/>
    <w:basedOn w:val="Normal"/>
    <w:next w:val="Normal"/>
    <w:link w:val="Heading4Char"/>
    <w:uiPriority w:val="9"/>
    <w:qFormat/>
    <w:rsid w:val="003710FB"/>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qFormat/>
    <w:rsid w:val="003710FB"/>
    <w:pPr>
      <w:spacing w:before="240" w:after="60"/>
      <w:outlineLvl w:val="4"/>
    </w:pPr>
    <w:rPr>
      <w:rFonts w:eastAsia="Times New Roman"/>
      <w:b/>
      <w:bCs/>
      <w:i/>
      <w:iCs/>
      <w:sz w:val="26"/>
      <w:szCs w:val="26"/>
    </w:rPr>
  </w:style>
  <w:style w:type="paragraph" w:styleId="Heading7">
    <w:name w:val="heading 7"/>
    <w:basedOn w:val="Normal"/>
    <w:next w:val="Normal"/>
    <w:link w:val="Heading7Char"/>
    <w:uiPriority w:val="9"/>
    <w:semiHidden/>
    <w:unhideWhenUsed/>
    <w:qFormat/>
    <w:rsid w:val="0088514D"/>
    <w:pPr>
      <w:keepNext/>
      <w:keepLines/>
      <w:spacing w:before="200" w:after="0"/>
      <w:outlineLvl w:val="6"/>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230D6B"/>
    <w:rPr>
      <w:rFonts w:ascii="Arial" w:hAnsi="Arial"/>
      <w:b/>
      <w:kern w:val="32"/>
      <w:sz w:val="32"/>
      <w:lang w:val="en-GB" w:eastAsia="en-GB"/>
    </w:rPr>
  </w:style>
  <w:style w:type="character" w:customStyle="1" w:styleId="Heading2Char">
    <w:name w:val="Heading 2 Char"/>
    <w:link w:val="Heading2"/>
    <w:uiPriority w:val="9"/>
    <w:locked/>
    <w:rsid w:val="001A38D4"/>
    <w:rPr>
      <w:rFonts w:ascii="Arial" w:hAnsi="Arial"/>
      <w:b/>
      <w:i/>
      <w:sz w:val="28"/>
      <w:lang w:val="en-GB" w:eastAsia="en-GB"/>
    </w:rPr>
  </w:style>
  <w:style w:type="character" w:customStyle="1" w:styleId="Heading3Char">
    <w:name w:val="Heading 3 Char"/>
    <w:link w:val="Heading3"/>
    <w:uiPriority w:val="9"/>
    <w:locked/>
    <w:rsid w:val="002F5309"/>
    <w:rPr>
      <w:rFonts w:ascii="Verdana" w:hAnsi="Verdana" w:cs="Calibri"/>
      <w:b/>
      <w:color w:val="365F91"/>
      <w:sz w:val="22"/>
      <w:szCs w:val="22"/>
      <w:lang w:val="en-GB" w:eastAsia="en-GB"/>
    </w:rPr>
  </w:style>
  <w:style w:type="paragraph" w:styleId="TOC1">
    <w:name w:val="toc 1"/>
    <w:basedOn w:val="Normal"/>
    <w:next w:val="Normal"/>
    <w:autoRedefine/>
    <w:uiPriority w:val="39"/>
    <w:rsid w:val="002D04C4"/>
    <w:pPr>
      <w:tabs>
        <w:tab w:val="left" w:pos="450"/>
        <w:tab w:val="right" w:leader="dot" w:pos="9080"/>
      </w:tabs>
      <w:spacing w:after="0"/>
    </w:pPr>
    <w:rPr>
      <w:rFonts w:ascii="Times New Roman" w:hAnsi="Times New Roman"/>
      <w:b/>
      <w:bCs/>
      <w:caps/>
      <w:color w:val="0063B8"/>
      <w:sz w:val="20"/>
      <w:szCs w:val="20"/>
    </w:rPr>
  </w:style>
  <w:style w:type="paragraph" w:styleId="TOC2">
    <w:name w:val="toc 2"/>
    <w:basedOn w:val="Normal"/>
    <w:next w:val="Normal"/>
    <w:autoRedefine/>
    <w:uiPriority w:val="39"/>
    <w:rsid w:val="00E831CE"/>
    <w:pPr>
      <w:tabs>
        <w:tab w:val="left" w:pos="0"/>
        <w:tab w:val="right" w:leader="dot" w:pos="9080"/>
      </w:tabs>
      <w:spacing w:after="0"/>
    </w:pPr>
    <w:rPr>
      <w:rFonts w:ascii="Verdana" w:hAnsi="Verdana"/>
      <w:b/>
      <w:iCs/>
      <w:noProof/>
      <w:sz w:val="19"/>
      <w:szCs w:val="19"/>
    </w:rPr>
  </w:style>
  <w:style w:type="paragraph" w:styleId="TOC3">
    <w:name w:val="toc 3"/>
    <w:basedOn w:val="Normal"/>
    <w:next w:val="Normal"/>
    <w:autoRedefine/>
    <w:uiPriority w:val="39"/>
    <w:rsid w:val="002F5309"/>
    <w:pPr>
      <w:spacing w:after="0" w:line="280" w:lineRule="atLeast"/>
      <w:ind w:left="440"/>
    </w:pPr>
    <w:rPr>
      <w:rFonts w:ascii="Verdana" w:hAnsi="Verdana"/>
      <w:i/>
      <w:iCs/>
      <w:sz w:val="20"/>
      <w:szCs w:val="20"/>
    </w:rPr>
  </w:style>
  <w:style w:type="character" w:styleId="Hyperlink">
    <w:name w:val="Hyperlink"/>
    <w:uiPriority w:val="99"/>
    <w:rsid w:val="00230D6B"/>
    <w:rPr>
      <w:color w:val="0000FF"/>
      <w:u w:val="single"/>
      <w:lang w:val="en-GB" w:eastAsia="en-GB"/>
    </w:rPr>
  </w:style>
  <w:style w:type="paragraph" w:styleId="ListParagraph">
    <w:name w:val="List Paragraph"/>
    <w:aliases w:val="List Paragraph11,List Paragraph111"/>
    <w:basedOn w:val="Normal"/>
    <w:link w:val="ListParagraphChar"/>
    <w:uiPriority w:val="34"/>
    <w:qFormat/>
    <w:rsid w:val="001D5D60"/>
    <w:pPr>
      <w:ind w:left="720"/>
    </w:pPr>
  </w:style>
  <w:style w:type="table" w:styleId="TableGrid">
    <w:name w:val="Table Grid"/>
    <w:aliases w:val="TabelEcorys"/>
    <w:basedOn w:val="TableNormal"/>
    <w:uiPriority w:val="99"/>
    <w:rsid w:val="007069A4"/>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fn,Fußnotentext arial"/>
    <w:basedOn w:val="Normal"/>
    <w:link w:val="FootnoteTextChar"/>
    <w:uiPriority w:val="99"/>
    <w:qFormat/>
    <w:rsid w:val="007069A4"/>
    <w:pPr>
      <w:spacing w:after="0" w:line="240" w:lineRule="auto"/>
    </w:pPr>
    <w:rPr>
      <w:rFonts w:ascii="Times New Roman" w:hAnsi="Times New Roman"/>
      <w:sz w:val="20"/>
      <w:szCs w:val="20"/>
    </w:rPr>
  </w:style>
  <w:style w:type="character" w:customStyle="1" w:styleId="FootnoteTextChar">
    <w:name w:val="Footnote Text Char"/>
    <w:aliases w:val="stile 1 Char1,Footnote Char1,Footnote1 Char1,Footnote2 Char1,Footnote3 Char1,Footnote4 Char1,Footnote5 Char1,Footnote6 Char1,Footnote7 Char1,Footnote8 Char1,Footnote9 Char1,Footnote10 Char1,Footnote11 Char1,Footnote21 Char1,fn Char1"/>
    <w:link w:val="FootnoteText"/>
    <w:uiPriority w:val="99"/>
    <w:locked/>
    <w:rsid w:val="007069A4"/>
    <w:rPr>
      <w:rFonts w:ascii="Times New Roman" w:hAnsi="Times New Roman"/>
      <w:lang w:val="en-GB" w:eastAsia="en-GB"/>
    </w:rPr>
  </w:style>
  <w:style w:type="character" w:styleId="FootnoteReference">
    <w:name w:val="footnote reference"/>
    <w:aliases w:val="ftref, BVI fnr,BVI fnr,Footnote symbol,SUPERS,EN Footnote Reference,Footnote number,de nota al pie,Ref,Voetnootmarkering,Char1,Nota,fr,o,(NECG) Footnote Reference,Signature Char,Zchn Zchn Char Char,SUPERS Car,Ref Car,Nota Car,callout"/>
    <w:uiPriority w:val="99"/>
    <w:rsid w:val="007069A4"/>
    <w:rPr>
      <w:vertAlign w:val="superscript"/>
      <w:lang w:val="en-GB" w:eastAsia="en-GB"/>
    </w:rPr>
  </w:style>
  <w:style w:type="paragraph" w:styleId="Header">
    <w:name w:val="header"/>
    <w:basedOn w:val="Normal"/>
    <w:link w:val="HeaderChar"/>
    <w:uiPriority w:val="99"/>
    <w:unhideWhenUsed/>
    <w:rsid w:val="007069A4"/>
    <w:pPr>
      <w:tabs>
        <w:tab w:val="center" w:pos="4703"/>
        <w:tab w:val="right" w:pos="9406"/>
      </w:tabs>
    </w:pPr>
    <w:rPr>
      <w:szCs w:val="20"/>
    </w:rPr>
  </w:style>
  <w:style w:type="character" w:customStyle="1" w:styleId="HeaderChar">
    <w:name w:val="Header Char"/>
    <w:link w:val="Header"/>
    <w:uiPriority w:val="99"/>
    <w:locked/>
    <w:rsid w:val="007069A4"/>
    <w:rPr>
      <w:sz w:val="22"/>
      <w:lang w:val="en-GB" w:eastAsia="en-GB"/>
    </w:rPr>
  </w:style>
  <w:style w:type="paragraph" w:styleId="Footer">
    <w:name w:val="footer"/>
    <w:basedOn w:val="Normal"/>
    <w:link w:val="FooterChar"/>
    <w:uiPriority w:val="99"/>
    <w:unhideWhenUsed/>
    <w:rsid w:val="007069A4"/>
    <w:pPr>
      <w:tabs>
        <w:tab w:val="center" w:pos="4703"/>
        <w:tab w:val="right" w:pos="9406"/>
      </w:tabs>
    </w:pPr>
    <w:rPr>
      <w:szCs w:val="20"/>
    </w:rPr>
  </w:style>
  <w:style w:type="character" w:customStyle="1" w:styleId="FooterChar">
    <w:name w:val="Footer Char"/>
    <w:link w:val="Footer"/>
    <w:uiPriority w:val="99"/>
    <w:locked/>
    <w:rsid w:val="007069A4"/>
    <w:rPr>
      <w:sz w:val="22"/>
      <w:lang w:val="en-GB" w:eastAsia="en-GB"/>
    </w:rPr>
  </w:style>
  <w:style w:type="paragraph" w:customStyle="1" w:styleId="wygtext">
    <w:name w:val="wyg text"/>
    <w:basedOn w:val="Normal"/>
    <w:link w:val="wygtextChar"/>
    <w:rsid w:val="007342D5"/>
    <w:pPr>
      <w:spacing w:after="120" w:line="240" w:lineRule="auto"/>
      <w:jc w:val="both"/>
    </w:pPr>
    <w:rPr>
      <w:rFonts w:ascii="Tahoma" w:hAnsi="Tahoma"/>
      <w:sz w:val="20"/>
      <w:szCs w:val="20"/>
    </w:rPr>
  </w:style>
  <w:style w:type="character" w:customStyle="1" w:styleId="wygtextChar">
    <w:name w:val="wyg text Char"/>
    <w:link w:val="wygtext"/>
    <w:locked/>
    <w:rsid w:val="007342D5"/>
    <w:rPr>
      <w:rFonts w:ascii="Tahoma" w:hAnsi="Tahoma" w:cs="Tahoma"/>
      <w:lang w:val="en-GB" w:eastAsia="en-GB"/>
    </w:rPr>
  </w:style>
  <w:style w:type="paragraph" w:styleId="BodyText">
    <w:name w:val="Body Text"/>
    <w:basedOn w:val="Normal"/>
    <w:link w:val="BodyTextChar"/>
    <w:uiPriority w:val="99"/>
    <w:rsid w:val="007342D5"/>
    <w:pPr>
      <w:spacing w:after="120" w:line="240" w:lineRule="auto"/>
    </w:pPr>
    <w:rPr>
      <w:rFonts w:ascii="Times New Roman" w:hAnsi="Times New Roman"/>
      <w:sz w:val="24"/>
      <w:szCs w:val="24"/>
    </w:rPr>
  </w:style>
  <w:style w:type="character" w:customStyle="1" w:styleId="BodyTextChar">
    <w:name w:val="Body Text Char"/>
    <w:link w:val="BodyText"/>
    <w:uiPriority w:val="99"/>
    <w:locked/>
    <w:rsid w:val="007342D5"/>
    <w:rPr>
      <w:rFonts w:ascii="Times New Roman" w:hAnsi="Times New Roman" w:cs="Times New Roman"/>
      <w:sz w:val="24"/>
      <w:szCs w:val="24"/>
      <w:lang w:val="en-GB" w:eastAsia="en-GB"/>
    </w:rPr>
  </w:style>
  <w:style w:type="character" w:styleId="Strong">
    <w:name w:val="Strong"/>
    <w:uiPriority w:val="22"/>
    <w:qFormat/>
    <w:rsid w:val="007342D5"/>
    <w:rPr>
      <w:rFonts w:cs="Times New Roman"/>
      <w:b/>
      <w:bCs/>
      <w:lang w:val="en-GB" w:eastAsia="en-GB"/>
    </w:rPr>
  </w:style>
  <w:style w:type="paragraph" w:styleId="NormalWeb">
    <w:name w:val="Normal (Web)"/>
    <w:basedOn w:val="Normal"/>
    <w:uiPriority w:val="99"/>
    <w:rsid w:val="007342D5"/>
    <w:pPr>
      <w:suppressAutoHyphens/>
      <w:spacing w:before="280" w:after="280" w:line="240" w:lineRule="auto"/>
    </w:pPr>
    <w:rPr>
      <w:rFonts w:ascii="Times New Roman" w:hAnsi="Times New Roman"/>
      <w:sz w:val="24"/>
      <w:szCs w:val="24"/>
    </w:rPr>
  </w:style>
  <w:style w:type="paragraph" w:customStyle="1" w:styleId="category">
    <w:name w:val="category"/>
    <w:basedOn w:val="Normal"/>
    <w:rsid w:val="007342D5"/>
    <w:pPr>
      <w:spacing w:before="100" w:beforeAutospacing="1" w:after="100" w:afterAutospacing="1" w:line="240" w:lineRule="auto"/>
    </w:pPr>
    <w:rPr>
      <w:rFonts w:ascii="Times New Roman" w:hAnsi="Times New Roman"/>
      <w:sz w:val="24"/>
      <w:szCs w:val="24"/>
    </w:rPr>
  </w:style>
  <w:style w:type="paragraph" w:customStyle="1" w:styleId="wygbullets">
    <w:name w:val="wyg bullets"/>
    <w:basedOn w:val="Normal"/>
    <w:rsid w:val="007342D5"/>
    <w:pPr>
      <w:numPr>
        <w:numId w:val="1"/>
      </w:numPr>
      <w:spacing w:after="120" w:line="240" w:lineRule="auto"/>
      <w:jc w:val="both"/>
    </w:pPr>
    <w:rPr>
      <w:rFonts w:ascii="Tahoma" w:hAnsi="Tahoma" w:cs="Tahoma"/>
      <w:bCs/>
      <w:sz w:val="20"/>
      <w:szCs w:val="20"/>
    </w:rPr>
  </w:style>
  <w:style w:type="paragraph" w:customStyle="1" w:styleId="wygheadinglevel1">
    <w:name w:val="wyg heading level 1"/>
    <w:basedOn w:val="Normal"/>
    <w:next w:val="wygtext"/>
    <w:rsid w:val="00ED5C1D"/>
    <w:pPr>
      <w:pageBreakBefore/>
      <w:numPr>
        <w:numId w:val="2"/>
      </w:numPr>
      <w:spacing w:before="240" w:after="120" w:line="240" w:lineRule="auto"/>
    </w:pPr>
    <w:rPr>
      <w:rFonts w:ascii="Tahoma" w:hAnsi="Tahoma" w:cs="Tahoma"/>
      <w:b/>
      <w:caps/>
      <w:color w:val="9EC3DE"/>
      <w:szCs w:val="20"/>
    </w:rPr>
  </w:style>
  <w:style w:type="paragraph" w:customStyle="1" w:styleId="wygheadinglevel2">
    <w:name w:val="wyg heading level 2"/>
    <w:basedOn w:val="wygtext"/>
    <w:next w:val="wygtext"/>
    <w:rsid w:val="00ED5C1D"/>
    <w:pPr>
      <w:numPr>
        <w:ilvl w:val="1"/>
        <w:numId w:val="2"/>
      </w:numPr>
      <w:spacing w:before="120"/>
    </w:pPr>
    <w:rPr>
      <w:b/>
      <w:color w:val="9EC3DE"/>
    </w:rPr>
  </w:style>
  <w:style w:type="paragraph" w:customStyle="1" w:styleId="wygheadinglevel3">
    <w:name w:val="wyg heading level 3"/>
    <w:basedOn w:val="wygheadinglevel2"/>
    <w:next w:val="wygtext"/>
    <w:rsid w:val="00ED5C1D"/>
    <w:pPr>
      <w:numPr>
        <w:ilvl w:val="2"/>
      </w:numPr>
    </w:pPr>
  </w:style>
  <w:style w:type="paragraph" w:styleId="Caption">
    <w:name w:val="caption"/>
    <w:basedOn w:val="Normal"/>
    <w:next w:val="Normal"/>
    <w:uiPriority w:val="35"/>
    <w:qFormat/>
    <w:rsid w:val="00CA5035"/>
    <w:pPr>
      <w:spacing w:after="0" w:line="240" w:lineRule="auto"/>
    </w:pPr>
    <w:rPr>
      <w:rFonts w:ascii="Tahoma" w:hAnsi="Tahoma"/>
      <w:b/>
      <w:bCs/>
      <w:sz w:val="20"/>
      <w:szCs w:val="20"/>
    </w:rPr>
  </w:style>
  <w:style w:type="paragraph" w:customStyle="1" w:styleId="wygbulletstyle1">
    <w:name w:val="wyg bullet style 1"/>
    <w:basedOn w:val="wygtext"/>
    <w:link w:val="wygbulletstyle1Char"/>
    <w:rsid w:val="00EF43F2"/>
  </w:style>
  <w:style w:type="character" w:customStyle="1" w:styleId="wygbulletstyle1Char">
    <w:name w:val="wyg bullet style 1 Char"/>
    <w:link w:val="wygbulletstyle1"/>
    <w:locked/>
    <w:rsid w:val="00EF43F2"/>
    <w:rPr>
      <w:rFonts w:ascii="Tahoma" w:hAnsi="Tahoma" w:cs="Tahoma"/>
      <w:lang w:val="en-GB" w:eastAsia="en-GB"/>
    </w:rPr>
  </w:style>
  <w:style w:type="paragraph" w:customStyle="1" w:styleId="wygtext0">
    <w:name w:val="wygtext"/>
    <w:basedOn w:val="Normal"/>
    <w:rsid w:val="00EF43F2"/>
    <w:pPr>
      <w:spacing w:after="120" w:line="240" w:lineRule="auto"/>
      <w:jc w:val="both"/>
    </w:pPr>
    <w:rPr>
      <w:rFonts w:ascii="Tahoma" w:hAnsi="Tahoma" w:cs="Tahoma"/>
      <w:sz w:val="20"/>
      <w:szCs w:val="20"/>
    </w:rPr>
  </w:style>
  <w:style w:type="character" w:styleId="CommentReference">
    <w:name w:val="annotation reference"/>
    <w:uiPriority w:val="99"/>
    <w:semiHidden/>
    <w:unhideWhenUsed/>
    <w:rsid w:val="00F61A99"/>
    <w:rPr>
      <w:rFonts w:cs="Times New Roman"/>
      <w:sz w:val="16"/>
      <w:szCs w:val="16"/>
      <w:lang w:val="en-GB" w:eastAsia="en-GB"/>
    </w:rPr>
  </w:style>
  <w:style w:type="paragraph" w:styleId="CommentText">
    <w:name w:val="annotation text"/>
    <w:basedOn w:val="Normal"/>
    <w:link w:val="CommentTextChar"/>
    <w:unhideWhenUsed/>
    <w:rsid w:val="00F61A99"/>
    <w:rPr>
      <w:sz w:val="20"/>
      <w:szCs w:val="20"/>
    </w:rPr>
  </w:style>
  <w:style w:type="character" w:customStyle="1" w:styleId="CommentTextChar">
    <w:name w:val="Comment Text Char"/>
    <w:link w:val="CommentText"/>
    <w:locked/>
    <w:rsid w:val="00F61A99"/>
    <w:rPr>
      <w:rFonts w:cs="Times New Roman"/>
      <w:lang w:val="en-GB" w:eastAsia="en-GB"/>
    </w:rPr>
  </w:style>
  <w:style w:type="paragraph" w:styleId="CommentSubject">
    <w:name w:val="annotation subject"/>
    <w:basedOn w:val="CommentText"/>
    <w:next w:val="CommentText"/>
    <w:link w:val="CommentSubjectChar"/>
    <w:unhideWhenUsed/>
    <w:rsid w:val="00F61A99"/>
    <w:rPr>
      <w:b/>
      <w:bCs/>
    </w:rPr>
  </w:style>
  <w:style w:type="character" w:customStyle="1" w:styleId="CommentSubjectChar">
    <w:name w:val="Comment Subject Char"/>
    <w:link w:val="CommentSubject"/>
    <w:locked/>
    <w:rsid w:val="00F61A99"/>
    <w:rPr>
      <w:rFonts w:cs="Times New Roman"/>
      <w:b/>
      <w:bCs/>
      <w:lang w:val="en-GB" w:eastAsia="en-GB"/>
    </w:rPr>
  </w:style>
  <w:style w:type="paragraph" w:styleId="BalloonText">
    <w:name w:val="Balloon Text"/>
    <w:basedOn w:val="Normal"/>
    <w:link w:val="BalloonTextChar"/>
    <w:uiPriority w:val="99"/>
    <w:semiHidden/>
    <w:unhideWhenUsed/>
    <w:rsid w:val="00F61A99"/>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F61A99"/>
    <w:rPr>
      <w:rFonts w:ascii="Tahoma" w:hAnsi="Tahoma" w:cs="Tahoma"/>
      <w:sz w:val="16"/>
      <w:szCs w:val="16"/>
      <w:lang w:val="en-GB" w:eastAsia="en-GB"/>
    </w:rPr>
  </w:style>
  <w:style w:type="paragraph" w:customStyle="1" w:styleId="OPACtext">
    <w:name w:val="OPAC text"/>
    <w:basedOn w:val="Normal"/>
    <w:rsid w:val="00F239C7"/>
    <w:pPr>
      <w:spacing w:before="120" w:after="120" w:line="240" w:lineRule="auto"/>
      <w:ind w:firstLine="709"/>
      <w:jc w:val="both"/>
    </w:pPr>
    <w:rPr>
      <w:rFonts w:ascii="Times New Roman" w:eastAsia="MS Mincho" w:hAnsi="Times New Roman"/>
      <w:sz w:val="24"/>
      <w:szCs w:val="16"/>
    </w:rPr>
  </w:style>
  <w:style w:type="paragraph" w:styleId="ListBullet">
    <w:name w:val="List Bullet"/>
    <w:basedOn w:val="Normal"/>
    <w:rsid w:val="00C8252C"/>
    <w:pPr>
      <w:numPr>
        <w:numId w:val="3"/>
      </w:numPr>
      <w:spacing w:after="240" w:line="240" w:lineRule="auto"/>
      <w:jc w:val="both"/>
    </w:pPr>
    <w:rPr>
      <w:rFonts w:ascii="Times New Roman" w:hAnsi="Times New Roman"/>
      <w:sz w:val="24"/>
      <w:szCs w:val="20"/>
    </w:rPr>
  </w:style>
  <w:style w:type="paragraph" w:customStyle="1" w:styleId="Davidstyle3">
    <w:name w:val="David style 3"/>
    <w:basedOn w:val="Normal"/>
    <w:rsid w:val="00721D06"/>
    <w:pPr>
      <w:spacing w:after="240" w:line="240" w:lineRule="auto"/>
      <w:jc w:val="both"/>
    </w:pPr>
    <w:rPr>
      <w:rFonts w:ascii="Arial" w:eastAsia="Calibri" w:hAnsi="Arial" w:cs="Arial"/>
    </w:rPr>
  </w:style>
  <w:style w:type="character" w:customStyle="1" w:styleId="FootnoteTextChar1">
    <w:name w:val="Footnote Text Char1"/>
    <w:aliases w:val="stile 1 Char,Footnote Char,Footnote1 Char,Footnote2 Char,Footnote3 Char,Footnote4 Char,Footnote5 Char,Footnote6 Char,Footnote7 Char,Footnote8 Char,Footnote9 Char,Footnote10 Char,Footnote11 Char,Footnote21 Char,Footnote31 Char,fn Char"/>
    <w:uiPriority w:val="99"/>
    <w:rsid w:val="00B20AE8"/>
    <w:rPr>
      <w:rFonts w:ascii="Arial" w:eastAsia="Calibri" w:hAnsi="Arial" w:cs="Arial"/>
      <w:lang w:val="en-GB" w:eastAsia="en-GB" w:bidi="ar-SA"/>
    </w:rPr>
  </w:style>
  <w:style w:type="paragraph" w:styleId="TOCHeading">
    <w:name w:val="TOC Heading"/>
    <w:basedOn w:val="Heading1"/>
    <w:next w:val="Normal"/>
    <w:uiPriority w:val="39"/>
    <w:qFormat/>
    <w:rsid w:val="005448DD"/>
    <w:pPr>
      <w:keepLines/>
      <w:spacing w:before="480" w:after="0" w:line="276" w:lineRule="auto"/>
      <w:outlineLvl w:val="9"/>
    </w:pPr>
    <w:rPr>
      <w:rFonts w:ascii="Cambria" w:eastAsia="MS Gothic" w:hAnsi="Cambria"/>
      <w:color w:val="365F91"/>
      <w:sz w:val="28"/>
      <w:szCs w:val="28"/>
    </w:rPr>
  </w:style>
  <w:style w:type="paragraph" w:styleId="NoSpacing">
    <w:name w:val="No Spacing"/>
    <w:uiPriority w:val="1"/>
    <w:qFormat/>
    <w:rsid w:val="00D5183C"/>
    <w:rPr>
      <w:sz w:val="22"/>
      <w:szCs w:val="22"/>
      <w:lang w:val="en-GB" w:eastAsia="en-GB"/>
    </w:rPr>
  </w:style>
  <w:style w:type="character" w:customStyle="1" w:styleId="Heading4Char">
    <w:name w:val="Heading 4 Char"/>
    <w:link w:val="Heading4"/>
    <w:uiPriority w:val="9"/>
    <w:rsid w:val="003710FB"/>
    <w:rPr>
      <w:rFonts w:ascii="Calibri" w:eastAsia="Times New Roman" w:hAnsi="Calibri" w:cs="Times New Roman"/>
      <w:b/>
      <w:bCs/>
      <w:sz w:val="28"/>
      <w:szCs w:val="28"/>
      <w:lang w:val="en-GB" w:eastAsia="en-GB"/>
    </w:rPr>
  </w:style>
  <w:style w:type="character" w:customStyle="1" w:styleId="Heading5Char">
    <w:name w:val="Heading 5 Char"/>
    <w:link w:val="Heading5"/>
    <w:uiPriority w:val="9"/>
    <w:rsid w:val="003710FB"/>
    <w:rPr>
      <w:rFonts w:ascii="Calibri" w:eastAsia="Times New Roman" w:hAnsi="Calibri" w:cs="Times New Roman"/>
      <w:b/>
      <w:bCs/>
      <w:i/>
      <w:iCs/>
      <w:sz w:val="26"/>
      <w:szCs w:val="26"/>
      <w:lang w:val="en-GB" w:eastAsia="en-GB"/>
    </w:rPr>
  </w:style>
  <w:style w:type="paragraph" w:customStyle="1" w:styleId="TableText">
    <w:name w:val="Table Text"/>
    <w:aliases w:val="TT"/>
    <w:basedOn w:val="Normal"/>
    <w:link w:val="TableTextChar"/>
    <w:rsid w:val="004B1E7C"/>
    <w:pPr>
      <w:spacing w:after="240" w:line="280" w:lineRule="atLeast"/>
      <w:jc w:val="both"/>
    </w:pPr>
    <w:rPr>
      <w:rFonts w:ascii="Arial" w:eastAsia="Calibri" w:hAnsi="Arial"/>
      <w:sz w:val="16"/>
      <w:szCs w:val="16"/>
    </w:rPr>
  </w:style>
  <w:style w:type="character" w:customStyle="1" w:styleId="TableTextChar">
    <w:name w:val="Table Text Char"/>
    <w:link w:val="TableText"/>
    <w:locked/>
    <w:rsid w:val="004B1E7C"/>
    <w:rPr>
      <w:rFonts w:ascii="Arial" w:eastAsia="Calibri" w:hAnsi="Arial" w:cs="Arial"/>
      <w:sz w:val="16"/>
      <w:szCs w:val="16"/>
      <w:lang w:val="en-GB" w:eastAsia="en-GB"/>
    </w:rPr>
  </w:style>
  <w:style w:type="paragraph" w:customStyle="1" w:styleId="Default">
    <w:name w:val="Default"/>
    <w:rsid w:val="004B1E7C"/>
    <w:pPr>
      <w:autoSpaceDE w:val="0"/>
      <w:autoSpaceDN w:val="0"/>
      <w:adjustRightInd w:val="0"/>
    </w:pPr>
    <w:rPr>
      <w:rFonts w:ascii="Times New Roman" w:hAnsi="Times New Roman"/>
      <w:color w:val="000000"/>
      <w:sz w:val="24"/>
      <w:szCs w:val="24"/>
      <w:lang w:val="en-GB" w:eastAsia="en-GB"/>
    </w:rPr>
  </w:style>
  <w:style w:type="paragraph" w:customStyle="1" w:styleId="Eaoaeaa">
    <w:name w:val="Eaoae?aa"/>
    <w:basedOn w:val="Normal"/>
    <w:rsid w:val="004B1E7C"/>
    <w:pPr>
      <w:widowControl w:val="0"/>
      <w:tabs>
        <w:tab w:val="center" w:pos="4153"/>
        <w:tab w:val="right" w:pos="8306"/>
      </w:tabs>
      <w:spacing w:after="0" w:line="240" w:lineRule="auto"/>
    </w:pPr>
    <w:rPr>
      <w:rFonts w:ascii="Times New Roman" w:eastAsia="MS Mincho" w:hAnsi="Times New Roman"/>
      <w:sz w:val="20"/>
      <w:szCs w:val="20"/>
    </w:rPr>
  </w:style>
  <w:style w:type="paragraph" w:customStyle="1" w:styleId="CharChar">
    <w:name w:val="Знак Знак Char Char"/>
    <w:basedOn w:val="Normal"/>
    <w:rsid w:val="00185CBE"/>
    <w:pPr>
      <w:tabs>
        <w:tab w:val="left" w:pos="709"/>
      </w:tabs>
      <w:spacing w:after="0" w:line="240" w:lineRule="auto"/>
    </w:pPr>
    <w:rPr>
      <w:rFonts w:ascii="Tahoma" w:hAnsi="Tahoma"/>
      <w:sz w:val="24"/>
      <w:szCs w:val="24"/>
    </w:rPr>
  </w:style>
  <w:style w:type="paragraph" w:customStyle="1" w:styleId="Style1">
    <w:name w:val="Style1"/>
    <w:basedOn w:val="Normal"/>
    <w:link w:val="Style1CharChar"/>
    <w:rsid w:val="00185CBE"/>
    <w:pPr>
      <w:numPr>
        <w:numId w:val="4"/>
      </w:numPr>
      <w:spacing w:before="120" w:after="120" w:line="360" w:lineRule="auto"/>
      <w:jc w:val="both"/>
    </w:pPr>
    <w:rPr>
      <w:rFonts w:ascii="Arial Narrow" w:hAnsi="Arial Narrow"/>
      <w:sz w:val="24"/>
      <w:szCs w:val="24"/>
    </w:rPr>
  </w:style>
  <w:style w:type="character" w:customStyle="1" w:styleId="Style1CharChar">
    <w:name w:val="Style1 Char Char"/>
    <w:link w:val="Style1"/>
    <w:rsid w:val="00185CBE"/>
    <w:rPr>
      <w:rFonts w:ascii="Arial Narrow" w:hAnsi="Arial Narrow"/>
      <w:sz w:val="24"/>
      <w:szCs w:val="24"/>
      <w:lang w:val="en-GB" w:eastAsia="en-GB"/>
    </w:rPr>
  </w:style>
  <w:style w:type="paragraph" w:customStyle="1" w:styleId="CarCar4">
    <w:name w:val="Car Car4"/>
    <w:basedOn w:val="Normal"/>
    <w:rsid w:val="00D61619"/>
    <w:pPr>
      <w:tabs>
        <w:tab w:val="left" w:pos="709"/>
      </w:tabs>
      <w:spacing w:after="0" w:line="240" w:lineRule="auto"/>
    </w:pPr>
    <w:rPr>
      <w:rFonts w:ascii="Tahoma" w:hAnsi="Tahoma"/>
      <w:sz w:val="24"/>
      <w:szCs w:val="24"/>
    </w:rPr>
  </w:style>
  <w:style w:type="character" w:styleId="Emphasis">
    <w:name w:val="Emphasis"/>
    <w:uiPriority w:val="20"/>
    <w:qFormat/>
    <w:rsid w:val="002113BD"/>
    <w:rPr>
      <w:b/>
      <w:bCs/>
      <w:lang w:val="en-GB" w:eastAsia="en-GB"/>
    </w:rPr>
  </w:style>
  <w:style w:type="paragraph" w:customStyle="1" w:styleId="CharChar1Char">
    <w:name w:val="Char Char1 Char"/>
    <w:basedOn w:val="Normal"/>
    <w:rsid w:val="00BB2F54"/>
    <w:pPr>
      <w:tabs>
        <w:tab w:val="left" w:pos="709"/>
      </w:tabs>
      <w:spacing w:after="0" w:line="240" w:lineRule="auto"/>
    </w:pPr>
    <w:rPr>
      <w:rFonts w:ascii="Tahoma" w:hAnsi="Tahoma"/>
      <w:sz w:val="24"/>
      <w:szCs w:val="24"/>
    </w:rPr>
  </w:style>
  <w:style w:type="paragraph" w:customStyle="1" w:styleId="CVNormal">
    <w:name w:val="CV Normal"/>
    <w:basedOn w:val="Normal"/>
    <w:rsid w:val="00BB2F54"/>
    <w:pPr>
      <w:suppressAutoHyphens/>
      <w:spacing w:after="0" w:line="240" w:lineRule="auto"/>
      <w:ind w:left="113" w:right="113"/>
    </w:pPr>
    <w:rPr>
      <w:rFonts w:ascii="Arial Narrow" w:hAnsi="Arial Narrow"/>
      <w:sz w:val="20"/>
      <w:szCs w:val="20"/>
    </w:rPr>
  </w:style>
  <w:style w:type="paragraph" w:customStyle="1" w:styleId="normaltableau">
    <w:name w:val="normal_tableau"/>
    <w:basedOn w:val="Normal"/>
    <w:link w:val="normaltableauChar"/>
    <w:rsid w:val="00BB2F54"/>
    <w:pPr>
      <w:widowControl w:val="0"/>
      <w:suppressAutoHyphens/>
      <w:spacing w:before="120" w:after="120" w:line="240" w:lineRule="auto"/>
      <w:jc w:val="both"/>
    </w:pPr>
    <w:rPr>
      <w:rFonts w:ascii="Optima" w:eastAsia="DejaVu Sans" w:hAnsi="Optima" w:cs="DejaVu Sans"/>
      <w:kern w:val="1"/>
      <w:szCs w:val="24"/>
      <w:lang w:bidi="hi-IN"/>
    </w:rPr>
  </w:style>
  <w:style w:type="character" w:customStyle="1" w:styleId="normaltableauChar">
    <w:name w:val="normal_tableau Char"/>
    <w:link w:val="normaltableau"/>
    <w:locked/>
    <w:rsid w:val="00BB2F54"/>
    <w:rPr>
      <w:rFonts w:ascii="Optima" w:eastAsia="DejaVu Sans" w:hAnsi="Optima" w:cs="DejaVu Sans"/>
      <w:kern w:val="1"/>
      <w:sz w:val="22"/>
      <w:szCs w:val="24"/>
      <w:lang w:val="en-GB" w:eastAsia="en-GB" w:bidi="hi-IN"/>
    </w:rPr>
  </w:style>
  <w:style w:type="paragraph" w:customStyle="1" w:styleId="CVNormal-FirstLine">
    <w:name w:val="CV Normal - First Line"/>
    <w:basedOn w:val="CVNormal"/>
    <w:next w:val="CVNormal"/>
    <w:rsid w:val="00BB2F54"/>
    <w:pPr>
      <w:spacing w:before="74"/>
    </w:pPr>
  </w:style>
  <w:style w:type="character" w:customStyle="1" w:styleId="filetitle">
    <w:name w:val="file_title"/>
    <w:rsid w:val="004B33BD"/>
    <w:rPr>
      <w:rFonts w:ascii="Arial" w:hAnsi="Arial"/>
      <w:lang w:val="en-GB" w:eastAsia="en-GB" w:bidi="ar-SA"/>
    </w:rPr>
  </w:style>
  <w:style w:type="paragraph" w:styleId="DocumentMap">
    <w:name w:val="Document Map"/>
    <w:basedOn w:val="Normal"/>
    <w:link w:val="DocumentMapChar"/>
    <w:uiPriority w:val="99"/>
    <w:semiHidden/>
    <w:unhideWhenUsed/>
    <w:rsid w:val="004A3ADC"/>
    <w:rPr>
      <w:rFonts w:ascii="Tahoma" w:hAnsi="Tahoma" w:cs="Tahoma"/>
      <w:sz w:val="16"/>
      <w:szCs w:val="16"/>
    </w:rPr>
  </w:style>
  <w:style w:type="character" w:customStyle="1" w:styleId="DocumentMapChar">
    <w:name w:val="Document Map Char"/>
    <w:link w:val="DocumentMap"/>
    <w:uiPriority w:val="99"/>
    <w:semiHidden/>
    <w:rsid w:val="004A3ADC"/>
    <w:rPr>
      <w:rFonts w:ascii="Tahoma" w:hAnsi="Tahoma" w:cs="Tahoma"/>
      <w:sz w:val="16"/>
      <w:szCs w:val="16"/>
      <w:lang w:val="en-GB" w:eastAsia="en-GB"/>
    </w:rPr>
  </w:style>
  <w:style w:type="paragraph" w:customStyle="1" w:styleId="a">
    <w:name w:val="Стил"/>
    <w:uiPriority w:val="99"/>
    <w:rsid w:val="007B3BCA"/>
    <w:pPr>
      <w:widowControl w:val="0"/>
      <w:autoSpaceDE w:val="0"/>
      <w:autoSpaceDN w:val="0"/>
      <w:adjustRightInd w:val="0"/>
      <w:ind w:left="140" w:right="140" w:firstLine="840"/>
      <w:jc w:val="both"/>
    </w:pPr>
    <w:rPr>
      <w:rFonts w:ascii="Times New Roman" w:hAnsi="Times New Roman"/>
      <w:sz w:val="24"/>
      <w:szCs w:val="24"/>
      <w:lang w:val="en-GB" w:eastAsia="en-GB"/>
    </w:rPr>
  </w:style>
  <w:style w:type="character" w:customStyle="1" w:styleId="ListParagraphChar">
    <w:name w:val="List Paragraph Char"/>
    <w:aliases w:val="List Paragraph11 Char,List Paragraph111 Char"/>
    <w:link w:val="ListParagraph"/>
    <w:uiPriority w:val="34"/>
    <w:locked/>
    <w:rsid w:val="007B3BCA"/>
    <w:rPr>
      <w:sz w:val="22"/>
      <w:szCs w:val="22"/>
      <w:lang w:val="en-GB" w:eastAsia="en-GB"/>
    </w:rPr>
  </w:style>
  <w:style w:type="character" w:customStyle="1" w:styleId="apple-converted-space">
    <w:name w:val="apple-converted-space"/>
    <w:basedOn w:val="DefaultParagraphFont"/>
    <w:rsid w:val="004C5475"/>
  </w:style>
  <w:style w:type="character" w:styleId="FollowedHyperlink">
    <w:name w:val="FollowedHyperlink"/>
    <w:uiPriority w:val="99"/>
    <w:semiHidden/>
    <w:unhideWhenUsed/>
    <w:rsid w:val="0065397E"/>
    <w:rPr>
      <w:color w:val="800080"/>
      <w:u w:val="single"/>
      <w:lang w:val="en-GB" w:eastAsia="en-GB"/>
    </w:rPr>
  </w:style>
  <w:style w:type="paragraph" w:styleId="TableofFigures">
    <w:name w:val="table of figures"/>
    <w:basedOn w:val="Normal"/>
    <w:next w:val="Normal"/>
    <w:uiPriority w:val="99"/>
    <w:unhideWhenUsed/>
    <w:rsid w:val="001B2740"/>
    <w:pPr>
      <w:spacing w:after="0"/>
      <w:ind w:left="440" w:hanging="440"/>
    </w:pPr>
    <w:rPr>
      <w:rFonts w:asciiTheme="minorHAnsi" w:hAnsiTheme="minorHAnsi"/>
      <w:smallCaps/>
      <w:sz w:val="20"/>
      <w:szCs w:val="20"/>
    </w:rPr>
  </w:style>
  <w:style w:type="table" w:customStyle="1" w:styleId="TableGrid1">
    <w:name w:val="Table Grid1"/>
    <w:basedOn w:val="TableNormal"/>
    <w:next w:val="TableGrid"/>
    <w:uiPriority w:val="59"/>
    <w:rsid w:val="006621A0"/>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sizabletext">
    <w:name w:val="resizable_text"/>
    <w:basedOn w:val="DefaultParagraphFont"/>
    <w:rsid w:val="00AF516D"/>
  </w:style>
  <w:style w:type="paragraph" w:customStyle="1" w:styleId="3CharCharCharCharCharChar">
    <w:name w:val="3 Знак Char Char Знак Char Char Char Char"/>
    <w:aliases w:val="3 Знак Char Char Знак Char Char Знак Char Char Знак"/>
    <w:basedOn w:val="Normal"/>
    <w:rsid w:val="00FD5AF8"/>
    <w:pPr>
      <w:tabs>
        <w:tab w:val="left" w:pos="709"/>
      </w:tabs>
      <w:spacing w:after="0" w:line="360" w:lineRule="auto"/>
    </w:pPr>
    <w:rPr>
      <w:rFonts w:ascii="Tahoma" w:eastAsia="Times New Roman" w:hAnsi="Tahoma"/>
      <w:sz w:val="24"/>
      <w:szCs w:val="24"/>
    </w:rPr>
  </w:style>
  <w:style w:type="paragraph" w:styleId="Title">
    <w:name w:val="Title"/>
    <w:basedOn w:val="Normal"/>
    <w:link w:val="TitleChar"/>
    <w:qFormat/>
    <w:rsid w:val="00907B4E"/>
    <w:pPr>
      <w:spacing w:after="0" w:line="240" w:lineRule="auto"/>
      <w:jc w:val="center"/>
    </w:pPr>
    <w:rPr>
      <w:rFonts w:ascii="TmsCyr" w:eastAsia="Times New Roman" w:hAnsi="TmsCyr"/>
      <w:b/>
      <w:bCs/>
      <w:sz w:val="24"/>
      <w:szCs w:val="24"/>
    </w:rPr>
  </w:style>
  <w:style w:type="character" w:customStyle="1" w:styleId="TitleChar">
    <w:name w:val="Title Char"/>
    <w:link w:val="Title"/>
    <w:rsid w:val="00907B4E"/>
    <w:rPr>
      <w:rFonts w:ascii="TmsCyr" w:eastAsia="Times New Roman" w:hAnsi="TmsCyr"/>
      <w:b/>
      <w:bCs/>
      <w:sz w:val="24"/>
      <w:szCs w:val="24"/>
      <w:lang w:val="en-GB" w:eastAsia="en-GB"/>
    </w:rPr>
  </w:style>
  <w:style w:type="character" w:customStyle="1" w:styleId="hps">
    <w:name w:val="hps"/>
    <w:basedOn w:val="DefaultParagraphFont"/>
    <w:rsid w:val="00907B4E"/>
  </w:style>
  <w:style w:type="character" w:customStyle="1" w:styleId="FooterChar1">
    <w:name w:val="Footer Char1"/>
    <w:locked/>
    <w:rsid w:val="00B75D91"/>
    <w:rPr>
      <w:rFonts w:ascii="Times New Roman" w:eastAsia="Calibri" w:hAnsi="Times New Roman" w:cs="Times New Roman"/>
      <w:lang w:val="en-GB" w:eastAsia="en-GB"/>
    </w:rPr>
  </w:style>
  <w:style w:type="paragraph" w:customStyle="1" w:styleId="Tiret0">
    <w:name w:val="Tiret 0"/>
    <w:basedOn w:val="Normal"/>
    <w:rsid w:val="00822A59"/>
    <w:pPr>
      <w:numPr>
        <w:numId w:val="9"/>
      </w:numPr>
      <w:spacing w:before="120" w:after="120" w:line="240" w:lineRule="auto"/>
      <w:jc w:val="both"/>
    </w:pPr>
    <w:rPr>
      <w:rFonts w:ascii="Times New Roman" w:eastAsia="Times New Roman" w:hAnsi="Times New Roman"/>
      <w:sz w:val="24"/>
      <w:szCs w:val="24"/>
    </w:rPr>
  </w:style>
  <w:style w:type="paragraph" w:customStyle="1" w:styleId="Tiret1">
    <w:name w:val="Tiret 1"/>
    <w:basedOn w:val="Normal"/>
    <w:rsid w:val="00822A59"/>
    <w:pPr>
      <w:tabs>
        <w:tab w:val="num" w:pos="850"/>
      </w:tabs>
      <w:spacing w:before="120" w:after="120" w:line="240" w:lineRule="auto"/>
      <w:ind w:left="850" w:hanging="850"/>
      <w:jc w:val="both"/>
    </w:pPr>
    <w:rPr>
      <w:rFonts w:ascii="Times New Roman" w:eastAsia="Times New Roman" w:hAnsi="Times New Roman"/>
      <w:sz w:val="24"/>
      <w:szCs w:val="24"/>
    </w:rPr>
  </w:style>
  <w:style w:type="paragraph" w:customStyle="1" w:styleId="Tiret2">
    <w:name w:val="Tiret 2"/>
    <w:basedOn w:val="Normal"/>
    <w:rsid w:val="00822A59"/>
    <w:pPr>
      <w:numPr>
        <w:numId w:val="10"/>
      </w:numPr>
      <w:spacing w:before="120" w:after="120" w:line="240" w:lineRule="auto"/>
      <w:jc w:val="both"/>
    </w:pPr>
    <w:rPr>
      <w:rFonts w:ascii="Times New Roman" w:eastAsia="Times New Roman" w:hAnsi="Times New Roman"/>
      <w:sz w:val="24"/>
      <w:szCs w:val="24"/>
    </w:rPr>
  </w:style>
  <w:style w:type="paragraph" w:customStyle="1" w:styleId="yiv1705386060msonormal">
    <w:name w:val="yiv1705386060msonormal"/>
    <w:basedOn w:val="Normal"/>
    <w:rsid w:val="00103AED"/>
    <w:pPr>
      <w:spacing w:before="100" w:beforeAutospacing="1" w:after="100" w:afterAutospacing="1" w:line="240" w:lineRule="auto"/>
    </w:pPr>
    <w:rPr>
      <w:rFonts w:ascii="Times New Roman" w:eastAsia="Times New Roman" w:hAnsi="Times New Roman"/>
      <w:sz w:val="24"/>
      <w:szCs w:val="24"/>
    </w:rPr>
  </w:style>
  <w:style w:type="character" w:customStyle="1" w:styleId="A4">
    <w:name w:val="A4"/>
    <w:uiPriority w:val="99"/>
    <w:rsid w:val="00806861"/>
    <w:rPr>
      <w:rFonts w:cs="PF Square Sans Pro Medium"/>
      <w:color w:val="000000"/>
      <w:sz w:val="42"/>
      <w:szCs w:val="42"/>
      <w:lang w:val="en-GB" w:eastAsia="en-GB"/>
    </w:rPr>
  </w:style>
  <w:style w:type="table" w:customStyle="1" w:styleId="MediumShading1-Accent11">
    <w:name w:val="Medium Shading 1 - Accent 11"/>
    <w:basedOn w:val="TableNormal"/>
    <w:uiPriority w:val="63"/>
    <w:rsid w:val="00986D40"/>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M1">
    <w:name w:val="CM1"/>
    <w:basedOn w:val="Default"/>
    <w:next w:val="Default"/>
    <w:uiPriority w:val="99"/>
    <w:rsid w:val="003E3235"/>
    <w:rPr>
      <w:rFonts w:ascii="EUAlbertina" w:hAnsi="EUAlbertina"/>
    </w:rPr>
  </w:style>
  <w:style w:type="paragraph" w:customStyle="1" w:styleId="CM3">
    <w:name w:val="CM3"/>
    <w:basedOn w:val="Default"/>
    <w:next w:val="Default"/>
    <w:uiPriority w:val="99"/>
    <w:rsid w:val="003E3235"/>
    <w:rPr>
      <w:rFonts w:ascii="EUAlbertina" w:hAnsi="EUAlbertina"/>
    </w:rPr>
  </w:style>
  <w:style w:type="paragraph" w:customStyle="1" w:styleId="CM4">
    <w:name w:val="CM4"/>
    <w:basedOn w:val="Default"/>
    <w:next w:val="Default"/>
    <w:uiPriority w:val="99"/>
    <w:rsid w:val="003E3235"/>
    <w:rPr>
      <w:rFonts w:ascii="EUAlbertina" w:hAnsi="EUAlbertina"/>
    </w:rPr>
  </w:style>
  <w:style w:type="paragraph" w:customStyle="1" w:styleId="ListParagraph1">
    <w:name w:val="List Paragraph1"/>
    <w:aliases w:val="List1,Списък на абзаци"/>
    <w:basedOn w:val="Normal"/>
    <w:uiPriority w:val="34"/>
    <w:qFormat/>
    <w:rsid w:val="00BE63CF"/>
    <w:pPr>
      <w:spacing w:after="240" w:line="240" w:lineRule="auto"/>
      <w:ind w:left="720"/>
      <w:jc w:val="both"/>
    </w:pPr>
    <w:rPr>
      <w:rFonts w:ascii="Times New Roman" w:eastAsia="Times New Roman" w:hAnsi="Times New Roman"/>
      <w:sz w:val="24"/>
      <w:szCs w:val="20"/>
    </w:rPr>
  </w:style>
  <w:style w:type="paragraph" w:customStyle="1" w:styleId="Text1">
    <w:name w:val="Text 1"/>
    <w:basedOn w:val="Normal"/>
    <w:rsid w:val="00A33263"/>
    <w:pPr>
      <w:spacing w:after="240" w:line="240" w:lineRule="auto"/>
      <w:ind w:left="482"/>
      <w:jc w:val="both"/>
    </w:pPr>
    <w:rPr>
      <w:rFonts w:ascii="Times New Roman" w:eastAsia="Calibri" w:hAnsi="Times New Roman"/>
      <w:sz w:val="20"/>
      <w:szCs w:val="20"/>
    </w:rPr>
  </w:style>
  <w:style w:type="character" w:customStyle="1" w:styleId="Heading7Char">
    <w:name w:val="Heading 7 Char"/>
    <w:link w:val="Heading7"/>
    <w:uiPriority w:val="9"/>
    <w:semiHidden/>
    <w:rsid w:val="0088514D"/>
    <w:rPr>
      <w:rFonts w:ascii="Cambria" w:eastAsia="SimSun" w:hAnsi="Cambria" w:cs="Times New Roman"/>
      <w:i/>
      <w:iCs/>
      <w:color w:val="404040"/>
      <w:sz w:val="22"/>
      <w:szCs w:val="22"/>
      <w:lang w:val="en-GB" w:eastAsia="en-GB"/>
    </w:rPr>
  </w:style>
  <w:style w:type="table" w:customStyle="1" w:styleId="Ikastyle">
    <w:name w:val="Ika_style"/>
    <w:basedOn w:val="TableContemporary"/>
    <w:uiPriority w:val="99"/>
    <w:rsid w:val="00E655E4"/>
    <w:rPr>
      <w:rFonts w:ascii="Cambria" w:eastAsia="Calibri" w:hAnsi="Cambria"/>
      <w:color w:val="000000"/>
      <w:sz w:val="18"/>
      <w:lang w:val="en-US"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pPr>
        <w:jc w:val="center"/>
      </w:pPr>
      <w:rPr>
        <w:b/>
        <w:bCs/>
        <w:color w:val="FFFFFF"/>
      </w:rPr>
      <w:tblPr/>
      <w:tcPr>
        <w:tcBorders>
          <w:tl2br w:val="none" w:sz="0" w:space="0" w:color="auto"/>
          <w:tr2bl w:val="none" w:sz="0" w:space="0" w:color="auto"/>
        </w:tcBorders>
        <w:shd w:val="clear" w:color="auto" w:fill="E36C0A"/>
      </w:tcPr>
    </w:tblStylePr>
    <w:tblStylePr w:type="firstCol">
      <w:pPr>
        <w:jc w:val="left"/>
      </w:pPr>
      <w:tblPr/>
      <w:tcPr>
        <w:vAlign w:val="center"/>
      </w:tcPr>
    </w:tblStylePr>
    <w:tblStylePr w:type="band1Horz">
      <w:pPr>
        <w:jc w:val="right"/>
      </w:pPr>
      <w:rPr>
        <w:color w:val="auto"/>
      </w:rPr>
      <w:tblPr/>
      <w:tcPr>
        <w:tcBorders>
          <w:tl2br w:val="none" w:sz="0" w:space="0" w:color="auto"/>
          <w:tr2bl w:val="none" w:sz="0" w:space="0" w:color="auto"/>
        </w:tcBorders>
        <w:shd w:val="pct5" w:color="000000" w:fill="FFFFFF"/>
        <w:vAlign w:val="center"/>
      </w:tcPr>
    </w:tblStylePr>
    <w:tblStylePr w:type="band2Horz">
      <w:pPr>
        <w:jc w:val="right"/>
      </w:pPr>
      <w:rPr>
        <w:color w:val="auto"/>
      </w:rPr>
      <w:tblPr/>
      <w:tcPr>
        <w:tcBorders>
          <w:tl2br w:val="none" w:sz="0" w:space="0" w:color="auto"/>
          <w:tr2bl w:val="none" w:sz="0" w:space="0" w:color="auto"/>
        </w:tcBorders>
        <w:shd w:val="pct20" w:color="000000" w:fill="FFFFFF"/>
        <w:vAlign w:val="center"/>
      </w:tcPr>
    </w:tblStylePr>
  </w:style>
  <w:style w:type="table" w:styleId="TableContemporary">
    <w:name w:val="Table Contemporary"/>
    <w:basedOn w:val="TableNormal"/>
    <w:uiPriority w:val="99"/>
    <w:semiHidden/>
    <w:unhideWhenUsed/>
    <w:rsid w:val="00E655E4"/>
    <w:pPr>
      <w:spacing w:after="200" w:line="276" w:lineRule="auto"/>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aragrahAnswer">
    <w:name w:val="ParagrahAnswer"/>
    <w:basedOn w:val="Normal"/>
    <w:autoRedefine/>
    <w:rsid w:val="00496549"/>
    <w:pPr>
      <w:keepNext/>
      <w:keepLines/>
      <w:spacing w:before="60" w:after="60" w:line="240" w:lineRule="auto"/>
    </w:pPr>
    <w:rPr>
      <w:rFonts w:ascii="Arial" w:eastAsia="Times New Roman" w:hAnsi="Arial"/>
      <w:i/>
      <w:noProof/>
      <w:sz w:val="20"/>
      <w:szCs w:val="24"/>
    </w:rPr>
  </w:style>
  <w:style w:type="paragraph" w:customStyle="1" w:styleId="ChartTableHeader">
    <w:name w:val="ChartTableHeader"/>
    <w:basedOn w:val="Normal"/>
    <w:next w:val="Normal"/>
    <w:autoRedefine/>
    <w:rsid w:val="00273D43"/>
    <w:pPr>
      <w:spacing w:after="0" w:line="240" w:lineRule="auto"/>
    </w:pPr>
    <w:rPr>
      <w:rFonts w:ascii="Arial" w:eastAsia="Times New Roman" w:hAnsi="Arial"/>
      <w:b/>
      <w:noProof/>
      <w:sz w:val="20"/>
      <w:szCs w:val="24"/>
    </w:rPr>
  </w:style>
  <w:style w:type="paragraph" w:customStyle="1" w:styleId="ChartTableFooter">
    <w:name w:val="ChartTableFooter"/>
    <w:basedOn w:val="ChartTableHeader"/>
    <w:autoRedefine/>
    <w:rsid w:val="00273D43"/>
    <w:pPr>
      <w:jc w:val="right"/>
    </w:pPr>
  </w:style>
  <w:style w:type="table" w:customStyle="1" w:styleId="IkaTable">
    <w:name w:val="IkaTable"/>
    <w:uiPriority w:val="99"/>
    <w:qFormat/>
    <w:rsid w:val="001D5F1A"/>
    <w:pPr>
      <w:spacing w:after="60"/>
    </w:pPr>
    <w:rPr>
      <w:rFonts w:ascii="Cambria" w:eastAsia="Calibri" w:hAnsi="Cambria"/>
      <w:sz w:val="18"/>
      <w:lang w:val="en-US" w:eastAsia="en-US"/>
    </w:rPr>
    <w:tblPr>
      <w:tblStyleRowBandSize w:val="1"/>
      <w:tblBorders>
        <w:top w:val="single" w:sz="4" w:space="0" w:color="6E5A64"/>
        <w:left w:val="single" w:sz="4" w:space="0" w:color="6E5A64"/>
        <w:bottom w:val="single" w:sz="4" w:space="0" w:color="6E5A64"/>
        <w:right w:val="single" w:sz="4" w:space="0" w:color="6E5A64"/>
        <w:insideH w:val="single" w:sz="4" w:space="0" w:color="6E5A64"/>
        <w:insideV w:val="single" w:sz="4" w:space="0" w:color="6E5A64"/>
      </w:tblBorders>
      <w:tblCellMar>
        <w:top w:w="0" w:type="dxa"/>
        <w:left w:w="0" w:type="dxa"/>
        <w:bottom w:w="0" w:type="dxa"/>
        <w:right w:w="0" w:type="dxa"/>
      </w:tblCellMar>
    </w:tblPr>
    <w:tcPr>
      <w:vAlign w:val="center"/>
    </w:tcPr>
  </w:style>
  <w:style w:type="paragraph" w:customStyle="1" w:styleId="no-heading-blue-1">
    <w:name w:val="no-heading-blue-1"/>
    <w:basedOn w:val="Normal"/>
    <w:next w:val="Normal"/>
    <w:rsid w:val="004E1162"/>
    <w:pPr>
      <w:spacing w:after="840" w:line="280" w:lineRule="atLeast"/>
    </w:pPr>
    <w:rPr>
      <w:rFonts w:ascii="Arial" w:eastAsia="Times New Roman" w:hAnsi="Arial"/>
      <w:b/>
      <w:color w:val="006DB6"/>
      <w:sz w:val="36"/>
      <w:szCs w:val="24"/>
    </w:rPr>
  </w:style>
  <w:style w:type="paragraph" w:customStyle="1" w:styleId="broodtekstbold">
    <w:name w:val="broodtekstbold"/>
    <w:basedOn w:val="Normal"/>
    <w:next w:val="Normal"/>
    <w:rsid w:val="004E1162"/>
    <w:pPr>
      <w:spacing w:after="0" w:line="280" w:lineRule="atLeast"/>
    </w:pPr>
    <w:rPr>
      <w:rFonts w:ascii="Arial" w:eastAsia="Times New Roman" w:hAnsi="Arial"/>
      <w:b/>
      <w:sz w:val="18"/>
      <w:szCs w:val="24"/>
    </w:rPr>
  </w:style>
  <w:style w:type="paragraph" w:customStyle="1" w:styleId="broodtekst">
    <w:name w:val="broodtekst"/>
    <w:basedOn w:val="Normal"/>
    <w:link w:val="broodtekstChar"/>
    <w:uiPriority w:val="99"/>
    <w:rsid w:val="001A66A0"/>
    <w:pPr>
      <w:spacing w:after="0" w:line="280" w:lineRule="atLeast"/>
    </w:pPr>
    <w:rPr>
      <w:rFonts w:ascii="Arial" w:hAnsi="Arial" w:cs="Arial"/>
      <w:sz w:val="18"/>
      <w:szCs w:val="18"/>
    </w:rPr>
  </w:style>
  <w:style w:type="character" w:customStyle="1" w:styleId="broodtekstChar">
    <w:name w:val="broodtekst Char"/>
    <w:link w:val="broodtekst"/>
    <w:uiPriority w:val="99"/>
    <w:rsid w:val="001A66A0"/>
    <w:rPr>
      <w:rFonts w:ascii="Arial" w:hAnsi="Arial" w:cs="Arial"/>
      <w:sz w:val="18"/>
      <w:szCs w:val="18"/>
      <w:lang w:val="en-GB" w:eastAsia="en-GB"/>
    </w:rPr>
  </w:style>
  <w:style w:type="character" w:styleId="HTMLCite">
    <w:name w:val="HTML Cite"/>
    <w:basedOn w:val="DefaultParagraphFont"/>
    <w:uiPriority w:val="99"/>
    <w:semiHidden/>
    <w:unhideWhenUsed/>
    <w:rsid w:val="0006021F"/>
    <w:rPr>
      <w:i/>
      <w:iCs/>
    </w:rPr>
  </w:style>
  <w:style w:type="paragraph" w:styleId="Revision">
    <w:name w:val="Revision"/>
    <w:hidden/>
    <w:uiPriority w:val="99"/>
    <w:semiHidden/>
    <w:rsid w:val="007400AA"/>
    <w:rPr>
      <w:sz w:val="22"/>
      <w:szCs w:val="22"/>
      <w:lang w:val="en-GB" w:eastAsia="en-GB"/>
    </w:rPr>
  </w:style>
  <w:style w:type="paragraph" w:styleId="TOC4">
    <w:name w:val="toc 4"/>
    <w:basedOn w:val="Normal"/>
    <w:next w:val="Normal"/>
    <w:autoRedefine/>
    <w:uiPriority w:val="39"/>
    <w:unhideWhenUsed/>
    <w:rsid w:val="003753FE"/>
    <w:pPr>
      <w:spacing w:after="100" w:line="259" w:lineRule="auto"/>
      <w:ind w:left="660"/>
    </w:pPr>
    <w:rPr>
      <w:rFonts w:asciiTheme="minorHAnsi" w:eastAsiaTheme="minorEastAsia" w:hAnsiTheme="minorHAnsi" w:cstheme="minorBidi"/>
      <w:lang w:val="bg-BG" w:eastAsia="bg-BG"/>
    </w:rPr>
  </w:style>
  <w:style w:type="paragraph" w:styleId="TOC5">
    <w:name w:val="toc 5"/>
    <w:basedOn w:val="Normal"/>
    <w:next w:val="Normal"/>
    <w:autoRedefine/>
    <w:uiPriority w:val="39"/>
    <w:unhideWhenUsed/>
    <w:rsid w:val="003753FE"/>
    <w:pPr>
      <w:spacing w:after="100" w:line="259" w:lineRule="auto"/>
      <w:ind w:left="880"/>
    </w:pPr>
    <w:rPr>
      <w:rFonts w:asciiTheme="minorHAnsi" w:eastAsiaTheme="minorEastAsia" w:hAnsiTheme="minorHAnsi" w:cstheme="minorBidi"/>
      <w:lang w:val="bg-BG" w:eastAsia="bg-BG"/>
    </w:rPr>
  </w:style>
  <w:style w:type="paragraph" w:styleId="TOC6">
    <w:name w:val="toc 6"/>
    <w:basedOn w:val="Normal"/>
    <w:next w:val="Normal"/>
    <w:autoRedefine/>
    <w:uiPriority w:val="39"/>
    <w:unhideWhenUsed/>
    <w:rsid w:val="003753FE"/>
    <w:pPr>
      <w:spacing w:after="100" w:line="259" w:lineRule="auto"/>
      <w:ind w:left="1100"/>
    </w:pPr>
    <w:rPr>
      <w:rFonts w:asciiTheme="minorHAnsi" w:eastAsiaTheme="minorEastAsia" w:hAnsiTheme="minorHAnsi" w:cstheme="minorBidi"/>
      <w:lang w:val="bg-BG" w:eastAsia="bg-BG"/>
    </w:rPr>
  </w:style>
  <w:style w:type="paragraph" w:styleId="TOC7">
    <w:name w:val="toc 7"/>
    <w:basedOn w:val="Normal"/>
    <w:next w:val="Normal"/>
    <w:autoRedefine/>
    <w:uiPriority w:val="39"/>
    <w:unhideWhenUsed/>
    <w:rsid w:val="003753FE"/>
    <w:pPr>
      <w:spacing w:after="100" w:line="259" w:lineRule="auto"/>
      <w:ind w:left="1320"/>
    </w:pPr>
    <w:rPr>
      <w:rFonts w:asciiTheme="minorHAnsi" w:eastAsiaTheme="minorEastAsia" w:hAnsiTheme="minorHAnsi" w:cstheme="minorBidi"/>
      <w:lang w:val="bg-BG" w:eastAsia="bg-BG"/>
    </w:rPr>
  </w:style>
  <w:style w:type="paragraph" w:styleId="TOC8">
    <w:name w:val="toc 8"/>
    <w:basedOn w:val="Normal"/>
    <w:next w:val="Normal"/>
    <w:autoRedefine/>
    <w:uiPriority w:val="39"/>
    <w:unhideWhenUsed/>
    <w:rsid w:val="003753FE"/>
    <w:pPr>
      <w:spacing w:after="100" w:line="259" w:lineRule="auto"/>
      <w:ind w:left="1540"/>
    </w:pPr>
    <w:rPr>
      <w:rFonts w:asciiTheme="minorHAnsi" w:eastAsiaTheme="minorEastAsia" w:hAnsiTheme="minorHAnsi" w:cstheme="minorBidi"/>
      <w:lang w:val="bg-BG" w:eastAsia="bg-BG"/>
    </w:rPr>
  </w:style>
  <w:style w:type="paragraph" w:styleId="TOC9">
    <w:name w:val="toc 9"/>
    <w:basedOn w:val="Normal"/>
    <w:next w:val="Normal"/>
    <w:autoRedefine/>
    <w:uiPriority w:val="39"/>
    <w:unhideWhenUsed/>
    <w:rsid w:val="003753FE"/>
    <w:pPr>
      <w:spacing w:after="100" w:line="259" w:lineRule="auto"/>
      <w:ind w:left="1760"/>
    </w:pPr>
    <w:rPr>
      <w:rFonts w:asciiTheme="minorHAnsi" w:eastAsiaTheme="minorEastAsia" w:hAnsiTheme="minorHAnsi" w:cstheme="minorBidi"/>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www.eufunds.bg/bg/page/37" TargetMode="External"/><Relationship Id="rId21" Type="http://schemas.openxmlformats.org/officeDocument/2006/relationships/image" Target="media/image7.png"/><Relationship Id="rId42" Type="http://schemas.openxmlformats.org/officeDocument/2006/relationships/hyperlink" Target="http://www.europarl.europa.eu/RegData/etudes/etudes/join/2013/495870/IPOL-REGI_ET%282013%29495870_EN.pdf" TargetMode="External"/><Relationship Id="rId47" Type="http://schemas.openxmlformats.org/officeDocument/2006/relationships/footer" Target="footer3.xml"/><Relationship Id="rId63" Type="http://schemas.openxmlformats.org/officeDocument/2006/relationships/oleObject" Target="embeddings/oleObject5.bin"/><Relationship Id="rId68" Type="http://schemas.openxmlformats.org/officeDocument/2006/relationships/hyperlink" Target="http://ec.europa.eu/enterprise/policies/industrial-competitiveness/industrial-policy/files/communication_on_industrial_policy_en.pdf" TargetMode="External"/><Relationship Id="rId84" Type="http://schemas.openxmlformats.org/officeDocument/2006/relationships/hyperlink" Target="http://www.strategy.bg/StrategicDocuments/View.aspx?lang=bg-BG&amp;Id=624" TargetMode="External"/><Relationship Id="rId89" Type="http://schemas.openxmlformats.org/officeDocument/2006/relationships/hyperlink" Target="http://www.google.bg/url?sa=t&amp;rct=j&amp;q=&amp;esrc=s&amp;source=web&amp;cd=1&amp;ved=0CB0QFjAA&amp;url=http%3A%2F%2Fwww.mlsp.government.bg%2Fequal%2Fequalen%2Fbglaw.asp%3Fid%3D286&amp;ei=zVjSU8O2EqT8ygPNgIKAAg&amp;usg=AFQjCNF4U-Wggu17ITIY7nS5snnYCBmf7w&amp;sig2=fYlMS4xIDjGqIEVJ_UIIeA" TargetMode="External"/><Relationship Id="rId112" Type="http://schemas.openxmlformats.org/officeDocument/2006/relationships/hyperlink" Target="http://www.mon.bg/?go=page&amp;pageId=7&amp;subpageId=57" TargetMode="External"/><Relationship Id="rId133" Type="http://schemas.openxmlformats.org/officeDocument/2006/relationships/hyperlink" Target="http://register.consilium.europa.eu/doc/srv?l=EN&amp;t=PDF&amp;f=ST+15451+2011+ADD+1" TargetMode="External"/><Relationship Id="rId138" Type="http://schemas.openxmlformats.org/officeDocument/2006/relationships/hyperlink" Target="http://www.eufunds.bg/bg/page/884" TargetMode="External"/><Relationship Id="rId16" Type="http://schemas.openxmlformats.org/officeDocument/2006/relationships/image" Target="media/image4.emf"/><Relationship Id="rId107" Type="http://schemas.openxmlformats.org/officeDocument/2006/relationships/hyperlink" Target="http://www.mon.bg/?go=page&amp;pageId=7&amp;subpageId=57" TargetMode="External"/><Relationship Id="rId11" Type="http://schemas.openxmlformats.org/officeDocument/2006/relationships/header" Target="header1.xml"/><Relationship Id="rId32" Type="http://schemas.openxmlformats.org/officeDocument/2006/relationships/hyperlink" Target="http://www.minedu.government.bg/opencms/export/sites/mon/left_menu/documents/law/zkn_vo.pdf" TargetMode="External"/><Relationship Id="rId37" Type="http://schemas.openxmlformats.org/officeDocument/2006/relationships/hyperlink" Target="http://www.strategy.bg/StrategicDocuments/View.aspx?lang=bg-BG&amp;Id=708" TargetMode="External"/><Relationship Id="rId53" Type="http://schemas.openxmlformats.org/officeDocument/2006/relationships/image" Target="media/image22.png"/><Relationship Id="rId58" Type="http://schemas.openxmlformats.org/officeDocument/2006/relationships/image" Target="media/image24.png"/><Relationship Id="rId74" Type="http://schemas.openxmlformats.org/officeDocument/2006/relationships/hyperlink" Target="http://ec.europa.eu/education/policy/vocational-policy/doc/brugescom_en.pdf" TargetMode="External"/><Relationship Id="rId79" Type="http://schemas.openxmlformats.org/officeDocument/2006/relationships/hyperlink" Target="http://www.eufunds.bg/en/page/873" TargetMode="External"/><Relationship Id="rId102" Type="http://schemas.openxmlformats.org/officeDocument/2006/relationships/hyperlink" Target="http://eur-lex.europa.eu/LexUriServ/LexUriServ.do?uri=OJ:L:2013:347:0470:0486:EN:PDF" TargetMode="External"/><Relationship Id="rId123" Type="http://schemas.openxmlformats.org/officeDocument/2006/relationships/hyperlink" Target="http://prsr.government.bg/index.php/bg/sections/l2/101" TargetMode="External"/><Relationship Id="rId128" Type="http://schemas.openxmlformats.org/officeDocument/2006/relationships/hyperlink" Target="http://ec.europa.eu/regional_policy/what/future/pdf/partnership/bg_position_paper_bg.pdf" TargetMode="External"/><Relationship Id="rId144" Type="http://schemas.openxmlformats.org/officeDocument/2006/relationships/hyperlink" Target="http://s2b.mon.bg/i/analyse_researches_bg.pdf" TargetMode="External"/><Relationship Id="rId5" Type="http://schemas.openxmlformats.org/officeDocument/2006/relationships/webSettings" Target="webSettings.xml"/><Relationship Id="rId90" Type="http://schemas.openxmlformats.org/officeDocument/2006/relationships/hyperlink" Target="http://www.strategy.bg/StrategicDocuments/View.aspx?lang=bg-BG&amp;Id=778" TargetMode="External"/><Relationship Id="rId95" Type="http://schemas.openxmlformats.org/officeDocument/2006/relationships/hyperlink" Target="http://www.strategy.bg/StrategicDocuments/View.aspx?lang=bg-BG&amp;Id=657"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17.emf"/><Relationship Id="rId48" Type="http://schemas.openxmlformats.org/officeDocument/2006/relationships/image" Target="media/image19.png"/><Relationship Id="rId64" Type="http://schemas.openxmlformats.org/officeDocument/2006/relationships/hyperlink" Target="http://www.eufunds.bg/bg/page/985" TargetMode="External"/><Relationship Id="rId69" Type="http://schemas.openxmlformats.org/officeDocument/2006/relationships/hyperlink" Target="http://ec.europa.eu/digital-agenda/" TargetMode="External"/><Relationship Id="rId113" Type="http://schemas.openxmlformats.org/officeDocument/2006/relationships/hyperlink" Target="http://www.eufunds.bg/bg/page/119" TargetMode="External"/><Relationship Id="rId118" Type="http://schemas.openxmlformats.org/officeDocument/2006/relationships/hyperlink" Target="http://www.eufunds.bg/bg/page/989" TargetMode="External"/><Relationship Id="rId134" Type="http://schemas.openxmlformats.org/officeDocument/2006/relationships/hyperlink" Target="http://eacea.ec.europa.eu/education/eurydice/documents/thematic_reports/138EN.pdf" TargetMode="External"/><Relationship Id="rId139" Type="http://schemas.openxmlformats.org/officeDocument/2006/relationships/hyperlink" Target="http://www.eufunds.bg/bg/page/884" TargetMode="External"/><Relationship Id="rId80" Type="http://schemas.openxmlformats.org/officeDocument/2006/relationships/hyperlink" Target="http://www.minfin.bg/en/page/868" TargetMode="External"/><Relationship Id="rId85" Type="http://schemas.openxmlformats.org/officeDocument/2006/relationships/hyperlink" Target="http://www.strategy.bg/StrategicDocuments/View.aspx?lang=bg-BG&amp;Id=396"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minedu.government.bg/opencms/export/sites/mon/left_menu/documents/law/zkn_acad_satav.pdf" TargetMode="External"/><Relationship Id="rId38" Type="http://schemas.openxmlformats.org/officeDocument/2006/relationships/hyperlink" Target="http://www.strategy.bg/StrategicDocuments/View.aspx?lang=bg-BG&amp;Id=624" TargetMode="External"/><Relationship Id="rId46" Type="http://schemas.openxmlformats.org/officeDocument/2006/relationships/header" Target="header4.xml"/><Relationship Id="rId59" Type="http://schemas.openxmlformats.org/officeDocument/2006/relationships/chart" Target="charts/chart3.xml"/><Relationship Id="rId67" Type="http://schemas.openxmlformats.org/officeDocument/2006/relationships/hyperlink" Target="http://ec.europa.eu/social/main.jsp?langId=en&amp;catId=950" TargetMode="External"/><Relationship Id="rId103" Type="http://schemas.openxmlformats.org/officeDocument/2006/relationships/hyperlink" Target="http://eur-lex.europa.eu/LexUriServ/LexUriServ.do?uri=OJ:L:2013:347:0303:0319:EN:PDF" TargetMode="External"/><Relationship Id="rId108" Type="http://schemas.openxmlformats.org/officeDocument/2006/relationships/hyperlink" Target="http://www.parliament.bg/bg/bills/ID/14397/" TargetMode="External"/><Relationship Id="rId116" Type="http://schemas.openxmlformats.org/officeDocument/2006/relationships/hyperlink" Target="http://www.eufunds.bg/bg/page/37" TargetMode="External"/><Relationship Id="rId124" Type="http://schemas.openxmlformats.org/officeDocument/2006/relationships/hyperlink" Target="http://ope.moew.government.bg/files/useruploads/files/Programirane/20130416_presentazii_sreshta/op_fish_en.pdf" TargetMode="External"/><Relationship Id="rId129" Type="http://schemas.openxmlformats.org/officeDocument/2006/relationships/hyperlink" Target="http://www.saveti.government.bg/web/guest" TargetMode="External"/><Relationship Id="rId137" Type="http://schemas.openxmlformats.org/officeDocument/2006/relationships/hyperlink" Target="http://www.eufunds.bg/document/5136" TargetMode="External"/><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header" Target="header5.xml"/><Relationship Id="rId62" Type="http://schemas.openxmlformats.org/officeDocument/2006/relationships/image" Target="media/image26.emf"/><Relationship Id="rId70" Type="http://schemas.openxmlformats.org/officeDocument/2006/relationships/hyperlink" Target="http://eur-lex.europa.eu/LexUriServ/LexUriServ.do?uri=COM:2011:0021:FIN:EN:PDF" TargetMode="External"/><Relationship Id="rId75" Type="http://schemas.openxmlformats.org/officeDocument/2006/relationships/hyperlink" Target="http://mail.nacid.bg/newdesign/bg_eu/att_files/07_2010_VET_EN.pdf" TargetMode="External"/><Relationship Id="rId83" Type="http://schemas.openxmlformats.org/officeDocument/2006/relationships/hyperlink" Target="http://planipolis.iiep.unesco.org/upload/Youth/Bulgaria/Bulgaria_National_Youth_Strategy.pdf" TargetMode="External"/><Relationship Id="rId88" Type="http://schemas.openxmlformats.org/officeDocument/2006/relationships/hyperlink" Target="http://www.romadecade.org/article/decade-action-plans/9296" TargetMode="External"/><Relationship Id="rId91" Type="http://schemas.openxmlformats.org/officeDocument/2006/relationships/hyperlink" Target="http://www.strategy.bg/StrategicDocuments/View.aspx?lang=bg-BG&amp;Id=445" TargetMode="External"/><Relationship Id="rId96" Type="http://schemas.openxmlformats.org/officeDocument/2006/relationships/hyperlink" Target="http://www.strategy.bg/Publications/View.aspx?lang=bg-BG&amp;Id=117" TargetMode="External"/><Relationship Id="rId111" Type="http://schemas.openxmlformats.org/officeDocument/2006/relationships/hyperlink" Target="http://www.mon.bg/?go=page&amp;pageId=7&amp;subpageId=57" TargetMode="External"/><Relationship Id="rId132" Type="http://schemas.openxmlformats.org/officeDocument/2006/relationships/hyperlink" Target="http://www.parliament.bg/bg/eudocs/ID/17911" TargetMode="External"/><Relationship Id="rId140" Type="http://schemas.openxmlformats.org/officeDocument/2006/relationships/hyperlink" Target="http://ec.europa.eu/social/BlobServlet?docId=7884&amp;langId=en"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trategy.bg/StrategicDocuments/View.aspx?lang=bg-BG&amp;Id=708"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www.strategy.bg/StrategicDocuments/View.aspx?lang=bg-BG&amp;Id=476" TargetMode="External"/><Relationship Id="rId49" Type="http://schemas.openxmlformats.org/officeDocument/2006/relationships/image" Target="media/image20.png"/><Relationship Id="rId57" Type="http://schemas.openxmlformats.org/officeDocument/2006/relationships/oleObject" Target="embeddings/oleObject3.bin"/><Relationship Id="rId106" Type="http://schemas.openxmlformats.org/officeDocument/2006/relationships/hyperlink" Target="http://www.mon.bg/?go=page&amp;pageId=7&amp;subpageId=57" TargetMode="External"/><Relationship Id="rId114" Type="http://schemas.openxmlformats.org/officeDocument/2006/relationships/hyperlink" Target="http://www.eufunds.bg/bg/page/119" TargetMode="External"/><Relationship Id="rId119" Type="http://schemas.openxmlformats.org/officeDocument/2006/relationships/hyperlink" Target="http://www.rbb.bg/en/careers/operational-programme-human-resources-development/" TargetMode="External"/><Relationship Id="rId127" Type="http://schemas.openxmlformats.org/officeDocument/2006/relationships/hyperlink" Target="http://www.eufunds.bg/bg/page/993" TargetMode="External"/><Relationship Id="rId10" Type="http://schemas.openxmlformats.org/officeDocument/2006/relationships/hyperlink" Target="mailto:EcorysSEE@ecorys." TargetMode="External"/><Relationship Id="rId31" Type="http://schemas.openxmlformats.org/officeDocument/2006/relationships/hyperlink" Target="http://www.minedu.government.bg/opencms/export/sites/mon/left_menu/documents/law/zkn_prof_obucenieEU.pdf" TargetMode="External"/><Relationship Id="rId44" Type="http://schemas.openxmlformats.org/officeDocument/2006/relationships/image" Target="media/image18.png"/><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hyperlink" Target="http://ec.europa.eu/europe2020/europe-2020-in-a-nutshell/flagship-initiatives/index_bg.htm" TargetMode="External"/><Relationship Id="rId73" Type="http://schemas.openxmlformats.org/officeDocument/2006/relationships/hyperlink" Target="http://www.danube-region.eu/" TargetMode="External"/><Relationship Id="rId78" Type="http://schemas.openxmlformats.org/officeDocument/2006/relationships/hyperlink" Target="http://ec.europa.eu/justice/fundamental-rights/files/c_2013_778_en.pdf" TargetMode="External"/><Relationship Id="rId81" Type="http://schemas.openxmlformats.org/officeDocument/2006/relationships/hyperlink" Target="http://www.strategy.bg/StrategicDocuments/View.aspx?lang=bg-BG&amp;Id=880" TargetMode="External"/><Relationship Id="rId86" Type="http://schemas.openxmlformats.org/officeDocument/2006/relationships/hyperlink" Target="http://ec.europa.eu/justice/discrimination/files/roma_bulgaria_strategy_en.pdf" TargetMode="External"/><Relationship Id="rId94" Type="http://schemas.openxmlformats.org/officeDocument/2006/relationships/hyperlink" Target="http://www.strategy.bg/StrategicDocuments/View.aspx?lang=bg-BG&amp;Id=601" TargetMode="External"/><Relationship Id="rId99" Type="http://schemas.openxmlformats.org/officeDocument/2006/relationships/hyperlink" Target="http://www.strategy.bg/PublicConsultations/View.aspx?lang=bg-BG&amp;Id=1185" TargetMode="External"/><Relationship Id="rId101" Type="http://schemas.openxmlformats.org/officeDocument/2006/relationships/hyperlink" Target="http://eur-lex.europa.eu/LexUriServ/LexUriServ.do?uri=OJ:L:2013:347:0289:0302:EN:PDF" TargetMode="External"/><Relationship Id="rId122" Type="http://schemas.openxmlformats.org/officeDocument/2006/relationships/hyperlink" Target="http://www.eufunds.bg/document/6217" TargetMode="External"/><Relationship Id="rId130" Type="http://schemas.openxmlformats.org/officeDocument/2006/relationships/hyperlink" Target="http://www.strategy.bg/Publications/View.aspx?lang=bg-BG&amp;Id=90" TargetMode="External"/><Relationship Id="rId135" Type="http://schemas.openxmlformats.org/officeDocument/2006/relationships/hyperlink" Target="http://www.eufunds.bg/document/5138" TargetMode="External"/><Relationship Id="rId143" Type="http://schemas.openxmlformats.org/officeDocument/2006/relationships/hyperlink" Target="http://ec.europa.eu/regional_policy/sources/docoffic/2014/working/wd_2014_en.pdf" TargetMode="External"/><Relationship Id="rId4" Type="http://schemas.openxmlformats.org/officeDocument/2006/relationships/settings" Target="settings.xml"/><Relationship Id="rId9" Type="http://schemas.openxmlformats.org/officeDocument/2006/relationships/hyperlink" Target="mailto:Mariana.%20Stefanova@ecorys.bg" TargetMode="External"/><Relationship Id="rId13" Type="http://schemas.openxmlformats.org/officeDocument/2006/relationships/footer" Target="footer2.xml"/><Relationship Id="rId18" Type="http://schemas.openxmlformats.org/officeDocument/2006/relationships/image" Target="media/image5.emf"/><Relationship Id="rId39" Type="http://schemas.openxmlformats.org/officeDocument/2006/relationships/header" Target="header2.xml"/><Relationship Id="rId109" Type="http://schemas.openxmlformats.org/officeDocument/2006/relationships/hyperlink" Target="http://www.mon.bg/?go=page&amp;pageId=7&amp;subpageId=57" TargetMode="External"/><Relationship Id="rId34" Type="http://schemas.openxmlformats.org/officeDocument/2006/relationships/hyperlink" Target="http://www.minedu.government.bg/opencms/export/sites/mon/left_menu/documents/law/zkn_nauch_izsl.pdf" TargetMode="External"/><Relationship Id="rId50" Type="http://schemas.openxmlformats.org/officeDocument/2006/relationships/chart" Target="charts/chart1.xml"/><Relationship Id="rId55" Type="http://schemas.openxmlformats.org/officeDocument/2006/relationships/footer" Target="footer4.xml"/><Relationship Id="rId76" Type="http://schemas.openxmlformats.org/officeDocument/2006/relationships/hyperlink" Target="http://www.strategy.bg/StrategicDocuments/View.aspx?lang=bg-BG&amp;Id=719" TargetMode="External"/><Relationship Id="rId97" Type="http://schemas.openxmlformats.org/officeDocument/2006/relationships/hyperlink" Target="http://www.mon.bg/?h=downloadFile&amp;fileId=3419" TargetMode="External"/><Relationship Id="rId104" Type="http://schemas.openxmlformats.org/officeDocument/2006/relationships/hyperlink" Target="http://eur-lex.europa.eu/LexUriServ/LexUriServ.do?uri=OJ:L:2013:347:0259:0280:EN:PDF" TargetMode="External"/><Relationship Id="rId120" Type="http://schemas.openxmlformats.org/officeDocument/2006/relationships/hyperlink" Target="http://www.eufunds.bg/bg/page/1022" TargetMode="External"/><Relationship Id="rId125" Type="http://schemas.openxmlformats.org/officeDocument/2006/relationships/hyperlink" Target="http://www.eufunds.bg/bg/page/983" TargetMode="External"/><Relationship Id="rId141" Type="http://schemas.openxmlformats.org/officeDocument/2006/relationships/hyperlink" Target="http://ec.europa.eu/regional_policy/information/evaluations/guidance_en.cfm"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mail.nacid.bg/newdesign/bg_eu/att_files/2012_Bucharest-komjunike_en.pdf" TargetMode="External"/><Relationship Id="rId92" Type="http://schemas.openxmlformats.org/officeDocument/2006/relationships/hyperlink" Target="http://old.europe.bg/htmls/page.php?id=2231&amp;category=264&amp;translation=en" TargetMode="External"/><Relationship Id="rId2" Type="http://schemas.openxmlformats.org/officeDocument/2006/relationships/numbering" Target="numbering.xml"/><Relationship Id="rId29" Type="http://schemas.openxmlformats.org/officeDocument/2006/relationships/hyperlink" Target="http://www.minedu.government.bg/opencms/export/sites/mon/left_menu/documents/law/zkn_prosveta.pdf" TargetMode="External"/><Relationship Id="rId24" Type="http://schemas.openxmlformats.org/officeDocument/2006/relationships/image" Target="media/image10.png"/><Relationship Id="rId40" Type="http://schemas.openxmlformats.org/officeDocument/2006/relationships/image" Target="media/image15.png"/><Relationship Id="rId45" Type="http://schemas.openxmlformats.org/officeDocument/2006/relationships/header" Target="header3.xml"/><Relationship Id="rId66" Type="http://schemas.openxmlformats.org/officeDocument/2006/relationships/hyperlink" Target="http://eur-lex.europa.eu/LexUriServ/LexUriServ.do?uri=COM:2010:0546:FIN:EN:PDF" TargetMode="External"/><Relationship Id="rId87" Type="http://schemas.openxmlformats.org/officeDocument/2006/relationships/hyperlink" Target="http://www.strategy.bg/StrategicDocuments/View.aspx?lang=bg-BG&amp;Id=609" TargetMode="External"/><Relationship Id="rId110" Type="http://schemas.openxmlformats.org/officeDocument/2006/relationships/hyperlink" Target="http://www.mon.bg/?go=page&amp;pageId=7&amp;subpageId=57" TargetMode="External"/><Relationship Id="rId115" Type="http://schemas.openxmlformats.org/officeDocument/2006/relationships/hyperlink" Target="http://www.eufunds.bg/bg/page/37" TargetMode="External"/><Relationship Id="rId131" Type="http://schemas.openxmlformats.org/officeDocument/2006/relationships/hyperlink" Target="http://coiduem.mon.bg/en/page.php?c=4" TargetMode="External"/><Relationship Id="rId136" Type="http://schemas.openxmlformats.org/officeDocument/2006/relationships/hyperlink" Target="http://www.eufunds.bg/bg/page/884" TargetMode="External"/><Relationship Id="rId61" Type="http://schemas.openxmlformats.org/officeDocument/2006/relationships/oleObject" Target="embeddings/oleObject4.bin"/><Relationship Id="rId82" Type="http://schemas.openxmlformats.org/officeDocument/2006/relationships/hyperlink" Target="http://pdc.ceu.hu/archive/00006616/01/Ministry-of-education_School-and-pre-school-education-development-national-Programme_2006-2015.pdf" TargetMode="External"/><Relationship Id="rId19" Type="http://schemas.openxmlformats.org/officeDocument/2006/relationships/oleObject" Target="embeddings/oleObject2.bin"/><Relationship Id="rId14" Type="http://schemas.openxmlformats.org/officeDocument/2006/relationships/hyperlink" Target="http://www.strategy.bg/StrategicDocuments/View.aspx?lang=bg-BG&amp;Id=476" TargetMode="External"/><Relationship Id="rId30" Type="http://schemas.openxmlformats.org/officeDocument/2006/relationships/hyperlink" Target="http://www.minedu.government.bg/opencms/export/sites/mon/left_menu/documents/law/zkn_obr_minimun.pdf" TargetMode="External"/><Relationship Id="rId35" Type="http://schemas.openxmlformats.org/officeDocument/2006/relationships/hyperlink" Target="http://www.minedu.government.bg/opencms/export/sites/mon/left_menu/documents/law/zkn_kreditirane_studenti_doktoranti.pdf" TargetMode="External"/><Relationship Id="rId56" Type="http://schemas.openxmlformats.org/officeDocument/2006/relationships/image" Target="media/image23.emf"/><Relationship Id="rId77" Type="http://schemas.openxmlformats.org/officeDocument/2006/relationships/hyperlink" Target="http://www.eumonitor.eu/9353000/1/j9vvik7m1c3gyxp/viv0td15o9zy" TargetMode="External"/><Relationship Id="rId100" Type="http://schemas.openxmlformats.org/officeDocument/2006/relationships/hyperlink" Target="http://www.espa.gr/elibrary/EC1303_common_20122013_L347_EN.pdf" TargetMode="External"/><Relationship Id="rId105" Type="http://schemas.openxmlformats.org/officeDocument/2006/relationships/hyperlink" Target="http://www.mon.bg/?go=page&amp;pageId=7&amp;subpageId=57" TargetMode="External"/><Relationship Id="rId126" Type="http://schemas.openxmlformats.org/officeDocument/2006/relationships/hyperlink" Target="http://www.eufunds.bg/bg/page/982" TargetMode="External"/><Relationship Id="rId8" Type="http://schemas.openxmlformats.org/officeDocument/2006/relationships/hyperlink" Target="mailto:EcorysSEE@ecorys.com" TargetMode="External"/><Relationship Id="rId51" Type="http://schemas.openxmlformats.org/officeDocument/2006/relationships/chart" Target="charts/chart2.xml"/><Relationship Id="rId72" Type="http://schemas.openxmlformats.org/officeDocument/2006/relationships/hyperlink" Target="http://eur-lex.europa.eu/LexUriServ/LexUriServ.do?uri=COM:2011:0567:FIN:EN:PDF" TargetMode="External"/><Relationship Id="rId93" Type="http://schemas.openxmlformats.org/officeDocument/2006/relationships/hyperlink" Target="http://www.strategy.bg/StrategicDocuments/View.aspx?lang=bg-BG&amp;Id=464" TargetMode="External"/><Relationship Id="rId98" Type="http://schemas.openxmlformats.org/officeDocument/2006/relationships/hyperlink" Target="http://www.esc.bg/en/activities/resolutions/item/1632-resolution-pspndopnos" TargetMode="External"/><Relationship Id="rId121" Type="http://schemas.openxmlformats.org/officeDocument/2006/relationships/hyperlink" Target="http://www.eufunds.bg/en/page/12" TargetMode="External"/><Relationship Id="rId142" Type="http://schemas.openxmlformats.org/officeDocument/2006/relationships/hyperlink" Target="http://ec.europa.eu/regional_policy/information/evaluations/guidance_en.cf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Server\ecorys\01Projects\On%20going\MON_ex-ante\Implementation\Iglika\!Calc_M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Server\ecorys\01Projects\On%20going\MON_ex-ante\Implementation\Iglika\!Calc_MON.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3"/>
          <c:order val="0"/>
          <c:tx>
            <c:v>Certification</c:v>
          </c:tx>
          <c:spPr>
            <a:ln>
              <a:solidFill>
                <a:schemeClr val="tx1">
                  <a:lumMod val="65000"/>
                  <a:lumOff val="35000"/>
                </a:schemeClr>
              </a:solidFill>
            </a:ln>
          </c:spPr>
          <c:marker>
            <c:symbol val="none"/>
          </c:marker>
          <c:cat>
            <c:numRef>
              <c:f>result1!$B$41:$J$41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result1!$B$46:$J$46</c:f>
              <c:numCache>
                <c:formatCode>General</c:formatCode>
                <c:ptCount val="9"/>
                <c:pt idx="0">
                  <c:v>0</c:v>
                </c:pt>
                <c:pt idx="1">
                  <c:v>0</c:v>
                </c:pt>
                <c:pt idx="2">
                  <c:v>4.1810979038838783E-3</c:v>
                </c:pt>
                <c:pt idx="3">
                  <c:v>3.4496987155522782E-2</c:v>
                </c:pt>
                <c:pt idx="4">
                  <c:v>0.11455836329426569</c:v>
                </c:pt>
                <c:pt idx="5">
                  <c:v>0.20449291577158932</c:v>
                </c:pt>
                <c:pt idx="6">
                  <c:v>0.41796336635992287</c:v>
                </c:pt>
                <c:pt idx="7" formatCode="0.0000">
                  <c:v>0.82689820552397164</c:v>
                </c:pt>
                <c:pt idx="8" formatCode="0.0000">
                  <c:v>0.92527045811725128</c:v>
                </c:pt>
              </c:numCache>
            </c:numRef>
          </c:val>
          <c:smooth val="0"/>
        </c:ser>
        <c:ser>
          <c:idx val="4"/>
          <c:order val="1"/>
          <c:tx>
            <c:v>N+3/2</c:v>
          </c:tx>
          <c:spPr>
            <a:ln>
              <a:solidFill>
                <a:schemeClr val="accent2"/>
              </a:solidFill>
            </a:ln>
          </c:spPr>
          <c:marker>
            <c:symbol val="none"/>
          </c:marker>
          <c:cat>
            <c:numRef>
              <c:f>result1!$B$41:$J$41</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result1!$B$47:$J$47</c:f>
              <c:numCache>
                <c:formatCode>0.00</c:formatCode>
                <c:ptCount val="9"/>
                <c:pt idx="0">
                  <c:v>0</c:v>
                </c:pt>
                <c:pt idx="1">
                  <c:v>0</c:v>
                </c:pt>
                <c:pt idx="2">
                  <c:v>0</c:v>
                </c:pt>
                <c:pt idx="3">
                  <c:v>0</c:v>
                </c:pt>
                <c:pt idx="4">
                  <c:v>2.8582060754719446E-2</c:v>
                </c:pt>
                <c:pt idx="5">
                  <c:v>0.18566212322221717</c:v>
                </c:pt>
                <c:pt idx="6">
                  <c:v>0.52618609534060168</c:v>
                </c:pt>
                <c:pt idx="7">
                  <c:v>0.71268362711646249</c:v>
                </c:pt>
                <c:pt idx="8">
                  <c:v>1.0000000000000002</c:v>
                </c:pt>
              </c:numCache>
            </c:numRef>
          </c:val>
          <c:smooth val="0"/>
        </c:ser>
        <c:dLbls>
          <c:showLegendKey val="0"/>
          <c:showVal val="0"/>
          <c:showCatName val="0"/>
          <c:showSerName val="0"/>
          <c:showPercent val="0"/>
          <c:showBubbleSize val="0"/>
        </c:dLbls>
        <c:smooth val="0"/>
        <c:axId val="269840952"/>
        <c:axId val="269841344"/>
      </c:lineChart>
      <c:catAx>
        <c:axId val="269840952"/>
        <c:scaling>
          <c:orientation val="minMax"/>
        </c:scaling>
        <c:delete val="0"/>
        <c:axPos val="b"/>
        <c:numFmt formatCode="General" sourceLinked="1"/>
        <c:majorTickMark val="out"/>
        <c:minorTickMark val="none"/>
        <c:tickLblPos val="nextTo"/>
        <c:txPr>
          <a:bodyPr rot="-5400000" vert="horz"/>
          <a:lstStyle/>
          <a:p>
            <a:pPr>
              <a:defRPr/>
            </a:pPr>
            <a:endParaRPr lang="bg-BG"/>
          </a:p>
        </c:txPr>
        <c:crossAx val="269841344"/>
        <c:crosses val="autoZero"/>
        <c:auto val="1"/>
        <c:lblAlgn val="ctr"/>
        <c:lblOffset val="100"/>
        <c:noMultiLvlLbl val="0"/>
      </c:catAx>
      <c:valAx>
        <c:axId val="269841344"/>
        <c:scaling>
          <c:orientation val="minMax"/>
          <c:max val="1"/>
        </c:scaling>
        <c:delete val="0"/>
        <c:axPos val="l"/>
        <c:majorGridlines/>
        <c:numFmt formatCode="0%" sourceLinked="0"/>
        <c:majorTickMark val="out"/>
        <c:minorTickMark val="none"/>
        <c:tickLblPos val="nextTo"/>
        <c:crossAx val="269840952"/>
        <c:crosses val="autoZero"/>
        <c:crossBetween val="between"/>
      </c:valAx>
    </c:plotArea>
    <c:legend>
      <c:legendPos val="b"/>
      <c:layout/>
      <c:overlay val="0"/>
    </c:legend>
    <c:plotVisOnly val="1"/>
    <c:dispBlanksAs val="gap"/>
    <c:showDLblsOverMax val="0"/>
  </c:chart>
  <c:txPr>
    <a:bodyPr/>
    <a:lstStyle/>
    <a:p>
      <a:pPr>
        <a:defRPr>
          <a:latin typeface="Verdana" pitchFamily="34" charset="0"/>
          <a:ea typeface="Verdana" pitchFamily="34" charset="0"/>
          <a:cs typeface="Verdana" pitchFamily="34" charset="0"/>
        </a:defRPr>
      </a:pPr>
      <a:endParaRPr lang="bg-BG"/>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3"/>
          <c:order val="0"/>
          <c:tx>
            <c:v>Certifiaction</c:v>
          </c:tx>
          <c:spPr>
            <a:ln>
              <a:solidFill>
                <a:schemeClr val="tx1">
                  <a:lumMod val="65000"/>
                  <a:lumOff val="35000"/>
                </a:schemeClr>
              </a:solidFill>
            </a:ln>
          </c:spPr>
          <c:marker>
            <c:symbol val="none"/>
          </c:marker>
          <c:cat>
            <c:numRef>
              <c:f>result1!$B$62:$K$62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result1!$B$67:$K$67</c:f>
              <c:numCache>
                <c:formatCode>0.0000</c:formatCode>
                <c:ptCount val="10"/>
                <c:pt idx="0">
                  <c:v>2.3395162921526968E-3</c:v>
                </c:pt>
                <c:pt idx="1">
                  <c:v>6.0413986834649477E-3</c:v>
                </c:pt>
                <c:pt idx="2">
                  <c:v>1.550981044580829E-2</c:v>
                </c:pt>
                <c:pt idx="3">
                  <c:v>3.9231919767856935E-2</c:v>
                </c:pt>
                <c:pt idx="4">
                  <c:v>9.5709462600729697E-2</c:v>
                </c:pt>
                <c:pt idx="5">
                  <c:v>0.21527370827059439</c:v>
                </c:pt>
                <c:pt idx="6">
                  <c:v>0.41556272896272983</c:v>
                </c:pt>
                <c:pt idx="7">
                  <c:v>0.64825848620301163</c:v>
                </c:pt>
                <c:pt idx="8">
                  <c:v>0.82689820552397164</c:v>
                </c:pt>
                <c:pt idx="9">
                  <c:v>0.92527045811725128</c:v>
                </c:pt>
              </c:numCache>
            </c:numRef>
          </c:val>
          <c:smooth val="0"/>
        </c:ser>
        <c:ser>
          <c:idx val="4"/>
          <c:order val="1"/>
          <c:tx>
            <c:v>N+3</c:v>
          </c:tx>
          <c:spPr>
            <a:ln>
              <a:solidFill>
                <a:schemeClr val="accent2"/>
              </a:solidFill>
            </a:ln>
          </c:spPr>
          <c:marker>
            <c:symbol val="none"/>
          </c:marker>
          <c:cat>
            <c:numRef>
              <c:f>result1!$B$62:$K$62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result1!$B$68:$K$68</c:f>
              <c:numCache>
                <c:formatCode>0.00</c:formatCode>
                <c:ptCount val="10"/>
                <c:pt idx="0">
                  <c:v>0</c:v>
                </c:pt>
                <c:pt idx="1">
                  <c:v>0</c:v>
                </c:pt>
                <c:pt idx="2">
                  <c:v>0</c:v>
                </c:pt>
                <c:pt idx="3">
                  <c:v>4.5248367308418261E-2</c:v>
                </c:pt>
                <c:pt idx="4">
                  <c:v>0.14232194052644223</c:v>
                </c:pt>
                <c:pt idx="5">
                  <c:v>0.24478525515631971</c:v>
                </c:pt>
                <c:pt idx="6">
                  <c:v>0.35146085143621947</c:v>
                </c:pt>
                <c:pt idx="7">
                  <c:v>0.46341082226569202</c:v>
                </c:pt>
                <c:pt idx="8">
                  <c:v>0.58052226054428757</c:v>
                </c:pt>
                <c:pt idx="9">
                  <c:v>1</c:v>
                </c:pt>
              </c:numCache>
            </c:numRef>
          </c:val>
          <c:smooth val="0"/>
        </c:ser>
        <c:dLbls>
          <c:showLegendKey val="0"/>
          <c:showVal val="0"/>
          <c:showCatName val="0"/>
          <c:showSerName val="0"/>
          <c:showPercent val="0"/>
          <c:showBubbleSize val="0"/>
        </c:dLbls>
        <c:smooth val="0"/>
        <c:axId val="271843176"/>
        <c:axId val="271843568"/>
      </c:lineChart>
      <c:catAx>
        <c:axId val="271843176"/>
        <c:scaling>
          <c:orientation val="minMax"/>
        </c:scaling>
        <c:delete val="0"/>
        <c:axPos val="b"/>
        <c:numFmt formatCode="General" sourceLinked="1"/>
        <c:majorTickMark val="out"/>
        <c:minorTickMark val="none"/>
        <c:tickLblPos val="nextTo"/>
        <c:txPr>
          <a:bodyPr rot="-5400000" vert="horz"/>
          <a:lstStyle/>
          <a:p>
            <a:pPr>
              <a:defRPr/>
            </a:pPr>
            <a:endParaRPr lang="bg-BG"/>
          </a:p>
        </c:txPr>
        <c:crossAx val="271843568"/>
        <c:crosses val="autoZero"/>
        <c:auto val="1"/>
        <c:lblAlgn val="ctr"/>
        <c:lblOffset val="100"/>
        <c:tickLblSkip val="1"/>
        <c:noMultiLvlLbl val="0"/>
      </c:catAx>
      <c:valAx>
        <c:axId val="271843568"/>
        <c:scaling>
          <c:orientation val="minMax"/>
          <c:max val="1"/>
        </c:scaling>
        <c:delete val="0"/>
        <c:axPos val="l"/>
        <c:majorGridlines/>
        <c:numFmt formatCode="0%" sourceLinked="0"/>
        <c:majorTickMark val="out"/>
        <c:minorTickMark val="none"/>
        <c:tickLblPos val="nextTo"/>
        <c:crossAx val="271843176"/>
        <c:crosses val="autoZero"/>
        <c:crossBetween val="between"/>
      </c:valAx>
    </c:plotArea>
    <c:legend>
      <c:legendPos val="b"/>
      <c:layout/>
      <c:overlay val="0"/>
    </c:legend>
    <c:plotVisOnly val="1"/>
    <c:dispBlanksAs val="gap"/>
    <c:showDLblsOverMax val="0"/>
  </c:chart>
  <c:txPr>
    <a:bodyPr/>
    <a:lstStyle/>
    <a:p>
      <a:pPr>
        <a:defRPr>
          <a:latin typeface="Verdana" pitchFamily="34" charset="0"/>
          <a:ea typeface="Verdana" pitchFamily="34" charset="0"/>
          <a:cs typeface="Verdana" pitchFamily="34" charset="0"/>
        </a:defRPr>
      </a:pPr>
      <a:endParaRPr lang="bg-BG"/>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a:t>Initial</a:t>
            </a:r>
            <a:r>
              <a:rPr lang="en-US" sz="1100" baseline="0"/>
              <a:t> assessment of the probability and impact of individual risks</a:t>
            </a:r>
            <a:endParaRPr lang="bg-BG" sz="1100"/>
          </a:p>
        </c:rich>
      </c:tx>
      <c:layout/>
      <c:overlay val="0"/>
    </c:title>
    <c:autoTitleDeleted val="0"/>
    <c:plotArea>
      <c:layout/>
      <c:scatterChart>
        <c:scatterStyle val="lineMarker"/>
        <c:varyColors val="0"/>
        <c:ser>
          <c:idx val="0"/>
          <c:order val="0"/>
          <c:spPr>
            <a:ln w="28575">
              <a:noFill/>
            </a:ln>
          </c:spPr>
          <c:dLbls>
            <c:dLbl>
              <c:idx val="0"/>
              <c:layout/>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2.1</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497585542139151E-2"/>
                  <c:y val="-2.4223108177635597E-2"/>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4685990963836958E-3"/>
                  <c:y val="1.8167331133226623E-2"/>
                </c:manualLayout>
              </c:layout>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685990963836958E-3"/>
                  <c:y val="1.8167331133226623E-2"/>
                </c:manualLayout>
              </c:layout>
              <c:tx>
                <c:rich>
                  <a:bodyPr/>
                  <a:lstStyle/>
                  <a:p>
                    <a:r>
                      <a:rPr lang="en-US"/>
                      <a:t>3.1</a:t>
                    </a:r>
                  </a:p>
                </c:rich>
              </c:tx>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4685990963836958E-3"/>
                  <c:y val="5.2483401051544233E-2"/>
                </c:manualLayout>
              </c:layout>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3497585542139151E-2"/>
                  <c:y val="2.6241700525772144E-2"/>
                </c:manualLayout>
              </c:layout>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4685990963836958E-3"/>
                  <c:y val="8.8818063317997575E-2"/>
                </c:manualLayout>
              </c:layout>
              <c:tx>
                <c:rich>
                  <a:bodyPr/>
                  <a:lstStyle/>
                  <a:p>
                    <a:r>
                      <a:rPr lang="en-US"/>
                      <a:t>3.4</a:t>
                    </a:r>
                  </a:p>
                </c:rich>
              </c:tx>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3217391867453267E-2"/>
                  <c:y val="-1.4130146436954032E-2"/>
                </c:manualLayout>
              </c:layout>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5.2869567469813104E-2"/>
                  <c:y val="-1.4130146436954032E-2"/>
                </c:manualLayout>
              </c:layout>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7.3429954819184884E-3"/>
                  <c:y val="3.4316069918316955E-2"/>
                </c:manualLayout>
              </c:layout>
              <c:tx>
                <c:rich>
                  <a:bodyPr/>
                  <a:lstStyle/>
                  <a:p>
                    <a:r>
                      <a:rPr lang="en-US"/>
                      <a:t>4.3</a:t>
                    </a:r>
                  </a:p>
                </c:rich>
              </c:tx>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5.8743963855348413E-2"/>
                  <c:y val="3.4316069918316955E-2"/>
                </c:manualLayout>
              </c:layout>
              <c:tx>
                <c:rich>
                  <a:bodyPr/>
                  <a:lstStyle/>
                  <a:p>
                    <a:r>
                      <a:rPr lang="en-US"/>
                      <a:t>4.4</a:t>
                    </a:r>
                  </a:p>
                </c:rich>
              </c:tx>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2.202898644575545E-2"/>
                  <c:y val="-3.2297477570180894E-2"/>
                </c:manualLayout>
              </c:layout>
              <c:tx>
                <c:rich>
                  <a:bodyPr/>
                  <a:lstStyle/>
                  <a:p>
                    <a:r>
                      <a:rPr lang="en-US"/>
                      <a:t>5.1</a:t>
                    </a:r>
                  </a:p>
                </c:rich>
              </c:tx>
              <c:showLegendKey val="0"/>
              <c:showVal val="1"/>
              <c:showCatName val="0"/>
              <c:showSerName val="0"/>
              <c:showPercent val="0"/>
              <c:showBubbleSize val="0"/>
              <c:extLst>
                <c:ext xmlns:c15="http://schemas.microsoft.com/office/drawing/2012/chart" uri="{CE6537A1-D6FC-4f65-9D91-7224C49458BB}">
                  <c15:layout/>
                </c:ext>
              </c:extLst>
            </c:dLbl>
            <c:dLbl>
              <c:idx val="14"/>
              <c:layout/>
              <c:tx>
                <c:rich>
                  <a:bodyPr/>
                  <a:lstStyle/>
                  <a:p>
                    <a:r>
                      <a:rPr lang="en-US"/>
                      <a:t>5.2</a:t>
                    </a:r>
                  </a:p>
                </c:rich>
              </c:tx>
              <c:showLegendKey val="0"/>
              <c:showVal val="1"/>
              <c:showCatName val="0"/>
              <c:showSerName val="0"/>
              <c:showPercent val="0"/>
              <c:showBubbleSize val="0"/>
              <c:extLst>
                <c:ext xmlns:c15="http://schemas.microsoft.com/office/drawing/2012/chart" uri="{CE6537A1-D6FC-4f65-9D91-7224C49458BB}">
                  <c15:layout/>
                </c:ext>
              </c:extLst>
            </c:dLbl>
            <c:dLbl>
              <c:idx val="15"/>
              <c:layout/>
              <c:tx>
                <c:rich>
                  <a:bodyPr/>
                  <a:lstStyle/>
                  <a:p>
                    <a:r>
                      <a:rPr lang="en-US"/>
                      <a:t>5.3</a:t>
                    </a:r>
                  </a:p>
                </c:rich>
              </c:tx>
              <c:showLegendKey val="0"/>
              <c:showVal val="1"/>
              <c:showCatName val="0"/>
              <c:showSerName val="0"/>
              <c:showPercent val="0"/>
              <c:showBubbleSize val="0"/>
              <c:extLst>
                <c:ext xmlns:c15="http://schemas.microsoft.com/office/drawing/2012/chart" uri="{CE6537A1-D6FC-4f65-9D91-7224C49458BB}">
                  <c15:layout/>
                </c:ext>
              </c:extLst>
            </c:dLbl>
            <c:dLbl>
              <c:idx val="16"/>
              <c:layout>
                <c:manualLayout>
                  <c:x val="-3.671497740959262E-2"/>
                  <c:y val="1.009296174068146E-2"/>
                </c:manualLayout>
              </c:layout>
              <c:tx>
                <c:rich>
                  <a:bodyPr/>
                  <a:lstStyle/>
                  <a:p>
                    <a:r>
                      <a:rPr lang="en-US"/>
                      <a:t>6.1</a:t>
                    </a:r>
                  </a:p>
                </c:rich>
              </c:tx>
              <c:showLegendKey val="0"/>
              <c:showVal val="1"/>
              <c:showCatName val="0"/>
              <c:showSerName val="0"/>
              <c:showPercent val="0"/>
              <c:showBubbleSize val="0"/>
              <c:extLst>
                <c:ext xmlns:c15="http://schemas.microsoft.com/office/drawing/2012/chart" uri="{CE6537A1-D6FC-4f65-9D91-7224C49458BB}">
                  <c15:layout/>
                </c:ext>
              </c:extLst>
            </c:dLbl>
            <c:dLbl>
              <c:idx val="17"/>
              <c:layout/>
              <c:tx>
                <c:rich>
                  <a:bodyPr/>
                  <a:lstStyle/>
                  <a:p>
                    <a:r>
                      <a:rPr lang="en-US"/>
                      <a:t>6.2</a:t>
                    </a:r>
                  </a:p>
                </c:rich>
              </c:tx>
              <c:showLegendKey val="0"/>
              <c:showVal val="1"/>
              <c:showCatName val="0"/>
              <c:showSerName val="0"/>
              <c:showPercent val="0"/>
              <c:showBubbleSize val="0"/>
              <c:extLst>
                <c:ext xmlns:c15="http://schemas.microsoft.com/office/drawing/2012/chart" uri="{CE6537A1-D6FC-4f65-9D91-7224C49458BB}">
                  <c15:layout/>
                </c:ext>
              </c:extLst>
            </c:dLbl>
            <c:dLbl>
              <c:idx val="18"/>
              <c:layout>
                <c:manualLayout>
                  <c:x val="-1.4685990963836958E-3"/>
                  <c:y val="-1.8167331133226623E-2"/>
                </c:manualLayout>
              </c:layout>
              <c:tx>
                <c:rich>
                  <a:bodyPr/>
                  <a:lstStyle/>
                  <a:p>
                    <a:r>
                      <a:rPr lang="en-US"/>
                      <a:t>7.1</a:t>
                    </a:r>
                  </a:p>
                </c:rich>
              </c:tx>
              <c:showLegendKey val="0"/>
              <c:showVal val="1"/>
              <c:showCatName val="0"/>
              <c:showSerName val="0"/>
              <c:showPercent val="0"/>
              <c:showBubbleSize val="0"/>
              <c:extLst>
                <c:ext xmlns:c15="http://schemas.microsoft.com/office/drawing/2012/chart" uri="{CE6537A1-D6FC-4f65-9D91-7224C49458BB}">
                  <c15:layout/>
                </c:ext>
              </c:extLst>
            </c:dLbl>
            <c:dLbl>
              <c:idx val="19"/>
              <c:layout>
                <c:manualLayout>
                  <c:x val="-4.2589373795127165E-2"/>
                  <c:y val="2.2204356885220055E-2"/>
                </c:manualLayout>
              </c:layout>
              <c:tx>
                <c:rich>
                  <a:bodyPr/>
                  <a:lstStyle/>
                  <a:p>
                    <a:r>
                      <a:rPr lang="en-US"/>
                      <a:t>7.2</a:t>
                    </a:r>
                  </a:p>
                </c:rich>
              </c:tx>
              <c:showLegendKey val="0"/>
              <c:showVal val="1"/>
              <c:showCatName val="0"/>
              <c:showSerName val="0"/>
              <c:showPercent val="0"/>
              <c:showBubbleSize val="0"/>
              <c:extLst>
                <c:ext xmlns:c15="http://schemas.microsoft.com/office/drawing/2012/chart" uri="{CE6537A1-D6FC-4f65-9D91-7224C49458BB}">
                  <c15:layout/>
                </c:ext>
              </c:extLst>
            </c:dLbl>
            <c:dLbl>
              <c:idx val="20"/>
              <c:layout>
                <c:manualLayout>
                  <c:x val="-4.2589373795127165E-2"/>
                  <c:y val="5.6520585747816154E-2"/>
                </c:manualLayout>
              </c:layout>
              <c:tx>
                <c:rich>
                  <a:bodyPr/>
                  <a:lstStyle/>
                  <a:p>
                    <a:r>
                      <a:rPr lang="en-US"/>
                      <a:t>7.3</a:t>
                    </a:r>
                  </a:p>
                </c:rich>
              </c:tx>
              <c:showLegendKey val="0"/>
              <c:showVal val="1"/>
              <c:showCatName val="0"/>
              <c:showSerName val="0"/>
              <c:showPercent val="0"/>
              <c:showBubbleSize val="0"/>
              <c:extLst>
                <c:ext xmlns:c15="http://schemas.microsoft.com/office/drawing/2012/chart" uri="{CE6537A1-D6FC-4f65-9D91-7224C49458BB}">
                  <c15:layout/>
                </c:ext>
              </c:extLst>
            </c:dLbl>
            <c:dLbl>
              <c:idx val="21"/>
              <c:layout>
                <c:manualLayout>
                  <c:x val="-4.2589373795127165E-2"/>
                  <c:y val="8.6799470969861237E-2"/>
                </c:manualLayout>
              </c:layout>
              <c:tx>
                <c:rich>
                  <a:bodyPr/>
                  <a:lstStyle/>
                  <a:p>
                    <a:r>
                      <a:rPr lang="en-US"/>
                      <a:t>7.4</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xVal>
            <c:numRef>
              <c:f>ОбобщениРезултати!$H$4:$H$25</c:f>
              <c:numCache>
                <c:formatCode>General</c:formatCode>
                <c:ptCount val="22"/>
                <c:pt idx="0">
                  <c:v>3</c:v>
                </c:pt>
                <c:pt idx="1">
                  <c:v>2</c:v>
                </c:pt>
                <c:pt idx="2">
                  <c:v>1</c:v>
                </c:pt>
                <c:pt idx="3">
                  <c:v>3</c:v>
                </c:pt>
                <c:pt idx="4">
                  <c:v>2</c:v>
                </c:pt>
                <c:pt idx="5">
                  <c:v>3</c:v>
                </c:pt>
                <c:pt idx="6">
                  <c:v>3</c:v>
                </c:pt>
                <c:pt idx="7">
                  <c:v>2</c:v>
                </c:pt>
                <c:pt idx="8">
                  <c:v>3</c:v>
                </c:pt>
                <c:pt idx="9">
                  <c:v>3</c:v>
                </c:pt>
                <c:pt idx="10">
                  <c:v>3</c:v>
                </c:pt>
                <c:pt idx="11">
                  <c:v>3</c:v>
                </c:pt>
                <c:pt idx="12">
                  <c:v>3</c:v>
                </c:pt>
                <c:pt idx="13">
                  <c:v>2</c:v>
                </c:pt>
                <c:pt idx="14">
                  <c:v>1</c:v>
                </c:pt>
                <c:pt idx="15">
                  <c:v>1</c:v>
                </c:pt>
                <c:pt idx="16">
                  <c:v>3</c:v>
                </c:pt>
                <c:pt idx="17">
                  <c:v>2</c:v>
                </c:pt>
                <c:pt idx="18">
                  <c:v>2</c:v>
                </c:pt>
                <c:pt idx="19">
                  <c:v>3</c:v>
                </c:pt>
                <c:pt idx="20">
                  <c:v>3</c:v>
                </c:pt>
                <c:pt idx="21">
                  <c:v>3</c:v>
                </c:pt>
              </c:numCache>
            </c:numRef>
          </c:xVal>
          <c:yVal>
            <c:numRef>
              <c:f>ОбобщениРезултати!$I$4:$I$25</c:f>
              <c:numCache>
                <c:formatCode>General</c:formatCode>
                <c:ptCount val="22"/>
                <c:pt idx="0">
                  <c:v>4</c:v>
                </c:pt>
                <c:pt idx="1">
                  <c:v>4</c:v>
                </c:pt>
                <c:pt idx="2">
                  <c:v>3</c:v>
                </c:pt>
                <c:pt idx="3">
                  <c:v>5</c:v>
                </c:pt>
                <c:pt idx="4">
                  <c:v>3</c:v>
                </c:pt>
                <c:pt idx="5">
                  <c:v>3</c:v>
                </c:pt>
                <c:pt idx="6">
                  <c:v>3</c:v>
                </c:pt>
                <c:pt idx="7">
                  <c:v>4</c:v>
                </c:pt>
                <c:pt idx="8">
                  <c:v>3</c:v>
                </c:pt>
                <c:pt idx="9">
                  <c:v>5</c:v>
                </c:pt>
                <c:pt idx="10">
                  <c:v>5</c:v>
                </c:pt>
                <c:pt idx="11">
                  <c:v>5</c:v>
                </c:pt>
                <c:pt idx="12">
                  <c:v>5</c:v>
                </c:pt>
                <c:pt idx="13">
                  <c:v>4</c:v>
                </c:pt>
                <c:pt idx="14">
                  <c:v>4</c:v>
                </c:pt>
                <c:pt idx="15">
                  <c:v>5</c:v>
                </c:pt>
                <c:pt idx="16">
                  <c:v>5</c:v>
                </c:pt>
                <c:pt idx="17">
                  <c:v>5</c:v>
                </c:pt>
                <c:pt idx="18">
                  <c:v>3</c:v>
                </c:pt>
                <c:pt idx="19">
                  <c:v>3</c:v>
                </c:pt>
                <c:pt idx="20">
                  <c:v>3</c:v>
                </c:pt>
                <c:pt idx="21">
                  <c:v>3</c:v>
                </c:pt>
              </c:numCache>
            </c:numRef>
          </c:yVal>
          <c:smooth val="0"/>
        </c:ser>
        <c:ser>
          <c:idx val="1"/>
          <c:order val="1"/>
          <c:spPr>
            <a:ln w="25400">
              <a:solidFill>
                <a:srgbClr val="FF0000"/>
              </a:solidFill>
              <a:prstDash val="solid"/>
            </a:ln>
          </c:spPr>
          <c:marker>
            <c:symbol val="none"/>
          </c:marker>
          <c:xVal>
            <c:numLit>
              <c:formatCode>General</c:formatCode>
              <c:ptCount val="4"/>
              <c:pt idx="0">
                <c:v>0</c:v>
              </c:pt>
              <c:pt idx="1">
                <c:v>1</c:v>
              </c:pt>
              <c:pt idx="2">
                <c:v>2</c:v>
              </c:pt>
              <c:pt idx="3">
                <c:v>3</c:v>
              </c:pt>
            </c:numLit>
          </c:xVal>
          <c:yVal>
            <c:numLit>
              <c:formatCode>General</c:formatCode>
              <c:ptCount val="4"/>
              <c:pt idx="0">
                <c:v>3</c:v>
              </c:pt>
              <c:pt idx="1">
                <c:v>3</c:v>
              </c:pt>
              <c:pt idx="2">
                <c:v>3</c:v>
              </c:pt>
              <c:pt idx="3">
                <c:v>3</c:v>
              </c:pt>
            </c:numLit>
          </c:yVal>
          <c:smooth val="0"/>
        </c:ser>
        <c:ser>
          <c:idx val="2"/>
          <c:order val="2"/>
          <c:spPr>
            <a:ln w="25400">
              <a:solidFill>
                <a:srgbClr val="FF0000"/>
              </a:solidFill>
              <a:prstDash val="solid"/>
            </a:ln>
          </c:spPr>
          <c:marker>
            <c:symbol val="none"/>
          </c:marker>
          <c:xVal>
            <c:numLit>
              <c:formatCode>General</c:formatCode>
              <c:ptCount val="4"/>
              <c:pt idx="0">
                <c:v>3</c:v>
              </c:pt>
              <c:pt idx="1">
                <c:v>3</c:v>
              </c:pt>
              <c:pt idx="2">
                <c:v>3</c:v>
              </c:pt>
              <c:pt idx="3">
                <c:v>3</c:v>
              </c:pt>
            </c:numLit>
          </c:xVal>
          <c:yVal>
            <c:numLit>
              <c:formatCode>General</c:formatCode>
              <c:ptCount val="4"/>
              <c:pt idx="0">
                <c:v>0</c:v>
              </c:pt>
              <c:pt idx="1">
                <c:v>1</c:v>
              </c:pt>
              <c:pt idx="2">
                <c:v>2</c:v>
              </c:pt>
              <c:pt idx="3">
                <c:v>3</c:v>
              </c:pt>
            </c:numLit>
          </c:yVal>
          <c:smooth val="0"/>
        </c:ser>
        <c:dLbls>
          <c:showLegendKey val="0"/>
          <c:showVal val="0"/>
          <c:showCatName val="0"/>
          <c:showSerName val="0"/>
          <c:showPercent val="0"/>
          <c:showBubbleSize val="0"/>
        </c:dLbls>
        <c:axId val="271844352"/>
        <c:axId val="271843960"/>
      </c:scatterChart>
      <c:valAx>
        <c:axId val="271844352"/>
        <c:scaling>
          <c:orientation val="minMax"/>
          <c:max val="5"/>
          <c:min val="0"/>
        </c:scaling>
        <c:delete val="0"/>
        <c:axPos val="b"/>
        <c:title>
          <c:tx>
            <c:rich>
              <a:bodyPr/>
              <a:lstStyle/>
              <a:p>
                <a:pPr>
                  <a:defRPr/>
                </a:pPr>
                <a:r>
                  <a:rPr lang="en-US"/>
                  <a:t>Probability</a:t>
                </a:r>
                <a:endParaRPr lang="bg-BG"/>
              </a:p>
            </c:rich>
          </c:tx>
          <c:layout/>
          <c:overlay val="0"/>
        </c:title>
        <c:numFmt formatCode="General" sourceLinked="1"/>
        <c:majorTickMark val="out"/>
        <c:minorTickMark val="none"/>
        <c:tickLblPos val="nextTo"/>
        <c:crossAx val="271843960"/>
        <c:crosses val="autoZero"/>
        <c:crossBetween val="midCat"/>
        <c:majorUnit val="1"/>
      </c:valAx>
      <c:valAx>
        <c:axId val="271843960"/>
        <c:scaling>
          <c:orientation val="minMax"/>
          <c:max val="5"/>
          <c:min val="0"/>
        </c:scaling>
        <c:delete val="0"/>
        <c:axPos val="l"/>
        <c:majorGridlines/>
        <c:title>
          <c:tx>
            <c:rich>
              <a:bodyPr/>
              <a:lstStyle/>
              <a:p>
                <a:pPr>
                  <a:defRPr/>
                </a:pPr>
                <a:r>
                  <a:rPr lang="en-US"/>
                  <a:t>Impact</a:t>
                </a:r>
                <a:endParaRPr lang="bg-BG"/>
              </a:p>
            </c:rich>
          </c:tx>
          <c:layout/>
          <c:overlay val="0"/>
        </c:title>
        <c:numFmt formatCode="General" sourceLinked="1"/>
        <c:majorTickMark val="out"/>
        <c:minorTickMark val="none"/>
        <c:tickLblPos val="nextTo"/>
        <c:crossAx val="271844352"/>
        <c:crosses val="autoZero"/>
        <c:crossBetween val="midCat"/>
        <c:majorUnit val="1"/>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B0625-0DD0-4806-9E67-F056B2C8D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206</Pages>
  <Words>68257</Words>
  <Characters>389066</Characters>
  <Application>Microsoft Office Word</Application>
  <DocSecurity>0</DocSecurity>
  <Lines>3242</Lines>
  <Paragraphs>912</Paragraphs>
  <ScaleCrop>false</ScaleCrop>
  <HeadingPairs>
    <vt:vector size="2" baseType="variant">
      <vt:variant>
        <vt:lpstr>Title</vt:lpstr>
      </vt:variant>
      <vt:variant>
        <vt:i4>1</vt:i4>
      </vt:variant>
    </vt:vector>
  </HeadingPairs>
  <TitlesOfParts>
    <vt:vector size="1" baseType="lpstr">
      <vt:lpstr>СЪДЪРЖАНИЕ</vt:lpstr>
    </vt:vector>
  </TitlesOfParts>
  <Company/>
  <LinksUpToDate>false</LinksUpToDate>
  <CharactersWithSpaces>456411</CharactersWithSpaces>
  <SharedDoc>false</SharedDoc>
  <HLinks>
    <vt:vector size="648" baseType="variant">
      <vt:variant>
        <vt:i4>6094850</vt:i4>
      </vt:variant>
      <vt:variant>
        <vt:i4>615</vt:i4>
      </vt:variant>
      <vt:variant>
        <vt:i4>0</vt:i4>
      </vt:variant>
      <vt:variant>
        <vt:i4>5</vt:i4>
      </vt:variant>
      <vt:variant>
        <vt:lpwstr>http://www.strategy.bg/StrategicDocuments/View.aspx?lang=bg-BG&amp;Id=624</vt:lpwstr>
      </vt:variant>
      <vt:variant>
        <vt:lpwstr/>
      </vt:variant>
      <vt:variant>
        <vt:i4>6225923</vt:i4>
      </vt:variant>
      <vt:variant>
        <vt:i4>612</vt:i4>
      </vt:variant>
      <vt:variant>
        <vt:i4>0</vt:i4>
      </vt:variant>
      <vt:variant>
        <vt:i4>5</vt:i4>
      </vt:variant>
      <vt:variant>
        <vt:lpwstr>http://www.strategy.bg/StrategicDocuments/View.aspx?lang=bg-BG&amp;Id=708</vt:lpwstr>
      </vt:variant>
      <vt:variant>
        <vt:lpwstr/>
      </vt:variant>
      <vt:variant>
        <vt:i4>5767168</vt:i4>
      </vt:variant>
      <vt:variant>
        <vt:i4>609</vt:i4>
      </vt:variant>
      <vt:variant>
        <vt:i4>0</vt:i4>
      </vt:variant>
      <vt:variant>
        <vt:i4>5</vt:i4>
      </vt:variant>
      <vt:variant>
        <vt:lpwstr>http://www.strategy.bg/StrategicDocuments/View.aspx?lang=bg-BG&amp;Id=476</vt:lpwstr>
      </vt:variant>
      <vt:variant>
        <vt:lpwstr/>
      </vt:variant>
      <vt:variant>
        <vt:i4>1376347</vt:i4>
      </vt:variant>
      <vt:variant>
        <vt:i4>606</vt:i4>
      </vt:variant>
      <vt:variant>
        <vt:i4>0</vt:i4>
      </vt:variant>
      <vt:variant>
        <vt:i4>5</vt:i4>
      </vt:variant>
      <vt:variant>
        <vt:lpwstr>http://www.minedu.government.bg/opencms/export/sites/mon/left_menu/documents/law/zkn_kreditirane_studenti_doktoranti.pdf</vt:lpwstr>
      </vt:variant>
      <vt:variant>
        <vt:lpwstr/>
      </vt:variant>
      <vt:variant>
        <vt:i4>786537</vt:i4>
      </vt:variant>
      <vt:variant>
        <vt:i4>603</vt:i4>
      </vt:variant>
      <vt:variant>
        <vt:i4>0</vt:i4>
      </vt:variant>
      <vt:variant>
        <vt:i4>5</vt:i4>
      </vt:variant>
      <vt:variant>
        <vt:lpwstr>http://www.minedu.government.bg/opencms/export/sites/mon/left_menu/documents/law/zkn_nauch_izsl.pdf</vt:lpwstr>
      </vt:variant>
      <vt:variant>
        <vt:lpwstr/>
      </vt:variant>
      <vt:variant>
        <vt:i4>3801172</vt:i4>
      </vt:variant>
      <vt:variant>
        <vt:i4>600</vt:i4>
      </vt:variant>
      <vt:variant>
        <vt:i4>0</vt:i4>
      </vt:variant>
      <vt:variant>
        <vt:i4>5</vt:i4>
      </vt:variant>
      <vt:variant>
        <vt:lpwstr>http://www.minedu.government.bg/opencms/export/sites/mon/left_menu/documents/law/zkn_acad_satav.pdf</vt:lpwstr>
      </vt:variant>
      <vt:variant>
        <vt:lpwstr/>
      </vt:variant>
      <vt:variant>
        <vt:i4>1245261</vt:i4>
      </vt:variant>
      <vt:variant>
        <vt:i4>597</vt:i4>
      </vt:variant>
      <vt:variant>
        <vt:i4>0</vt:i4>
      </vt:variant>
      <vt:variant>
        <vt:i4>5</vt:i4>
      </vt:variant>
      <vt:variant>
        <vt:lpwstr>http://www.minedu.government.bg/opencms/export/sites/mon/left_menu/documents/law/zkn_vo.pdf</vt:lpwstr>
      </vt:variant>
      <vt:variant>
        <vt:lpwstr/>
      </vt:variant>
      <vt:variant>
        <vt:i4>393343</vt:i4>
      </vt:variant>
      <vt:variant>
        <vt:i4>594</vt:i4>
      </vt:variant>
      <vt:variant>
        <vt:i4>0</vt:i4>
      </vt:variant>
      <vt:variant>
        <vt:i4>5</vt:i4>
      </vt:variant>
      <vt:variant>
        <vt:lpwstr>http://www.minedu.government.bg/opencms/export/sites/mon/left_menu/documents/law/zkn_prof_obucenieEU.pdf</vt:lpwstr>
      </vt:variant>
      <vt:variant>
        <vt:lpwstr/>
      </vt:variant>
      <vt:variant>
        <vt:i4>2359376</vt:i4>
      </vt:variant>
      <vt:variant>
        <vt:i4>591</vt:i4>
      </vt:variant>
      <vt:variant>
        <vt:i4>0</vt:i4>
      </vt:variant>
      <vt:variant>
        <vt:i4>5</vt:i4>
      </vt:variant>
      <vt:variant>
        <vt:lpwstr>http://www.minedu.government.bg/opencms/export/sites/mon/left_menu/documents/law/zkn_obr_minimun.pdf</vt:lpwstr>
      </vt:variant>
      <vt:variant>
        <vt:lpwstr/>
      </vt:variant>
      <vt:variant>
        <vt:i4>7864359</vt:i4>
      </vt:variant>
      <vt:variant>
        <vt:i4>588</vt:i4>
      </vt:variant>
      <vt:variant>
        <vt:i4>0</vt:i4>
      </vt:variant>
      <vt:variant>
        <vt:i4>5</vt:i4>
      </vt:variant>
      <vt:variant>
        <vt:lpwstr>http://www.minedu.government.bg/opencms/export/sites/mon/left_menu/documents/law/zkn_prosveta.pdf</vt:lpwstr>
      </vt:variant>
      <vt:variant>
        <vt:lpwstr/>
      </vt:variant>
      <vt:variant>
        <vt:i4>3539040</vt:i4>
      </vt:variant>
      <vt:variant>
        <vt:i4>585</vt:i4>
      </vt:variant>
      <vt:variant>
        <vt:i4>0</vt:i4>
      </vt:variant>
      <vt:variant>
        <vt:i4>5</vt:i4>
      </vt:variant>
      <vt:variant>
        <vt:lpwstr>http://www.checkmarket.com/</vt:lpwstr>
      </vt:variant>
      <vt:variant>
        <vt:lpwstr/>
      </vt:variant>
      <vt:variant>
        <vt:i4>3539040</vt:i4>
      </vt:variant>
      <vt:variant>
        <vt:i4>582</vt:i4>
      </vt:variant>
      <vt:variant>
        <vt:i4>0</vt:i4>
      </vt:variant>
      <vt:variant>
        <vt:i4>5</vt:i4>
      </vt:variant>
      <vt:variant>
        <vt:lpwstr>http://www.checkmarket.com/</vt:lpwstr>
      </vt:variant>
      <vt:variant>
        <vt:lpwstr/>
      </vt:variant>
      <vt:variant>
        <vt:i4>6225923</vt:i4>
      </vt:variant>
      <vt:variant>
        <vt:i4>567</vt:i4>
      </vt:variant>
      <vt:variant>
        <vt:i4>0</vt:i4>
      </vt:variant>
      <vt:variant>
        <vt:i4>5</vt:i4>
      </vt:variant>
      <vt:variant>
        <vt:lpwstr>http://www.strategy.bg/StrategicDocuments/View.aspx?lang=bg-BG&amp;Id=708</vt:lpwstr>
      </vt:variant>
      <vt:variant>
        <vt:lpwstr/>
      </vt:variant>
      <vt:variant>
        <vt:i4>5767168</vt:i4>
      </vt:variant>
      <vt:variant>
        <vt:i4>564</vt:i4>
      </vt:variant>
      <vt:variant>
        <vt:i4>0</vt:i4>
      </vt:variant>
      <vt:variant>
        <vt:i4>5</vt:i4>
      </vt:variant>
      <vt:variant>
        <vt:lpwstr>http://www.strategy.bg/StrategicDocuments/View.aspx?lang=bg-BG&amp;Id=476</vt:lpwstr>
      </vt:variant>
      <vt:variant>
        <vt:lpwstr/>
      </vt:variant>
      <vt:variant>
        <vt:i4>2031669</vt:i4>
      </vt:variant>
      <vt:variant>
        <vt:i4>557</vt:i4>
      </vt:variant>
      <vt:variant>
        <vt:i4>0</vt:i4>
      </vt:variant>
      <vt:variant>
        <vt:i4>5</vt:i4>
      </vt:variant>
      <vt:variant>
        <vt:lpwstr/>
      </vt:variant>
      <vt:variant>
        <vt:lpwstr>_Toc390257341</vt:lpwstr>
      </vt:variant>
      <vt:variant>
        <vt:i4>2031669</vt:i4>
      </vt:variant>
      <vt:variant>
        <vt:i4>551</vt:i4>
      </vt:variant>
      <vt:variant>
        <vt:i4>0</vt:i4>
      </vt:variant>
      <vt:variant>
        <vt:i4>5</vt:i4>
      </vt:variant>
      <vt:variant>
        <vt:lpwstr/>
      </vt:variant>
      <vt:variant>
        <vt:lpwstr>_Toc390257340</vt:lpwstr>
      </vt:variant>
      <vt:variant>
        <vt:i4>1572917</vt:i4>
      </vt:variant>
      <vt:variant>
        <vt:i4>545</vt:i4>
      </vt:variant>
      <vt:variant>
        <vt:i4>0</vt:i4>
      </vt:variant>
      <vt:variant>
        <vt:i4>5</vt:i4>
      </vt:variant>
      <vt:variant>
        <vt:lpwstr/>
      </vt:variant>
      <vt:variant>
        <vt:lpwstr>_Toc390257339</vt:lpwstr>
      </vt:variant>
      <vt:variant>
        <vt:i4>1572917</vt:i4>
      </vt:variant>
      <vt:variant>
        <vt:i4>539</vt:i4>
      </vt:variant>
      <vt:variant>
        <vt:i4>0</vt:i4>
      </vt:variant>
      <vt:variant>
        <vt:i4>5</vt:i4>
      </vt:variant>
      <vt:variant>
        <vt:lpwstr/>
      </vt:variant>
      <vt:variant>
        <vt:lpwstr>_Toc390257338</vt:lpwstr>
      </vt:variant>
      <vt:variant>
        <vt:i4>1572917</vt:i4>
      </vt:variant>
      <vt:variant>
        <vt:i4>533</vt:i4>
      </vt:variant>
      <vt:variant>
        <vt:i4>0</vt:i4>
      </vt:variant>
      <vt:variant>
        <vt:i4>5</vt:i4>
      </vt:variant>
      <vt:variant>
        <vt:lpwstr/>
      </vt:variant>
      <vt:variant>
        <vt:lpwstr>_Toc390257337</vt:lpwstr>
      </vt:variant>
      <vt:variant>
        <vt:i4>1572917</vt:i4>
      </vt:variant>
      <vt:variant>
        <vt:i4>527</vt:i4>
      </vt:variant>
      <vt:variant>
        <vt:i4>0</vt:i4>
      </vt:variant>
      <vt:variant>
        <vt:i4>5</vt:i4>
      </vt:variant>
      <vt:variant>
        <vt:lpwstr/>
      </vt:variant>
      <vt:variant>
        <vt:lpwstr>_Toc390257336</vt:lpwstr>
      </vt:variant>
      <vt:variant>
        <vt:i4>1572917</vt:i4>
      </vt:variant>
      <vt:variant>
        <vt:i4>521</vt:i4>
      </vt:variant>
      <vt:variant>
        <vt:i4>0</vt:i4>
      </vt:variant>
      <vt:variant>
        <vt:i4>5</vt:i4>
      </vt:variant>
      <vt:variant>
        <vt:lpwstr/>
      </vt:variant>
      <vt:variant>
        <vt:lpwstr>_Toc390257335</vt:lpwstr>
      </vt:variant>
      <vt:variant>
        <vt:i4>1572917</vt:i4>
      </vt:variant>
      <vt:variant>
        <vt:i4>515</vt:i4>
      </vt:variant>
      <vt:variant>
        <vt:i4>0</vt:i4>
      </vt:variant>
      <vt:variant>
        <vt:i4>5</vt:i4>
      </vt:variant>
      <vt:variant>
        <vt:lpwstr/>
      </vt:variant>
      <vt:variant>
        <vt:lpwstr>_Toc390257334</vt:lpwstr>
      </vt:variant>
      <vt:variant>
        <vt:i4>1572917</vt:i4>
      </vt:variant>
      <vt:variant>
        <vt:i4>509</vt:i4>
      </vt:variant>
      <vt:variant>
        <vt:i4>0</vt:i4>
      </vt:variant>
      <vt:variant>
        <vt:i4>5</vt:i4>
      </vt:variant>
      <vt:variant>
        <vt:lpwstr/>
      </vt:variant>
      <vt:variant>
        <vt:lpwstr>_Toc390257333</vt:lpwstr>
      </vt:variant>
      <vt:variant>
        <vt:i4>1572917</vt:i4>
      </vt:variant>
      <vt:variant>
        <vt:i4>503</vt:i4>
      </vt:variant>
      <vt:variant>
        <vt:i4>0</vt:i4>
      </vt:variant>
      <vt:variant>
        <vt:i4>5</vt:i4>
      </vt:variant>
      <vt:variant>
        <vt:lpwstr/>
      </vt:variant>
      <vt:variant>
        <vt:lpwstr>_Toc390257332</vt:lpwstr>
      </vt:variant>
      <vt:variant>
        <vt:i4>1572917</vt:i4>
      </vt:variant>
      <vt:variant>
        <vt:i4>497</vt:i4>
      </vt:variant>
      <vt:variant>
        <vt:i4>0</vt:i4>
      </vt:variant>
      <vt:variant>
        <vt:i4>5</vt:i4>
      </vt:variant>
      <vt:variant>
        <vt:lpwstr/>
      </vt:variant>
      <vt:variant>
        <vt:lpwstr>_Toc390257331</vt:lpwstr>
      </vt:variant>
      <vt:variant>
        <vt:i4>1572917</vt:i4>
      </vt:variant>
      <vt:variant>
        <vt:i4>491</vt:i4>
      </vt:variant>
      <vt:variant>
        <vt:i4>0</vt:i4>
      </vt:variant>
      <vt:variant>
        <vt:i4>5</vt:i4>
      </vt:variant>
      <vt:variant>
        <vt:lpwstr/>
      </vt:variant>
      <vt:variant>
        <vt:lpwstr>_Toc390257330</vt:lpwstr>
      </vt:variant>
      <vt:variant>
        <vt:i4>1638453</vt:i4>
      </vt:variant>
      <vt:variant>
        <vt:i4>485</vt:i4>
      </vt:variant>
      <vt:variant>
        <vt:i4>0</vt:i4>
      </vt:variant>
      <vt:variant>
        <vt:i4>5</vt:i4>
      </vt:variant>
      <vt:variant>
        <vt:lpwstr/>
      </vt:variant>
      <vt:variant>
        <vt:lpwstr>_Toc390257329</vt:lpwstr>
      </vt:variant>
      <vt:variant>
        <vt:i4>1638453</vt:i4>
      </vt:variant>
      <vt:variant>
        <vt:i4>479</vt:i4>
      </vt:variant>
      <vt:variant>
        <vt:i4>0</vt:i4>
      </vt:variant>
      <vt:variant>
        <vt:i4>5</vt:i4>
      </vt:variant>
      <vt:variant>
        <vt:lpwstr/>
      </vt:variant>
      <vt:variant>
        <vt:lpwstr>_Toc390257328</vt:lpwstr>
      </vt:variant>
      <vt:variant>
        <vt:i4>1638453</vt:i4>
      </vt:variant>
      <vt:variant>
        <vt:i4>473</vt:i4>
      </vt:variant>
      <vt:variant>
        <vt:i4>0</vt:i4>
      </vt:variant>
      <vt:variant>
        <vt:i4>5</vt:i4>
      </vt:variant>
      <vt:variant>
        <vt:lpwstr/>
      </vt:variant>
      <vt:variant>
        <vt:lpwstr>_Toc390257327</vt:lpwstr>
      </vt:variant>
      <vt:variant>
        <vt:i4>1638453</vt:i4>
      </vt:variant>
      <vt:variant>
        <vt:i4>467</vt:i4>
      </vt:variant>
      <vt:variant>
        <vt:i4>0</vt:i4>
      </vt:variant>
      <vt:variant>
        <vt:i4>5</vt:i4>
      </vt:variant>
      <vt:variant>
        <vt:lpwstr/>
      </vt:variant>
      <vt:variant>
        <vt:lpwstr>_Toc390257326</vt:lpwstr>
      </vt:variant>
      <vt:variant>
        <vt:i4>1179702</vt:i4>
      </vt:variant>
      <vt:variant>
        <vt:i4>458</vt:i4>
      </vt:variant>
      <vt:variant>
        <vt:i4>0</vt:i4>
      </vt:variant>
      <vt:variant>
        <vt:i4>5</vt:i4>
      </vt:variant>
      <vt:variant>
        <vt:lpwstr/>
      </vt:variant>
      <vt:variant>
        <vt:lpwstr>_Toc390257095</vt:lpwstr>
      </vt:variant>
      <vt:variant>
        <vt:i4>1179702</vt:i4>
      </vt:variant>
      <vt:variant>
        <vt:i4>452</vt:i4>
      </vt:variant>
      <vt:variant>
        <vt:i4>0</vt:i4>
      </vt:variant>
      <vt:variant>
        <vt:i4>5</vt:i4>
      </vt:variant>
      <vt:variant>
        <vt:lpwstr/>
      </vt:variant>
      <vt:variant>
        <vt:lpwstr>_Toc390257094</vt:lpwstr>
      </vt:variant>
      <vt:variant>
        <vt:i4>1179702</vt:i4>
      </vt:variant>
      <vt:variant>
        <vt:i4>446</vt:i4>
      </vt:variant>
      <vt:variant>
        <vt:i4>0</vt:i4>
      </vt:variant>
      <vt:variant>
        <vt:i4>5</vt:i4>
      </vt:variant>
      <vt:variant>
        <vt:lpwstr/>
      </vt:variant>
      <vt:variant>
        <vt:lpwstr>_Toc390257093</vt:lpwstr>
      </vt:variant>
      <vt:variant>
        <vt:i4>1179702</vt:i4>
      </vt:variant>
      <vt:variant>
        <vt:i4>440</vt:i4>
      </vt:variant>
      <vt:variant>
        <vt:i4>0</vt:i4>
      </vt:variant>
      <vt:variant>
        <vt:i4>5</vt:i4>
      </vt:variant>
      <vt:variant>
        <vt:lpwstr/>
      </vt:variant>
      <vt:variant>
        <vt:lpwstr>_Toc390257092</vt:lpwstr>
      </vt:variant>
      <vt:variant>
        <vt:i4>1179702</vt:i4>
      </vt:variant>
      <vt:variant>
        <vt:i4>434</vt:i4>
      </vt:variant>
      <vt:variant>
        <vt:i4>0</vt:i4>
      </vt:variant>
      <vt:variant>
        <vt:i4>5</vt:i4>
      </vt:variant>
      <vt:variant>
        <vt:lpwstr/>
      </vt:variant>
      <vt:variant>
        <vt:lpwstr>_Toc390257091</vt:lpwstr>
      </vt:variant>
      <vt:variant>
        <vt:i4>1179702</vt:i4>
      </vt:variant>
      <vt:variant>
        <vt:i4>428</vt:i4>
      </vt:variant>
      <vt:variant>
        <vt:i4>0</vt:i4>
      </vt:variant>
      <vt:variant>
        <vt:i4>5</vt:i4>
      </vt:variant>
      <vt:variant>
        <vt:lpwstr/>
      </vt:variant>
      <vt:variant>
        <vt:lpwstr>_Toc390257090</vt:lpwstr>
      </vt:variant>
      <vt:variant>
        <vt:i4>1245238</vt:i4>
      </vt:variant>
      <vt:variant>
        <vt:i4>422</vt:i4>
      </vt:variant>
      <vt:variant>
        <vt:i4>0</vt:i4>
      </vt:variant>
      <vt:variant>
        <vt:i4>5</vt:i4>
      </vt:variant>
      <vt:variant>
        <vt:lpwstr/>
      </vt:variant>
      <vt:variant>
        <vt:lpwstr>_Toc390257089</vt:lpwstr>
      </vt:variant>
      <vt:variant>
        <vt:i4>1245238</vt:i4>
      </vt:variant>
      <vt:variant>
        <vt:i4>416</vt:i4>
      </vt:variant>
      <vt:variant>
        <vt:i4>0</vt:i4>
      </vt:variant>
      <vt:variant>
        <vt:i4>5</vt:i4>
      </vt:variant>
      <vt:variant>
        <vt:lpwstr/>
      </vt:variant>
      <vt:variant>
        <vt:lpwstr>_Toc390257088</vt:lpwstr>
      </vt:variant>
      <vt:variant>
        <vt:i4>1245238</vt:i4>
      </vt:variant>
      <vt:variant>
        <vt:i4>410</vt:i4>
      </vt:variant>
      <vt:variant>
        <vt:i4>0</vt:i4>
      </vt:variant>
      <vt:variant>
        <vt:i4>5</vt:i4>
      </vt:variant>
      <vt:variant>
        <vt:lpwstr/>
      </vt:variant>
      <vt:variant>
        <vt:lpwstr>_Toc390257087</vt:lpwstr>
      </vt:variant>
      <vt:variant>
        <vt:i4>1245238</vt:i4>
      </vt:variant>
      <vt:variant>
        <vt:i4>404</vt:i4>
      </vt:variant>
      <vt:variant>
        <vt:i4>0</vt:i4>
      </vt:variant>
      <vt:variant>
        <vt:i4>5</vt:i4>
      </vt:variant>
      <vt:variant>
        <vt:lpwstr/>
      </vt:variant>
      <vt:variant>
        <vt:lpwstr>_Toc390257086</vt:lpwstr>
      </vt:variant>
      <vt:variant>
        <vt:i4>1245238</vt:i4>
      </vt:variant>
      <vt:variant>
        <vt:i4>398</vt:i4>
      </vt:variant>
      <vt:variant>
        <vt:i4>0</vt:i4>
      </vt:variant>
      <vt:variant>
        <vt:i4>5</vt:i4>
      </vt:variant>
      <vt:variant>
        <vt:lpwstr/>
      </vt:variant>
      <vt:variant>
        <vt:lpwstr>_Toc390257085</vt:lpwstr>
      </vt:variant>
      <vt:variant>
        <vt:i4>1245238</vt:i4>
      </vt:variant>
      <vt:variant>
        <vt:i4>392</vt:i4>
      </vt:variant>
      <vt:variant>
        <vt:i4>0</vt:i4>
      </vt:variant>
      <vt:variant>
        <vt:i4>5</vt:i4>
      </vt:variant>
      <vt:variant>
        <vt:lpwstr/>
      </vt:variant>
      <vt:variant>
        <vt:lpwstr>_Toc390257084</vt:lpwstr>
      </vt:variant>
      <vt:variant>
        <vt:i4>1245238</vt:i4>
      </vt:variant>
      <vt:variant>
        <vt:i4>386</vt:i4>
      </vt:variant>
      <vt:variant>
        <vt:i4>0</vt:i4>
      </vt:variant>
      <vt:variant>
        <vt:i4>5</vt:i4>
      </vt:variant>
      <vt:variant>
        <vt:lpwstr/>
      </vt:variant>
      <vt:variant>
        <vt:lpwstr>_Toc390257083</vt:lpwstr>
      </vt:variant>
      <vt:variant>
        <vt:i4>1245238</vt:i4>
      </vt:variant>
      <vt:variant>
        <vt:i4>380</vt:i4>
      </vt:variant>
      <vt:variant>
        <vt:i4>0</vt:i4>
      </vt:variant>
      <vt:variant>
        <vt:i4>5</vt:i4>
      </vt:variant>
      <vt:variant>
        <vt:lpwstr/>
      </vt:variant>
      <vt:variant>
        <vt:lpwstr>_Toc390257082</vt:lpwstr>
      </vt:variant>
      <vt:variant>
        <vt:i4>1245238</vt:i4>
      </vt:variant>
      <vt:variant>
        <vt:i4>374</vt:i4>
      </vt:variant>
      <vt:variant>
        <vt:i4>0</vt:i4>
      </vt:variant>
      <vt:variant>
        <vt:i4>5</vt:i4>
      </vt:variant>
      <vt:variant>
        <vt:lpwstr/>
      </vt:variant>
      <vt:variant>
        <vt:lpwstr>_Toc390257081</vt:lpwstr>
      </vt:variant>
      <vt:variant>
        <vt:i4>1245238</vt:i4>
      </vt:variant>
      <vt:variant>
        <vt:i4>368</vt:i4>
      </vt:variant>
      <vt:variant>
        <vt:i4>0</vt:i4>
      </vt:variant>
      <vt:variant>
        <vt:i4>5</vt:i4>
      </vt:variant>
      <vt:variant>
        <vt:lpwstr/>
      </vt:variant>
      <vt:variant>
        <vt:lpwstr>_Toc390257080</vt:lpwstr>
      </vt:variant>
      <vt:variant>
        <vt:i4>1835062</vt:i4>
      </vt:variant>
      <vt:variant>
        <vt:i4>362</vt:i4>
      </vt:variant>
      <vt:variant>
        <vt:i4>0</vt:i4>
      </vt:variant>
      <vt:variant>
        <vt:i4>5</vt:i4>
      </vt:variant>
      <vt:variant>
        <vt:lpwstr/>
      </vt:variant>
      <vt:variant>
        <vt:lpwstr>_Toc390257079</vt:lpwstr>
      </vt:variant>
      <vt:variant>
        <vt:i4>1835062</vt:i4>
      </vt:variant>
      <vt:variant>
        <vt:i4>356</vt:i4>
      </vt:variant>
      <vt:variant>
        <vt:i4>0</vt:i4>
      </vt:variant>
      <vt:variant>
        <vt:i4>5</vt:i4>
      </vt:variant>
      <vt:variant>
        <vt:lpwstr/>
      </vt:variant>
      <vt:variant>
        <vt:lpwstr>_Toc390257078</vt:lpwstr>
      </vt:variant>
      <vt:variant>
        <vt:i4>1835062</vt:i4>
      </vt:variant>
      <vt:variant>
        <vt:i4>350</vt:i4>
      </vt:variant>
      <vt:variant>
        <vt:i4>0</vt:i4>
      </vt:variant>
      <vt:variant>
        <vt:i4>5</vt:i4>
      </vt:variant>
      <vt:variant>
        <vt:lpwstr/>
      </vt:variant>
      <vt:variant>
        <vt:lpwstr>_Toc390257077</vt:lpwstr>
      </vt:variant>
      <vt:variant>
        <vt:i4>1835062</vt:i4>
      </vt:variant>
      <vt:variant>
        <vt:i4>344</vt:i4>
      </vt:variant>
      <vt:variant>
        <vt:i4>0</vt:i4>
      </vt:variant>
      <vt:variant>
        <vt:i4>5</vt:i4>
      </vt:variant>
      <vt:variant>
        <vt:lpwstr/>
      </vt:variant>
      <vt:variant>
        <vt:lpwstr>_Toc390257076</vt:lpwstr>
      </vt:variant>
      <vt:variant>
        <vt:i4>1835062</vt:i4>
      </vt:variant>
      <vt:variant>
        <vt:i4>338</vt:i4>
      </vt:variant>
      <vt:variant>
        <vt:i4>0</vt:i4>
      </vt:variant>
      <vt:variant>
        <vt:i4>5</vt:i4>
      </vt:variant>
      <vt:variant>
        <vt:lpwstr/>
      </vt:variant>
      <vt:variant>
        <vt:lpwstr>_Toc390257075</vt:lpwstr>
      </vt:variant>
      <vt:variant>
        <vt:i4>1835062</vt:i4>
      </vt:variant>
      <vt:variant>
        <vt:i4>332</vt:i4>
      </vt:variant>
      <vt:variant>
        <vt:i4>0</vt:i4>
      </vt:variant>
      <vt:variant>
        <vt:i4>5</vt:i4>
      </vt:variant>
      <vt:variant>
        <vt:lpwstr/>
      </vt:variant>
      <vt:variant>
        <vt:lpwstr>_Toc390257074</vt:lpwstr>
      </vt:variant>
      <vt:variant>
        <vt:i4>1835062</vt:i4>
      </vt:variant>
      <vt:variant>
        <vt:i4>326</vt:i4>
      </vt:variant>
      <vt:variant>
        <vt:i4>0</vt:i4>
      </vt:variant>
      <vt:variant>
        <vt:i4>5</vt:i4>
      </vt:variant>
      <vt:variant>
        <vt:lpwstr/>
      </vt:variant>
      <vt:variant>
        <vt:lpwstr>_Toc390257073</vt:lpwstr>
      </vt:variant>
      <vt:variant>
        <vt:i4>1835062</vt:i4>
      </vt:variant>
      <vt:variant>
        <vt:i4>320</vt:i4>
      </vt:variant>
      <vt:variant>
        <vt:i4>0</vt:i4>
      </vt:variant>
      <vt:variant>
        <vt:i4>5</vt:i4>
      </vt:variant>
      <vt:variant>
        <vt:lpwstr/>
      </vt:variant>
      <vt:variant>
        <vt:lpwstr>_Toc390257072</vt:lpwstr>
      </vt:variant>
      <vt:variant>
        <vt:i4>1835062</vt:i4>
      </vt:variant>
      <vt:variant>
        <vt:i4>314</vt:i4>
      </vt:variant>
      <vt:variant>
        <vt:i4>0</vt:i4>
      </vt:variant>
      <vt:variant>
        <vt:i4>5</vt:i4>
      </vt:variant>
      <vt:variant>
        <vt:lpwstr/>
      </vt:variant>
      <vt:variant>
        <vt:lpwstr>_Toc390257071</vt:lpwstr>
      </vt:variant>
      <vt:variant>
        <vt:i4>1835062</vt:i4>
      </vt:variant>
      <vt:variant>
        <vt:i4>308</vt:i4>
      </vt:variant>
      <vt:variant>
        <vt:i4>0</vt:i4>
      </vt:variant>
      <vt:variant>
        <vt:i4>5</vt:i4>
      </vt:variant>
      <vt:variant>
        <vt:lpwstr/>
      </vt:variant>
      <vt:variant>
        <vt:lpwstr>_Toc390257070</vt:lpwstr>
      </vt:variant>
      <vt:variant>
        <vt:i4>1900598</vt:i4>
      </vt:variant>
      <vt:variant>
        <vt:i4>302</vt:i4>
      </vt:variant>
      <vt:variant>
        <vt:i4>0</vt:i4>
      </vt:variant>
      <vt:variant>
        <vt:i4>5</vt:i4>
      </vt:variant>
      <vt:variant>
        <vt:lpwstr/>
      </vt:variant>
      <vt:variant>
        <vt:lpwstr>_Toc390257069</vt:lpwstr>
      </vt:variant>
      <vt:variant>
        <vt:i4>1900598</vt:i4>
      </vt:variant>
      <vt:variant>
        <vt:i4>296</vt:i4>
      </vt:variant>
      <vt:variant>
        <vt:i4>0</vt:i4>
      </vt:variant>
      <vt:variant>
        <vt:i4>5</vt:i4>
      </vt:variant>
      <vt:variant>
        <vt:lpwstr/>
      </vt:variant>
      <vt:variant>
        <vt:lpwstr>_Toc390257068</vt:lpwstr>
      </vt:variant>
      <vt:variant>
        <vt:i4>1900598</vt:i4>
      </vt:variant>
      <vt:variant>
        <vt:i4>290</vt:i4>
      </vt:variant>
      <vt:variant>
        <vt:i4>0</vt:i4>
      </vt:variant>
      <vt:variant>
        <vt:i4>5</vt:i4>
      </vt:variant>
      <vt:variant>
        <vt:lpwstr/>
      </vt:variant>
      <vt:variant>
        <vt:lpwstr>_Toc390257067</vt:lpwstr>
      </vt:variant>
      <vt:variant>
        <vt:i4>1900598</vt:i4>
      </vt:variant>
      <vt:variant>
        <vt:i4>284</vt:i4>
      </vt:variant>
      <vt:variant>
        <vt:i4>0</vt:i4>
      </vt:variant>
      <vt:variant>
        <vt:i4>5</vt:i4>
      </vt:variant>
      <vt:variant>
        <vt:lpwstr/>
      </vt:variant>
      <vt:variant>
        <vt:lpwstr>_Toc390257066</vt:lpwstr>
      </vt:variant>
      <vt:variant>
        <vt:i4>1900598</vt:i4>
      </vt:variant>
      <vt:variant>
        <vt:i4>278</vt:i4>
      </vt:variant>
      <vt:variant>
        <vt:i4>0</vt:i4>
      </vt:variant>
      <vt:variant>
        <vt:i4>5</vt:i4>
      </vt:variant>
      <vt:variant>
        <vt:lpwstr/>
      </vt:variant>
      <vt:variant>
        <vt:lpwstr>_Toc390257065</vt:lpwstr>
      </vt:variant>
      <vt:variant>
        <vt:i4>1900598</vt:i4>
      </vt:variant>
      <vt:variant>
        <vt:i4>272</vt:i4>
      </vt:variant>
      <vt:variant>
        <vt:i4>0</vt:i4>
      </vt:variant>
      <vt:variant>
        <vt:i4>5</vt:i4>
      </vt:variant>
      <vt:variant>
        <vt:lpwstr/>
      </vt:variant>
      <vt:variant>
        <vt:lpwstr>_Toc390257064</vt:lpwstr>
      </vt:variant>
      <vt:variant>
        <vt:i4>1900598</vt:i4>
      </vt:variant>
      <vt:variant>
        <vt:i4>266</vt:i4>
      </vt:variant>
      <vt:variant>
        <vt:i4>0</vt:i4>
      </vt:variant>
      <vt:variant>
        <vt:i4>5</vt:i4>
      </vt:variant>
      <vt:variant>
        <vt:lpwstr/>
      </vt:variant>
      <vt:variant>
        <vt:lpwstr>_Toc390257063</vt:lpwstr>
      </vt:variant>
      <vt:variant>
        <vt:i4>1900598</vt:i4>
      </vt:variant>
      <vt:variant>
        <vt:i4>260</vt:i4>
      </vt:variant>
      <vt:variant>
        <vt:i4>0</vt:i4>
      </vt:variant>
      <vt:variant>
        <vt:i4>5</vt:i4>
      </vt:variant>
      <vt:variant>
        <vt:lpwstr/>
      </vt:variant>
      <vt:variant>
        <vt:lpwstr>_Toc390257062</vt:lpwstr>
      </vt:variant>
      <vt:variant>
        <vt:i4>1900598</vt:i4>
      </vt:variant>
      <vt:variant>
        <vt:i4>254</vt:i4>
      </vt:variant>
      <vt:variant>
        <vt:i4>0</vt:i4>
      </vt:variant>
      <vt:variant>
        <vt:i4>5</vt:i4>
      </vt:variant>
      <vt:variant>
        <vt:lpwstr/>
      </vt:variant>
      <vt:variant>
        <vt:lpwstr>_Toc390257061</vt:lpwstr>
      </vt:variant>
      <vt:variant>
        <vt:i4>1900598</vt:i4>
      </vt:variant>
      <vt:variant>
        <vt:i4>248</vt:i4>
      </vt:variant>
      <vt:variant>
        <vt:i4>0</vt:i4>
      </vt:variant>
      <vt:variant>
        <vt:i4>5</vt:i4>
      </vt:variant>
      <vt:variant>
        <vt:lpwstr/>
      </vt:variant>
      <vt:variant>
        <vt:lpwstr>_Toc390257060</vt:lpwstr>
      </vt:variant>
      <vt:variant>
        <vt:i4>1966134</vt:i4>
      </vt:variant>
      <vt:variant>
        <vt:i4>242</vt:i4>
      </vt:variant>
      <vt:variant>
        <vt:i4>0</vt:i4>
      </vt:variant>
      <vt:variant>
        <vt:i4>5</vt:i4>
      </vt:variant>
      <vt:variant>
        <vt:lpwstr/>
      </vt:variant>
      <vt:variant>
        <vt:lpwstr>_Toc390257059</vt:lpwstr>
      </vt:variant>
      <vt:variant>
        <vt:i4>1966134</vt:i4>
      </vt:variant>
      <vt:variant>
        <vt:i4>236</vt:i4>
      </vt:variant>
      <vt:variant>
        <vt:i4>0</vt:i4>
      </vt:variant>
      <vt:variant>
        <vt:i4>5</vt:i4>
      </vt:variant>
      <vt:variant>
        <vt:lpwstr/>
      </vt:variant>
      <vt:variant>
        <vt:lpwstr>_Toc390257058</vt:lpwstr>
      </vt:variant>
      <vt:variant>
        <vt:i4>1966134</vt:i4>
      </vt:variant>
      <vt:variant>
        <vt:i4>230</vt:i4>
      </vt:variant>
      <vt:variant>
        <vt:i4>0</vt:i4>
      </vt:variant>
      <vt:variant>
        <vt:i4>5</vt:i4>
      </vt:variant>
      <vt:variant>
        <vt:lpwstr/>
      </vt:variant>
      <vt:variant>
        <vt:lpwstr>_Toc390257057</vt:lpwstr>
      </vt:variant>
      <vt:variant>
        <vt:i4>1572913</vt:i4>
      </vt:variant>
      <vt:variant>
        <vt:i4>221</vt:i4>
      </vt:variant>
      <vt:variant>
        <vt:i4>0</vt:i4>
      </vt:variant>
      <vt:variant>
        <vt:i4>5</vt:i4>
      </vt:variant>
      <vt:variant>
        <vt:lpwstr/>
      </vt:variant>
      <vt:variant>
        <vt:lpwstr>_Toc390262463</vt:lpwstr>
      </vt:variant>
      <vt:variant>
        <vt:i4>1572913</vt:i4>
      </vt:variant>
      <vt:variant>
        <vt:i4>215</vt:i4>
      </vt:variant>
      <vt:variant>
        <vt:i4>0</vt:i4>
      </vt:variant>
      <vt:variant>
        <vt:i4>5</vt:i4>
      </vt:variant>
      <vt:variant>
        <vt:lpwstr/>
      </vt:variant>
      <vt:variant>
        <vt:lpwstr>_Toc390262462</vt:lpwstr>
      </vt:variant>
      <vt:variant>
        <vt:i4>1572913</vt:i4>
      </vt:variant>
      <vt:variant>
        <vt:i4>209</vt:i4>
      </vt:variant>
      <vt:variant>
        <vt:i4>0</vt:i4>
      </vt:variant>
      <vt:variant>
        <vt:i4>5</vt:i4>
      </vt:variant>
      <vt:variant>
        <vt:lpwstr/>
      </vt:variant>
      <vt:variant>
        <vt:lpwstr>_Toc390262461</vt:lpwstr>
      </vt:variant>
      <vt:variant>
        <vt:i4>1572913</vt:i4>
      </vt:variant>
      <vt:variant>
        <vt:i4>203</vt:i4>
      </vt:variant>
      <vt:variant>
        <vt:i4>0</vt:i4>
      </vt:variant>
      <vt:variant>
        <vt:i4>5</vt:i4>
      </vt:variant>
      <vt:variant>
        <vt:lpwstr/>
      </vt:variant>
      <vt:variant>
        <vt:lpwstr>_Toc390262460</vt:lpwstr>
      </vt:variant>
      <vt:variant>
        <vt:i4>1769521</vt:i4>
      </vt:variant>
      <vt:variant>
        <vt:i4>197</vt:i4>
      </vt:variant>
      <vt:variant>
        <vt:i4>0</vt:i4>
      </vt:variant>
      <vt:variant>
        <vt:i4>5</vt:i4>
      </vt:variant>
      <vt:variant>
        <vt:lpwstr/>
      </vt:variant>
      <vt:variant>
        <vt:lpwstr>_Toc390262459</vt:lpwstr>
      </vt:variant>
      <vt:variant>
        <vt:i4>1769521</vt:i4>
      </vt:variant>
      <vt:variant>
        <vt:i4>191</vt:i4>
      </vt:variant>
      <vt:variant>
        <vt:i4>0</vt:i4>
      </vt:variant>
      <vt:variant>
        <vt:i4>5</vt:i4>
      </vt:variant>
      <vt:variant>
        <vt:lpwstr/>
      </vt:variant>
      <vt:variant>
        <vt:lpwstr>_Toc390262458</vt:lpwstr>
      </vt:variant>
      <vt:variant>
        <vt:i4>1769521</vt:i4>
      </vt:variant>
      <vt:variant>
        <vt:i4>185</vt:i4>
      </vt:variant>
      <vt:variant>
        <vt:i4>0</vt:i4>
      </vt:variant>
      <vt:variant>
        <vt:i4>5</vt:i4>
      </vt:variant>
      <vt:variant>
        <vt:lpwstr/>
      </vt:variant>
      <vt:variant>
        <vt:lpwstr>_Toc390262457</vt:lpwstr>
      </vt:variant>
      <vt:variant>
        <vt:i4>1769521</vt:i4>
      </vt:variant>
      <vt:variant>
        <vt:i4>179</vt:i4>
      </vt:variant>
      <vt:variant>
        <vt:i4>0</vt:i4>
      </vt:variant>
      <vt:variant>
        <vt:i4>5</vt:i4>
      </vt:variant>
      <vt:variant>
        <vt:lpwstr/>
      </vt:variant>
      <vt:variant>
        <vt:lpwstr>_Toc390262456</vt:lpwstr>
      </vt:variant>
      <vt:variant>
        <vt:i4>1769521</vt:i4>
      </vt:variant>
      <vt:variant>
        <vt:i4>173</vt:i4>
      </vt:variant>
      <vt:variant>
        <vt:i4>0</vt:i4>
      </vt:variant>
      <vt:variant>
        <vt:i4>5</vt:i4>
      </vt:variant>
      <vt:variant>
        <vt:lpwstr/>
      </vt:variant>
      <vt:variant>
        <vt:lpwstr>_Toc390262455</vt:lpwstr>
      </vt:variant>
      <vt:variant>
        <vt:i4>1769521</vt:i4>
      </vt:variant>
      <vt:variant>
        <vt:i4>167</vt:i4>
      </vt:variant>
      <vt:variant>
        <vt:i4>0</vt:i4>
      </vt:variant>
      <vt:variant>
        <vt:i4>5</vt:i4>
      </vt:variant>
      <vt:variant>
        <vt:lpwstr/>
      </vt:variant>
      <vt:variant>
        <vt:lpwstr>_Toc390262454</vt:lpwstr>
      </vt:variant>
      <vt:variant>
        <vt:i4>1769521</vt:i4>
      </vt:variant>
      <vt:variant>
        <vt:i4>161</vt:i4>
      </vt:variant>
      <vt:variant>
        <vt:i4>0</vt:i4>
      </vt:variant>
      <vt:variant>
        <vt:i4>5</vt:i4>
      </vt:variant>
      <vt:variant>
        <vt:lpwstr/>
      </vt:variant>
      <vt:variant>
        <vt:lpwstr>_Toc390262453</vt:lpwstr>
      </vt:variant>
      <vt:variant>
        <vt:i4>1769521</vt:i4>
      </vt:variant>
      <vt:variant>
        <vt:i4>155</vt:i4>
      </vt:variant>
      <vt:variant>
        <vt:i4>0</vt:i4>
      </vt:variant>
      <vt:variant>
        <vt:i4>5</vt:i4>
      </vt:variant>
      <vt:variant>
        <vt:lpwstr/>
      </vt:variant>
      <vt:variant>
        <vt:lpwstr>_Toc390262452</vt:lpwstr>
      </vt:variant>
      <vt:variant>
        <vt:i4>1769521</vt:i4>
      </vt:variant>
      <vt:variant>
        <vt:i4>149</vt:i4>
      </vt:variant>
      <vt:variant>
        <vt:i4>0</vt:i4>
      </vt:variant>
      <vt:variant>
        <vt:i4>5</vt:i4>
      </vt:variant>
      <vt:variant>
        <vt:lpwstr/>
      </vt:variant>
      <vt:variant>
        <vt:lpwstr>_Toc390262451</vt:lpwstr>
      </vt:variant>
      <vt:variant>
        <vt:i4>1769521</vt:i4>
      </vt:variant>
      <vt:variant>
        <vt:i4>143</vt:i4>
      </vt:variant>
      <vt:variant>
        <vt:i4>0</vt:i4>
      </vt:variant>
      <vt:variant>
        <vt:i4>5</vt:i4>
      </vt:variant>
      <vt:variant>
        <vt:lpwstr/>
      </vt:variant>
      <vt:variant>
        <vt:lpwstr>_Toc390262450</vt:lpwstr>
      </vt:variant>
      <vt:variant>
        <vt:i4>1703985</vt:i4>
      </vt:variant>
      <vt:variant>
        <vt:i4>137</vt:i4>
      </vt:variant>
      <vt:variant>
        <vt:i4>0</vt:i4>
      </vt:variant>
      <vt:variant>
        <vt:i4>5</vt:i4>
      </vt:variant>
      <vt:variant>
        <vt:lpwstr/>
      </vt:variant>
      <vt:variant>
        <vt:lpwstr>_Toc390262449</vt:lpwstr>
      </vt:variant>
      <vt:variant>
        <vt:i4>1703985</vt:i4>
      </vt:variant>
      <vt:variant>
        <vt:i4>131</vt:i4>
      </vt:variant>
      <vt:variant>
        <vt:i4>0</vt:i4>
      </vt:variant>
      <vt:variant>
        <vt:i4>5</vt:i4>
      </vt:variant>
      <vt:variant>
        <vt:lpwstr/>
      </vt:variant>
      <vt:variant>
        <vt:lpwstr>_Toc390262448</vt:lpwstr>
      </vt:variant>
      <vt:variant>
        <vt:i4>1703985</vt:i4>
      </vt:variant>
      <vt:variant>
        <vt:i4>125</vt:i4>
      </vt:variant>
      <vt:variant>
        <vt:i4>0</vt:i4>
      </vt:variant>
      <vt:variant>
        <vt:i4>5</vt:i4>
      </vt:variant>
      <vt:variant>
        <vt:lpwstr/>
      </vt:variant>
      <vt:variant>
        <vt:lpwstr>_Toc390262447</vt:lpwstr>
      </vt:variant>
      <vt:variant>
        <vt:i4>1703985</vt:i4>
      </vt:variant>
      <vt:variant>
        <vt:i4>119</vt:i4>
      </vt:variant>
      <vt:variant>
        <vt:i4>0</vt:i4>
      </vt:variant>
      <vt:variant>
        <vt:i4>5</vt:i4>
      </vt:variant>
      <vt:variant>
        <vt:lpwstr/>
      </vt:variant>
      <vt:variant>
        <vt:lpwstr>_Toc390262446</vt:lpwstr>
      </vt:variant>
      <vt:variant>
        <vt:i4>1703985</vt:i4>
      </vt:variant>
      <vt:variant>
        <vt:i4>113</vt:i4>
      </vt:variant>
      <vt:variant>
        <vt:i4>0</vt:i4>
      </vt:variant>
      <vt:variant>
        <vt:i4>5</vt:i4>
      </vt:variant>
      <vt:variant>
        <vt:lpwstr/>
      </vt:variant>
      <vt:variant>
        <vt:lpwstr>_Toc390262445</vt:lpwstr>
      </vt:variant>
      <vt:variant>
        <vt:i4>1703985</vt:i4>
      </vt:variant>
      <vt:variant>
        <vt:i4>107</vt:i4>
      </vt:variant>
      <vt:variant>
        <vt:i4>0</vt:i4>
      </vt:variant>
      <vt:variant>
        <vt:i4>5</vt:i4>
      </vt:variant>
      <vt:variant>
        <vt:lpwstr/>
      </vt:variant>
      <vt:variant>
        <vt:lpwstr>_Toc390262444</vt:lpwstr>
      </vt:variant>
      <vt:variant>
        <vt:i4>1703985</vt:i4>
      </vt:variant>
      <vt:variant>
        <vt:i4>101</vt:i4>
      </vt:variant>
      <vt:variant>
        <vt:i4>0</vt:i4>
      </vt:variant>
      <vt:variant>
        <vt:i4>5</vt:i4>
      </vt:variant>
      <vt:variant>
        <vt:lpwstr/>
      </vt:variant>
      <vt:variant>
        <vt:lpwstr>_Toc390262443</vt:lpwstr>
      </vt:variant>
      <vt:variant>
        <vt:i4>1703985</vt:i4>
      </vt:variant>
      <vt:variant>
        <vt:i4>95</vt:i4>
      </vt:variant>
      <vt:variant>
        <vt:i4>0</vt:i4>
      </vt:variant>
      <vt:variant>
        <vt:i4>5</vt:i4>
      </vt:variant>
      <vt:variant>
        <vt:lpwstr/>
      </vt:variant>
      <vt:variant>
        <vt:lpwstr>_Toc390262442</vt:lpwstr>
      </vt:variant>
      <vt:variant>
        <vt:i4>1703985</vt:i4>
      </vt:variant>
      <vt:variant>
        <vt:i4>89</vt:i4>
      </vt:variant>
      <vt:variant>
        <vt:i4>0</vt:i4>
      </vt:variant>
      <vt:variant>
        <vt:i4>5</vt:i4>
      </vt:variant>
      <vt:variant>
        <vt:lpwstr/>
      </vt:variant>
      <vt:variant>
        <vt:lpwstr>_Toc390262441</vt:lpwstr>
      </vt:variant>
      <vt:variant>
        <vt:i4>1703985</vt:i4>
      </vt:variant>
      <vt:variant>
        <vt:i4>83</vt:i4>
      </vt:variant>
      <vt:variant>
        <vt:i4>0</vt:i4>
      </vt:variant>
      <vt:variant>
        <vt:i4>5</vt:i4>
      </vt:variant>
      <vt:variant>
        <vt:lpwstr/>
      </vt:variant>
      <vt:variant>
        <vt:lpwstr>_Toc390262440</vt:lpwstr>
      </vt:variant>
      <vt:variant>
        <vt:i4>1900593</vt:i4>
      </vt:variant>
      <vt:variant>
        <vt:i4>77</vt:i4>
      </vt:variant>
      <vt:variant>
        <vt:i4>0</vt:i4>
      </vt:variant>
      <vt:variant>
        <vt:i4>5</vt:i4>
      </vt:variant>
      <vt:variant>
        <vt:lpwstr/>
      </vt:variant>
      <vt:variant>
        <vt:lpwstr>_Toc390262439</vt:lpwstr>
      </vt:variant>
      <vt:variant>
        <vt:i4>1900593</vt:i4>
      </vt:variant>
      <vt:variant>
        <vt:i4>71</vt:i4>
      </vt:variant>
      <vt:variant>
        <vt:i4>0</vt:i4>
      </vt:variant>
      <vt:variant>
        <vt:i4>5</vt:i4>
      </vt:variant>
      <vt:variant>
        <vt:lpwstr/>
      </vt:variant>
      <vt:variant>
        <vt:lpwstr>_Toc390262438</vt:lpwstr>
      </vt:variant>
      <vt:variant>
        <vt:i4>1900593</vt:i4>
      </vt:variant>
      <vt:variant>
        <vt:i4>65</vt:i4>
      </vt:variant>
      <vt:variant>
        <vt:i4>0</vt:i4>
      </vt:variant>
      <vt:variant>
        <vt:i4>5</vt:i4>
      </vt:variant>
      <vt:variant>
        <vt:lpwstr/>
      </vt:variant>
      <vt:variant>
        <vt:lpwstr>_Toc390262437</vt:lpwstr>
      </vt:variant>
      <vt:variant>
        <vt:i4>1900593</vt:i4>
      </vt:variant>
      <vt:variant>
        <vt:i4>59</vt:i4>
      </vt:variant>
      <vt:variant>
        <vt:i4>0</vt:i4>
      </vt:variant>
      <vt:variant>
        <vt:i4>5</vt:i4>
      </vt:variant>
      <vt:variant>
        <vt:lpwstr/>
      </vt:variant>
      <vt:variant>
        <vt:lpwstr>_Toc390262436</vt:lpwstr>
      </vt:variant>
      <vt:variant>
        <vt:i4>1900593</vt:i4>
      </vt:variant>
      <vt:variant>
        <vt:i4>53</vt:i4>
      </vt:variant>
      <vt:variant>
        <vt:i4>0</vt:i4>
      </vt:variant>
      <vt:variant>
        <vt:i4>5</vt:i4>
      </vt:variant>
      <vt:variant>
        <vt:lpwstr/>
      </vt:variant>
      <vt:variant>
        <vt:lpwstr>_Toc390262435</vt:lpwstr>
      </vt:variant>
      <vt:variant>
        <vt:i4>1900593</vt:i4>
      </vt:variant>
      <vt:variant>
        <vt:i4>47</vt:i4>
      </vt:variant>
      <vt:variant>
        <vt:i4>0</vt:i4>
      </vt:variant>
      <vt:variant>
        <vt:i4>5</vt:i4>
      </vt:variant>
      <vt:variant>
        <vt:lpwstr/>
      </vt:variant>
      <vt:variant>
        <vt:lpwstr>_Toc390262434</vt:lpwstr>
      </vt:variant>
      <vt:variant>
        <vt:i4>1900593</vt:i4>
      </vt:variant>
      <vt:variant>
        <vt:i4>41</vt:i4>
      </vt:variant>
      <vt:variant>
        <vt:i4>0</vt:i4>
      </vt:variant>
      <vt:variant>
        <vt:i4>5</vt:i4>
      </vt:variant>
      <vt:variant>
        <vt:lpwstr/>
      </vt:variant>
      <vt:variant>
        <vt:lpwstr>_Toc390262433</vt:lpwstr>
      </vt:variant>
      <vt:variant>
        <vt:i4>1900593</vt:i4>
      </vt:variant>
      <vt:variant>
        <vt:i4>35</vt:i4>
      </vt:variant>
      <vt:variant>
        <vt:i4>0</vt:i4>
      </vt:variant>
      <vt:variant>
        <vt:i4>5</vt:i4>
      </vt:variant>
      <vt:variant>
        <vt:lpwstr/>
      </vt:variant>
      <vt:variant>
        <vt:lpwstr>_Toc390262432</vt:lpwstr>
      </vt:variant>
      <vt:variant>
        <vt:i4>1900593</vt:i4>
      </vt:variant>
      <vt:variant>
        <vt:i4>29</vt:i4>
      </vt:variant>
      <vt:variant>
        <vt:i4>0</vt:i4>
      </vt:variant>
      <vt:variant>
        <vt:i4>5</vt:i4>
      </vt:variant>
      <vt:variant>
        <vt:lpwstr/>
      </vt:variant>
      <vt:variant>
        <vt:lpwstr>_Toc390262431</vt:lpwstr>
      </vt:variant>
      <vt:variant>
        <vt:i4>1900593</vt:i4>
      </vt:variant>
      <vt:variant>
        <vt:i4>23</vt:i4>
      </vt:variant>
      <vt:variant>
        <vt:i4>0</vt:i4>
      </vt:variant>
      <vt:variant>
        <vt:i4>5</vt:i4>
      </vt:variant>
      <vt:variant>
        <vt:lpwstr/>
      </vt:variant>
      <vt:variant>
        <vt:lpwstr>_Toc390262430</vt:lpwstr>
      </vt:variant>
      <vt:variant>
        <vt:i4>1835057</vt:i4>
      </vt:variant>
      <vt:variant>
        <vt:i4>17</vt:i4>
      </vt:variant>
      <vt:variant>
        <vt:i4>0</vt:i4>
      </vt:variant>
      <vt:variant>
        <vt:i4>5</vt:i4>
      </vt:variant>
      <vt:variant>
        <vt:lpwstr/>
      </vt:variant>
      <vt:variant>
        <vt:lpwstr>_Toc390262429</vt:lpwstr>
      </vt:variant>
      <vt:variant>
        <vt:i4>1835057</vt:i4>
      </vt:variant>
      <vt:variant>
        <vt:i4>11</vt:i4>
      </vt:variant>
      <vt:variant>
        <vt:i4>0</vt:i4>
      </vt:variant>
      <vt:variant>
        <vt:i4>5</vt:i4>
      </vt:variant>
      <vt:variant>
        <vt:lpwstr/>
      </vt:variant>
      <vt:variant>
        <vt:lpwstr>_Toc390262427</vt:lpwstr>
      </vt:variant>
      <vt:variant>
        <vt:i4>5898351</vt:i4>
      </vt:variant>
      <vt:variant>
        <vt:i4>6</vt:i4>
      </vt:variant>
      <vt:variant>
        <vt:i4>0</vt:i4>
      </vt:variant>
      <vt:variant>
        <vt:i4>5</vt:i4>
      </vt:variant>
      <vt:variant>
        <vt:lpwstr>mailto:EcorysSEE@ecorys.</vt:lpwstr>
      </vt:variant>
      <vt:variant>
        <vt:lpwstr/>
      </vt:variant>
      <vt:variant>
        <vt:i4>2228244</vt:i4>
      </vt:variant>
      <vt:variant>
        <vt:i4>3</vt:i4>
      </vt:variant>
      <vt:variant>
        <vt:i4>0</vt:i4>
      </vt:variant>
      <vt:variant>
        <vt:i4>5</vt:i4>
      </vt:variant>
      <vt:variant>
        <vt:lpwstr>mailto:Mariana.%20Stefanova@ecorys.bg</vt:lpwstr>
      </vt:variant>
      <vt:variant>
        <vt:lpwstr/>
      </vt:variant>
      <vt:variant>
        <vt:i4>3473420</vt:i4>
      </vt:variant>
      <vt:variant>
        <vt:i4>0</vt:i4>
      </vt:variant>
      <vt:variant>
        <vt:i4>0</vt:i4>
      </vt:variant>
      <vt:variant>
        <vt:i4>5</vt:i4>
      </vt:variant>
      <vt:variant>
        <vt:lpwstr>mailto:EcorysSEE@ecorys.com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СЪДЪРЖАНИЕ</dc:title>
  <dc:creator>user</dc:creator>
  <cp:lastModifiedBy>SEE</cp:lastModifiedBy>
  <cp:revision>8</cp:revision>
  <cp:lastPrinted>2014-08-19T13:02:00Z</cp:lastPrinted>
  <dcterms:created xsi:type="dcterms:W3CDTF">2014-08-19T06:54:00Z</dcterms:created>
  <dcterms:modified xsi:type="dcterms:W3CDTF">2014-08-19T13:43:00Z</dcterms:modified>
</cp:coreProperties>
</file>