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262E4" w14:textId="77777777" w:rsidR="003F3B3F" w:rsidRPr="00FE22E5" w:rsidRDefault="003F3B3F" w:rsidP="00417D78">
      <w:pPr>
        <w:widowControl/>
        <w:autoSpaceDE/>
        <w:autoSpaceDN/>
        <w:adjustRightInd/>
        <w:spacing w:after="120"/>
        <w:ind w:firstLine="0"/>
        <w:rPr>
          <w:rFonts w:ascii="Times New Roman" w:eastAsia="Calibri" w:hAnsi="Times New Roman" w:cs="Times New Roman"/>
          <w:b/>
          <w:color w:val="000000" w:themeColor="text1"/>
          <w:lang w:val="bg-BG"/>
        </w:rPr>
      </w:pPr>
      <w:bookmarkStart w:id="0" w:name="_GoBack"/>
      <w:bookmarkEnd w:id="0"/>
    </w:p>
    <w:p w14:paraId="38B262E5" w14:textId="77777777" w:rsidR="00AC1F40" w:rsidRPr="00FE22E5" w:rsidRDefault="00AC1F40" w:rsidP="00417D78">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КРИТЕРИЙ ЗА ОЦЕНКА, ПОКАЗАТЕЛИ С ТЯХНАТА ОТНОСИТЕЛНА</w:t>
      </w:r>
    </w:p>
    <w:p w14:paraId="38B262E6" w14:textId="77777777" w:rsidR="00AC1F40" w:rsidRPr="00FE22E5" w:rsidRDefault="00AC1F40" w:rsidP="00417D78">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ТЕЖЕСТ И МЕТОДИКА ЗА ОПРЕДЕЛЯНЕ НА КОМПЛЕКСНАТА ОЦЕНКА</w:t>
      </w:r>
    </w:p>
    <w:p w14:paraId="38B262E7" w14:textId="77777777" w:rsidR="003F3B3F" w:rsidRPr="00FE22E5" w:rsidRDefault="00AC1F40" w:rsidP="00417D78">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НА ОФЕРТИТЕ ЗА ОБЩЕСТВЕНА ПОРЪЧКА С ПРЕДМЕТ</w:t>
      </w:r>
      <w:r w:rsidR="003870E9" w:rsidRPr="00FE22E5">
        <w:rPr>
          <w:rFonts w:ascii="Times New Roman" w:eastAsia="Calibri" w:hAnsi="Times New Roman" w:cs="Times New Roman"/>
          <w:b/>
          <w:color w:val="000000" w:themeColor="text1"/>
          <w:lang w:val="bg-BG"/>
        </w:rPr>
        <w:t xml:space="preserve"> </w:t>
      </w:r>
    </w:p>
    <w:p w14:paraId="38B262E8" w14:textId="77777777" w:rsidR="003F3B3F" w:rsidRPr="00FE22E5" w:rsidRDefault="000767BF" w:rsidP="00417D78">
      <w:pPr>
        <w:widowControl/>
        <w:autoSpaceDE/>
        <w:autoSpaceDN/>
        <w:adjustRightInd/>
        <w:spacing w:after="120"/>
        <w:ind w:firstLine="0"/>
        <w:jc w:val="center"/>
        <w:rPr>
          <w:rFonts w:ascii="Times New Roman" w:eastAsia="Calibri" w:hAnsi="Times New Roman" w:cs="Times New Roman"/>
          <w:b/>
          <w:bCs/>
          <w:color w:val="000000" w:themeColor="text1"/>
          <w:lang w:val="bg-BG"/>
        </w:rPr>
      </w:pPr>
      <w:r w:rsidRPr="00FE22E5">
        <w:rPr>
          <w:rFonts w:ascii="Times New Roman" w:eastAsia="Calibri" w:hAnsi="Times New Roman" w:cs="Times New Roman"/>
          <w:b/>
          <w:bCs/>
          <w:color w:val="000000" w:themeColor="text1"/>
          <w:lang w:val="bg-BG"/>
        </w:rPr>
        <w:t>„</w:t>
      </w:r>
      <w:r w:rsidR="003870E9" w:rsidRPr="00FE22E5">
        <w:rPr>
          <w:rFonts w:ascii="Times New Roman" w:eastAsia="Calibri" w:hAnsi="Times New Roman" w:cs="Times New Roman"/>
          <w:b/>
          <w:bCs/>
          <w:color w:val="000000" w:themeColor="text1"/>
          <w:lang w:val="bg-BG"/>
        </w:rPr>
        <w:t xml:space="preserve">СРЕДНОСРОЧНА ОЦЕНКА НА ИЗПЪЛНЕНИЕТО НА </w:t>
      </w:r>
    </w:p>
    <w:p w14:paraId="38B262E9" w14:textId="77777777" w:rsidR="003F3B3F" w:rsidRPr="00FE22E5" w:rsidRDefault="003870E9" w:rsidP="00417D78">
      <w:pPr>
        <w:widowControl/>
        <w:autoSpaceDE/>
        <w:autoSpaceDN/>
        <w:adjustRightInd/>
        <w:spacing w:after="120"/>
        <w:ind w:firstLine="0"/>
        <w:jc w:val="center"/>
        <w:rPr>
          <w:rFonts w:ascii="Times New Roman" w:eastAsia="Calibri" w:hAnsi="Times New Roman" w:cs="Times New Roman"/>
          <w:b/>
          <w:bCs/>
          <w:color w:val="000000" w:themeColor="text1"/>
          <w:lang w:val="bg-BG"/>
        </w:rPr>
      </w:pPr>
      <w:r w:rsidRPr="00FE22E5">
        <w:rPr>
          <w:rFonts w:ascii="Times New Roman" w:eastAsia="Calibri" w:hAnsi="Times New Roman" w:cs="Times New Roman"/>
          <w:b/>
          <w:bCs/>
          <w:color w:val="000000" w:themeColor="text1"/>
          <w:lang w:val="bg-BG"/>
        </w:rPr>
        <w:t xml:space="preserve">ОПЕРАТИВНА ПРОГРАМА „НАУКА И ОБРАЗОВАНИЕ ЗА </w:t>
      </w:r>
    </w:p>
    <w:p w14:paraId="38B262EA" w14:textId="77777777" w:rsidR="00AC1F40" w:rsidRPr="00FE22E5" w:rsidRDefault="003870E9" w:rsidP="00417D78">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bCs/>
          <w:color w:val="000000" w:themeColor="text1"/>
          <w:lang w:val="bg-BG"/>
        </w:rPr>
        <w:t>ИНТЕЛИГЕНТЕН РАСТЕЖ“ 2014-2020</w:t>
      </w:r>
      <w:r w:rsidR="000767BF" w:rsidRPr="00FE22E5">
        <w:rPr>
          <w:rFonts w:ascii="Times New Roman" w:eastAsia="Calibri" w:hAnsi="Times New Roman" w:cs="Times New Roman"/>
          <w:b/>
          <w:bCs/>
          <w:color w:val="000000" w:themeColor="text1"/>
          <w:lang w:val="bg-BG"/>
        </w:rPr>
        <w:t>“</w:t>
      </w:r>
    </w:p>
    <w:p w14:paraId="38B262EB" w14:textId="77777777" w:rsidR="000767BF" w:rsidRPr="00FE22E5" w:rsidRDefault="000767BF" w:rsidP="00BD4B9C">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2EC" w14:textId="77777777" w:rsidR="00AC1F40" w:rsidRPr="00FE22E5" w:rsidRDefault="00AC1F40" w:rsidP="00BC6E4F">
      <w:pPr>
        <w:widowControl/>
        <w:autoSpaceDE/>
        <w:autoSpaceDN/>
        <w:adjustRightInd/>
        <w:spacing w:after="120"/>
        <w:ind w:firstLine="708"/>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І. КРИТЕРИЙ ЗА ОЦЕНКА НА ОФЕРТИТЕ</w:t>
      </w:r>
    </w:p>
    <w:p w14:paraId="38B262ED" w14:textId="46118AB5" w:rsidR="00AC1F40" w:rsidRPr="00FE22E5" w:rsidRDefault="00AC1F40" w:rsidP="00BC6E4F">
      <w:pPr>
        <w:widowControl/>
        <w:autoSpaceDE/>
        <w:autoSpaceDN/>
        <w:adjustRightInd/>
        <w:spacing w:after="120"/>
        <w:ind w:firstLine="708"/>
        <w:rPr>
          <w:rFonts w:ascii="Times New Roman" w:eastAsia="Calibri" w:hAnsi="Times New Roman" w:cs="Times New Roman"/>
          <w:b/>
          <w:color w:val="000000" w:themeColor="text1"/>
          <w:lang w:val="bg-BG"/>
        </w:rPr>
      </w:pPr>
      <w:r w:rsidRPr="00FE22E5">
        <w:rPr>
          <w:rFonts w:ascii="Times New Roman" w:eastAsia="Calibri" w:hAnsi="Times New Roman" w:cs="Times New Roman"/>
          <w:color w:val="000000" w:themeColor="text1"/>
          <w:lang w:val="bg-BG"/>
        </w:rPr>
        <w:t>Всички оферти, които отговарят на обявените от възложителя изисквания и бъдат допуснати до</w:t>
      </w:r>
      <w:r w:rsidRPr="00FE22E5">
        <w:rPr>
          <w:rFonts w:ascii="Times New Roman" w:eastAsia="Calibri" w:hAnsi="Times New Roman" w:cs="Times New Roman"/>
          <w:b/>
          <w:color w:val="000000" w:themeColor="text1"/>
          <w:lang w:val="bg-BG"/>
        </w:rPr>
        <w:t xml:space="preserve"> </w:t>
      </w:r>
      <w:r w:rsidRPr="00FE22E5">
        <w:rPr>
          <w:rFonts w:ascii="Times New Roman" w:eastAsia="Calibri" w:hAnsi="Times New Roman" w:cs="Times New Roman"/>
          <w:color w:val="000000" w:themeColor="text1"/>
          <w:lang w:val="bg-BG"/>
        </w:rPr>
        <w:t>разглеждане, ще бъдат оценявани за определяне на „икономически най-изгодна оферта“ по критерий</w:t>
      </w:r>
      <w:r w:rsidRPr="00FE22E5">
        <w:rPr>
          <w:rFonts w:ascii="Times New Roman" w:eastAsia="Calibri" w:hAnsi="Times New Roman" w:cs="Times New Roman"/>
          <w:b/>
          <w:color w:val="000000" w:themeColor="text1"/>
          <w:lang w:val="bg-BG"/>
        </w:rPr>
        <w:t xml:space="preserve"> </w:t>
      </w:r>
      <w:r w:rsidRPr="00FE22E5">
        <w:rPr>
          <w:rFonts w:ascii="Times New Roman" w:eastAsia="Calibri" w:hAnsi="Times New Roman" w:cs="Times New Roman"/>
          <w:color w:val="000000" w:themeColor="text1"/>
          <w:lang w:val="bg-BG"/>
        </w:rPr>
        <w:t>оптимално съотношение качество/цена.</w:t>
      </w:r>
    </w:p>
    <w:p w14:paraId="38B262EE" w14:textId="77777777" w:rsidR="00AC1F40" w:rsidRPr="00FE22E5" w:rsidRDefault="00AC1F40">
      <w:pPr>
        <w:widowControl/>
        <w:autoSpaceDE/>
        <w:autoSpaceDN/>
        <w:adjustRightInd/>
        <w:spacing w:after="120"/>
        <w:ind w:firstLine="708"/>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ІІ. ПОКАЗАТЕЛИ, ТЯХНАТА ОТНОСИТЕЛНА ТЕЖЕСТ И МЕТОДИКА ЗА ОЦЕНКАТА ИМ</w:t>
      </w:r>
    </w:p>
    <w:p w14:paraId="38B262EF" w14:textId="77777777" w:rsidR="00AC1F40" w:rsidRPr="00FE22E5" w:rsidRDefault="00AC1F40">
      <w:pPr>
        <w:widowControl/>
        <w:autoSpaceDE/>
        <w:autoSpaceDN/>
        <w:adjustRightInd/>
        <w:spacing w:after="120"/>
        <w:ind w:firstLine="708"/>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Показателите за оценка на допуснатите до разглеждане оферти - включващи качествени аспекти, свързани с предмета на обществената поръчка, както и количествен аспект – с възможната най-висока стойност на оценката и относителната им тежест в комплексната оценка са представени </w:t>
      </w:r>
      <w:r w:rsidR="003870E9" w:rsidRPr="00FE22E5">
        <w:rPr>
          <w:rFonts w:ascii="Times New Roman" w:eastAsia="Calibri" w:hAnsi="Times New Roman" w:cs="Times New Roman"/>
          <w:color w:val="000000" w:themeColor="text1"/>
          <w:lang w:val="bg-BG"/>
        </w:rPr>
        <w:t>по-долу</w:t>
      </w:r>
      <w:r w:rsidRPr="00FE22E5">
        <w:rPr>
          <w:rFonts w:ascii="Times New Roman" w:eastAsia="Calibri" w:hAnsi="Times New Roman" w:cs="Times New Roman"/>
          <w:color w:val="000000" w:themeColor="text1"/>
          <w:lang w:val="bg-BG"/>
        </w:rPr>
        <w:t>.</w:t>
      </w:r>
    </w:p>
    <w:p w14:paraId="38B262F0" w14:textId="77777777" w:rsidR="00AC1F40" w:rsidRPr="00FE22E5" w:rsidRDefault="00AC1F40">
      <w:pPr>
        <w:widowControl/>
        <w:autoSpaceDE/>
        <w:autoSpaceDN/>
        <w:adjustRightInd/>
        <w:spacing w:after="120"/>
        <w:ind w:firstLine="708"/>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т.1</w:t>
      </w:r>
      <w:r w:rsidRPr="00FE22E5">
        <w:rPr>
          <w:rFonts w:ascii="Times New Roman" w:eastAsia="Calibri" w:hAnsi="Times New Roman" w:cs="Times New Roman"/>
          <w:b/>
          <w:color w:val="000000" w:themeColor="text1"/>
          <w:lang w:val="bg-BG"/>
        </w:rPr>
        <w:tab/>
        <w:t>КО – „КОМПЛЕКСНА ОЦЕНКА“</w:t>
      </w:r>
      <w:r w:rsidRPr="00FE22E5">
        <w:rPr>
          <w:rFonts w:ascii="Times New Roman" w:eastAsia="Calibri" w:hAnsi="Times New Roman" w:cs="Times New Roman"/>
          <w:color w:val="000000" w:themeColor="text1"/>
          <w:lang w:val="bg-BG"/>
        </w:rPr>
        <w:t xml:space="preserve"> се изчислява по формулата:</w:t>
      </w:r>
      <w:r w:rsidRPr="00FE22E5">
        <w:rPr>
          <w:rFonts w:ascii="Times New Roman" w:eastAsia="Calibri" w:hAnsi="Times New Roman" w:cs="Times New Roman"/>
          <w:b/>
          <w:color w:val="000000" w:themeColor="text1"/>
          <w:lang w:val="bg-BG"/>
        </w:rPr>
        <w:t xml:space="preserve"> КО = П1 + П2;</w:t>
      </w:r>
      <w:r w:rsidRPr="00FE22E5">
        <w:rPr>
          <w:rFonts w:ascii="Times New Roman" w:eastAsia="Calibri" w:hAnsi="Times New Roman" w:cs="Times New Roman"/>
          <w:color w:val="000000" w:themeColor="text1"/>
          <w:lang w:val="bg-BG"/>
        </w:rPr>
        <w:t xml:space="preserve"> </w:t>
      </w:r>
      <w:r w:rsidRPr="00FE22E5">
        <w:rPr>
          <w:rFonts w:ascii="Times New Roman" w:eastAsia="Calibri" w:hAnsi="Times New Roman" w:cs="Times New Roman"/>
          <w:b/>
          <w:color w:val="000000" w:themeColor="text1"/>
          <w:lang w:val="bg-BG"/>
        </w:rPr>
        <w:t>[КО – „КОМПЛЕКСНА ОЦЕНКА“] = [П1 – „ЦЕНА“] + [П2 – „</w:t>
      </w:r>
      <w:r w:rsidR="00E67DD0" w:rsidRPr="00FE22E5">
        <w:rPr>
          <w:rFonts w:ascii="Times New Roman" w:eastAsia="Calibri" w:hAnsi="Times New Roman" w:cs="Times New Roman"/>
          <w:b/>
          <w:color w:val="000000" w:themeColor="text1"/>
          <w:lang w:val="bg-BG"/>
        </w:rPr>
        <w:t>ТЕХНИЧЕСКА ОЦЕНКА</w:t>
      </w:r>
      <w:r w:rsidRPr="00FE22E5">
        <w:rPr>
          <w:rFonts w:ascii="Times New Roman" w:eastAsia="Calibri" w:hAnsi="Times New Roman" w:cs="Times New Roman"/>
          <w:b/>
          <w:color w:val="000000" w:themeColor="text1"/>
          <w:lang w:val="bg-BG"/>
        </w:rPr>
        <w:t>”].</w:t>
      </w:r>
      <w:r w:rsidRPr="00FE22E5">
        <w:rPr>
          <w:rFonts w:ascii="Times New Roman" w:eastAsia="Calibri" w:hAnsi="Times New Roman" w:cs="Times New Roman"/>
          <w:color w:val="000000" w:themeColor="text1"/>
          <w:lang w:val="bg-BG"/>
        </w:rPr>
        <w:t xml:space="preserve"> Комплексната оценка се формира като сума от оценките за всички показатели в методиката и е с максимална стойност от 100 точки. </w:t>
      </w:r>
    </w:p>
    <w:p w14:paraId="38B262F1" w14:textId="77777777" w:rsidR="00AC1F40" w:rsidRPr="00FE22E5" w:rsidRDefault="00AC1F40">
      <w:pPr>
        <w:widowControl/>
        <w:autoSpaceDE/>
        <w:autoSpaceDN/>
        <w:adjustRightInd/>
        <w:spacing w:after="120"/>
        <w:ind w:firstLine="708"/>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На първо място ще бъде класиран участникът, събрал максимален брой точки. Относителни тегла на показателите за оценяване:</w:t>
      </w:r>
    </w:p>
    <w:p w14:paraId="38B262F2" w14:textId="77777777" w:rsidR="00AC1F40" w:rsidRPr="00FE22E5" w:rsidRDefault="00AC1F40">
      <w:pPr>
        <w:widowControl/>
        <w:autoSpaceDE/>
        <w:autoSpaceDN/>
        <w:adjustRightInd/>
        <w:spacing w:after="120"/>
        <w:ind w:firstLine="708"/>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 xml:space="preserve">П1 – „ЦЕНА“ = </w:t>
      </w:r>
      <w:r w:rsidR="00BD4B9C" w:rsidRPr="00FE22E5">
        <w:rPr>
          <w:rFonts w:ascii="Times New Roman" w:eastAsia="Calibri" w:hAnsi="Times New Roman" w:cs="Times New Roman"/>
          <w:b/>
          <w:color w:val="000000" w:themeColor="text1"/>
          <w:lang w:val="bg-BG"/>
        </w:rPr>
        <w:t xml:space="preserve">35 </w:t>
      </w:r>
      <w:r w:rsidRPr="00FE22E5">
        <w:rPr>
          <w:rFonts w:ascii="Times New Roman" w:eastAsia="Calibri" w:hAnsi="Times New Roman" w:cs="Times New Roman"/>
          <w:b/>
          <w:color w:val="000000" w:themeColor="text1"/>
          <w:lang w:val="bg-BG"/>
        </w:rPr>
        <w:t xml:space="preserve">точки, максимална стойност; </w:t>
      </w:r>
    </w:p>
    <w:p w14:paraId="38B262F3" w14:textId="77777777" w:rsidR="00AC1F40" w:rsidRPr="00FE22E5" w:rsidRDefault="00AC1F40">
      <w:pPr>
        <w:widowControl/>
        <w:autoSpaceDE/>
        <w:autoSpaceDN/>
        <w:adjustRightInd/>
        <w:spacing w:after="120"/>
        <w:ind w:firstLine="708"/>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П2 – „</w:t>
      </w:r>
      <w:r w:rsidR="00E67DD0" w:rsidRPr="00FE22E5">
        <w:rPr>
          <w:rFonts w:ascii="Times New Roman" w:eastAsia="Calibri" w:hAnsi="Times New Roman" w:cs="Times New Roman"/>
          <w:b/>
          <w:color w:val="000000" w:themeColor="text1"/>
          <w:lang w:val="bg-BG"/>
        </w:rPr>
        <w:t>ТЕХНИЧЕСКА ОЦЕНКА</w:t>
      </w:r>
      <w:r w:rsidRPr="00FE22E5">
        <w:rPr>
          <w:rFonts w:ascii="Times New Roman" w:eastAsia="Calibri" w:hAnsi="Times New Roman" w:cs="Times New Roman"/>
          <w:b/>
          <w:color w:val="000000" w:themeColor="text1"/>
          <w:lang w:val="bg-BG"/>
        </w:rPr>
        <w:t xml:space="preserve">” = </w:t>
      </w:r>
      <w:r w:rsidR="00BD4B9C" w:rsidRPr="00FE22E5">
        <w:rPr>
          <w:rFonts w:ascii="Times New Roman" w:eastAsia="Calibri" w:hAnsi="Times New Roman" w:cs="Times New Roman"/>
          <w:b/>
          <w:color w:val="000000" w:themeColor="text1"/>
          <w:lang w:val="bg-BG"/>
        </w:rPr>
        <w:t xml:space="preserve">65 </w:t>
      </w:r>
      <w:r w:rsidRPr="00FE22E5">
        <w:rPr>
          <w:rFonts w:ascii="Times New Roman" w:eastAsia="Calibri" w:hAnsi="Times New Roman" w:cs="Times New Roman"/>
          <w:b/>
          <w:color w:val="000000" w:themeColor="text1"/>
          <w:lang w:val="bg-BG"/>
        </w:rPr>
        <w:t xml:space="preserve">точки, максимална стойност. </w:t>
      </w:r>
    </w:p>
    <w:p w14:paraId="38B262F4" w14:textId="77777777" w:rsidR="00AC1F40" w:rsidRPr="00FE22E5" w:rsidRDefault="00AC1F40">
      <w:pPr>
        <w:widowControl/>
        <w:tabs>
          <w:tab w:val="left" w:pos="993"/>
        </w:tabs>
        <w:autoSpaceDE/>
        <w:autoSpaceDN/>
        <w:adjustRightInd/>
        <w:spacing w:after="120"/>
        <w:ind w:firstLine="708"/>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т.2</w:t>
      </w:r>
      <w:r w:rsidRPr="00FE22E5">
        <w:rPr>
          <w:rFonts w:ascii="Times New Roman" w:eastAsia="Calibri" w:hAnsi="Times New Roman" w:cs="Times New Roman"/>
          <w:b/>
          <w:color w:val="000000" w:themeColor="text1"/>
          <w:lang w:val="bg-BG"/>
        </w:rPr>
        <w:tab/>
        <w:t>П1 – „ЦЕНА“ се изчислява по</w:t>
      </w:r>
      <w:r w:rsidR="00DE1D46">
        <w:rPr>
          <w:rFonts w:ascii="Times New Roman" w:eastAsia="Calibri" w:hAnsi="Times New Roman" w:cs="Times New Roman"/>
          <w:b/>
          <w:color w:val="000000" w:themeColor="text1"/>
          <w:lang w:val="bg-BG"/>
        </w:rPr>
        <w:t xml:space="preserve"> формулата: П1 = (Ц1min/Ц1уч.)x35</w:t>
      </w:r>
      <w:r w:rsidRPr="00FE22E5">
        <w:rPr>
          <w:rFonts w:ascii="Times New Roman" w:eastAsia="Calibri" w:hAnsi="Times New Roman" w:cs="Times New Roman"/>
          <w:b/>
          <w:color w:val="000000" w:themeColor="text1"/>
          <w:lang w:val="bg-BG"/>
        </w:rPr>
        <w:t xml:space="preserve"> и е с максимална стойност от </w:t>
      </w:r>
      <w:r w:rsidR="00DE1D46">
        <w:rPr>
          <w:rFonts w:ascii="Times New Roman" w:eastAsia="Calibri" w:hAnsi="Times New Roman" w:cs="Times New Roman"/>
          <w:b/>
          <w:color w:val="000000" w:themeColor="text1"/>
          <w:lang w:val="bg-BG"/>
        </w:rPr>
        <w:t>35</w:t>
      </w:r>
      <w:r w:rsidRPr="00FE22E5">
        <w:rPr>
          <w:rFonts w:ascii="Times New Roman" w:eastAsia="Calibri" w:hAnsi="Times New Roman" w:cs="Times New Roman"/>
          <w:b/>
          <w:color w:val="000000" w:themeColor="text1"/>
          <w:lang w:val="bg-BG"/>
        </w:rPr>
        <w:t xml:space="preserve"> точки. </w:t>
      </w:r>
    </w:p>
    <w:p w14:paraId="38B262F5" w14:textId="77777777" w:rsidR="00AC1F40" w:rsidRPr="00FE22E5" w:rsidRDefault="00AC1F40">
      <w:pPr>
        <w:widowControl/>
        <w:autoSpaceDE/>
        <w:autoSpaceDN/>
        <w:adjustRightInd/>
        <w:spacing w:after="120"/>
        <w:ind w:firstLine="708"/>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а)</w:t>
      </w:r>
      <w:r w:rsidRPr="00FE22E5">
        <w:rPr>
          <w:rFonts w:ascii="Times New Roman" w:eastAsia="Calibri" w:hAnsi="Times New Roman" w:cs="Times New Roman"/>
          <w:b/>
          <w:color w:val="000000" w:themeColor="text1"/>
          <w:lang w:val="bg-BG"/>
        </w:rPr>
        <w:tab/>
        <w:t xml:space="preserve">[П1 – „ЦЕНА“] = ([Ц1min – най-ниско предложена цена от между всички участници]/[Ц1уч. – предложената цена на съответния разглеждан участник]) x </w:t>
      </w:r>
      <w:r w:rsidR="00DE1D46">
        <w:rPr>
          <w:rFonts w:ascii="Times New Roman" w:eastAsia="Calibri" w:hAnsi="Times New Roman" w:cs="Times New Roman"/>
          <w:b/>
          <w:color w:val="000000" w:themeColor="text1"/>
          <w:lang w:val="bg-BG"/>
        </w:rPr>
        <w:t>35</w:t>
      </w:r>
      <w:r w:rsidRPr="00FE22E5">
        <w:rPr>
          <w:rFonts w:ascii="Times New Roman" w:eastAsia="Calibri" w:hAnsi="Times New Roman" w:cs="Times New Roman"/>
          <w:b/>
          <w:color w:val="000000" w:themeColor="text1"/>
          <w:lang w:val="bg-BG"/>
        </w:rPr>
        <w:t xml:space="preserve">. </w:t>
      </w:r>
    </w:p>
    <w:p w14:paraId="38B262F6" w14:textId="77777777" w:rsidR="00AE21D1" w:rsidRPr="00FE22E5" w:rsidRDefault="00AC1F40">
      <w:pPr>
        <w:widowControl/>
        <w:autoSpaceDE/>
        <w:autoSpaceDN/>
        <w:adjustRightInd/>
        <w:spacing w:after="120"/>
        <w:ind w:firstLine="708"/>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т.3</w:t>
      </w:r>
      <w:r w:rsidRPr="00FE22E5">
        <w:rPr>
          <w:rFonts w:ascii="Times New Roman" w:eastAsia="Calibri" w:hAnsi="Times New Roman" w:cs="Times New Roman"/>
          <w:b/>
          <w:color w:val="000000" w:themeColor="text1"/>
          <w:lang w:val="bg-BG"/>
        </w:rPr>
        <w:tab/>
        <w:t>П2 – „</w:t>
      </w:r>
      <w:r w:rsidR="00E67DD0" w:rsidRPr="00FE22E5">
        <w:rPr>
          <w:rFonts w:ascii="Times New Roman" w:eastAsia="Calibri" w:hAnsi="Times New Roman" w:cs="Times New Roman"/>
          <w:b/>
          <w:color w:val="000000" w:themeColor="text1"/>
          <w:lang w:val="bg-BG"/>
        </w:rPr>
        <w:t>ТЕХНИЧЕСКА ОЦЕНКА</w:t>
      </w:r>
      <w:r w:rsidRPr="00FE22E5">
        <w:rPr>
          <w:rFonts w:ascii="Times New Roman" w:eastAsia="Calibri" w:hAnsi="Times New Roman" w:cs="Times New Roman"/>
          <w:b/>
          <w:color w:val="000000" w:themeColor="text1"/>
          <w:lang w:val="bg-BG"/>
        </w:rPr>
        <w:t xml:space="preserve">” се изчислява по формулата: </w:t>
      </w:r>
    </w:p>
    <w:p w14:paraId="38B262F7" w14:textId="77777777" w:rsidR="00525458" w:rsidRPr="00FE22E5" w:rsidRDefault="001404C6" w:rsidP="00417D78">
      <w:pPr>
        <w:widowControl/>
        <w:autoSpaceDE/>
        <w:autoSpaceDN/>
        <w:adjustRightInd/>
        <w:spacing w:after="12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П2 = (Kуч./К</w:t>
      </w:r>
      <w:r w:rsidR="00525458" w:rsidRPr="00FE22E5">
        <w:rPr>
          <w:rFonts w:ascii="Times New Roman" w:eastAsia="Calibri" w:hAnsi="Times New Roman" w:cs="Times New Roman"/>
          <w:b/>
          <w:color w:val="000000" w:themeColor="text1"/>
          <w:lang w:val="bg-BG"/>
        </w:rPr>
        <w:t>max.) х 6</w:t>
      </w:r>
      <w:r w:rsidR="00DE1D46">
        <w:rPr>
          <w:rFonts w:ascii="Times New Roman" w:eastAsia="Calibri" w:hAnsi="Times New Roman" w:cs="Times New Roman"/>
          <w:b/>
          <w:color w:val="000000" w:themeColor="text1"/>
          <w:lang w:val="bg-BG"/>
        </w:rPr>
        <w:t>5</w:t>
      </w:r>
      <w:r w:rsidR="00525458" w:rsidRPr="00FE22E5">
        <w:rPr>
          <w:rFonts w:ascii="Times New Roman" w:eastAsia="Calibri" w:hAnsi="Times New Roman" w:cs="Times New Roman"/>
          <w:b/>
          <w:color w:val="000000" w:themeColor="text1"/>
          <w:lang w:val="bg-BG"/>
        </w:rPr>
        <w:t>, и е с максимална стойност от 6</w:t>
      </w:r>
      <w:r w:rsidR="00DE1D46">
        <w:rPr>
          <w:rFonts w:ascii="Times New Roman" w:eastAsia="Calibri" w:hAnsi="Times New Roman" w:cs="Times New Roman"/>
          <w:b/>
          <w:color w:val="000000" w:themeColor="text1"/>
          <w:lang w:val="bg-BG"/>
        </w:rPr>
        <w:t>5</w:t>
      </w:r>
      <w:r w:rsidR="00525458" w:rsidRPr="00FE22E5">
        <w:rPr>
          <w:rFonts w:ascii="Times New Roman" w:eastAsia="Calibri" w:hAnsi="Times New Roman" w:cs="Times New Roman"/>
          <w:b/>
          <w:color w:val="000000" w:themeColor="text1"/>
          <w:lang w:val="bg-BG"/>
        </w:rPr>
        <w:t xml:space="preserve"> точки,</w:t>
      </w:r>
    </w:p>
    <w:p w14:paraId="38B262F8" w14:textId="77777777" w:rsidR="005F2C8E" w:rsidRPr="00FE22E5" w:rsidRDefault="00525458" w:rsidP="00BD4B9C">
      <w:pPr>
        <w:widowControl/>
        <w:autoSpaceDE/>
        <w:autoSpaceDN/>
        <w:adjustRightInd/>
        <w:spacing w:after="120"/>
        <w:ind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color w:val="000000" w:themeColor="text1"/>
          <w:lang w:val="bg-BG"/>
        </w:rPr>
        <w:t xml:space="preserve">където </w:t>
      </w:r>
      <w:r w:rsidR="00AE21D1" w:rsidRPr="00FE22E5">
        <w:rPr>
          <w:rFonts w:ascii="Times New Roman" w:eastAsia="Calibri" w:hAnsi="Times New Roman" w:cs="Times New Roman"/>
          <w:b/>
          <w:color w:val="000000" w:themeColor="text1"/>
          <w:lang w:val="bg-BG"/>
        </w:rPr>
        <w:t>К</w:t>
      </w:r>
      <w:r w:rsidR="00AE21D1" w:rsidRPr="00FE22E5">
        <w:rPr>
          <w:rFonts w:ascii="Times New Roman" w:eastAsia="Calibri" w:hAnsi="Times New Roman" w:cs="Times New Roman"/>
          <w:color w:val="000000" w:themeColor="text1"/>
          <w:lang w:val="bg-BG"/>
        </w:rPr>
        <w:t xml:space="preserve"> </w:t>
      </w:r>
      <w:r w:rsidRPr="00FE22E5">
        <w:rPr>
          <w:rFonts w:ascii="Times New Roman" w:eastAsia="Calibri" w:hAnsi="Times New Roman" w:cs="Times New Roman"/>
          <w:color w:val="000000" w:themeColor="text1"/>
          <w:lang w:val="bg-BG"/>
        </w:rPr>
        <w:t xml:space="preserve">е </w:t>
      </w:r>
      <w:r w:rsidR="00AE21D1" w:rsidRPr="00FE22E5">
        <w:rPr>
          <w:rFonts w:ascii="Times New Roman" w:eastAsia="Calibri" w:hAnsi="Times New Roman" w:cs="Times New Roman"/>
          <w:color w:val="000000" w:themeColor="text1"/>
          <w:lang w:val="bg-BG"/>
        </w:rPr>
        <w:t>сборът от точките по всеки от подпоказателите</w:t>
      </w:r>
      <w:r w:rsidR="005F2C8E" w:rsidRPr="00FE22E5">
        <w:rPr>
          <w:rFonts w:ascii="Times New Roman" w:eastAsia="Calibri" w:hAnsi="Times New Roman" w:cs="Times New Roman"/>
          <w:b/>
          <w:color w:val="000000" w:themeColor="text1"/>
          <w:lang w:val="bg-BG"/>
        </w:rPr>
        <w:t>:</w:t>
      </w:r>
    </w:p>
    <w:p w14:paraId="38B262F9" w14:textId="77777777" w:rsidR="005F2C8E" w:rsidRPr="00FE22E5" w:rsidRDefault="007F4943" w:rsidP="00BC6E4F">
      <w:pPr>
        <w:widowControl/>
        <w:autoSpaceDE/>
        <w:autoSpaceDN/>
        <w:adjustRightInd/>
        <w:spacing w:after="120"/>
        <w:ind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К</w:t>
      </w:r>
      <w:r w:rsidR="005F2C8E" w:rsidRPr="00FE22E5">
        <w:rPr>
          <w:rFonts w:ascii="Times New Roman" w:eastAsia="Calibri" w:hAnsi="Times New Roman" w:cs="Times New Roman"/>
          <w:b/>
          <w:color w:val="000000" w:themeColor="text1"/>
          <w:lang w:val="bg-BG"/>
        </w:rPr>
        <w:t>1 „ТЕМАТИЧНА ОЦЕНКА“ и</w:t>
      </w:r>
    </w:p>
    <w:p w14:paraId="38B262FA" w14:textId="77777777" w:rsidR="005F2C8E" w:rsidRPr="00FE22E5" w:rsidRDefault="007F4943" w:rsidP="00BC6E4F">
      <w:pPr>
        <w:widowControl/>
        <w:autoSpaceDE/>
        <w:autoSpaceDN/>
        <w:adjustRightInd/>
        <w:spacing w:after="120"/>
        <w:ind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К</w:t>
      </w:r>
      <w:r w:rsidR="005F2C8E" w:rsidRPr="00FE22E5">
        <w:rPr>
          <w:rFonts w:ascii="Times New Roman" w:eastAsia="Calibri" w:hAnsi="Times New Roman" w:cs="Times New Roman"/>
          <w:b/>
          <w:color w:val="000000" w:themeColor="text1"/>
          <w:lang w:val="bg-BG"/>
        </w:rPr>
        <w:t>2 „ПРОФЕСИОНАЛНА КОМПЕТЕНТНОСТ НА ПЕРСОНАЛА“</w:t>
      </w:r>
    </w:p>
    <w:p w14:paraId="38B262FB" w14:textId="77777777" w:rsidR="00AC1F40" w:rsidRPr="00FE22E5" w:rsidRDefault="00AC1F40" w:rsidP="00BC6E4F">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и е с максимална стойност от </w:t>
      </w:r>
      <w:r w:rsidR="00DE1D46" w:rsidRPr="00DE1D46">
        <w:rPr>
          <w:rFonts w:ascii="Times New Roman" w:eastAsia="Calibri" w:hAnsi="Times New Roman" w:cs="Times New Roman"/>
          <w:b/>
          <w:color w:val="000000" w:themeColor="text1"/>
          <w:lang w:val="bg-BG"/>
        </w:rPr>
        <w:t>85</w:t>
      </w:r>
      <w:r w:rsidR="007F4943" w:rsidRPr="00DE1D46">
        <w:rPr>
          <w:rFonts w:ascii="Times New Roman" w:eastAsia="Calibri" w:hAnsi="Times New Roman" w:cs="Times New Roman"/>
          <w:b/>
          <w:color w:val="000000" w:themeColor="text1"/>
          <w:lang w:val="bg-BG"/>
        </w:rPr>
        <w:t xml:space="preserve"> точки</w:t>
      </w:r>
      <w:r w:rsidRPr="00FE22E5">
        <w:rPr>
          <w:rFonts w:ascii="Times New Roman" w:eastAsia="Calibri" w:hAnsi="Times New Roman" w:cs="Times New Roman"/>
          <w:color w:val="000000" w:themeColor="text1"/>
          <w:lang w:val="bg-BG"/>
        </w:rPr>
        <w:t xml:space="preserve">. Оценяването се извършва посредством експертна оценка, като се проверяват ключовите елементи и подходи </w:t>
      </w:r>
      <w:r w:rsidR="00057D60" w:rsidRPr="00FE22E5">
        <w:rPr>
          <w:rFonts w:ascii="Times New Roman" w:eastAsia="Calibri" w:hAnsi="Times New Roman" w:cs="Times New Roman"/>
          <w:color w:val="000000" w:themeColor="text1"/>
          <w:lang w:val="bg-BG"/>
        </w:rPr>
        <w:t xml:space="preserve">(предложената от участника методология за оценка, подход за анализ и комуникация със заинтересованите страни) </w:t>
      </w:r>
      <w:r w:rsidRPr="00FE22E5">
        <w:rPr>
          <w:rFonts w:ascii="Times New Roman" w:eastAsia="Calibri" w:hAnsi="Times New Roman" w:cs="Times New Roman"/>
          <w:color w:val="000000" w:themeColor="text1"/>
          <w:lang w:val="bg-BG"/>
        </w:rPr>
        <w:t xml:space="preserve">за извършване на всяка една от тематичните оценки, посочени в техническата </w:t>
      </w:r>
      <w:r w:rsidRPr="00FE22E5">
        <w:rPr>
          <w:rFonts w:ascii="Times New Roman" w:eastAsia="Calibri" w:hAnsi="Times New Roman" w:cs="Times New Roman"/>
          <w:color w:val="000000" w:themeColor="text1"/>
          <w:lang w:val="bg-BG"/>
        </w:rPr>
        <w:lastRenderedPageBreak/>
        <w:t>спецификация</w:t>
      </w:r>
      <w:r w:rsidR="00057D60" w:rsidRPr="00FE22E5">
        <w:rPr>
          <w:rFonts w:ascii="Times New Roman" w:eastAsia="Calibri" w:hAnsi="Times New Roman" w:cs="Times New Roman"/>
          <w:color w:val="000000" w:themeColor="text1"/>
          <w:lang w:val="bg-BG"/>
        </w:rPr>
        <w:t>, както и професионалната компетентност на персонала по смисъла на параграф 2, т. 41 от Закона за обществените поръчки</w:t>
      </w:r>
      <w:r w:rsidRPr="00FE22E5">
        <w:rPr>
          <w:rFonts w:ascii="Times New Roman" w:eastAsia="Calibri" w:hAnsi="Times New Roman" w:cs="Times New Roman"/>
          <w:color w:val="000000" w:themeColor="text1"/>
          <w:lang w:val="bg-BG"/>
        </w:rPr>
        <w:t>.</w:t>
      </w:r>
    </w:p>
    <w:p w14:paraId="38B262FC" w14:textId="77777777" w:rsidR="003F3B3F" w:rsidRPr="00FE22E5" w:rsidRDefault="003F3B3F">
      <w:pPr>
        <w:widowControl/>
        <w:autoSpaceDE/>
        <w:autoSpaceDN/>
        <w:adjustRightInd/>
        <w:spacing w:after="120"/>
        <w:ind w:firstLine="708"/>
        <w:rPr>
          <w:rFonts w:ascii="Times New Roman" w:eastAsia="Calibri" w:hAnsi="Times New Roman" w:cs="Times New Roman"/>
          <w:color w:val="000000" w:themeColor="text1"/>
          <w:lang w:val="bg-BG"/>
        </w:rPr>
      </w:pPr>
    </w:p>
    <w:p w14:paraId="38B262FD" w14:textId="77777777" w:rsidR="00057D60" w:rsidRPr="00FE22E5" w:rsidRDefault="00057D60">
      <w:pPr>
        <w:widowControl/>
        <w:autoSpaceDE/>
        <w:autoSpaceDN/>
        <w:adjustRightInd/>
        <w:spacing w:after="120"/>
        <w:ind w:firstLine="709"/>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 xml:space="preserve">Оценката по подпоказател </w:t>
      </w:r>
      <w:r w:rsidR="007F4943" w:rsidRPr="00FE22E5">
        <w:rPr>
          <w:rFonts w:ascii="Times New Roman" w:eastAsia="Calibri" w:hAnsi="Times New Roman" w:cs="Times New Roman"/>
          <w:b/>
          <w:color w:val="000000" w:themeColor="text1"/>
          <w:lang w:val="bg-BG"/>
        </w:rPr>
        <w:t>К</w:t>
      </w:r>
      <w:r w:rsidRPr="00FE22E5">
        <w:rPr>
          <w:rFonts w:ascii="Times New Roman" w:eastAsia="Calibri" w:hAnsi="Times New Roman" w:cs="Times New Roman"/>
          <w:b/>
          <w:color w:val="000000" w:themeColor="text1"/>
          <w:lang w:val="bg-BG"/>
        </w:rPr>
        <w:t xml:space="preserve">1 „ТЕМАТИЧНА ОЦЕНКА“ се образува от сборните стойности на </w:t>
      </w:r>
      <w:r w:rsidR="007F4943" w:rsidRPr="00FE22E5">
        <w:rPr>
          <w:rFonts w:ascii="Times New Roman" w:eastAsia="Calibri" w:hAnsi="Times New Roman" w:cs="Times New Roman"/>
          <w:b/>
          <w:color w:val="000000" w:themeColor="text1"/>
          <w:lang w:val="bg-BG"/>
        </w:rPr>
        <w:t>К</w:t>
      </w:r>
      <w:r w:rsidR="00DE1D46">
        <w:rPr>
          <w:rFonts w:ascii="Times New Roman" w:eastAsia="Calibri" w:hAnsi="Times New Roman" w:cs="Times New Roman"/>
          <w:b/>
          <w:color w:val="000000" w:themeColor="text1"/>
          <w:lang w:val="bg-BG"/>
        </w:rPr>
        <w:t>1</w:t>
      </w:r>
      <w:r w:rsidR="00B53BE3" w:rsidRPr="00FE22E5">
        <w:rPr>
          <w:rFonts w:ascii="Times New Roman" w:eastAsia="Calibri" w:hAnsi="Times New Roman" w:cs="Times New Roman"/>
          <w:b/>
          <w:color w:val="000000" w:themeColor="text1"/>
          <w:lang w:val="bg-BG"/>
        </w:rPr>
        <w:t>.1</w:t>
      </w:r>
      <w:r w:rsidR="00DE1D46">
        <w:rPr>
          <w:rFonts w:ascii="Times New Roman" w:eastAsia="Calibri" w:hAnsi="Times New Roman" w:cs="Times New Roman"/>
          <w:b/>
          <w:color w:val="000000" w:themeColor="text1"/>
          <w:lang w:val="bg-BG"/>
        </w:rPr>
        <w:t xml:space="preserve"> до К1.11 по формулата К1=К1.1+К1.2+К1.3+К1.4+К1.5+К1.6+К1.7+К1.8+К1</w:t>
      </w:r>
      <w:r w:rsidR="00B53BE3" w:rsidRPr="00FE22E5">
        <w:rPr>
          <w:rFonts w:ascii="Times New Roman" w:eastAsia="Calibri" w:hAnsi="Times New Roman" w:cs="Times New Roman"/>
          <w:b/>
          <w:color w:val="000000" w:themeColor="text1"/>
          <w:lang w:val="bg-BG"/>
        </w:rPr>
        <w:t>.</w:t>
      </w:r>
      <w:r w:rsidR="00DE1D46">
        <w:rPr>
          <w:rFonts w:ascii="Times New Roman" w:eastAsia="Calibri" w:hAnsi="Times New Roman" w:cs="Times New Roman"/>
          <w:b/>
          <w:color w:val="000000" w:themeColor="text1"/>
          <w:lang w:val="bg-BG"/>
        </w:rPr>
        <w:t>9+К1.10+К1.11.</w:t>
      </w:r>
    </w:p>
    <w:p w14:paraId="38B262FE" w14:textId="77777777" w:rsidR="00B53BE3" w:rsidRPr="00FE22E5" w:rsidRDefault="00B53BE3">
      <w:pPr>
        <w:widowControl/>
        <w:autoSpaceDE/>
        <w:autoSpaceDN/>
        <w:adjustRightInd/>
        <w:spacing w:after="120"/>
        <w:ind w:firstLine="709"/>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 xml:space="preserve">Оценката по подпоказател </w:t>
      </w:r>
      <w:r w:rsidR="007F4943" w:rsidRPr="00FE22E5">
        <w:rPr>
          <w:rFonts w:ascii="Times New Roman" w:eastAsia="Calibri" w:hAnsi="Times New Roman" w:cs="Times New Roman"/>
          <w:b/>
          <w:color w:val="000000" w:themeColor="text1"/>
          <w:lang w:val="bg-BG"/>
        </w:rPr>
        <w:t>К</w:t>
      </w:r>
      <w:r w:rsidRPr="00FE22E5">
        <w:rPr>
          <w:rFonts w:ascii="Times New Roman" w:eastAsia="Calibri" w:hAnsi="Times New Roman" w:cs="Times New Roman"/>
          <w:b/>
          <w:color w:val="000000" w:themeColor="text1"/>
          <w:lang w:val="bg-BG"/>
        </w:rPr>
        <w:t xml:space="preserve">2 „Професионална компетентност на персонала“ се образува от сборните стойности на </w:t>
      </w:r>
      <w:r w:rsidR="007F4943" w:rsidRPr="00FE22E5">
        <w:rPr>
          <w:rFonts w:ascii="Times New Roman" w:eastAsia="Calibri" w:hAnsi="Times New Roman" w:cs="Times New Roman"/>
          <w:b/>
          <w:color w:val="000000" w:themeColor="text1"/>
          <w:lang w:val="bg-BG"/>
        </w:rPr>
        <w:t>К</w:t>
      </w:r>
      <w:r w:rsidRPr="00FE22E5">
        <w:rPr>
          <w:rFonts w:ascii="Times New Roman" w:eastAsia="Calibri" w:hAnsi="Times New Roman" w:cs="Times New Roman"/>
          <w:b/>
          <w:color w:val="000000" w:themeColor="text1"/>
          <w:lang w:val="bg-BG"/>
        </w:rPr>
        <w:t xml:space="preserve">2.1. до </w:t>
      </w:r>
      <w:r w:rsidR="007F4943" w:rsidRPr="00FE22E5">
        <w:rPr>
          <w:rFonts w:ascii="Times New Roman" w:eastAsia="Calibri" w:hAnsi="Times New Roman" w:cs="Times New Roman"/>
          <w:b/>
          <w:color w:val="000000" w:themeColor="text1"/>
          <w:lang w:val="bg-BG"/>
        </w:rPr>
        <w:t>К</w:t>
      </w:r>
      <w:r w:rsidRPr="00FE22E5">
        <w:rPr>
          <w:rFonts w:ascii="Times New Roman" w:eastAsia="Calibri" w:hAnsi="Times New Roman" w:cs="Times New Roman"/>
          <w:b/>
          <w:color w:val="000000" w:themeColor="text1"/>
          <w:lang w:val="bg-BG"/>
        </w:rPr>
        <w:t>.2.</w:t>
      </w:r>
      <w:r w:rsidR="00DE1D46">
        <w:rPr>
          <w:rFonts w:ascii="Times New Roman" w:eastAsia="Calibri" w:hAnsi="Times New Roman" w:cs="Times New Roman"/>
          <w:b/>
          <w:color w:val="000000" w:themeColor="text1"/>
          <w:lang w:val="bg-BG"/>
        </w:rPr>
        <w:t>15</w:t>
      </w:r>
      <w:r w:rsidR="00B31063" w:rsidRPr="00FE22E5">
        <w:rPr>
          <w:rFonts w:ascii="Times New Roman" w:eastAsia="Calibri" w:hAnsi="Times New Roman" w:cs="Times New Roman"/>
          <w:b/>
          <w:color w:val="000000" w:themeColor="text1"/>
          <w:lang w:val="bg-BG"/>
        </w:rPr>
        <w:t xml:space="preserve"> включително</w:t>
      </w:r>
      <w:r w:rsidR="00DE1D46">
        <w:rPr>
          <w:rFonts w:ascii="Times New Roman" w:eastAsia="Calibri" w:hAnsi="Times New Roman" w:cs="Times New Roman"/>
          <w:b/>
          <w:color w:val="000000" w:themeColor="text1"/>
          <w:lang w:val="bg-BG"/>
        </w:rPr>
        <w:t xml:space="preserve"> по формулата К2=К2.1+К2.2+К2.3+К2.4+К2.5+К2.6+К2.7+К2.8+К2</w:t>
      </w:r>
      <w:r w:rsidR="00DE1D46" w:rsidRPr="00FE22E5">
        <w:rPr>
          <w:rFonts w:ascii="Times New Roman" w:eastAsia="Calibri" w:hAnsi="Times New Roman" w:cs="Times New Roman"/>
          <w:b/>
          <w:color w:val="000000" w:themeColor="text1"/>
          <w:lang w:val="bg-BG"/>
        </w:rPr>
        <w:t>.</w:t>
      </w:r>
      <w:r w:rsidR="00DE1D46">
        <w:rPr>
          <w:rFonts w:ascii="Times New Roman" w:eastAsia="Calibri" w:hAnsi="Times New Roman" w:cs="Times New Roman"/>
          <w:b/>
          <w:color w:val="000000" w:themeColor="text1"/>
          <w:lang w:val="bg-BG"/>
        </w:rPr>
        <w:t>9+К2.10+К2.11+К2.12+К2.13+К2.14+К2.15</w:t>
      </w:r>
    </w:p>
    <w:p w14:paraId="38B262FF" w14:textId="77777777" w:rsidR="00AC1F40" w:rsidRPr="00FE22E5" w:rsidRDefault="00AC1F40">
      <w:pPr>
        <w:widowControl/>
        <w:autoSpaceDE/>
        <w:autoSpaceDN/>
        <w:adjustRightInd/>
        <w:spacing w:after="120"/>
        <w:ind w:firstLine="0"/>
        <w:rPr>
          <w:rFonts w:ascii="Times New Roman" w:eastAsia="Calibri" w:hAnsi="Times New Roman" w:cs="Times New Roman"/>
          <w:color w:val="000000" w:themeColor="text1"/>
          <w:lang w:val="bg-BG"/>
        </w:rPr>
      </w:pPr>
    </w:p>
    <w:p w14:paraId="38B26300" w14:textId="77777777" w:rsidR="00AC1F40" w:rsidRPr="00FE22E5" w:rsidRDefault="00AC1F40">
      <w:pPr>
        <w:widowControl/>
        <w:autoSpaceDE/>
        <w:autoSpaceDN/>
        <w:adjustRightInd/>
        <w:spacing w:after="120"/>
        <w:ind w:firstLine="0"/>
        <w:jc w:val="left"/>
        <w:rPr>
          <w:rFonts w:ascii="Times New Roman" w:eastAsia="Calibri" w:hAnsi="Times New Roman" w:cs="Times New Roman"/>
          <w:color w:val="000000" w:themeColor="text1"/>
          <w:lang w:val="bg-BG"/>
        </w:rPr>
      </w:pPr>
    </w:p>
    <w:p w14:paraId="38B26301" w14:textId="77777777" w:rsidR="00AC1F40" w:rsidRPr="00FE22E5" w:rsidRDefault="00AC1F40">
      <w:pPr>
        <w:widowControl/>
        <w:numPr>
          <w:ilvl w:val="0"/>
          <w:numId w:val="9"/>
        </w:numPr>
        <w:autoSpaceDE/>
        <w:autoSpaceDN/>
        <w:adjustRightInd/>
        <w:spacing w:after="120"/>
        <w:ind w:left="567" w:firstLine="0"/>
        <w:jc w:val="left"/>
        <w:rPr>
          <w:rFonts w:ascii="Times New Roman" w:eastAsia="Calibri" w:hAnsi="Times New Roman" w:cs="Times New Roman"/>
          <w:color w:val="000000" w:themeColor="text1"/>
          <w:lang w:val="bg-BG"/>
        </w:rPr>
        <w:sectPr w:rsidR="00AC1F40" w:rsidRPr="00FE22E5" w:rsidSect="00A125B3">
          <w:headerReference w:type="default" r:id="rId8"/>
          <w:footerReference w:type="default" r:id="rId9"/>
          <w:pgSz w:w="11906" w:h="16838"/>
          <w:pgMar w:top="1418" w:right="1418" w:bottom="1418" w:left="1418" w:header="709" w:footer="709" w:gutter="0"/>
          <w:cols w:space="708"/>
        </w:sectPr>
      </w:pPr>
    </w:p>
    <w:p w14:paraId="38B26302" w14:textId="77777777" w:rsidR="00AC1F40" w:rsidRPr="00FE22E5" w:rsidRDefault="003F3B3F">
      <w:pPr>
        <w:widowControl/>
        <w:autoSpaceDE/>
        <w:autoSpaceDN/>
        <w:adjustRightInd/>
        <w:spacing w:after="120"/>
        <w:ind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КРИТЕРИИ И ПОКАЗАТЕЛИ</w:t>
      </w:r>
    </w:p>
    <w:p w14:paraId="38B26303" w14:textId="77777777" w:rsidR="006548A3" w:rsidRPr="00FE22E5" w:rsidRDefault="006548A3">
      <w:pPr>
        <w:widowControl/>
        <w:autoSpaceDE/>
        <w:autoSpaceDN/>
        <w:adjustRightInd/>
        <w:spacing w:after="120"/>
        <w:ind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К1 „ТЕМАТИЧНА ОЦЕНКА“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155"/>
        <w:gridCol w:w="8311"/>
        <w:gridCol w:w="1176"/>
      </w:tblGrid>
      <w:tr w:rsidR="00742531" w:rsidRPr="00FE22E5" w14:paraId="38B26308" w14:textId="77777777" w:rsidTr="00DA5B3B">
        <w:trPr>
          <w:trHeight w:val="20"/>
          <w:tblHeader/>
        </w:trPr>
        <w:tc>
          <w:tcPr>
            <w:tcW w:w="840" w:type="pct"/>
            <w:tcBorders>
              <w:top w:val="single" w:sz="4" w:space="0" w:color="auto"/>
              <w:left w:val="single" w:sz="4" w:space="0" w:color="auto"/>
              <w:bottom w:val="single" w:sz="4" w:space="0" w:color="auto"/>
              <w:right w:val="single" w:sz="4" w:space="0" w:color="auto"/>
            </w:tcBorders>
            <w:shd w:val="clear" w:color="auto" w:fill="A6A6A6"/>
          </w:tcPr>
          <w:p w14:paraId="38B26304" w14:textId="77777777" w:rsidR="00C44D80" w:rsidRPr="00FE22E5" w:rsidRDefault="00C44D80" w:rsidP="00742531">
            <w:pPr>
              <w:widowControl/>
              <w:autoSpaceDE/>
              <w:autoSpaceDN/>
              <w:adjustRightInd/>
              <w:spacing w:after="120"/>
              <w:ind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„Тематична оценка“</w:t>
            </w:r>
          </w:p>
        </w:tc>
        <w:tc>
          <w:tcPr>
            <w:tcW w:w="77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8B26305" w14:textId="77777777" w:rsidR="00C44D80" w:rsidRPr="00FE22E5" w:rsidRDefault="00C44D80">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Подпоказател</w:t>
            </w:r>
          </w:p>
        </w:tc>
        <w:tc>
          <w:tcPr>
            <w:tcW w:w="297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8B26306" w14:textId="77777777" w:rsidR="00C44D80" w:rsidRPr="00FE22E5" w:rsidRDefault="00C44D80">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Критерий</w:t>
            </w:r>
          </w:p>
        </w:tc>
        <w:tc>
          <w:tcPr>
            <w:tcW w:w="420" w:type="pct"/>
            <w:tcBorders>
              <w:top w:val="single" w:sz="4" w:space="0" w:color="auto"/>
              <w:left w:val="single" w:sz="4" w:space="0" w:color="auto"/>
              <w:bottom w:val="single" w:sz="4" w:space="0" w:color="auto"/>
              <w:right w:val="single" w:sz="4" w:space="0" w:color="auto"/>
            </w:tcBorders>
            <w:shd w:val="clear" w:color="auto" w:fill="A6A6A6"/>
            <w:hideMark/>
          </w:tcPr>
          <w:p w14:paraId="38B26307" w14:textId="77777777" w:rsidR="00C44D80" w:rsidRPr="00FE22E5" w:rsidRDefault="00C44D80">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Резултат</w:t>
            </w:r>
          </w:p>
        </w:tc>
      </w:tr>
      <w:tr w:rsidR="00742531" w:rsidRPr="00FE22E5" w14:paraId="38B2630D" w14:textId="77777777" w:rsidTr="00DA5B3B">
        <w:trPr>
          <w:trHeight w:val="20"/>
        </w:trPr>
        <w:tc>
          <w:tcPr>
            <w:tcW w:w="840" w:type="pct"/>
            <w:vMerge w:val="restart"/>
            <w:tcBorders>
              <w:top w:val="single" w:sz="4" w:space="0" w:color="auto"/>
              <w:left w:val="single" w:sz="4" w:space="0" w:color="auto"/>
              <w:right w:val="single" w:sz="4" w:space="0" w:color="auto"/>
            </w:tcBorders>
          </w:tcPr>
          <w:p w14:paraId="38B26309" w14:textId="77777777" w:rsidR="00C44D80" w:rsidRPr="00FE22E5" w:rsidRDefault="00C44D80" w:rsidP="00742531">
            <w:pPr>
              <w:widowControl/>
              <w:numPr>
                <w:ilvl w:val="0"/>
                <w:numId w:val="8"/>
              </w:numPr>
              <w:tabs>
                <w:tab w:val="left" w:pos="360"/>
              </w:tabs>
              <w:autoSpaceDE/>
              <w:autoSpaceDN/>
              <w:adjustRightInd/>
              <w:spacing w:after="120"/>
              <w:ind w:left="0"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Оценка на актуалността на вътрешната съгласуваност на ОП НОИР.</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B2630A" w14:textId="77777777" w:rsidR="00C44D80" w:rsidRPr="00FE22E5" w:rsidRDefault="00C44D80" w:rsidP="001404C6">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К.</w:t>
            </w:r>
            <w:r w:rsidR="001404C6" w:rsidRPr="00FE22E5">
              <w:rPr>
                <w:rFonts w:ascii="Times New Roman" w:eastAsia="Calibri" w:hAnsi="Times New Roman" w:cs="Times New Roman"/>
                <w:b/>
                <w:color w:val="000000" w:themeColor="text1"/>
                <w:lang w:val="bg-BG"/>
              </w:rPr>
              <w:t>1</w:t>
            </w:r>
            <w:r w:rsidRPr="00FE22E5">
              <w:rPr>
                <w:rFonts w:ascii="Times New Roman" w:eastAsia="Calibri" w:hAnsi="Times New Roman" w:cs="Times New Roman"/>
                <w:b/>
                <w:color w:val="000000" w:themeColor="text1"/>
                <w:lang w:val="bg-BG"/>
              </w:rPr>
              <w:t xml:space="preserve">.1. </w:t>
            </w:r>
            <w:r w:rsidRPr="00FE22E5">
              <w:rPr>
                <w:rFonts w:ascii="Times New Roman" w:eastAsia="Calibri" w:hAnsi="Times New Roman" w:cs="Times New Roman"/>
                <w:color w:val="000000" w:themeColor="text1"/>
                <w:lang w:val="bg-BG"/>
              </w:rPr>
              <w:t xml:space="preserve">„Оценка на предложената методология за оценка и за отговори на оценъчните въпроси, </w:t>
            </w:r>
            <w:r w:rsidR="001404C6" w:rsidRPr="00FE22E5">
              <w:rPr>
                <w:rFonts w:ascii="Times New Roman" w:eastAsia="Calibri" w:hAnsi="Times New Roman" w:cs="Times New Roman"/>
                <w:color w:val="000000" w:themeColor="text1"/>
                <w:lang w:val="bg-BG"/>
              </w:rPr>
              <w:t xml:space="preserve">по тематична оценка 1 </w:t>
            </w:r>
            <w:r w:rsidRPr="00FE22E5">
              <w:rPr>
                <w:rFonts w:ascii="Times New Roman" w:eastAsia="Calibri" w:hAnsi="Times New Roman" w:cs="Times New Roman"/>
                <w:color w:val="000000" w:themeColor="text1"/>
                <w:lang w:val="bg-BG"/>
              </w:rPr>
              <w:t>съгласно т. 4.1.2 от Техническата спецификация“</w:t>
            </w: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B2630B" w14:textId="77777777" w:rsidR="00C44D80" w:rsidRPr="00FE22E5" w:rsidRDefault="00C44D80" w:rsidP="00922957">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Ръководството на Европейската комисия за концепции и препоръки за мониторинг и оценка, както и към Насоките на Европейската комисия за оценка на социално-икономическото развитие EVALSED, които са относими към изискванията за Тематична оценка 1 „Оценка на актуалността на вътрешната съгласуваност на ОП НОИР” на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0C" w14:textId="77777777" w:rsidR="00C44D80" w:rsidRPr="00FE22E5" w:rsidRDefault="00C44D80" w:rsidP="00BC6E4F">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742531" w:rsidRPr="00FE22E5" w14:paraId="38B26315" w14:textId="77777777" w:rsidTr="00DA5B3B">
        <w:trPr>
          <w:trHeight w:val="20"/>
        </w:trPr>
        <w:tc>
          <w:tcPr>
            <w:tcW w:w="840" w:type="pct"/>
            <w:vMerge/>
            <w:tcBorders>
              <w:left w:val="single" w:sz="4" w:space="0" w:color="auto"/>
              <w:right w:val="single" w:sz="4" w:space="0" w:color="auto"/>
            </w:tcBorders>
          </w:tcPr>
          <w:p w14:paraId="38B2630E" w14:textId="77777777" w:rsidR="00C44D80" w:rsidRPr="00FE22E5" w:rsidRDefault="00C44D80" w:rsidP="00BD4B9C">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0F" w14:textId="77777777" w:rsidR="00C44D80" w:rsidRPr="00FE22E5" w:rsidRDefault="00C44D80">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B26310" w14:textId="77777777" w:rsidR="00C44D80" w:rsidRPr="00FE22E5" w:rsidRDefault="00C44D80" w:rsidP="00417D78">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Ръководството на Европейската комисия за концепции и препоръки за мониторинг и оценка, както и към Насоките на Европейската комисия за оценка на социално-икономическото развитие EVALSED, които са относими към изискванията за Тематична оценка 1 „Оценка на актуалността на вътрешната съгласуваност на ОП НОИР” на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p>
          <w:p w14:paraId="38B26311" w14:textId="77777777" w:rsidR="00C44D80" w:rsidRPr="00FE22E5" w:rsidRDefault="00C44D80" w:rsidP="00BC6E4F">
            <w:pPr>
              <w:widowControl/>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В допълнение, предложението на участника съдържа </w:t>
            </w:r>
            <w:r w:rsidRPr="00FE22E5">
              <w:rPr>
                <w:rFonts w:ascii="Times New Roman" w:eastAsia="Calibri" w:hAnsi="Times New Roman" w:cs="Times New Roman"/>
                <w:b/>
                <w:color w:val="000000" w:themeColor="text1"/>
                <w:lang w:val="bg-BG"/>
              </w:rPr>
              <w:t>поне един</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312" w14:textId="77777777" w:rsidR="00C44D80" w:rsidRPr="00FE22E5" w:rsidRDefault="00C44D80" w:rsidP="00922957">
            <w:pPr>
              <w:widowControl/>
              <w:numPr>
                <w:ilvl w:val="0"/>
                <w:numId w:val="14"/>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е предложил методология, която се основава на добри практики на международни институции или на институции на Европейския съюз или на други международни организации за развитие, които са относими към изискванията за Тематична оценка 1 „Оценка на актуалността на вътрешната съгласуваност на ОП НОИР”  на Раздел 4.1.2. „Основни тематични оценки и оценъчни въпроси“ от Техническата спецификация, което има принос за качественото </w:t>
            </w:r>
            <w:r w:rsidRPr="00FE22E5">
              <w:rPr>
                <w:rFonts w:ascii="Times New Roman" w:eastAsia="Calibri" w:hAnsi="Times New Roman" w:cs="Times New Roman"/>
                <w:color w:val="000000" w:themeColor="text1"/>
                <w:lang w:val="bg-BG"/>
              </w:rPr>
              <w:lastRenderedPageBreak/>
              <w:t>изпълнение на услугата, видно от обосновката и представените примери от участника.</w:t>
            </w:r>
          </w:p>
          <w:p w14:paraId="38B26313" w14:textId="77777777" w:rsidR="00C44D80" w:rsidRPr="00FE22E5" w:rsidRDefault="00C44D80" w:rsidP="00417D78">
            <w:pPr>
              <w:widowControl/>
              <w:numPr>
                <w:ilvl w:val="0"/>
                <w:numId w:val="14"/>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конкретни примери за подобен тип оценки, които са относими към изискванията за Тематична оценка 1 „Оценка на актуалността на вътрешната съгласуваност на ОП НОИР” на Раздел 4.1.2. „Основни тематични оценки и оценъчни въпроси“ от Техническата спецификация и които имат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14" w14:textId="77777777" w:rsidR="00C44D80" w:rsidRPr="00FE22E5" w:rsidRDefault="00C44D80" w:rsidP="00BC6E4F">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 точки</w:t>
            </w:r>
          </w:p>
        </w:tc>
      </w:tr>
      <w:tr w:rsidR="00742531" w:rsidRPr="00FE22E5" w14:paraId="38B2631D" w14:textId="77777777" w:rsidTr="00DA5B3B">
        <w:trPr>
          <w:trHeight w:val="20"/>
        </w:trPr>
        <w:tc>
          <w:tcPr>
            <w:tcW w:w="840" w:type="pct"/>
            <w:vMerge/>
            <w:tcBorders>
              <w:left w:val="single" w:sz="4" w:space="0" w:color="auto"/>
              <w:right w:val="single" w:sz="4" w:space="0" w:color="auto"/>
            </w:tcBorders>
          </w:tcPr>
          <w:p w14:paraId="38B26316" w14:textId="77777777" w:rsidR="00C44D80" w:rsidRPr="00FE22E5" w:rsidRDefault="00C44D80" w:rsidP="00BD4B9C">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17" w14:textId="77777777" w:rsidR="00C44D80" w:rsidRPr="00FE22E5" w:rsidRDefault="00C44D80">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B26318" w14:textId="77777777" w:rsidR="00C44D80" w:rsidRPr="00FE22E5" w:rsidRDefault="00C44D80" w:rsidP="00417D78">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Ръководството на Европейската комисия за концепции и препоръки за мониторинг и оценка, както и към Насоките на Европейската комисия за оценка на социално-икономическото развитие EVALSED, които са относими към изискванията за Тематична оценка 1 „Оценка на актуалността на вътрешната съгласуваност на ОП НОИР” на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p>
          <w:p w14:paraId="38B26319" w14:textId="77777777" w:rsidR="00C44D80" w:rsidRPr="00FE22E5" w:rsidRDefault="00C44D80" w:rsidP="00BC6E4F">
            <w:pPr>
              <w:widowControl/>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В допълнение, предложението на участника съдържа и </w:t>
            </w:r>
            <w:r w:rsidRPr="00FE22E5">
              <w:rPr>
                <w:rFonts w:ascii="Times New Roman" w:eastAsia="Calibri" w:hAnsi="Times New Roman" w:cs="Times New Roman"/>
                <w:b/>
                <w:color w:val="000000" w:themeColor="text1"/>
                <w:lang w:val="bg-BG"/>
              </w:rPr>
              <w:t>двата</w:t>
            </w:r>
            <w:r w:rsidRPr="00FE22E5">
              <w:rPr>
                <w:rFonts w:ascii="Times New Roman" w:eastAsia="Calibri" w:hAnsi="Times New Roman" w:cs="Times New Roman"/>
                <w:color w:val="000000" w:themeColor="text1"/>
                <w:lang w:val="bg-BG"/>
              </w:rPr>
              <w:t xml:space="preserve"> надграждащи елемента:</w:t>
            </w:r>
          </w:p>
          <w:p w14:paraId="38B2631A" w14:textId="77777777" w:rsidR="00C44D80" w:rsidRPr="00FE22E5" w:rsidRDefault="00C44D80" w:rsidP="00922957">
            <w:pPr>
              <w:widowControl/>
              <w:numPr>
                <w:ilvl w:val="0"/>
                <w:numId w:val="14"/>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която се основава на добри практики на международни институции или на институции на Европейския съюз или на други международни организации за развитие, които са относими към изискванията за Тематична оценка 1 „Оценка на актуалността на вътрешната съгласуваност на ОП НОИР”  на Раздел 4.1.2. „Основни тематични оценки и оценъчни въпроси“ от Техническата спецификация и които имат принос за качественото изпълнение на услугата, видно от обосновката и представените примери от участника.</w:t>
            </w:r>
          </w:p>
          <w:p w14:paraId="38B2631B" w14:textId="77777777" w:rsidR="00C44D80" w:rsidRPr="00FE22E5" w:rsidRDefault="00C44D80" w:rsidP="00417D78">
            <w:pPr>
              <w:widowControl/>
              <w:numPr>
                <w:ilvl w:val="0"/>
                <w:numId w:val="14"/>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Участникът е предложил конкретни примери за подобен тип оценки които са относими към изискванията за Тематична оценка 1 „Оценка на актуалността на вътрешната съгласуваност на ОП НОИР” на Раздел 4.1.2. „Основни тематични оценки и оценъчни въпроси“ от Техническата спецификация и които имат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1C" w14:textId="77777777" w:rsidR="00C44D80" w:rsidRPr="00FE22E5" w:rsidRDefault="00C44D80" w:rsidP="00BC6E4F">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 xml:space="preserve">5 точки </w:t>
            </w:r>
          </w:p>
        </w:tc>
      </w:tr>
      <w:tr w:rsidR="00742531" w:rsidRPr="00FE22E5" w14:paraId="38B26323" w14:textId="77777777" w:rsidTr="00DA5B3B">
        <w:trPr>
          <w:trHeight w:val="20"/>
        </w:trPr>
        <w:tc>
          <w:tcPr>
            <w:tcW w:w="840" w:type="pct"/>
            <w:vMerge/>
            <w:tcBorders>
              <w:left w:val="single" w:sz="4" w:space="0" w:color="auto"/>
              <w:right w:val="single" w:sz="4" w:space="0" w:color="auto"/>
            </w:tcBorders>
          </w:tcPr>
          <w:p w14:paraId="38B2631E" w14:textId="77777777" w:rsidR="00C44D80" w:rsidRPr="00FE22E5" w:rsidRDefault="00C44D80" w:rsidP="00BD4B9C">
            <w:pPr>
              <w:widowControl/>
              <w:autoSpaceDE/>
              <w:autoSpaceDN/>
              <w:adjustRightInd/>
              <w:spacing w:after="120"/>
              <w:ind w:firstLine="0"/>
              <w:rPr>
                <w:rFonts w:ascii="Times New Roman" w:eastAsia="Calibri" w:hAnsi="Times New Roman" w:cs="Times New Roman"/>
                <w:b/>
                <w:color w:val="000000" w:themeColor="text1"/>
                <w:lang w:val="bg-BG"/>
              </w:rPr>
            </w:pP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8B2631F" w14:textId="77777777" w:rsidR="00C44D80" w:rsidRPr="00FE22E5" w:rsidRDefault="001404C6" w:rsidP="001404C6">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К1</w:t>
            </w:r>
            <w:r w:rsidR="00C44D80" w:rsidRPr="00FE22E5">
              <w:rPr>
                <w:rFonts w:ascii="Times New Roman" w:eastAsia="Calibri" w:hAnsi="Times New Roman" w:cs="Times New Roman"/>
                <w:b/>
                <w:color w:val="000000" w:themeColor="text1"/>
                <w:lang w:val="bg-BG"/>
              </w:rPr>
              <w:t>.2</w:t>
            </w:r>
            <w:r w:rsidR="00C44D80" w:rsidRPr="00FE22E5">
              <w:rPr>
                <w:rFonts w:ascii="Times New Roman" w:eastAsia="Calibri" w:hAnsi="Times New Roman" w:cs="Times New Roman"/>
                <w:color w:val="000000" w:themeColor="text1"/>
                <w:lang w:val="bg-BG"/>
              </w:rPr>
              <w:t xml:space="preserve"> Оценка на предложения подход за анализ и комуникация със заинтересованите страни</w:t>
            </w:r>
            <w:r w:rsidRPr="00FE22E5">
              <w:rPr>
                <w:rFonts w:ascii="Times New Roman" w:eastAsia="Calibri" w:hAnsi="Times New Roman" w:cs="Times New Roman"/>
                <w:color w:val="000000" w:themeColor="text1"/>
                <w:lang w:val="bg-BG"/>
              </w:rPr>
              <w:t xml:space="preserve"> по тематична </w:t>
            </w:r>
            <w:r w:rsidR="00742531" w:rsidRPr="00FE22E5">
              <w:rPr>
                <w:rFonts w:ascii="Times New Roman" w:eastAsia="Calibri" w:hAnsi="Times New Roman" w:cs="Times New Roman"/>
                <w:color w:val="000000" w:themeColor="text1"/>
                <w:lang w:val="bg-BG"/>
              </w:rPr>
              <w:t xml:space="preserve">оценка </w:t>
            </w:r>
            <w:r w:rsidRPr="00FE22E5">
              <w:rPr>
                <w:rFonts w:ascii="Times New Roman" w:eastAsia="Calibri" w:hAnsi="Times New Roman" w:cs="Times New Roman"/>
                <w:color w:val="000000" w:themeColor="text1"/>
                <w:lang w:val="bg-BG"/>
              </w:rPr>
              <w:t xml:space="preserve">1 съгласно т. 4.1.2 от Техническата спецификация“ </w:t>
            </w:r>
            <w:r w:rsidR="00C44D80" w:rsidRPr="00FE22E5">
              <w:rPr>
                <w:rFonts w:ascii="Times New Roman" w:eastAsia="Calibri" w:hAnsi="Times New Roman" w:cs="Times New Roman"/>
                <w:color w:val="000000" w:themeColor="text1"/>
                <w:lang w:val="bg-BG"/>
              </w:rPr>
              <w:t>.</w:t>
            </w:r>
          </w:p>
        </w:tc>
        <w:tc>
          <w:tcPr>
            <w:tcW w:w="2970" w:type="pct"/>
            <w:tcBorders>
              <w:top w:val="single" w:sz="4" w:space="0" w:color="auto"/>
              <w:left w:val="single" w:sz="4" w:space="0" w:color="auto"/>
              <w:bottom w:val="single" w:sz="4" w:space="0" w:color="auto"/>
              <w:right w:val="single" w:sz="4" w:space="0" w:color="auto"/>
            </w:tcBorders>
            <w:shd w:val="clear" w:color="auto" w:fill="auto"/>
            <w:hideMark/>
          </w:tcPr>
          <w:p w14:paraId="38B26320"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които са относими към  изискванията за съдържание на Тематична оценка 1, посочени в т. 4.1.4. „Структура и съдържание на средносрочната оценка на ОП НОИР 2014-2020” от Техническата спецификация, видно от обосновката и представените примери от участника. </w:t>
            </w:r>
          </w:p>
          <w:p w14:paraId="38B26321"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относими към изискванията в Техническата спецификация за провеждане на фокус групи, чиято цел е да обобщи мнението на заинтересованите страни (УО, Комитет за наблюдение, ЦКЗ, МОН, бенефициенти и партньори по програмата) и целеви групи, посочени в Техническата спецификация, Приложение 1 и да изведе ключови препоръки. Участникът е предложил концепция за проучване на мнението на заинтересованите страни и целевите групи, която допринася за обективно отразяване на мнението им и извеждане на ключови препоръки,  видно от обосновката и представените примери от участника. </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26322" w14:textId="77777777" w:rsidR="00C44D80" w:rsidRPr="00FE22E5" w:rsidRDefault="00C44D80">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точка</w:t>
            </w:r>
          </w:p>
        </w:tc>
      </w:tr>
      <w:tr w:rsidR="00742531" w:rsidRPr="00FE22E5" w14:paraId="38B2632D" w14:textId="77777777" w:rsidTr="00DA5B3B">
        <w:trPr>
          <w:trHeight w:val="20"/>
        </w:trPr>
        <w:tc>
          <w:tcPr>
            <w:tcW w:w="840" w:type="pct"/>
            <w:vMerge/>
            <w:tcBorders>
              <w:left w:val="single" w:sz="4" w:space="0" w:color="auto"/>
              <w:right w:val="single" w:sz="4" w:space="0" w:color="auto"/>
            </w:tcBorders>
          </w:tcPr>
          <w:p w14:paraId="38B26324" w14:textId="77777777" w:rsidR="00C44D80" w:rsidRPr="00FE22E5" w:rsidRDefault="00C44D80" w:rsidP="00BD4B9C">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26325" w14:textId="77777777" w:rsidR="00C44D80" w:rsidRPr="00FE22E5" w:rsidRDefault="00C44D80">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hideMark/>
          </w:tcPr>
          <w:p w14:paraId="38B26326"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които са относими към  изискванията за съдържание на Тематична оценка 1, посочени в т. 4.1.4. „Структура и съдържание на средносрочната оценка на ОП НОИР 2014-2020” от Техническата спецификация, видно от обосновката и представените примери от участника. </w:t>
            </w:r>
          </w:p>
          <w:p w14:paraId="38B26327"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 xml:space="preserve">Участникът се е ангажирал да изготви доклад по тематичната оценка и да отговори на поставените оценъчни въпроси, относими към изискванията в Техническата спецификация за провеждане на фокус групи, чиято цел е да обобщи мнението на заинтересованите страни (УО, Комитет за наблюдение, ЦКЗ, МОН, бенефициенти и партньори по програмата) и целеви групи посочени в Техническата спецификация, Приложение 1 и да изведе ключови препоръки. Участникът е предложил концепция за проучване на мнението на заинтересованите страни и целеви групи, която допринася за обективно отразяване на мнението им  и извеждане на ключови препоръки,  видно от обосновката и представените примери от участника. </w:t>
            </w:r>
          </w:p>
          <w:p w14:paraId="38B26328" w14:textId="77777777" w:rsidR="00C44D80" w:rsidRPr="00FE22E5" w:rsidRDefault="00C44D80" w:rsidP="00417D78">
            <w:pPr>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В допълнение, предложението на участника съдържа поне </w:t>
            </w:r>
            <w:r w:rsidRPr="00FE22E5">
              <w:rPr>
                <w:rFonts w:ascii="Times New Roman" w:eastAsia="Calibri" w:hAnsi="Times New Roman" w:cs="Times New Roman"/>
                <w:b/>
                <w:color w:val="000000" w:themeColor="text1"/>
                <w:lang w:val="bg-BG"/>
              </w:rPr>
              <w:t>два</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329" w14:textId="77777777" w:rsidR="00C44D80" w:rsidRPr="00FE22E5" w:rsidRDefault="00C44D80" w:rsidP="00BD4B9C">
            <w:pPr>
              <w:widowControl/>
              <w:numPr>
                <w:ilvl w:val="0"/>
                <w:numId w:val="15"/>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структура на анализа и подход за представяне на резултатите, които логически проследяват връзката между анализ, изводи, констатации и препоръки.</w:t>
            </w:r>
          </w:p>
          <w:p w14:paraId="38B2632A" w14:textId="77777777" w:rsidR="00C44D80" w:rsidRPr="00FE22E5" w:rsidRDefault="00C44D80" w:rsidP="00BC6E4F">
            <w:pPr>
              <w:widowControl/>
              <w:numPr>
                <w:ilvl w:val="0"/>
                <w:numId w:val="15"/>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представил предложение за визуализиране на резултатите (примерни таблици, графики, схеми), които ще повишат качеството на доклада по тематичната оценка, пояснявайки причинно-следствена връзка между източниците на информация и съответните изводи.</w:t>
            </w:r>
          </w:p>
          <w:p w14:paraId="38B2632B" w14:textId="23EAEE32" w:rsidR="00C44D80" w:rsidRPr="00921054" w:rsidRDefault="00C44D80" w:rsidP="00921054">
            <w:pPr>
              <w:pStyle w:val="ListParagraph"/>
              <w:widowControl/>
              <w:numPr>
                <w:ilvl w:val="0"/>
                <w:numId w:val="15"/>
              </w:numPr>
              <w:autoSpaceDE/>
              <w:autoSpaceDN/>
              <w:adjustRightInd/>
              <w:spacing w:after="120"/>
              <w:rPr>
                <w:rFonts w:ascii="Times New Roman" w:eastAsia="Calibri" w:hAnsi="Times New Roman" w:cs="Times New Roman"/>
                <w:color w:val="000000" w:themeColor="text1"/>
                <w:lang w:val="bg-BG"/>
              </w:rPr>
            </w:pPr>
            <w:r w:rsidRPr="00921054">
              <w:rPr>
                <w:rFonts w:ascii="Times New Roman" w:eastAsia="Calibri" w:hAnsi="Times New Roman" w:cs="Times New Roman"/>
                <w:color w:val="000000" w:themeColor="text1"/>
                <w:lang w:val="bg-BG"/>
              </w:rPr>
              <w:t>Участникът е предложил структура и съдържание на примерен въпросник за проучване на мнението на заинтересованите страни и целеви групи, като ключов елемент от оценката, които допринасят за обективно отразяване на  мнението им и извеждане на ключови препоръки, видно от обосновката и представените примери и позоваване на добри практики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2632C" w14:textId="77777777" w:rsidR="00C44D80" w:rsidRPr="00FE22E5" w:rsidRDefault="00C44D80">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tc>
      </w:tr>
      <w:tr w:rsidR="00742531" w:rsidRPr="00FE22E5" w14:paraId="38B26337" w14:textId="77777777" w:rsidTr="00DA5B3B">
        <w:trPr>
          <w:trHeight w:val="20"/>
        </w:trPr>
        <w:tc>
          <w:tcPr>
            <w:tcW w:w="840" w:type="pct"/>
            <w:vMerge/>
            <w:tcBorders>
              <w:left w:val="single" w:sz="4" w:space="0" w:color="auto"/>
              <w:bottom w:val="single" w:sz="4" w:space="0" w:color="auto"/>
              <w:right w:val="single" w:sz="4" w:space="0" w:color="auto"/>
            </w:tcBorders>
          </w:tcPr>
          <w:p w14:paraId="38B2632E" w14:textId="77777777" w:rsidR="00C44D80" w:rsidRPr="00FE22E5" w:rsidRDefault="00C44D80" w:rsidP="00BD4B9C">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2632F" w14:textId="77777777" w:rsidR="00C44D80" w:rsidRPr="00FE22E5" w:rsidRDefault="00C44D80">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tcPr>
          <w:p w14:paraId="38B26330" w14:textId="77777777" w:rsidR="00C44D80" w:rsidRPr="00FE22E5" w:rsidRDefault="00C44D80">
            <w:pPr>
              <w:widowControl/>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които са относими към  изискванията за съдържание на Тематична оценка 1, посочени в т. 4.1.4. „Структура и съдържание на средносрочната оценка на ОП НОИР 2014-2020” </w:t>
            </w:r>
            <w:r w:rsidRPr="00FE22E5">
              <w:rPr>
                <w:rFonts w:ascii="Times New Roman" w:eastAsia="Calibri" w:hAnsi="Times New Roman" w:cs="Times New Roman"/>
                <w:color w:val="000000" w:themeColor="text1"/>
                <w:lang w:val="bg-BG"/>
              </w:rPr>
              <w:lastRenderedPageBreak/>
              <w:t xml:space="preserve">от Техническата спецификация, видно от обосновката и представените примери от участника. </w:t>
            </w:r>
          </w:p>
          <w:p w14:paraId="38B26331" w14:textId="538B904C" w:rsidR="00C44D80" w:rsidRPr="00FE22E5" w:rsidRDefault="00C44D80">
            <w:pPr>
              <w:widowControl/>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относими към изискванията в Техническата спецификация за провеждане на фокус групи, чиято цел е да обобщи мнението на заинтересованите страни (УО, Комитет за наблюдение, ЦКЗ, МОН, бенефициенти и партньори по програмата) и целеви групи посочени в Техническата спецификация, Приложение 1  и да изведе ключови препоръки. Участникът е предложил концепция за проучване на мнението на заинтересованите страни и целеви групи, която допринася за обективно отразяване на мнението им  и извеждане на ключови препоръки,  видно от обосновката и представените примери от участника. </w:t>
            </w:r>
          </w:p>
          <w:p w14:paraId="38B26332" w14:textId="77777777" w:rsidR="00C44D80" w:rsidRPr="00FE22E5" w:rsidRDefault="00C44D80">
            <w:pPr>
              <w:widowControl/>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В допълнение, предложението на участника съдържа </w:t>
            </w:r>
            <w:r w:rsidRPr="00FE22E5">
              <w:rPr>
                <w:rFonts w:ascii="Times New Roman" w:eastAsia="Calibri" w:hAnsi="Times New Roman" w:cs="Times New Roman"/>
                <w:b/>
                <w:color w:val="000000" w:themeColor="text1"/>
                <w:lang w:val="bg-BG"/>
              </w:rPr>
              <w:t>и трите</w:t>
            </w:r>
            <w:r w:rsidRPr="00FE22E5">
              <w:rPr>
                <w:rFonts w:ascii="Times New Roman" w:eastAsia="Calibri" w:hAnsi="Times New Roman" w:cs="Times New Roman"/>
                <w:color w:val="000000" w:themeColor="text1"/>
                <w:lang w:val="bg-BG"/>
              </w:rPr>
              <w:t xml:space="preserve"> надграждащи елемента:</w:t>
            </w:r>
          </w:p>
          <w:p w14:paraId="38B26333" w14:textId="77777777" w:rsidR="00C44D80" w:rsidRPr="00FE22E5" w:rsidRDefault="00C44D80">
            <w:pPr>
              <w:widowControl/>
              <w:numPr>
                <w:ilvl w:val="0"/>
                <w:numId w:val="15"/>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структура на анализа и подход за представяне на резултатите, който логически проследява връзката между анализ, изводи, констатации и препоръки.</w:t>
            </w:r>
          </w:p>
          <w:p w14:paraId="38B26334" w14:textId="77777777" w:rsidR="00C44D80" w:rsidRPr="00FE22E5" w:rsidRDefault="00C44D80">
            <w:pPr>
              <w:widowControl/>
              <w:numPr>
                <w:ilvl w:val="0"/>
                <w:numId w:val="15"/>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представил предложение  за визуализиране на резултатите (примерни таблици, графики, схеми), които ще повишат качеството на доклада по тематичната оценка, пояснявайки причинно-следствена връзка между източниците на информация и съответните изводи.</w:t>
            </w:r>
          </w:p>
          <w:p w14:paraId="38B26335" w14:textId="77777777" w:rsidR="00C44D80" w:rsidRPr="00FE22E5" w:rsidRDefault="00C44D80">
            <w:pPr>
              <w:widowControl/>
              <w:numPr>
                <w:ilvl w:val="0"/>
                <w:numId w:val="15"/>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структура и съдържание на примерен въпросник за проучване на мнението на заинтересованите страни и целевите групи, като ключов елемент от оценката, които допринасят за обективно отразяване на  мнението им и извеждане на ключови препоръки,  видно от обосновката и представените примери и позоваване на добри практики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26336" w14:textId="77777777" w:rsidR="00C44D80" w:rsidRPr="00FE22E5" w:rsidRDefault="00C44D80">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5</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tc>
      </w:tr>
      <w:tr w:rsidR="00742531" w:rsidRPr="00FE22E5" w14:paraId="38B2633D" w14:textId="77777777" w:rsidTr="00DA5B3B">
        <w:trPr>
          <w:trHeight w:val="20"/>
        </w:trPr>
        <w:tc>
          <w:tcPr>
            <w:tcW w:w="840" w:type="pct"/>
            <w:vMerge w:val="restart"/>
            <w:tcBorders>
              <w:top w:val="single" w:sz="4" w:space="0" w:color="auto"/>
              <w:left w:val="single" w:sz="4" w:space="0" w:color="auto"/>
              <w:right w:val="single" w:sz="4" w:space="0" w:color="auto"/>
            </w:tcBorders>
          </w:tcPr>
          <w:p w14:paraId="38B26338" w14:textId="77777777" w:rsidR="00C44D80" w:rsidRPr="00FE22E5" w:rsidRDefault="00C44D80" w:rsidP="00742531">
            <w:pPr>
              <w:widowControl/>
              <w:numPr>
                <w:ilvl w:val="0"/>
                <w:numId w:val="8"/>
              </w:numPr>
              <w:shd w:val="clear" w:color="auto" w:fill="FFFFFF" w:themeFill="background1"/>
              <w:tabs>
                <w:tab w:val="left" w:pos="360"/>
              </w:tabs>
              <w:autoSpaceDE/>
              <w:autoSpaceDN/>
              <w:adjustRightInd/>
              <w:spacing w:after="120"/>
              <w:ind w:left="0"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 xml:space="preserve">Оценка на актуалността на </w:t>
            </w:r>
            <w:r w:rsidRPr="00FE22E5">
              <w:rPr>
                <w:rFonts w:ascii="Times New Roman" w:eastAsia="Calibri" w:hAnsi="Times New Roman" w:cs="Times New Roman"/>
                <w:b/>
                <w:color w:val="000000" w:themeColor="text1"/>
                <w:lang w:val="bg-BG"/>
              </w:rPr>
              <w:lastRenderedPageBreak/>
              <w:t xml:space="preserve">външната съгласуваност на ОПНОИР </w:t>
            </w:r>
          </w:p>
          <w:p w14:paraId="38B26339" w14:textId="77777777" w:rsidR="00C44D80" w:rsidRPr="00FE22E5" w:rsidRDefault="00C44D80" w:rsidP="00683544">
            <w:pPr>
              <w:widowControl/>
              <w:autoSpaceDE/>
              <w:autoSpaceDN/>
              <w:adjustRightInd/>
              <w:spacing w:after="120"/>
              <w:ind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color w:val="000000" w:themeColor="text1"/>
                <w:lang w:val="bg-BG"/>
              </w:rPr>
              <w:t xml:space="preserve">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B2633A" w14:textId="77777777" w:rsidR="00C44D80" w:rsidRPr="00FE22E5" w:rsidRDefault="00A82A37" w:rsidP="00742531">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lastRenderedPageBreak/>
              <w:t>К1.3</w:t>
            </w:r>
            <w:r w:rsidR="00C44D80" w:rsidRPr="00FE22E5">
              <w:rPr>
                <w:rFonts w:ascii="Times New Roman" w:eastAsia="Calibri" w:hAnsi="Times New Roman" w:cs="Times New Roman"/>
                <w:color w:val="000000" w:themeColor="text1"/>
                <w:lang w:val="bg-BG"/>
              </w:rPr>
              <w:t xml:space="preserve"> Оценка на предложената </w:t>
            </w:r>
            <w:r w:rsidR="00C44D80" w:rsidRPr="00FE22E5">
              <w:rPr>
                <w:rFonts w:ascii="Times New Roman" w:eastAsia="Calibri" w:hAnsi="Times New Roman" w:cs="Times New Roman"/>
                <w:color w:val="000000" w:themeColor="text1"/>
                <w:lang w:val="bg-BG"/>
              </w:rPr>
              <w:lastRenderedPageBreak/>
              <w:t xml:space="preserve">методология за оценка и за отговори на оценъчните въпроси, </w:t>
            </w:r>
            <w:r w:rsidR="00742531" w:rsidRPr="00FE22E5">
              <w:rPr>
                <w:rFonts w:ascii="Times New Roman" w:eastAsia="Calibri" w:hAnsi="Times New Roman" w:cs="Times New Roman"/>
                <w:color w:val="000000" w:themeColor="text1"/>
                <w:lang w:val="bg-BG"/>
              </w:rPr>
              <w:t xml:space="preserve">по тематична оценка 2, </w:t>
            </w:r>
            <w:r w:rsidR="00C44D80" w:rsidRPr="00FE22E5">
              <w:rPr>
                <w:rFonts w:ascii="Times New Roman" w:eastAsia="Calibri" w:hAnsi="Times New Roman" w:cs="Times New Roman"/>
                <w:color w:val="000000" w:themeColor="text1"/>
                <w:lang w:val="bg-BG"/>
              </w:rPr>
              <w:t>съгласно т. 4.1.2 от Техническата спецификация</w:t>
            </w: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B2633B" w14:textId="77777777" w:rsidR="00C44D80" w:rsidRPr="00FE22E5" w:rsidRDefault="00C44D80" w:rsidP="004C03CD">
            <w:pPr>
              <w:widowControl/>
              <w:autoSpaceDE/>
              <w:autoSpaceDN/>
              <w:adjustRightInd/>
              <w:spacing w:after="120"/>
              <w:ind w:firstLine="0"/>
              <w:rPr>
                <w:rFonts w:ascii="Times New Roman" w:eastAsia="Calibri" w:hAnsi="Times New Roman" w:cs="Times New Roman"/>
                <w:color w:val="000000" w:themeColor="text1"/>
                <w:highlight w:val="yellow"/>
                <w:lang w:val="bg-BG"/>
              </w:rPr>
            </w:pPr>
            <w:r w:rsidRPr="00FE22E5">
              <w:rPr>
                <w:rFonts w:ascii="Times New Roman" w:eastAsia="Calibri" w:hAnsi="Times New Roman" w:cs="Times New Roman"/>
                <w:color w:val="000000" w:themeColor="text1"/>
                <w:lang w:val="bg-BG"/>
              </w:rPr>
              <w:lastRenderedPageBreak/>
              <w:t xml:space="preserve"> Участникът е предложил методология за оценка и за отговори на оценъчните въпроси, която се основава на референции към Ръководството на Европейската </w:t>
            </w:r>
            <w:r w:rsidRPr="00FE22E5">
              <w:rPr>
                <w:rFonts w:ascii="Times New Roman" w:eastAsia="Calibri" w:hAnsi="Times New Roman" w:cs="Times New Roman"/>
                <w:color w:val="000000" w:themeColor="text1"/>
                <w:lang w:val="bg-BG"/>
              </w:rPr>
              <w:lastRenderedPageBreak/>
              <w:t>комисия за концепции и препоръки за мониторинг и оценка, както и към Насоките на Европейската комисия за оценка на социално-икономическото развитие EVALSED, които са относими към изискванията за Тематична оценка 2 „Оценка на актуалността на външната съгласуваност на ОПНОИР“, завършили изпълнението, с целите на нормативните и стратегическите документи, свързани с науката, висшето образование, училищното и предучилищното образование, образователната интеграция на деца и ученици от етническите малцинства и стратегията „Европа 2020“, както и приноса в изпълнението на целите им, на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3C" w14:textId="77777777" w:rsidR="00C44D80" w:rsidRPr="00FE22E5" w:rsidRDefault="00C44D80" w:rsidP="00BC6E4F">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1 точка</w:t>
            </w:r>
          </w:p>
        </w:tc>
      </w:tr>
      <w:tr w:rsidR="00742531" w:rsidRPr="00FE22E5" w14:paraId="38B26347" w14:textId="77777777" w:rsidTr="00DA5B3B">
        <w:trPr>
          <w:trHeight w:val="20"/>
        </w:trPr>
        <w:tc>
          <w:tcPr>
            <w:tcW w:w="840" w:type="pct"/>
            <w:vMerge/>
            <w:tcBorders>
              <w:left w:val="single" w:sz="4" w:space="0" w:color="auto"/>
              <w:right w:val="single" w:sz="4" w:space="0" w:color="auto"/>
            </w:tcBorders>
          </w:tcPr>
          <w:p w14:paraId="38B2633E" w14:textId="77777777" w:rsidR="00C44D80" w:rsidRPr="00FE22E5" w:rsidRDefault="00C44D80" w:rsidP="00BD4B9C">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3F" w14:textId="77777777" w:rsidR="00C44D80" w:rsidRPr="00FE22E5" w:rsidRDefault="00C44D80">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B26340" w14:textId="77777777" w:rsidR="00C44D80" w:rsidRPr="00FE22E5" w:rsidRDefault="00C44D80" w:rsidP="004C03CD">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Ръководството на ЕК за концепции и препоръки за мониторинг и оценка, към Насоките на ЕК за оценка на социално-икономическото развитие EVALSED, които са относими към изискванията за Тематична оценка 2 „Оценка на актуалността на външната съгласуваност на ОПНОИР“, на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341" w14:textId="77777777" w:rsidR="00C44D80" w:rsidRPr="00FE22E5" w:rsidRDefault="00C44D80" w:rsidP="00417D78">
            <w:pPr>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В допълнение, предложението на участника съдържа </w:t>
            </w:r>
            <w:r w:rsidRPr="00FE22E5">
              <w:rPr>
                <w:rFonts w:ascii="Times New Roman" w:eastAsia="Calibri" w:hAnsi="Times New Roman" w:cs="Times New Roman"/>
                <w:b/>
                <w:color w:val="000000" w:themeColor="text1"/>
                <w:lang w:val="bg-BG"/>
              </w:rPr>
              <w:t>поне един</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342" w14:textId="77777777" w:rsidR="00C44D80" w:rsidRPr="00FE22E5" w:rsidRDefault="00C44D80" w:rsidP="00417D78">
            <w:pPr>
              <w:numPr>
                <w:ilvl w:val="0"/>
                <w:numId w:val="17"/>
              </w:numPr>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или на други международни организации за развитие, които са относими към изискванията за Тематична оценка 2 „Оценка на актуалността на външната съгласуваност на ОПНОИР“ , на Раздел 4.1.2. „Основни тематични оценки и оценъчни въпроси“ от Техническата спецификация </w:t>
            </w:r>
            <w:r w:rsidRPr="00FE22E5">
              <w:rPr>
                <w:rFonts w:ascii="Times New Roman" w:eastAsia="Calibri" w:hAnsi="Times New Roman" w:cs="Times New Roman"/>
                <w:color w:val="000000" w:themeColor="text1"/>
                <w:lang w:val="bg-BG"/>
              </w:rPr>
              <w:lastRenderedPageBreak/>
              <w:t>и има принос за качественото изпълнение на  услугата, видно от обосновката и представените примери от участника.</w:t>
            </w:r>
          </w:p>
          <w:p w14:paraId="38B26343" w14:textId="77777777" w:rsidR="00C44D80" w:rsidRPr="00FE22E5" w:rsidRDefault="00C44D80" w:rsidP="00417D78">
            <w:pPr>
              <w:numPr>
                <w:ilvl w:val="0"/>
                <w:numId w:val="17"/>
              </w:numPr>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конкретни примери за подобен тип оценки, които са относими към изискванията за Тематична оценка 2 „Оценка на актуалността на външната съгласуваност на ОПНОИР“, както и приноса в изпълнението на целите на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344" w14:textId="77777777" w:rsidR="00C44D80" w:rsidRPr="00FE22E5" w:rsidRDefault="00C44D80" w:rsidP="00417D78">
            <w:pPr>
              <w:spacing w:after="120"/>
              <w:rPr>
                <w:rFonts w:ascii="Times New Roman" w:eastAsia="Calibri" w:hAnsi="Times New Roman" w:cs="Times New Roman"/>
                <w:color w:val="000000" w:themeColor="text1"/>
                <w:lang w:val="bg-BG"/>
              </w:rPr>
            </w:pP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45" w14:textId="77777777" w:rsidR="00C44D80" w:rsidRPr="00FE22E5" w:rsidRDefault="00C44D80" w:rsidP="00BD4B9C">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 точки</w:t>
            </w:r>
          </w:p>
          <w:p w14:paraId="38B26346" w14:textId="77777777" w:rsidR="00C44D80" w:rsidRPr="00FE22E5" w:rsidRDefault="00C44D80" w:rsidP="00417D78">
            <w:pPr>
              <w:spacing w:after="120"/>
              <w:rPr>
                <w:rFonts w:ascii="Times New Roman" w:eastAsia="Calibri" w:hAnsi="Times New Roman" w:cs="Times New Roman"/>
                <w:color w:val="000000" w:themeColor="text1"/>
                <w:lang w:val="bg-BG"/>
              </w:rPr>
            </w:pPr>
          </w:p>
        </w:tc>
      </w:tr>
      <w:tr w:rsidR="00742531" w:rsidRPr="00FE22E5" w14:paraId="38B26350" w14:textId="77777777" w:rsidTr="00DA5B3B">
        <w:trPr>
          <w:trHeight w:val="20"/>
        </w:trPr>
        <w:tc>
          <w:tcPr>
            <w:tcW w:w="840" w:type="pct"/>
            <w:vMerge/>
            <w:tcBorders>
              <w:left w:val="single" w:sz="4" w:space="0" w:color="auto"/>
              <w:right w:val="single" w:sz="4" w:space="0" w:color="auto"/>
            </w:tcBorders>
          </w:tcPr>
          <w:p w14:paraId="38B26348" w14:textId="77777777" w:rsidR="00C44D80" w:rsidRPr="00FE22E5" w:rsidRDefault="00C44D80" w:rsidP="00BD4B9C">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49" w14:textId="77777777" w:rsidR="00C44D80" w:rsidRPr="00FE22E5" w:rsidRDefault="00C44D80">
            <w:pPr>
              <w:widowControl/>
              <w:autoSpaceDE/>
              <w:autoSpaceDN/>
              <w:adjustRightInd/>
              <w:spacing w:after="120"/>
              <w:ind w:firstLine="0"/>
              <w:jc w:val="left"/>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B2634A" w14:textId="77777777" w:rsidR="00C44D80" w:rsidRPr="00FE22E5" w:rsidRDefault="00C44D80" w:rsidP="00417D78">
            <w:pPr>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Ръководството на ЕК за концепции и препоръки за мониторинг и оценка, към Насоките на ЕК за оценка на социално-икономическото развитие EVALSED, които са относими към изискванията за Тематична оценка 2 „Оценка на актуалността на външната съгласуваност на ОПНОИР“, на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/доказателства от участника.</w:t>
            </w:r>
          </w:p>
          <w:p w14:paraId="38B2634B" w14:textId="77777777" w:rsidR="00C44D80" w:rsidRPr="00FE22E5" w:rsidRDefault="00C44D80" w:rsidP="00417D78">
            <w:pPr>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В допълнение, предложението на участника съдържа </w:t>
            </w:r>
            <w:r w:rsidRPr="00FE22E5">
              <w:rPr>
                <w:rFonts w:ascii="Times New Roman" w:eastAsia="Calibri" w:hAnsi="Times New Roman" w:cs="Times New Roman"/>
                <w:b/>
                <w:color w:val="000000" w:themeColor="text1"/>
                <w:lang w:val="bg-BG"/>
              </w:rPr>
              <w:t>и двата</w:t>
            </w:r>
            <w:r w:rsidRPr="00FE22E5">
              <w:rPr>
                <w:rFonts w:ascii="Times New Roman" w:eastAsia="Calibri" w:hAnsi="Times New Roman" w:cs="Times New Roman"/>
                <w:color w:val="000000" w:themeColor="text1"/>
                <w:lang w:val="bg-BG"/>
              </w:rPr>
              <w:t xml:space="preserve"> надграждащи елемента:</w:t>
            </w:r>
          </w:p>
          <w:p w14:paraId="38B2634C" w14:textId="77777777" w:rsidR="00C44D80" w:rsidRPr="00FE22E5" w:rsidRDefault="00C44D80" w:rsidP="00417D78">
            <w:pPr>
              <w:numPr>
                <w:ilvl w:val="0"/>
                <w:numId w:val="17"/>
              </w:numPr>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ЕС или на други международни организации за развитие, които са относими към изискванията за Тематична оценка 2 „Оценка на актуалността на външната съгласуваност на ОПНОИР“, на Раздел 4.1.2. „Основни тематични оценки и оценъчни въпроси“ от Техническата спецификация и има принос за качественото изпълнение на услугата, видно от </w:t>
            </w:r>
            <w:r w:rsidRPr="00FE22E5">
              <w:rPr>
                <w:rFonts w:ascii="Times New Roman" w:eastAsia="Calibri" w:hAnsi="Times New Roman" w:cs="Times New Roman"/>
                <w:color w:val="000000" w:themeColor="text1"/>
                <w:lang w:val="bg-BG"/>
              </w:rPr>
              <w:lastRenderedPageBreak/>
              <w:t>обосновката и представените примери /доказателства от участника.</w:t>
            </w:r>
          </w:p>
          <w:p w14:paraId="38B2634E" w14:textId="2C2B8C53" w:rsidR="00C44D80" w:rsidRPr="00FE22E5" w:rsidRDefault="00C44D80" w:rsidP="00BD4B9C">
            <w:pPr>
              <w:widowControl/>
              <w:shd w:val="clear" w:color="auto" w:fill="FFFFFF" w:themeFill="background1"/>
              <w:tabs>
                <w:tab w:val="left" w:pos="744"/>
              </w:tabs>
              <w:autoSpaceDE/>
              <w:autoSpaceDN/>
              <w:adjustRightInd/>
              <w:spacing w:after="120"/>
              <w:ind w:left="360" w:firstLine="0"/>
              <w:rPr>
                <w:rFonts w:ascii="Times New Roman" w:eastAsia="Calibri" w:hAnsi="Times New Roman" w:cs="Times New Roman"/>
                <w:color w:val="000000" w:themeColor="text1"/>
                <w:highlight w:val="yellow"/>
                <w:lang w:val="bg-BG"/>
              </w:rPr>
            </w:pPr>
            <w:r w:rsidRPr="00FE22E5">
              <w:rPr>
                <w:rFonts w:ascii="Times New Roman" w:eastAsia="Calibri" w:hAnsi="Times New Roman" w:cs="Times New Roman"/>
                <w:color w:val="000000" w:themeColor="text1"/>
                <w:lang w:val="bg-BG"/>
              </w:rPr>
              <w:t>Участникът е предложил конкретни примери за подобен тип оценки, които са относими към изискванията за Тематична оценка 2 „Оценка на външната съгласуваност на процедурите в процес на изпълнение, завършили изпълнението, с целите на нормативните и стратегическите документи, свързани с науката, висшето образование, училищното и предучилищното образование, образователната интеграция на деца и ученици от етническите малцинства и стратегията „Европа 2020“, както и приноса в изпълнението на целите на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2634F" w14:textId="77777777" w:rsidR="00C44D80" w:rsidRPr="00FE22E5" w:rsidRDefault="00C44D80" w:rsidP="00417D78">
            <w:pPr>
              <w:pStyle w:val="Subtitle"/>
              <w:spacing w:after="120"/>
              <w:ind w:firstLine="0"/>
              <w:jc w:val="both"/>
              <w:rPr>
                <w:rFonts w:ascii="Times New Roman" w:eastAsia="Calibri" w:hAnsi="Times New Roman"/>
                <w:b/>
                <w:color w:val="000000" w:themeColor="text1"/>
                <w:lang w:val="bg-BG"/>
              </w:rPr>
            </w:pPr>
            <w:r w:rsidRPr="00FE22E5">
              <w:rPr>
                <w:rFonts w:ascii="Times New Roman" w:eastAsia="Calibri" w:hAnsi="Times New Roman"/>
                <w:b/>
                <w:color w:val="000000" w:themeColor="text1"/>
                <w:lang w:val="bg-BG"/>
              </w:rPr>
              <w:lastRenderedPageBreak/>
              <w:t>5</w:t>
            </w:r>
            <w:r w:rsidRPr="00FE22E5">
              <w:rPr>
                <w:color w:val="000000" w:themeColor="text1"/>
                <w:lang w:val="bg-BG"/>
              </w:rPr>
              <w:t xml:space="preserve"> </w:t>
            </w:r>
            <w:r w:rsidRPr="00FE22E5">
              <w:rPr>
                <w:rFonts w:ascii="Times New Roman" w:eastAsia="Calibri" w:hAnsi="Times New Roman"/>
                <w:b/>
                <w:color w:val="000000" w:themeColor="text1"/>
                <w:lang w:val="bg-BG"/>
              </w:rPr>
              <w:t>точки</w:t>
            </w:r>
          </w:p>
        </w:tc>
      </w:tr>
      <w:tr w:rsidR="00742531" w:rsidRPr="00FE22E5" w14:paraId="38B26356" w14:textId="77777777" w:rsidTr="00DA5B3B">
        <w:trPr>
          <w:trHeight w:val="20"/>
        </w:trPr>
        <w:tc>
          <w:tcPr>
            <w:tcW w:w="840" w:type="pct"/>
            <w:vMerge/>
            <w:tcBorders>
              <w:left w:val="single" w:sz="4" w:space="0" w:color="auto"/>
              <w:right w:val="single" w:sz="4" w:space="0" w:color="auto"/>
            </w:tcBorders>
          </w:tcPr>
          <w:p w14:paraId="38B26351" w14:textId="77777777" w:rsidR="00C44D80" w:rsidRPr="00FE22E5" w:rsidRDefault="00C44D80" w:rsidP="00BD4B9C">
            <w:pPr>
              <w:widowControl/>
              <w:autoSpaceDE/>
              <w:autoSpaceDN/>
              <w:adjustRightInd/>
              <w:spacing w:after="120"/>
              <w:ind w:firstLine="0"/>
              <w:rPr>
                <w:rFonts w:ascii="Times New Roman" w:eastAsia="Calibri" w:hAnsi="Times New Roman" w:cs="Times New Roman"/>
                <w:b/>
                <w:color w:val="000000" w:themeColor="text1"/>
                <w:lang w:val="bg-BG"/>
              </w:rPr>
            </w:pP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8B26352" w14:textId="1DB32864" w:rsidR="00C44D80" w:rsidRPr="00FE22E5" w:rsidRDefault="00A82A37" w:rsidP="00BC6E4F">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К1.4</w:t>
            </w:r>
            <w:r w:rsidR="00C44D80" w:rsidRPr="00FE22E5">
              <w:rPr>
                <w:rFonts w:ascii="Times New Roman" w:eastAsia="Calibri" w:hAnsi="Times New Roman" w:cs="Times New Roman"/>
                <w:color w:val="000000" w:themeColor="text1"/>
                <w:lang w:val="bg-BG"/>
              </w:rPr>
              <w:t xml:space="preserve"> Оценка на предложения подход за анализ и комуникация със заинтересованите страни</w:t>
            </w:r>
            <w:r w:rsidR="00742531" w:rsidRPr="00FE22E5">
              <w:rPr>
                <w:rFonts w:ascii="Times New Roman" w:eastAsia="Calibri" w:hAnsi="Times New Roman" w:cs="Times New Roman"/>
                <w:color w:val="000000" w:themeColor="text1"/>
                <w:lang w:val="bg-BG"/>
              </w:rPr>
              <w:t xml:space="preserve"> по тематична оценка 2, съгласно т. 4.1.2 от Техническата спецификация</w:t>
            </w:r>
            <w:r w:rsidR="00C44D80" w:rsidRPr="00FE22E5">
              <w:rPr>
                <w:rFonts w:ascii="Times New Roman" w:eastAsia="Calibri" w:hAnsi="Times New Roman" w:cs="Times New Roman"/>
                <w:color w:val="000000" w:themeColor="text1"/>
                <w:lang w:val="bg-BG"/>
              </w:rPr>
              <w:t>.</w:t>
            </w:r>
          </w:p>
        </w:tc>
        <w:tc>
          <w:tcPr>
            <w:tcW w:w="2970" w:type="pct"/>
            <w:tcBorders>
              <w:top w:val="single" w:sz="4" w:space="0" w:color="auto"/>
              <w:left w:val="single" w:sz="4" w:space="0" w:color="auto"/>
              <w:bottom w:val="single" w:sz="4" w:space="0" w:color="auto"/>
              <w:right w:val="single" w:sz="4" w:space="0" w:color="auto"/>
            </w:tcBorders>
            <w:shd w:val="clear" w:color="auto" w:fill="auto"/>
            <w:hideMark/>
          </w:tcPr>
          <w:p w14:paraId="38B26353"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които са относими към  изискванията за съдържание на Тематична оценка 2, посочени в т. 4.1.4. „Структура и съдържание на средносрочната оценка на ОП НОИР 2014-2020” видно от обосновката и представените примери от участника. Участникът се е ангажирал да изготви доклад по тематичната оценка и да отговори на поставените оценъчни въпроси, относими към изискванията в Техническата спецификация за провеждане на фокус група, чиято цел е да обобщи мнението на заинтересованите страни (УО, Комитет за наблюдение, ЦКЗ, МОН, бенефициенти и партньори по програмата)  и да изведе ключови препоръки. </w:t>
            </w:r>
          </w:p>
          <w:p w14:paraId="38B26354"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концепция за проучване на мнението на заинтересованите страни, която допринася за обективно отразяване на мнението им  и извеждане на ключови препоръки,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26355" w14:textId="77777777" w:rsidR="00C44D80" w:rsidRPr="00FE22E5" w:rsidRDefault="00C44D80">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точка</w:t>
            </w:r>
          </w:p>
        </w:tc>
      </w:tr>
      <w:tr w:rsidR="00742531" w:rsidRPr="00FE22E5" w14:paraId="38B26367" w14:textId="77777777" w:rsidTr="00DA5B3B">
        <w:trPr>
          <w:trHeight w:val="20"/>
        </w:trPr>
        <w:tc>
          <w:tcPr>
            <w:tcW w:w="840" w:type="pct"/>
            <w:vMerge/>
            <w:tcBorders>
              <w:left w:val="single" w:sz="4" w:space="0" w:color="auto"/>
              <w:right w:val="single" w:sz="4" w:space="0" w:color="auto"/>
            </w:tcBorders>
          </w:tcPr>
          <w:p w14:paraId="38B26357" w14:textId="77777777" w:rsidR="00C44D80" w:rsidRPr="00FE22E5" w:rsidRDefault="00C44D80" w:rsidP="00BD4B9C">
            <w:pPr>
              <w:widowControl/>
              <w:numPr>
                <w:ilvl w:val="1"/>
                <w:numId w:val="8"/>
              </w:numPr>
              <w:autoSpaceDE/>
              <w:autoSpaceDN/>
              <w:adjustRightInd/>
              <w:spacing w:after="120"/>
              <w:ind w:left="34" w:firstLine="0"/>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26358" w14:textId="77777777" w:rsidR="00C44D80" w:rsidRPr="00FE22E5" w:rsidRDefault="00C44D80">
            <w:pPr>
              <w:widowControl/>
              <w:numPr>
                <w:ilvl w:val="1"/>
                <w:numId w:val="8"/>
              </w:numPr>
              <w:autoSpaceDE/>
              <w:autoSpaceDN/>
              <w:adjustRightInd/>
              <w:spacing w:after="120"/>
              <w:ind w:left="34"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tcPr>
          <w:p w14:paraId="38B26359"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които са относими към  изискванията за съдържание на Тематична оценка 2, посочени в т. 4.1.4. „Структура и съдържание на средносрочната оценка на ОП НОИР 2014-2020” видно от обосновката и представените примери от участника. Участникът се е </w:t>
            </w:r>
            <w:r w:rsidRPr="00FE22E5">
              <w:rPr>
                <w:rFonts w:ascii="Times New Roman" w:eastAsia="Calibri" w:hAnsi="Times New Roman" w:cs="Times New Roman"/>
                <w:color w:val="000000" w:themeColor="text1"/>
                <w:lang w:val="bg-BG"/>
              </w:rPr>
              <w:lastRenderedPageBreak/>
              <w:t xml:space="preserve">ангажирал да изготви доклад по тематичната оценка и да отговори на поставените оценъчни въпроси, относими към изискванията в Техническата спецификация за провеждане на фокус група, чиято цел е да обобщи мнението на заинтересованите страни (Управляващ орган, Централно координационно звено, Министерство на образованието и науката, бенефициенти) и да изведе ключови препоръки. </w:t>
            </w:r>
          </w:p>
          <w:p w14:paraId="38B2635A"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концепция за проучване на мнението на заинтересованите страни (УО, Комитет за наблюдение, ЦКЗ, МОН, бенефициенти и партньори по програмата), която допринася за обективно отразяване на мнението им  и извеждане на ключови препоръки,  видно от обосновката и представените примери от участника.</w:t>
            </w:r>
          </w:p>
          <w:p w14:paraId="38B2635B"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В допълнение, предложението на участника съдържа поне </w:t>
            </w:r>
            <w:r w:rsidRPr="00FE22E5">
              <w:rPr>
                <w:rFonts w:ascii="Times New Roman" w:eastAsia="Calibri" w:hAnsi="Times New Roman" w:cs="Times New Roman"/>
                <w:b/>
                <w:color w:val="000000" w:themeColor="text1"/>
                <w:lang w:val="bg-BG"/>
              </w:rPr>
              <w:t xml:space="preserve">два </w:t>
            </w:r>
            <w:r w:rsidRPr="00FE22E5">
              <w:rPr>
                <w:rFonts w:ascii="Times New Roman" w:eastAsia="Calibri" w:hAnsi="Times New Roman" w:cs="Times New Roman"/>
                <w:color w:val="000000" w:themeColor="text1"/>
                <w:lang w:val="bg-BG"/>
              </w:rPr>
              <w:t>от следните надграждащи елемента:</w:t>
            </w:r>
          </w:p>
          <w:p w14:paraId="38B2635C"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rFonts w:ascii="Times New Roman" w:eastAsia="Calibri" w:hAnsi="Times New Roman" w:cs="Times New Roman"/>
                <w:color w:val="000000" w:themeColor="text1"/>
                <w:lang w:val="bg-BG"/>
              </w:rPr>
              <w:tab/>
              <w:t>Участникът е предложил структура на анализа и подход за представяне на резултатите, който логически проследява връзката между анализ, изводи, констатации и препоръки.</w:t>
            </w:r>
          </w:p>
          <w:p w14:paraId="38B2635D"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rFonts w:ascii="Times New Roman" w:eastAsia="Calibri" w:hAnsi="Times New Roman" w:cs="Times New Roman"/>
                <w:color w:val="000000" w:themeColor="text1"/>
                <w:lang w:val="bg-BG"/>
              </w:rPr>
              <w:tab/>
              <w:t>Участникът е представил предложение  за визуализиране на резултатите (примерни таблици, графики, схеми), които ще повишат качеството на доклада по тематичната оценка, пояснявайки причинно-следствена връзка между източниците на информация и съответните изводи.</w:t>
            </w:r>
          </w:p>
          <w:p w14:paraId="38B2635E"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rFonts w:ascii="Times New Roman" w:eastAsia="Calibri" w:hAnsi="Times New Roman" w:cs="Times New Roman"/>
                <w:color w:val="000000" w:themeColor="text1"/>
                <w:lang w:val="bg-BG"/>
              </w:rPr>
              <w:tab/>
              <w:t>Участникът е предложил структура и съдържание на примерен въпросник за проучване на мнението на заинтересованите страни, като ключов елемент от оценката, които допринасят за обективно отразяване на  мнението им и извеждане на ключови препоръки,  видно от обосновката и представените примери и позоваване на добри практики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2635F" w14:textId="77777777" w:rsidR="00C44D80" w:rsidRPr="00FE22E5" w:rsidRDefault="00C44D80" w:rsidP="006755D1">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60" w14:textId="77777777" w:rsidR="00C44D80" w:rsidRPr="00FE22E5" w:rsidRDefault="00C44D80" w:rsidP="006755D1">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61" w14:textId="77777777" w:rsidR="00C44D80" w:rsidRPr="00FE22E5" w:rsidRDefault="00C44D80" w:rsidP="006755D1">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62" w14:textId="77777777" w:rsidR="00C44D80" w:rsidRPr="00FE22E5" w:rsidRDefault="00C44D80" w:rsidP="006755D1">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63" w14:textId="77777777" w:rsidR="00C44D80" w:rsidRPr="00FE22E5" w:rsidRDefault="00C44D80" w:rsidP="006755D1">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64" w14:textId="77777777" w:rsidR="00C44D80" w:rsidRPr="00FE22E5" w:rsidRDefault="00C44D80" w:rsidP="006755D1">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65" w14:textId="77777777" w:rsidR="00C44D80" w:rsidRPr="00FE22E5" w:rsidRDefault="00C44D80" w:rsidP="006755D1">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66" w14:textId="77777777" w:rsidR="00C44D80" w:rsidRPr="00FE22E5" w:rsidRDefault="00C44D80" w:rsidP="006755D1">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3</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tc>
      </w:tr>
      <w:tr w:rsidR="00742531" w:rsidRPr="00FE22E5" w14:paraId="38B26371" w14:textId="77777777" w:rsidTr="00DA5B3B">
        <w:trPr>
          <w:trHeight w:val="20"/>
        </w:trPr>
        <w:tc>
          <w:tcPr>
            <w:tcW w:w="840" w:type="pct"/>
            <w:vMerge/>
            <w:tcBorders>
              <w:left w:val="single" w:sz="4" w:space="0" w:color="auto"/>
              <w:bottom w:val="single" w:sz="4" w:space="0" w:color="auto"/>
              <w:right w:val="single" w:sz="4" w:space="0" w:color="auto"/>
            </w:tcBorders>
          </w:tcPr>
          <w:p w14:paraId="38B26368" w14:textId="77777777" w:rsidR="00C44D80" w:rsidRPr="00FE22E5" w:rsidRDefault="00C44D80" w:rsidP="00BD4B9C">
            <w:pPr>
              <w:widowControl/>
              <w:numPr>
                <w:ilvl w:val="1"/>
                <w:numId w:val="8"/>
              </w:numPr>
              <w:autoSpaceDE/>
              <w:autoSpaceDN/>
              <w:adjustRightInd/>
              <w:spacing w:after="120"/>
              <w:ind w:left="34" w:firstLine="0"/>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26369" w14:textId="77777777" w:rsidR="00C44D80" w:rsidRPr="00FE22E5" w:rsidRDefault="00C44D80">
            <w:pPr>
              <w:widowControl/>
              <w:numPr>
                <w:ilvl w:val="1"/>
                <w:numId w:val="8"/>
              </w:numPr>
              <w:autoSpaceDE/>
              <w:autoSpaceDN/>
              <w:adjustRightInd/>
              <w:spacing w:after="120"/>
              <w:ind w:left="34"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tcPr>
          <w:p w14:paraId="38B2636A"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които са относими към  изискванията за съдържание на Тематична оценка 2, посочени в т. 4.1.4. „Структура и съдържание на средносрочната оценка на ОП НОИР 2014-2020” </w:t>
            </w:r>
            <w:r w:rsidRPr="00FE22E5">
              <w:rPr>
                <w:rFonts w:ascii="Times New Roman" w:eastAsia="Calibri" w:hAnsi="Times New Roman" w:cs="Times New Roman"/>
                <w:color w:val="000000" w:themeColor="text1"/>
                <w:lang w:val="bg-BG"/>
              </w:rPr>
              <w:lastRenderedPageBreak/>
              <w:t xml:space="preserve">видно от обосновката и представените примери от участника. Участникът се е ангажирал да изготви доклад по тематичната оценка и да отговори на поставените оценъчни въпроси, относими към изискванията в Техническата спецификация за провеждане на фокус група, чиято цел е да обобщи мнението на заинтересованите страни (Управляващ орган, Централно координационно звено, Министерство на образованието и науката, бенефициенти) и да изведе ключови препоръки. </w:t>
            </w:r>
          </w:p>
          <w:p w14:paraId="38B2636B"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концепция за проучване на мнението на заинтересованите страни (УО, Комитет за наблюдение, ЦКЗ, МОН, бенефициенти и партньори по програмата), която допринася за обективно отразяване на мнението им  и извеждане на ключови препоръки,  видно от обосновката и представените примери от участника.</w:t>
            </w:r>
          </w:p>
          <w:p w14:paraId="38B2636C"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В допълнение, предложението на участника съдържа и </w:t>
            </w:r>
            <w:r w:rsidRPr="00FE22E5">
              <w:rPr>
                <w:rFonts w:ascii="Times New Roman" w:eastAsia="Calibri" w:hAnsi="Times New Roman" w:cs="Times New Roman"/>
                <w:b/>
                <w:color w:val="000000" w:themeColor="text1"/>
                <w:lang w:val="bg-BG"/>
              </w:rPr>
              <w:t>трите</w:t>
            </w:r>
            <w:r w:rsidRPr="00FE22E5">
              <w:rPr>
                <w:rFonts w:ascii="Times New Roman" w:eastAsia="Calibri" w:hAnsi="Times New Roman" w:cs="Times New Roman"/>
                <w:color w:val="000000" w:themeColor="text1"/>
                <w:lang w:val="bg-BG"/>
              </w:rPr>
              <w:t xml:space="preserve"> надграждащи елемента:</w:t>
            </w:r>
          </w:p>
          <w:p w14:paraId="38B2636D"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rFonts w:ascii="Times New Roman" w:eastAsia="Calibri" w:hAnsi="Times New Roman" w:cs="Times New Roman"/>
                <w:color w:val="000000" w:themeColor="text1"/>
                <w:lang w:val="bg-BG"/>
              </w:rPr>
              <w:tab/>
              <w:t>Участникът е предложил структура на анализа и подход за представяне на резултатите, който логически проследява връзката между анализ, изводи, констатации и препоръки.</w:t>
            </w:r>
          </w:p>
          <w:p w14:paraId="38B2636E"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rFonts w:ascii="Times New Roman" w:eastAsia="Calibri" w:hAnsi="Times New Roman" w:cs="Times New Roman"/>
                <w:color w:val="000000" w:themeColor="text1"/>
                <w:lang w:val="bg-BG"/>
              </w:rPr>
              <w:tab/>
              <w:t>Участникът е представил предложение  за визуализиране на резултатите (примерни таблици, графики, схеми), които ще повишат качеството на доклада по тематичната оценка, пояснявайки причинно-следствена връзка между източниците на информация и съответните изводи.</w:t>
            </w:r>
          </w:p>
          <w:p w14:paraId="38B2636F" w14:textId="77777777" w:rsidR="00C44D80" w:rsidRPr="00FE22E5" w:rsidRDefault="00C44D80">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rFonts w:ascii="Times New Roman" w:eastAsia="Calibri" w:hAnsi="Times New Roman" w:cs="Times New Roman"/>
                <w:color w:val="000000" w:themeColor="text1"/>
                <w:lang w:val="bg-BG"/>
              </w:rPr>
              <w:tab/>
              <w:t>Участникът е предложил структура и съдържание на примерен въпросник за проучване на мнението на заинтересованите страни, като ключов елемент от оценката, които допринасят за обективно отразяване на  мнението им и извеждане на ключови препоръки,  видно от обосновката и представените примери и позоваване на добри практики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26370" w14:textId="77777777" w:rsidR="00C44D80" w:rsidRPr="00FE22E5" w:rsidRDefault="00C44D80">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5</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tc>
      </w:tr>
      <w:tr w:rsidR="008177F9" w:rsidRPr="00FE22E5" w14:paraId="38B26379" w14:textId="77777777" w:rsidTr="00773902">
        <w:trPr>
          <w:trHeight w:val="20"/>
        </w:trPr>
        <w:tc>
          <w:tcPr>
            <w:tcW w:w="840" w:type="pct"/>
            <w:vMerge w:val="restart"/>
            <w:tcBorders>
              <w:left w:val="single" w:sz="4" w:space="0" w:color="auto"/>
              <w:right w:val="single" w:sz="4" w:space="0" w:color="auto"/>
            </w:tcBorders>
          </w:tcPr>
          <w:p w14:paraId="38B26372" w14:textId="77777777" w:rsidR="008177F9" w:rsidRPr="00FE22E5" w:rsidRDefault="008177F9" w:rsidP="007E1C8E">
            <w:pPr>
              <w:widowControl/>
              <w:autoSpaceDE/>
              <w:autoSpaceDN/>
              <w:adjustRightInd/>
              <w:spacing w:after="120"/>
              <w:ind w:left="34"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 xml:space="preserve">3. Оценка на въздействието на процедурите в </w:t>
            </w:r>
            <w:r w:rsidRPr="00FE22E5">
              <w:rPr>
                <w:rFonts w:ascii="Times New Roman" w:eastAsia="Calibri" w:hAnsi="Times New Roman" w:cs="Times New Roman"/>
                <w:b/>
                <w:color w:val="000000" w:themeColor="text1"/>
                <w:lang w:val="bg-BG"/>
              </w:rPr>
              <w:lastRenderedPageBreak/>
              <w:t>процес на изпълнение и завършили изпълнението.</w:t>
            </w:r>
          </w:p>
        </w:tc>
        <w:tc>
          <w:tcPr>
            <w:tcW w:w="770"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8B26373" w14:textId="77777777" w:rsidR="008177F9" w:rsidRPr="00FE22E5" w:rsidRDefault="008177F9" w:rsidP="008177F9">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К</w:t>
            </w:r>
            <w:r w:rsidR="00A82A37" w:rsidRPr="00FE22E5">
              <w:rPr>
                <w:rFonts w:ascii="Times New Roman" w:eastAsia="Calibri" w:hAnsi="Times New Roman" w:cs="Times New Roman"/>
                <w:color w:val="000000" w:themeColor="text1"/>
                <w:lang w:val="bg-BG"/>
              </w:rPr>
              <w:t>1.5</w:t>
            </w:r>
            <w:r w:rsidRPr="00FE22E5">
              <w:rPr>
                <w:rFonts w:ascii="Times New Roman" w:eastAsia="Calibri" w:hAnsi="Times New Roman" w:cs="Times New Roman"/>
                <w:color w:val="000000" w:themeColor="text1"/>
                <w:lang w:val="bg-BG"/>
              </w:rPr>
              <w:t xml:space="preserve"> Оценка на предложения подход за анализ и </w:t>
            </w:r>
            <w:r w:rsidRPr="00FE22E5">
              <w:rPr>
                <w:rFonts w:ascii="Times New Roman" w:eastAsia="Calibri" w:hAnsi="Times New Roman" w:cs="Times New Roman"/>
                <w:color w:val="000000" w:themeColor="text1"/>
                <w:lang w:val="bg-BG"/>
              </w:rPr>
              <w:lastRenderedPageBreak/>
              <w:t>комуникация със заинтересованите страни.</w:t>
            </w: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374"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 xml:space="preserve">Участникът се е ангажирал да изготви доклад по тематичната оценка и да отговори на поставените оценъчни въпроси, които са относими към  изискванията за съдържание на Тематична оценка 3, посочени в т. 4.1.4. </w:t>
            </w:r>
            <w:r w:rsidRPr="00FE22E5">
              <w:rPr>
                <w:rFonts w:ascii="Times New Roman" w:eastAsia="Calibri" w:hAnsi="Times New Roman" w:cs="Times New Roman"/>
                <w:color w:val="000000" w:themeColor="text1"/>
                <w:lang w:val="bg-BG"/>
              </w:rPr>
              <w:lastRenderedPageBreak/>
              <w:t xml:space="preserve">„Структура и съдържание на средносрочната оценка на ОП НОИР 2014-2020”, видно от обосновката и представените примери от участника. </w:t>
            </w:r>
          </w:p>
          <w:p w14:paraId="38B26375"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относими към изискванията в Техническата спецификация за провеждане на фокус групи, чиято цел е да обобщи мнението на заинтересованите страни (УО, Комитет за наблюдение, ЦКЗ, МОН, бенефициенти и партньори по програмата) и целеви групи посочени в Техническата спецификация, Приложение 1   и да изведе ключови препоръки. Участникът е предложил концепция за проучване на мнението на заинтересованите страни и целеви групи, която допринася за обективно отразяване на мнението им  и извеждане на ключови препоръки,  видно от обосновката и представените примери от участника. </w:t>
            </w:r>
          </w:p>
          <w:p w14:paraId="38B26376"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концепция за проучване на мнението на заинтересованите страни и целеви групи, която допринася за обективно отразяване на мнението им  и извеждане на ключови препоръки,  видно от обосновката и представените примери от участника.</w:t>
            </w:r>
          </w:p>
          <w:p w14:paraId="38B26377"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378"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1</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точка</w:t>
            </w:r>
          </w:p>
        </w:tc>
      </w:tr>
      <w:tr w:rsidR="008177F9" w:rsidRPr="00FE22E5" w14:paraId="38B26384" w14:textId="77777777" w:rsidTr="00773902">
        <w:trPr>
          <w:trHeight w:val="20"/>
        </w:trPr>
        <w:tc>
          <w:tcPr>
            <w:tcW w:w="840" w:type="pct"/>
            <w:vMerge/>
            <w:tcBorders>
              <w:left w:val="single" w:sz="4" w:space="0" w:color="auto"/>
              <w:right w:val="single" w:sz="4" w:space="0" w:color="auto"/>
            </w:tcBorders>
          </w:tcPr>
          <w:p w14:paraId="38B2637A" w14:textId="77777777" w:rsidR="008177F9" w:rsidRPr="00FE22E5" w:rsidRDefault="008177F9" w:rsidP="007E1C8E">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770" w:type="pct"/>
            <w:vMerge/>
            <w:tcBorders>
              <w:left w:val="single" w:sz="4" w:space="0" w:color="auto"/>
              <w:right w:val="single" w:sz="4" w:space="0" w:color="auto"/>
            </w:tcBorders>
            <w:shd w:val="clear" w:color="auto" w:fill="DEEAF6" w:themeFill="accent1" w:themeFillTint="33"/>
            <w:vAlign w:val="center"/>
          </w:tcPr>
          <w:p w14:paraId="38B2637B" w14:textId="77777777" w:rsidR="008177F9" w:rsidRPr="00FE22E5" w:rsidRDefault="008177F9" w:rsidP="007E1C8E">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37C"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като е описал основните стъпки на процеса, относими към изискванията за съдържание на Тематична оценка 3 посочени в т. 4.1.4. „Структура и съдържание на средносрочната оценка на ОП НОИР 2014-2020”. </w:t>
            </w:r>
          </w:p>
          <w:p w14:paraId="38B2637D"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се е ангажирал да изготви доклад по тематичната оценка и да отговори на поставените оценъчни въпроси, относими към изискванията в Техническата спецификация за провеждане на фокус групи, чиято цел е да обобщи мнението на заинтересованите страни (Управляващ орган, Централно координационно звено, общини, НПО, училища, научни организации, висши училища, работодатели  и др. бенефициенти) и да изведе ключови препоръки.</w:t>
            </w:r>
          </w:p>
          <w:p w14:paraId="38B2637E"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Участникът е предложил концепция за проучване на мнението на заинтересованите страни (Управляващ орган, Централно координационно звено, общини, НПО, училища, научни организации, висши училища, работодатели  и др. бенефициенти), която допринася за обективно отразяване на мнението им  и извеждане на ключови препоръки,  видно от обосновката и представените примери от участника.</w:t>
            </w:r>
          </w:p>
          <w:p w14:paraId="38B2637F"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два</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380" w14:textId="55692C40" w:rsidR="008177F9" w:rsidRPr="00FE22E5" w:rsidRDefault="008177F9" w:rsidP="00DA5B3B">
            <w:pPr>
              <w:widowControl/>
              <w:numPr>
                <w:ilvl w:val="0"/>
                <w:numId w:val="18"/>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структура и съдържание на примерен въпросник за проучване на мнението на заинтересованите страни (УО, Комитет за наблюдение, ЦКЗ, МОН, бенефициенти и партньори по програмата) и целеви групи</w:t>
            </w:r>
            <w:r w:rsidR="00A8209A">
              <w:rPr>
                <w:rFonts w:ascii="Times New Roman" w:eastAsia="Calibri" w:hAnsi="Times New Roman" w:cs="Times New Roman"/>
                <w:color w:val="000000" w:themeColor="text1"/>
                <w:lang w:val="en-GB"/>
              </w:rPr>
              <w:t>,</w:t>
            </w:r>
            <w:r w:rsidRPr="00FE22E5">
              <w:rPr>
                <w:rFonts w:ascii="Times New Roman" w:eastAsia="Calibri" w:hAnsi="Times New Roman" w:cs="Times New Roman"/>
                <w:color w:val="000000" w:themeColor="text1"/>
                <w:lang w:val="bg-BG"/>
              </w:rPr>
              <w:t xml:space="preserve"> посочени в Техническата спецификация Приложение 1, като ключов елемент от оценката, които допринасят за обективно отразяване на  мнението им и извеждане на ключови препоръки,  видно от обосновката и представените примери и позоваване на добри практики от участника.</w:t>
            </w:r>
          </w:p>
          <w:p w14:paraId="38B26381" w14:textId="77777777" w:rsidR="008177F9" w:rsidRPr="00FE22E5" w:rsidRDefault="008177F9" w:rsidP="00DA5B3B">
            <w:pPr>
              <w:widowControl/>
              <w:numPr>
                <w:ilvl w:val="0"/>
                <w:numId w:val="18"/>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структура на анализа и подход за представяне на резултатите, който логически проследява връзката между анализ, изводи, констатации и препоръки.</w:t>
            </w:r>
          </w:p>
          <w:p w14:paraId="38B26382" w14:textId="77777777" w:rsidR="008177F9" w:rsidRPr="00FE22E5" w:rsidRDefault="008177F9" w:rsidP="00DA5B3B">
            <w:pPr>
              <w:widowControl/>
              <w:numPr>
                <w:ilvl w:val="0"/>
                <w:numId w:val="18"/>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представил предложение  за визуализиране на резултатите (примерни таблици, графики, схеми), които ще повишат качеството на доклада по тематичната оценка, пояснявайки причинно-следствена връзка между източниците на информация и съответните изводи.</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383"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tc>
      </w:tr>
      <w:tr w:rsidR="008177F9" w:rsidRPr="00FE22E5" w14:paraId="38B2638F" w14:textId="77777777" w:rsidTr="00773902">
        <w:trPr>
          <w:trHeight w:val="20"/>
        </w:trPr>
        <w:tc>
          <w:tcPr>
            <w:tcW w:w="840" w:type="pct"/>
            <w:vMerge/>
            <w:tcBorders>
              <w:left w:val="single" w:sz="4" w:space="0" w:color="auto"/>
              <w:bottom w:val="single" w:sz="4" w:space="0" w:color="auto"/>
              <w:right w:val="single" w:sz="4" w:space="0" w:color="auto"/>
            </w:tcBorders>
          </w:tcPr>
          <w:p w14:paraId="38B26385" w14:textId="77777777" w:rsidR="008177F9" w:rsidRPr="00FE22E5" w:rsidRDefault="008177F9" w:rsidP="007E1C8E">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770" w:type="pct"/>
            <w:vMerge/>
            <w:tcBorders>
              <w:left w:val="single" w:sz="4" w:space="0" w:color="auto"/>
              <w:bottom w:val="single" w:sz="4" w:space="0" w:color="auto"/>
              <w:right w:val="single" w:sz="4" w:space="0" w:color="auto"/>
            </w:tcBorders>
            <w:shd w:val="clear" w:color="auto" w:fill="DEEAF6" w:themeFill="accent1" w:themeFillTint="33"/>
            <w:vAlign w:val="center"/>
          </w:tcPr>
          <w:p w14:paraId="38B26386" w14:textId="77777777" w:rsidR="008177F9" w:rsidRPr="00FE22E5" w:rsidRDefault="008177F9" w:rsidP="007E1C8E">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387"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се е ангажирал да изготви доклад по тематичната оценка и да отговори на поставените оценъчни въпроси, като е описал основните стъпки на процеса, относими към изискванията за съдържание на Тематична оценка 3 посочени в т. 4.1.4. „Структура и съдържание на средносрочната оценка на ОП НОИР 2014-2020”. </w:t>
            </w:r>
          </w:p>
          <w:p w14:paraId="38B26388"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Участникът се е ангажирал да изготви доклад по тематичната оценка и да отговори на поставените оценъчни въпроси, относими към изискванията в </w:t>
            </w:r>
            <w:r w:rsidRPr="00FE22E5">
              <w:rPr>
                <w:rFonts w:ascii="Times New Roman" w:eastAsia="Calibri" w:hAnsi="Times New Roman" w:cs="Times New Roman"/>
                <w:color w:val="000000" w:themeColor="text1"/>
                <w:lang w:val="bg-BG"/>
              </w:rPr>
              <w:lastRenderedPageBreak/>
              <w:t>Техническата спецификация за провеждане на фокус групи, чиято цел е да обобщи мнението на заинтересованите страни (Управляващ орган, Централно координационно звено, общини, НПО, училища, научни организации, висши училища, работодатели  и др. бенефициенти) и да изведе ключови препоръки.</w:t>
            </w:r>
          </w:p>
          <w:p w14:paraId="38B26389"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Участникът е предложил концепция за проучване на мнението на заинтересованите страни (Управляващ орган, Централно координационно звено, общини, НПО, училища, научни организации, висши училища, работодатели  и др. бенефициенти), която допринася за обективно отразяване на мнението им  и извеждане на ключови препоръки,  видно от обосновката и представените примери от участника.</w:t>
            </w:r>
          </w:p>
          <w:p w14:paraId="38B2638A" w14:textId="77777777" w:rsidR="008177F9" w:rsidRPr="00FE22E5" w:rsidRDefault="008177F9" w:rsidP="00DA5B3B">
            <w:pPr>
              <w:widowControl/>
              <w:autoSpaceDE/>
              <w:autoSpaceDN/>
              <w:adjustRightInd/>
              <w:spacing w:after="120"/>
              <w:ind w:firstLine="488"/>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три</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38B" w14:textId="1F2A23C8" w:rsidR="008177F9" w:rsidRPr="00FE22E5" w:rsidRDefault="008177F9" w:rsidP="00DA5B3B">
            <w:pPr>
              <w:widowControl/>
              <w:numPr>
                <w:ilvl w:val="0"/>
                <w:numId w:val="18"/>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структура и съдържание на примерен въпросник за проучване на мнението на заинтересованите страни (УО, Комитет за наблюдение, ЦКЗ, МОН, бенефициенти и партньори по програмата) и целеви групи</w:t>
            </w:r>
            <w:r w:rsidR="00A8209A">
              <w:rPr>
                <w:rFonts w:ascii="Times New Roman" w:eastAsia="Calibri" w:hAnsi="Times New Roman" w:cs="Times New Roman"/>
                <w:color w:val="000000" w:themeColor="text1"/>
                <w:lang w:val="en-GB"/>
              </w:rPr>
              <w:t>,</w:t>
            </w:r>
            <w:r w:rsidRPr="00FE22E5">
              <w:rPr>
                <w:rFonts w:ascii="Times New Roman" w:eastAsia="Calibri" w:hAnsi="Times New Roman" w:cs="Times New Roman"/>
                <w:color w:val="000000" w:themeColor="text1"/>
                <w:lang w:val="bg-BG"/>
              </w:rPr>
              <w:t xml:space="preserve"> посочени в Техническата спецификация Приложение 1, като ключов елемент от оценката, които допринасят за обективно отразяване на  мнението им и извеждане на ключови препоръки,  видно от обосновката и представените примери и позоваване на добри практики от участника.</w:t>
            </w:r>
          </w:p>
          <w:p w14:paraId="38B2638C" w14:textId="77777777" w:rsidR="008177F9" w:rsidRPr="00FE22E5" w:rsidRDefault="008177F9" w:rsidP="00DA5B3B">
            <w:pPr>
              <w:widowControl/>
              <w:numPr>
                <w:ilvl w:val="0"/>
                <w:numId w:val="18"/>
              </w:numPr>
              <w:autoSpaceDE/>
              <w:autoSpaceDN/>
              <w:adjustRightInd/>
              <w:spacing w:after="12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структура на анализа и подход за представяне на резултатите, който логически проследява връзката между анализ, изводи, констатации и препоръки.</w:t>
            </w:r>
          </w:p>
          <w:p w14:paraId="38B2638D" w14:textId="7D214ECE" w:rsidR="008177F9" w:rsidRPr="00FE22E5" w:rsidRDefault="008177F9" w:rsidP="00921054">
            <w:pPr>
              <w:widowControl/>
              <w:numPr>
                <w:ilvl w:val="0"/>
                <w:numId w:val="18"/>
              </w:numPr>
              <w:autoSpaceDE/>
              <w:autoSpaceDN/>
              <w:adjustRightInd/>
              <w:spacing w:after="120"/>
              <w:ind w:left="773" w:hanging="425"/>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представил предложение за визуализиране на резултатите (примерни таблици, графики, схеми), които ще повишат качеството на доклада по тематичната оценка, пояснявайки причинно-следствена връзка между източниците на информация и съответните изводи.</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38E"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5</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tc>
      </w:tr>
      <w:tr w:rsidR="00DA5B3B" w:rsidRPr="00FE22E5" w14:paraId="38B2639F" w14:textId="77777777" w:rsidTr="00DA5B3B">
        <w:trPr>
          <w:trHeight w:val="20"/>
        </w:trPr>
        <w:tc>
          <w:tcPr>
            <w:tcW w:w="840" w:type="pct"/>
            <w:vMerge w:val="restart"/>
            <w:tcBorders>
              <w:top w:val="single" w:sz="4" w:space="0" w:color="auto"/>
              <w:left w:val="single" w:sz="4" w:space="0" w:color="auto"/>
              <w:right w:val="single" w:sz="4" w:space="0" w:color="auto"/>
            </w:tcBorders>
          </w:tcPr>
          <w:p w14:paraId="38B26390" w14:textId="77777777" w:rsidR="00DA5B3B" w:rsidRPr="00FE22E5" w:rsidRDefault="00DA5B3B" w:rsidP="00DA5B3B">
            <w:pPr>
              <w:pStyle w:val="ListParagraph"/>
              <w:widowControl/>
              <w:numPr>
                <w:ilvl w:val="1"/>
                <w:numId w:val="23"/>
              </w:numPr>
              <w:autoSpaceDE/>
              <w:autoSpaceDN/>
              <w:adjustRightInd/>
              <w:spacing w:after="120"/>
              <w:ind w:left="0"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 xml:space="preserve">Оценка на въздействието на </w:t>
            </w:r>
            <w:r w:rsidRPr="00FE22E5">
              <w:rPr>
                <w:rFonts w:ascii="Times New Roman" w:eastAsia="Calibri" w:hAnsi="Times New Roman" w:cs="Times New Roman"/>
                <w:b/>
                <w:color w:val="000000" w:themeColor="text1"/>
                <w:lang w:val="bg-BG"/>
              </w:rPr>
              <w:lastRenderedPageBreak/>
              <w:t>процедурите, свързани с изграждането на мрежата от Центрове за върхови постижения и Центрове за компетентност и развитие на върхови и пазарно ориентирани</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8B26391"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lastRenderedPageBreak/>
              <w:t>К</w:t>
            </w:r>
            <w:r w:rsidR="00A82A37" w:rsidRPr="00FE22E5">
              <w:rPr>
                <w:rFonts w:ascii="Times New Roman" w:eastAsia="Calibri" w:hAnsi="Times New Roman" w:cs="Times New Roman"/>
                <w:b/>
                <w:color w:val="000000" w:themeColor="text1"/>
                <w:lang w:val="bg-BG"/>
              </w:rPr>
              <w:t>1.6</w:t>
            </w:r>
            <w:r w:rsidRPr="00FE22E5">
              <w:rPr>
                <w:rFonts w:ascii="Times New Roman" w:eastAsia="Calibri" w:hAnsi="Times New Roman" w:cs="Times New Roman"/>
                <w:color w:val="000000" w:themeColor="text1"/>
                <w:lang w:val="bg-BG"/>
              </w:rPr>
              <w:t xml:space="preserve">„Оценка на предложената </w:t>
            </w:r>
            <w:r w:rsidRPr="00FE22E5">
              <w:rPr>
                <w:rFonts w:ascii="Times New Roman" w:eastAsia="Calibri" w:hAnsi="Times New Roman" w:cs="Times New Roman"/>
                <w:color w:val="000000" w:themeColor="text1"/>
                <w:lang w:val="bg-BG"/>
              </w:rPr>
              <w:lastRenderedPageBreak/>
              <w:t>методология за оценка и за отговори на оценъчните въпроси по тематична оценка 3.1, съгласно т. 4.1.2 от Техническата спецификация“</w:t>
            </w:r>
          </w:p>
          <w:p w14:paraId="38B26392"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3"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4"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5"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6"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7"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8"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9"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A"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B"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9C"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hideMark/>
          </w:tcPr>
          <w:p w14:paraId="38B2639D"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 xml:space="preserve">Участникът е предложил методология за оценка и за отговори на оценъчните въпроси по процедурите, свързани с изграждането на мрежата от Центрове за </w:t>
            </w:r>
            <w:r w:rsidRPr="00FE22E5">
              <w:rPr>
                <w:rFonts w:ascii="Times New Roman" w:eastAsia="Calibri" w:hAnsi="Times New Roman" w:cs="Times New Roman"/>
                <w:color w:val="000000" w:themeColor="text1"/>
                <w:lang w:val="bg-BG"/>
              </w:rPr>
              <w:lastRenderedPageBreak/>
              <w:t>върхови постижения и Центрове за компетентност и развитие на върхови и пазарно ориентирани научни изследвания,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науката  съгласно Техническата спецификация.</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2639E"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1</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точка</w:t>
            </w:r>
          </w:p>
        </w:tc>
      </w:tr>
      <w:tr w:rsidR="00DA5B3B" w:rsidRPr="00FE22E5" w14:paraId="38B263A7" w14:textId="77777777" w:rsidTr="00DA5B3B">
        <w:trPr>
          <w:trHeight w:val="20"/>
        </w:trPr>
        <w:tc>
          <w:tcPr>
            <w:tcW w:w="840" w:type="pct"/>
            <w:vMerge/>
            <w:tcBorders>
              <w:left w:val="single" w:sz="4" w:space="0" w:color="auto"/>
              <w:right w:val="single" w:sz="4" w:space="0" w:color="auto"/>
            </w:tcBorders>
          </w:tcPr>
          <w:p w14:paraId="38B263A0" w14:textId="77777777" w:rsidR="00DA5B3B" w:rsidRPr="00FE22E5" w:rsidRDefault="00DA5B3B" w:rsidP="00DA5B3B">
            <w:pPr>
              <w:widowControl/>
              <w:numPr>
                <w:ilvl w:val="1"/>
                <w:numId w:val="23"/>
              </w:numPr>
              <w:autoSpaceDE/>
              <w:autoSpaceDN/>
              <w:adjustRightInd/>
              <w:spacing w:after="120"/>
              <w:ind w:left="34" w:firstLine="0"/>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263A1" w14:textId="77777777" w:rsidR="00DA5B3B" w:rsidRPr="00FE22E5" w:rsidRDefault="00DA5B3B" w:rsidP="00DA5B3B">
            <w:pPr>
              <w:widowControl/>
              <w:numPr>
                <w:ilvl w:val="1"/>
                <w:numId w:val="23"/>
              </w:numPr>
              <w:autoSpaceDE/>
              <w:autoSpaceDN/>
              <w:adjustRightInd/>
              <w:spacing w:after="120"/>
              <w:ind w:left="34"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hideMark/>
          </w:tcPr>
          <w:p w14:paraId="38B263A2" w14:textId="023F7021"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Участникът е предложил методология за оценка и за отговори на оценъчните въпроси по процедурите,  свързани с изграждането на мрежата от Центрове за върхови постижения и Центрове за компетентност и развитие на върхови и пазарно ориентирани научни изследвания,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науката</w:t>
            </w:r>
            <w:r w:rsidR="00596FB5">
              <w:rPr>
                <w:rFonts w:ascii="Times New Roman" w:eastAsia="Calibri" w:hAnsi="Times New Roman" w:cs="Times New Roman"/>
                <w:color w:val="000000" w:themeColor="text1"/>
                <w:lang w:val="en-GB"/>
              </w:rPr>
              <w:t>,</w:t>
            </w:r>
            <w:r w:rsidRPr="00FE22E5">
              <w:rPr>
                <w:rFonts w:ascii="Times New Roman" w:eastAsia="Calibri" w:hAnsi="Times New Roman" w:cs="Times New Roman"/>
                <w:color w:val="000000" w:themeColor="text1"/>
                <w:lang w:val="bg-BG"/>
              </w:rPr>
              <w:t xml:space="preserve"> съгласно Техническата спецификация.</w:t>
            </w:r>
          </w:p>
          <w:p w14:paraId="38B263A3" w14:textId="77777777" w:rsidR="00DA5B3B" w:rsidRPr="00FE22E5" w:rsidRDefault="00DA5B3B" w:rsidP="00DA5B3B">
            <w:pPr>
              <w:widowControl/>
              <w:autoSpaceDE/>
              <w:autoSpaceDN/>
              <w:adjustRightInd/>
              <w:spacing w:after="120"/>
              <w:ind w:firstLine="63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поне един</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3A4"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w:t>
            </w:r>
            <w:r w:rsidRPr="00FE22E5">
              <w:rPr>
                <w:rFonts w:ascii="Times New Roman" w:eastAsia="Calibri" w:hAnsi="Times New Roman" w:cs="Times New Roman"/>
                <w:color w:val="000000" w:themeColor="text1"/>
                <w:lang w:val="bg-BG"/>
              </w:rPr>
              <w:lastRenderedPageBreak/>
              <w:t>въздействието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в областта на науката,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3A5"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конкретни примери в областта на науката,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263A6"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tc>
      </w:tr>
      <w:tr w:rsidR="00DA5B3B" w:rsidRPr="00FE22E5" w14:paraId="38B263CA" w14:textId="77777777" w:rsidTr="00DA5B3B">
        <w:trPr>
          <w:trHeight w:val="3424"/>
        </w:trPr>
        <w:tc>
          <w:tcPr>
            <w:tcW w:w="840" w:type="pct"/>
            <w:vMerge/>
            <w:tcBorders>
              <w:left w:val="single" w:sz="4" w:space="0" w:color="auto"/>
              <w:bottom w:val="single" w:sz="4" w:space="0" w:color="auto"/>
              <w:right w:val="single" w:sz="4" w:space="0" w:color="auto"/>
            </w:tcBorders>
          </w:tcPr>
          <w:p w14:paraId="38B263A8" w14:textId="77777777" w:rsidR="00DA5B3B" w:rsidRPr="00FE22E5" w:rsidRDefault="00DA5B3B" w:rsidP="00DA5B3B">
            <w:pPr>
              <w:widowControl/>
              <w:numPr>
                <w:ilvl w:val="1"/>
                <w:numId w:val="23"/>
              </w:numPr>
              <w:autoSpaceDE/>
              <w:autoSpaceDN/>
              <w:adjustRightInd/>
              <w:spacing w:after="120"/>
              <w:ind w:left="34" w:firstLine="0"/>
              <w:rPr>
                <w:rFonts w:ascii="Times New Roman" w:eastAsia="Calibri" w:hAnsi="Times New Roman" w:cs="Times New Roman"/>
                <w:color w:val="000000" w:themeColor="text1"/>
                <w:lang w:val="bg-BG"/>
              </w:rPr>
            </w:pPr>
          </w:p>
        </w:tc>
        <w:tc>
          <w:tcPr>
            <w:tcW w:w="7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263A9" w14:textId="77777777" w:rsidR="00DA5B3B" w:rsidRPr="00FE22E5" w:rsidRDefault="00DA5B3B" w:rsidP="00DA5B3B">
            <w:pPr>
              <w:widowControl/>
              <w:numPr>
                <w:ilvl w:val="1"/>
                <w:numId w:val="23"/>
              </w:numPr>
              <w:autoSpaceDE/>
              <w:autoSpaceDN/>
              <w:adjustRightInd/>
              <w:spacing w:after="120"/>
              <w:ind w:left="34"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hideMark/>
          </w:tcPr>
          <w:p w14:paraId="38B263AA" w14:textId="56BD50BF"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за процедурите, свързани с изграждането на мрежата от Центрове за върхови постижения и Центрове за компетентност и развитие на върхови и пазарно ориентирани научни изследвания,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науката съгласно Техническата спецификация.</w:t>
            </w:r>
          </w:p>
          <w:p w14:paraId="38B263AB" w14:textId="77777777" w:rsidR="00DA5B3B" w:rsidRPr="00FE22E5" w:rsidRDefault="00DA5B3B" w:rsidP="00DA5B3B">
            <w:pPr>
              <w:widowControl/>
              <w:autoSpaceDE/>
              <w:autoSpaceDN/>
              <w:adjustRightInd/>
              <w:spacing w:after="120"/>
              <w:ind w:firstLine="771"/>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всички</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3AC"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въздействието в областта на науката,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3AD" w14:textId="77777777" w:rsidR="00DA5B3B" w:rsidRPr="00FE22E5" w:rsidRDefault="00DA5B3B"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конкретни примери в областта на науката,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263AE"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5</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p w14:paraId="38B263AF"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0"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1"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2"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3"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4"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5"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6"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7"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8"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9"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A"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B"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C"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D"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E"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BF"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0"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1"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2"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3"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4"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5"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6"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7"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8"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C9" w14:textId="77777777" w:rsidR="00DA5B3B" w:rsidRPr="00FE22E5" w:rsidRDefault="00DA5B3B"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tc>
      </w:tr>
      <w:tr w:rsidR="008177F9" w:rsidRPr="00FE22E5" w14:paraId="38B263D6" w14:textId="77777777" w:rsidTr="00773902">
        <w:trPr>
          <w:trHeight w:val="20"/>
        </w:trPr>
        <w:tc>
          <w:tcPr>
            <w:tcW w:w="840" w:type="pct"/>
            <w:vMerge w:val="restart"/>
            <w:tcBorders>
              <w:top w:val="single" w:sz="4" w:space="0" w:color="auto"/>
              <w:left w:val="single" w:sz="4" w:space="0" w:color="auto"/>
              <w:right w:val="single" w:sz="4" w:space="0" w:color="auto"/>
            </w:tcBorders>
          </w:tcPr>
          <w:p w14:paraId="38B263CB" w14:textId="77777777" w:rsidR="008177F9" w:rsidRPr="00FE22E5" w:rsidRDefault="008177F9" w:rsidP="00DA5B3B">
            <w:pPr>
              <w:pStyle w:val="ListParagraph"/>
              <w:widowControl/>
              <w:numPr>
                <w:ilvl w:val="1"/>
                <w:numId w:val="23"/>
              </w:numPr>
              <w:autoSpaceDE/>
              <w:autoSpaceDN/>
              <w:adjustRightInd/>
              <w:spacing w:after="120"/>
              <w:ind w:left="0" w:firstLine="0"/>
              <w:rPr>
                <w:rFonts w:ascii="Times New Roman" w:eastAsia="Calibri" w:hAnsi="Times New Roman" w:cs="Times New Roman"/>
                <w:b/>
                <w:color w:val="000000" w:themeColor="text1"/>
                <w:u w:val="single"/>
                <w:lang w:val="bg-BG"/>
              </w:rPr>
            </w:pPr>
            <w:r w:rsidRPr="00FE22E5">
              <w:rPr>
                <w:rFonts w:ascii="Times New Roman" w:eastAsia="Calibri" w:hAnsi="Times New Roman" w:cs="Times New Roman"/>
                <w:b/>
                <w:color w:val="000000" w:themeColor="text1"/>
                <w:lang w:val="bg-BG"/>
              </w:rPr>
              <w:lastRenderedPageBreak/>
              <w:t xml:space="preserve">Оценка на въздействието на процедурите, свързани с Намаляване дела на преждевременно напусналите училище и устойчиво </w:t>
            </w:r>
            <w:r w:rsidRPr="00FE22E5">
              <w:rPr>
                <w:rFonts w:ascii="Times New Roman" w:eastAsia="Calibri" w:hAnsi="Times New Roman" w:cs="Times New Roman"/>
                <w:b/>
                <w:color w:val="000000" w:themeColor="text1"/>
                <w:lang w:val="bg-BG"/>
              </w:rPr>
              <w:lastRenderedPageBreak/>
              <w:t>задържане на учениците в образователната система. Активно приобщаване на деца със специални образователни потребности и маргинализрани групи в образователната система.</w:t>
            </w:r>
          </w:p>
        </w:tc>
        <w:tc>
          <w:tcPr>
            <w:tcW w:w="770" w:type="pct"/>
            <w:vMerge w:val="restart"/>
            <w:tcBorders>
              <w:top w:val="single" w:sz="4" w:space="0" w:color="auto"/>
              <w:left w:val="single" w:sz="4" w:space="0" w:color="auto"/>
              <w:right w:val="single" w:sz="4" w:space="0" w:color="auto"/>
            </w:tcBorders>
            <w:shd w:val="clear" w:color="auto" w:fill="DEEAF6" w:themeFill="accent1" w:themeFillTint="33"/>
          </w:tcPr>
          <w:p w14:paraId="38B263CC"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lastRenderedPageBreak/>
              <w:t>К</w:t>
            </w:r>
            <w:r w:rsidR="00A82A37" w:rsidRPr="00FE22E5">
              <w:rPr>
                <w:rFonts w:ascii="Times New Roman" w:eastAsia="Calibri" w:hAnsi="Times New Roman" w:cs="Times New Roman"/>
                <w:b/>
                <w:color w:val="000000" w:themeColor="text1"/>
                <w:lang w:val="bg-BG"/>
              </w:rPr>
              <w:t>1.7</w:t>
            </w:r>
            <w:r w:rsidRPr="00FE22E5">
              <w:rPr>
                <w:rFonts w:ascii="Times New Roman" w:eastAsia="Calibri" w:hAnsi="Times New Roman" w:cs="Times New Roman"/>
                <w:color w:val="000000" w:themeColor="text1"/>
                <w:lang w:val="bg-BG"/>
              </w:rPr>
              <w:t xml:space="preserve"> „Оценка на предложената методология за оценка и за отговори на оценъчните въпроси, по тематична оценка 3.2, съгласно т. </w:t>
            </w:r>
            <w:r w:rsidRPr="00FE22E5">
              <w:rPr>
                <w:rFonts w:ascii="Times New Roman" w:eastAsia="Calibri" w:hAnsi="Times New Roman" w:cs="Times New Roman"/>
                <w:color w:val="000000" w:themeColor="text1"/>
                <w:lang w:val="bg-BG"/>
              </w:rPr>
              <w:lastRenderedPageBreak/>
              <w:t>4.1.2 от Техническата спецификация“</w:t>
            </w:r>
          </w:p>
          <w:p w14:paraId="38B263CD"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CE"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CF"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D0"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D1"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D2"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p>
          <w:p w14:paraId="38B263D3"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3D4" w14:textId="37CF870D"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 xml:space="preserve">Участникът е предложил методология за оценка и за отговори на оценъчните въпроси по процедурите, свързани с намаляване дела на преждевременно напусналите училище и устойчиво задържане на учениците в образователната система и активно приобщаване на деца със специални образователни потребности и маргинализрани групи в образователната система, които се основават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w:t>
            </w:r>
            <w:r w:rsidRPr="00FE22E5">
              <w:rPr>
                <w:rFonts w:ascii="Times New Roman" w:eastAsia="Calibri" w:hAnsi="Times New Roman" w:cs="Times New Roman"/>
                <w:color w:val="000000" w:themeColor="text1"/>
                <w:lang w:val="bg-BG"/>
              </w:rPr>
              <w:lastRenderedPageBreak/>
              <w:t>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приобщаващото образование, съгласно Техническата спецификация.</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3D5"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1</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точка</w:t>
            </w:r>
          </w:p>
        </w:tc>
      </w:tr>
      <w:tr w:rsidR="008177F9" w:rsidRPr="00FE22E5" w14:paraId="38B263DE" w14:textId="77777777" w:rsidTr="00773902">
        <w:trPr>
          <w:trHeight w:val="20"/>
        </w:trPr>
        <w:tc>
          <w:tcPr>
            <w:tcW w:w="840" w:type="pct"/>
            <w:vMerge/>
            <w:tcBorders>
              <w:left w:val="single" w:sz="4" w:space="0" w:color="auto"/>
              <w:right w:val="single" w:sz="4" w:space="0" w:color="auto"/>
            </w:tcBorders>
          </w:tcPr>
          <w:p w14:paraId="38B263D7" w14:textId="77777777" w:rsidR="008177F9" w:rsidRPr="00FE22E5" w:rsidRDefault="008177F9" w:rsidP="00DA5B3B">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770" w:type="pct"/>
            <w:vMerge/>
            <w:tcBorders>
              <w:left w:val="single" w:sz="4" w:space="0" w:color="auto"/>
              <w:right w:val="single" w:sz="4" w:space="0" w:color="auto"/>
            </w:tcBorders>
            <w:shd w:val="clear" w:color="auto" w:fill="DEEAF6" w:themeFill="accent1" w:themeFillTint="33"/>
            <w:vAlign w:val="center"/>
          </w:tcPr>
          <w:p w14:paraId="38B263D8" w14:textId="77777777" w:rsidR="008177F9" w:rsidRPr="00FE22E5" w:rsidRDefault="008177F9" w:rsidP="00DA5B3B">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3D9" w14:textId="5F7E2DFD" w:rsidR="008177F9" w:rsidRPr="00FE22E5" w:rsidRDefault="008177F9" w:rsidP="00921054">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по процедурите, свързани с намаляване дела на преждевременно напусналите училище и устойчиво задържане на учениците в образователната система и активно приобщаване на деца със специални образователни потребности и маргинализрани групи в образователната система, които се основават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 както и са синхронизирани със стратегическите документи и националното законодателство в областта на приобщаващото пбразование, съгласно Техническата спецификация.</w:t>
            </w:r>
          </w:p>
          <w:p w14:paraId="38B263DA" w14:textId="77777777" w:rsidR="008177F9" w:rsidRPr="00FE22E5" w:rsidRDefault="008177F9" w:rsidP="00DA5B3B">
            <w:pPr>
              <w:widowControl/>
              <w:autoSpaceDE/>
              <w:autoSpaceDN/>
              <w:adjustRightInd/>
              <w:spacing w:after="120"/>
              <w:ind w:firstLine="63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поне един</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3DB"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въздействието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 xml:space="preserve">в областта на приобщаващото образование, които са относими към изискванията за Тематична оценка 3 „Оценка на въздействието на процедурите в процес на изпълнение“ в Раздел 4.1.2. „Основни тематични </w:t>
            </w:r>
            <w:r w:rsidRPr="00FE22E5">
              <w:rPr>
                <w:rFonts w:ascii="Times New Roman" w:eastAsia="Calibri" w:hAnsi="Times New Roman" w:cs="Times New Roman"/>
                <w:color w:val="000000" w:themeColor="text1"/>
                <w:lang w:val="bg-BG"/>
              </w:rPr>
              <w:lastRenderedPageBreak/>
              <w:t>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3DC"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конкретни примери в областта на приобщаващото образование,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3DD"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tc>
      </w:tr>
      <w:tr w:rsidR="008177F9" w:rsidRPr="00FE22E5" w14:paraId="38B26401" w14:textId="77777777" w:rsidTr="00773902">
        <w:trPr>
          <w:trHeight w:val="20"/>
        </w:trPr>
        <w:tc>
          <w:tcPr>
            <w:tcW w:w="840" w:type="pct"/>
            <w:vMerge/>
            <w:tcBorders>
              <w:left w:val="single" w:sz="4" w:space="0" w:color="auto"/>
              <w:bottom w:val="single" w:sz="4" w:space="0" w:color="auto"/>
              <w:right w:val="single" w:sz="4" w:space="0" w:color="auto"/>
            </w:tcBorders>
          </w:tcPr>
          <w:p w14:paraId="38B263DF" w14:textId="77777777" w:rsidR="008177F9" w:rsidRPr="00FE22E5" w:rsidRDefault="008177F9" w:rsidP="00DA5B3B">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770" w:type="pct"/>
            <w:vMerge/>
            <w:tcBorders>
              <w:left w:val="single" w:sz="4" w:space="0" w:color="auto"/>
              <w:bottom w:val="single" w:sz="4" w:space="0" w:color="auto"/>
              <w:right w:val="single" w:sz="4" w:space="0" w:color="auto"/>
            </w:tcBorders>
            <w:shd w:val="clear" w:color="auto" w:fill="DEEAF6" w:themeFill="accent1" w:themeFillTint="33"/>
            <w:vAlign w:val="center"/>
          </w:tcPr>
          <w:p w14:paraId="38B263E0" w14:textId="77777777" w:rsidR="008177F9" w:rsidRPr="00FE22E5" w:rsidRDefault="008177F9" w:rsidP="00DA5B3B">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3E1" w14:textId="06B72AFD" w:rsidR="008177F9" w:rsidRPr="00FE22E5" w:rsidRDefault="00E33DD9" w:rsidP="00921054">
            <w:pPr>
              <w:widowControl/>
              <w:autoSpaceDE/>
              <w:autoSpaceDN/>
              <w:adjustRightInd/>
              <w:spacing w:after="120"/>
              <w:ind w:firstLine="0"/>
              <w:rPr>
                <w:rFonts w:ascii="Times New Roman" w:eastAsia="Calibri" w:hAnsi="Times New Roman" w:cs="Times New Roman"/>
                <w:color w:val="000000" w:themeColor="text1"/>
                <w:lang w:val="bg-BG"/>
              </w:rPr>
            </w:pPr>
            <w:r w:rsidRPr="00E33DD9">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по процедурите, свързани с намаляване дела на преждевременно напусналите училище и устойчиво задържане на учениците в образователната система и активно приобщаване на деца със специални образователни потребности и маргинализрани групи в образователната система</w:t>
            </w:r>
            <w:r w:rsidR="008177F9" w:rsidRPr="00921054">
              <w:rPr>
                <w:rFonts w:ascii="Times New Roman" w:eastAsia="Calibri" w:hAnsi="Times New Roman" w:cs="Times New Roman"/>
                <w:color w:val="000000" w:themeColor="text1"/>
                <w:highlight w:val="yellow"/>
                <w:lang w:val="bg-BG"/>
              </w:rPr>
              <w:t>, които се основават на референции към Ръководството</w:t>
            </w:r>
            <w:r w:rsidR="008177F9" w:rsidRPr="00FE22E5">
              <w:rPr>
                <w:rFonts w:ascii="Times New Roman" w:eastAsia="Calibri" w:hAnsi="Times New Roman" w:cs="Times New Roman"/>
                <w:color w:val="000000" w:themeColor="text1"/>
                <w:lang w:val="bg-BG"/>
              </w:rPr>
              <w:t xml:space="preserve">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 както и са синхронизирани със стратегическите документи и националното законодателство в областта на намаляване дела на преждевременно напусналите училище и устойчиво задържане на учениците в образователната система и активно приобщаване на деца със специални образователни потребности и маргинализрани групи в образователната система съгласно Техническата спецификация.</w:t>
            </w:r>
          </w:p>
          <w:p w14:paraId="38B263E2" w14:textId="77777777" w:rsidR="008177F9" w:rsidRPr="00FE22E5" w:rsidRDefault="008177F9" w:rsidP="00DA5B3B">
            <w:pPr>
              <w:widowControl/>
              <w:autoSpaceDE/>
              <w:autoSpaceDN/>
              <w:adjustRightInd/>
              <w:spacing w:after="120"/>
              <w:ind w:firstLine="63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 xml:space="preserve">Предложението на участника съдържа </w:t>
            </w:r>
            <w:r w:rsidRPr="00FE22E5">
              <w:rPr>
                <w:rFonts w:ascii="Times New Roman" w:eastAsia="Calibri" w:hAnsi="Times New Roman" w:cs="Times New Roman"/>
                <w:b/>
                <w:color w:val="000000" w:themeColor="text1"/>
                <w:lang w:val="bg-BG"/>
              </w:rPr>
              <w:t>всички</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3E3"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въздействието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в областта на намаляване дела на преждевременно напусналите училище и устойчиво задържане на учениците в образователната система и активно приобщаване на деца със специални образователни потребности и маргинализрани групи в образователната система,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3E4" w14:textId="77777777" w:rsidR="008177F9" w:rsidRPr="00FE22E5" w:rsidRDefault="008177F9"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конкретни примери в областта на приобщаващото образование,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3E5"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5</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p w14:paraId="38B263E6"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E7"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E8"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E9"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EA"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EB"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EC"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ED"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EE"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EF"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0"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1"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2"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3"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4"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5"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6"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7"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8"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9"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A"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B"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C"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D"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E"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3FF"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p w14:paraId="38B26400" w14:textId="77777777" w:rsidR="008177F9" w:rsidRPr="00FE22E5" w:rsidRDefault="008177F9"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tc>
      </w:tr>
      <w:tr w:rsidR="00C85DF6" w:rsidRPr="00FE22E5" w14:paraId="38B26409" w14:textId="77777777" w:rsidTr="00773902">
        <w:trPr>
          <w:trHeight w:val="20"/>
        </w:trPr>
        <w:tc>
          <w:tcPr>
            <w:tcW w:w="840" w:type="pct"/>
            <w:vMerge w:val="restart"/>
            <w:tcBorders>
              <w:top w:val="single" w:sz="4" w:space="0" w:color="auto"/>
              <w:left w:val="single" w:sz="4" w:space="0" w:color="auto"/>
              <w:right w:val="single" w:sz="4" w:space="0" w:color="auto"/>
            </w:tcBorders>
          </w:tcPr>
          <w:p w14:paraId="38B26402" w14:textId="77777777" w:rsidR="00C85DF6" w:rsidRPr="00FE22E5" w:rsidRDefault="00C85DF6" w:rsidP="00DA5B3B">
            <w:pPr>
              <w:pStyle w:val="ListParagraph"/>
              <w:widowControl/>
              <w:numPr>
                <w:ilvl w:val="1"/>
                <w:numId w:val="23"/>
              </w:numPr>
              <w:autoSpaceDE/>
              <w:autoSpaceDN/>
              <w:adjustRightInd/>
              <w:spacing w:after="120"/>
              <w:ind w:left="0"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 xml:space="preserve">Оценка на въздействието на процедурите, свързани с подобряване на постиженията на децата и учениците в овладяването на </w:t>
            </w:r>
            <w:r w:rsidRPr="00FE22E5">
              <w:rPr>
                <w:rFonts w:ascii="Times New Roman" w:eastAsia="Calibri" w:hAnsi="Times New Roman" w:cs="Times New Roman"/>
                <w:b/>
                <w:color w:val="000000" w:themeColor="text1"/>
                <w:lang w:val="bg-BG"/>
              </w:rPr>
              <w:lastRenderedPageBreak/>
              <w:t>ключови компетентности.</w:t>
            </w:r>
          </w:p>
          <w:p w14:paraId="38B26403" w14:textId="77777777" w:rsidR="00C85DF6" w:rsidRPr="00FE22E5" w:rsidRDefault="00C85DF6" w:rsidP="00DA5B3B">
            <w:pPr>
              <w:suppressAutoHyphens/>
              <w:spacing w:after="120"/>
              <w:ind w:firstLine="0"/>
              <w:rPr>
                <w:rFonts w:ascii="Times New Roman" w:eastAsia="Calibri" w:hAnsi="Times New Roman" w:cs="Times New Roman"/>
                <w:b/>
                <w:color w:val="000000" w:themeColor="text1"/>
                <w:lang w:val="bg-BG"/>
              </w:rPr>
            </w:pPr>
          </w:p>
          <w:p w14:paraId="38B26404"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770" w:type="pct"/>
            <w:vMerge w:val="restart"/>
            <w:tcBorders>
              <w:top w:val="single" w:sz="4" w:space="0" w:color="auto"/>
              <w:left w:val="single" w:sz="4" w:space="0" w:color="auto"/>
              <w:right w:val="single" w:sz="4" w:space="0" w:color="auto"/>
            </w:tcBorders>
            <w:shd w:val="clear" w:color="auto" w:fill="auto"/>
            <w:vAlign w:val="center"/>
          </w:tcPr>
          <w:p w14:paraId="38B26405" w14:textId="77777777" w:rsidR="00C85DF6" w:rsidRPr="00FE22E5" w:rsidRDefault="00C85DF6" w:rsidP="00DA5B3B">
            <w:pPr>
              <w:widowControl/>
              <w:autoSpaceDE/>
              <w:autoSpaceDN/>
              <w:adjustRightInd/>
              <w:spacing w:after="120"/>
              <w:ind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К</w:t>
            </w:r>
            <w:r w:rsidR="00A82A37" w:rsidRPr="00FE22E5">
              <w:rPr>
                <w:rFonts w:ascii="Times New Roman" w:eastAsia="Calibri" w:hAnsi="Times New Roman" w:cs="Times New Roman"/>
                <w:b/>
                <w:color w:val="000000" w:themeColor="text1"/>
                <w:lang w:val="bg-BG"/>
              </w:rPr>
              <w:t>1.8</w:t>
            </w:r>
            <w:r w:rsidRPr="00FE22E5">
              <w:rPr>
                <w:rFonts w:ascii="Times New Roman" w:eastAsia="Calibri" w:hAnsi="Times New Roman" w:cs="Times New Roman"/>
                <w:b/>
                <w:color w:val="000000" w:themeColor="text1"/>
                <w:lang w:val="bg-BG"/>
              </w:rPr>
              <w:t xml:space="preserve"> „</w:t>
            </w:r>
            <w:r w:rsidRPr="00FE22E5">
              <w:rPr>
                <w:rFonts w:ascii="Times New Roman" w:eastAsia="Calibri" w:hAnsi="Times New Roman" w:cs="Times New Roman"/>
                <w:color w:val="000000" w:themeColor="text1"/>
                <w:lang w:val="bg-BG"/>
              </w:rPr>
              <w:t xml:space="preserve">Оценка на предложената методология за оценка и за отговори на оценъчните въпроси, по тематична оценка 3.3, съгласно т. </w:t>
            </w:r>
            <w:r w:rsidRPr="00FE22E5">
              <w:rPr>
                <w:rFonts w:ascii="Times New Roman" w:eastAsia="Calibri" w:hAnsi="Times New Roman" w:cs="Times New Roman"/>
                <w:color w:val="000000" w:themeColor="text1"/>
                <w:lang w:val="bg-BG"/>
              </w:rPr>
              <w:lastRenderedPageBreak/>
              <w:t>4.1.2 от Техническата спецификация“</w:t>
            </w:r>
          </w:p>
          <w:p w14:paraId="38B26406"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tcPr>
          <w:p w14:paraId="38B26407" w14:textId="575676D9" w:rsidR="00C85DF6" w:rsidRPr="00FE22E5" w:rsidDel="00EF3395" w:rsidRDefault="00C85DF6" w:rsidP="001015B6">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 xml:space="preserve">Участникът е предложил методология за оценка и за отговори на оценъчните въпроси по процедурите, свързани с подобряване на постиженията на децата и учениците в овладяването на ключови компетентности,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w:t>
            </w:r>
            <w:r w:rsidRPr="00FE22E5">
              <w:rPr>
                <w:rFonts w:ascii="Times New Roman" w:eastAsia="Calibri" w:hAnsi="Times New Roman" w:cs="Times New Roman"/>
                <w:color w:val="000000" w:themeColor="text1"/>
                <w:lang w:val="bg-BG"/>
              </w:rPr>
              <w:lastRenderedPageBreak/>
              <w:t>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образованието съгласно Техническата спецификация.</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08" w14:textId="77777777" w:rsidR="00C85DF6" w:rsidRPr="00FE22E5" w:rsidRDefault="00C85DF6"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1</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точка</w:t>
            </w:r>
          </w:p>
        </w:tc>
      </w:tr>
      <w:tr w:rsidR="00C85DF6" w:rsidRPr="00FE22E5" w14:paraId="38B26412" w14:textId="77777777" w:rsidTr="00773902">
        <w:trPr>
          <w:trHeight w:val="20"/>
        </w:trPr>
        <w:tc>
          <w:tcPr>
            <w:tcW w:w="840" w:type="pct"/>
            <w:vMerge/>
            <w:tcBorders>
              <w:left w:val="single" w:sz="4" w:space="0" w:color="auto"/>
              <w:right w:val="single" w:sz="4" w:space="0" w:color="auto"/>
            </w:tcBorders>
          </w:tcPr>
          <w:p w14:paraId="38B2640A"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770" w:type="pct"/>
            <w:vMerge/>
            <w:tcBorders>
              <w:left w:val="single" w:sz="4" w:space="0" w:color="auto"/>
              <w:right w:val="single" w:sz="4" w:space="0" w:color="auto"/>
            </w:tcBorders>
            <w:shd w:val="clear" w:color="auto" w:fill="auto"/>
            <w:vAlign w:val="center"/>
          </w:tcPr>
          <w:p w14:paraId="38B2640B"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tcPr>
          <w:p w14:paraId="38B2640C" w14:textId="2BC3DF8F"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по процедурите, свързани с подобряване на постиженията на децата и учениците в овладяването на ключови компетентности,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образованието</w:t>
            </w:r>
            <w:r w:rsidR="007C146A">
              <w:rPr>
                <w:rFonts w:ascii="Times New Roman" w:eastAsia="Calibri" w:hAnsi="Times New Roman" w:cs="Times New Roman"/>
                <w:color w:val="000000" w:themeColor="text1"/>
                <w:lang w:val="bg-BG"/>
              </w:rPr>
              <w:t>,</w:t>
            </w:r>
            <w:r w:rsidRPr="00FE22E5">
              <w:rPr>
                <w:rFonts w:ascii="Times New Roman" w:eastAsia="Calibri" w:hAnsi="Times New Roman" w:cs="Times New Roman"/>
                <w:color w:val="000000" w:themeColor="text1"/>
                <w:lang w:val="bg-BG"/>
              </w:rPr>
              <w:t xml:space="preserve"> съгласно Техническата спецификация.</w:t>
            </w:r>
          </w:p>
          <w:p w14:paraId="38B2640D" w14:textId="77777777" w:rsidR="00C85DF6" w:rsidRPr="00FE22E5" w:rsidRDefault="00C85DF6" w:rsidP="00DA5B3B">
            <w:pPr>
              <w:widowControl/>
              <w:autoSpaceDE/>
              <w:autoSpaceDN/>
              <w:adjustRightInd/>
              <w:spacing w:after="120"/>
              <w:ind w:firstLine="63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поне един</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40E" w14:textId="77777777"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въздействието в областта на образованието,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40F" w14:textId="77777777" w:rsidR="00C85DF6" w:rsidRPr="00FE22E5" w:rsidRDefault="00C85DF6" w:rsidP="00DA5B3B">
            <w:pPr>
              <w:widowControl/>
              <w:autoSpaceDE/>
              <w:autoSpaceDN/>
              <w:adjustRightInd/>
              <w:spacing w:after="120"/>
              <w:ind w:firstLine="771"/>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конкретни примери в областта на образованието,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410" w14:textId="77777777" w:rsidR="00C85DF6" w:rsidRPr="00FE22E5" w:rsidDel="00EF3395" w:rsidRDefault="00C85DF6" w:rsidP="00DA5B3B">
            <w:pPr>
              <w:widowControl/>
              <w:autoSpaceDE/>
              <w:autoSpaceDN/>
              <w:adjustRightInd/>
              <w:spacing w:after="120"/>
              <w:ind w:firstLine="771"/>
              <w:rPr>
                <w:rFonts w:ascii="Times New Roman" w:eastAsia="Calibri" w:hAnsi="Times New Roman" w:cs="Times New Roman"/>
                <w:color w:val="000000" w:themeColor="text1"/>
                <w:lang w:val="bg-BG"/>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11" w14:textId="77777777" w:rsidR="00C85DF6" w:rsidRPr="00FE22E5" w:rsidRDefault="00C85DF6"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точки</w:t>
            </w:r>
          </w:p>
        </w:tc>
      </w:tr>
      <w:tr w:rsidR="00C85DF6" w:rsidRPr="00FE22E5" w14:paraId="38B2641A" w14:textId="77777777" w:rsidTr="00773902">
        <w:trPr>
          <w:trHeight w:val="20"/>
        </w:trPr>
        <w:tc>
          <w:tcPr>
            <w:tcW w:w="840" w:type="pct"/>
            <w:vMerge/>
            <w:tcBorders>
              <w:left w:val="single" w:sz="4" w:space="0" w:color="auto"/>
              <w:bottom w:val="single" w:sz="4" w:space="0" w:color="auto"/>
              <w:right w:val="single" w:sz="4" w:space="0" w:color="auto"/>
            </w:tcBorders>
          </w:tcPr>
          <w:p w14:paraId="38B26413"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770" w:type="pct"/>
            <w:vMerge/>
            <w:tcBorders>
              <w:left w:val="single" w:sz="4" w:space="0" w:color="auto"/>
              <w:bottom w:val="single" w:sz="4" w:space="0" w:color="auto"/>
              <w:right w:val="single" w:sz="4" w:space="0" w:color="auto"/>
            </w:tcBorders>
            <w:shd w:val="clear" w:color="auto" w:fill="auto"/>
            <w:vAlign w:val="center"/>
          </w:tcPr>
          <w:p w14:paraId="38B26414"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tcPr>
          <w:p w14:paraId="38B26415" w14:textId="14643AFB"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по процедурите, свързани с подобряване на постиженията на децата и учениците в овладяването на ключови компетентности,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образованието</w:t>
            </w:r>
            <w:r w:rsidR="007C146A">
              <w:rPr>
                <w:rFonts w:ascii="Times New Roman" w:eastAsia="Calibri" w:hAnsi="Times New Roman" w:cs="Times New Roman"/>
                <w:color w:val="000000" w:themeColor="text1"/>
                <w:lang w:val="bg-BG"/>
              </w:rPr>
              <w:t>,</w:t>
            </w:r>
            <w:r w:rsidRPr="00FE22E5">
              <w:rPr>
                <w:rFonts w:ascii="Times New Roman" w:eastAsia="Calibri" w:hAnsi="Times New Roman" w:cs="Times New Roman"/>
                <w:color w:val="000000" w:themeColor="text1"/>
                <w:lang w:val="bg-BG"/>
              </w:rPr>
              <w:t xml:space="preserve"> съгласно Техническата спецификация.</w:t>
            </w:r>
          </w:p>
          <w:p w14:paraId="38B26416" w14:textId="77777777" w:rsidR="00C85DF6" w:rsidRPr="00FE22E5" w:rsidRDefault="00C85DF6" w:rsidP="00DA5B3B">
            <w:pPr>
              <w:widowControl/>
              <w:autoSpaceDE/>
              <w:autoSpaceDN/>
              <w:adjustRightInd/>
              <w:spacing w:after="120"/>
              <w:ind w:firstLine="771"/>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всички</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417" w14:textId="77777777"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въздействието в областта на образованието, които са относими към изискванията за Тематична оценка 3 „Оценка на въздействието на процедурите </w:t>
            </w:r>
            <w:r w:rsidRPr="00FE22E5">
              <w:rPr>
                <w:rFonts w:ascii="Times New Roman" w:eastAsia="Calibri" w:hAnsi="Times New Roman" w:cs="Times New Roman"/>
                <w:color w:val="000000" w:themeColor="text1"/>
                <w:lang w:val="bg-BG"/>
              </w:rPr>
              <w:lastRenderedPageBreak/>
              <w:t>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418" w14:textId="77777777" w:rsidR="00C85DF6" w:rsidRPr="00FE22E5" w:rsidDel="00EF3395" w:rsidRDefault="00C85DF6" w:rsidP="00921054">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конкретни примери в областта на образованието,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19" w14:textId="77777777" w:rsidR="00C85DF6" w:rsidRPr="00FE22E5" w:rsidRDefault="00C85DF6"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 xml:space="preserve">5 точки </w:t>
            </w:r>
          </w:p>
        </w:tc>
      </w:tr>
      <w:tr w:rsidR="00773902" w:rsidRPr="00FE22E5" w14:paraId="38B26422" w14:textId="77777777" w:rsidTr="00E33CFC">
        <w:trPr>
          <w:trHeight w:val="20"/>
        </w:trPr>
        <w:tc>
          <w:tcPr>
            <w:tcW w:w="840" w:type="pct"/>
            <w:tcBorders>
              <w:top w:val="single" w:sz="4" w:space="0" w:color="auto"/>
              <w:left w:val="single" w:sz="4" w:space="0" w:color="auto"/>
              <w:bottom w:val="single" w:sz="4" w:space="0" w:color="auto"/>
              <w:right w:val="single" w:sz="4" w:space="0" w:color="auto"/>
            </w:tcBorders>
          </w:tcPr>
          <w:p w14:paraId="38B2641B" w14:textId="77777777" w:rsidR="00773902" w:rsidRPr="00FE22E5" w:rsidRDefault="00773902" w:rsidP="00DA5B3B">
            <w:pPr>
              <w:pStyle w:val="ListParagraph"/>
              <w:widowControl/>
              <w:numPr>
                <w:ilvl w:val="1"/>
                <w:numId w:val="23"/>
              </w:numPr>
              <w:autoSpaceDE/>
              <w:autoSpaceDN/>
              <w:adjustRightInd/>
              <w:spacing w:after="120"/>
              <w:ind w:left="0"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Оценка на въздействието на процедурите, свързани с повишаване квалификацията на преподавателите и педагогическите специалисти в системата на образованието.</w:t>
            </w:r>
          </w:p>
          <w:p w14:paraId="38B2641C" w14:textId="77777777" w:rsidR="00773902" w:rsidRPr="00FE22E5" w:rsidRDefault="00773902"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770"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8B2641D" w14:textId="77777777" w:rsidR="00773902" w:rsidRPr="00FE22E5" w:rsidRDefault="00773902" w:rsidP="00DA5B3B">
            <w:pPr>
              <w:widowControl/>
              <w:autoSpaceDE/>
              <w:autoSpaceDN/>
              <w:adjustRightInd/>
              <w:spacing w:after="120"/>
              <w:ind w:left="89"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К1.9</w:t>
            </w:r>
            <w:r w:rsidRPr="00FE22E5">
              <w:rPr>
                <w:rFonts w:ascii="Times New Roman" w:eastAsia="Calibri" w:hAnsi="Times New Roman" w:cs="Times New Roman"/>
                <w:color w:val="000000" w:themeColor="text1"/>
                <w:lang w:val="bg-BG"/>
              </w:rPr>
              <w:t xml:space="preserve"> „Оценка на предложената методология за оценка и за отговори на оценъчните въпроси, по тематична оценка 3.4, съгласно т. 4.1.2 от Техническата спецификация“</w:t>
            </w:r>
          </w:p>
          <w:p w14:paraId="38B2641E" w14:textId="77777777" w:rsidR="00773902" w:rsidRPr="00FE22E5" w:rsidRDefault="00773902"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41F" w14:textId="77777777" w:rsidR="00773902" w:rsidRPr="00FE22E5" w:rsidDel="00EF3395" w:rsidRDefault="00773902"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по процедурите, свързани с повишаване на квалификацията на преподавателите и педагогическите специалисти в системата на образованието,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развитие на преподавателите и педагогическите кадри съгласно Техническата спецификация.</w:t>
            </w:r>
            <w:r w:rsidRPr="00FE22E5" w:rsidDel="00EF3395">
              <w:rPr>
                <w:rFonts w:ascii="Times New Roman" w:eastAsia="Calibri" w:hAnsi="Times New Roman" w:cs="Times New Roman"/>
                <w:color w:val="000000" w:themeColor="text1"/>
                <w:lang w:val="bg-BG"/>
              </w:rPr>
              <w:t xml:space="preserve"> </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420" w14:textId="77777777" w:rsidR="00773902" w:rsidRPr="00FE22E5" w:rsidRDefault="00773902"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w:t>
            </w:r>
            <w:r w:rsidRPr="00FE22E5">
              <w:rPr>
                <w:color w:val="000000" w:themeColor="text1"/>
                <w:lang w:val="bg-BG"/>
              </w:rPr>
              <w:t xml:space="preserve"> </w:t>
            </w:r>
            <w:r w:rsidRPr="00FE22E5">
              <w:rPr>
                <w:rFonts w:ascii="Times New Roman" w:eastAsia="Calibri" w:hAnsi="Times New Roman" w:cs="Times New Roman"/>
                <w:b/>
                <w:color w:val="000000" w:themeColor="text1"/>
                <w:lang w:val="bg-BG"/>
              </w:rPr>
              <w:t>точка</w:t>
            </w:r>
          </w:p>
          <w:p w14:paraId="38B26421" w14:textId="77777777" w:rsidR="00773902" w:rsidRPr="00FE22E5" w:rsidRDefault="00773902"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p>
        </w:tc>
      </w:tr>
      <w:tr w:rsidR="00773902" w:rsidRPr="00FE22E5" w14:paraId="38B2642B" w14:textId="77777777" w:rsidTr="00E33CFC">
        <w:trPr>
          <w:trHeight w:val="20"/>
        </w:trPr>
        <w:tc>
          <w:tcPr>
            <w:tcW w:w="840" w:type="pct"/>
            <w:tcBorders>
              <w:top w:val="single" w:sz="4" w:space="0" w:color="auto"/>
              <w:left w:val="single" w:sz="4" w:space="0" w:color="auto"/>
              <w:bottom w:val="single" w:sz="4" w:space="0" w:color="auto"/>
              <w:right w:val="single" w:sz="4" w:space="0" w:color="auto"/>
            </w:tcBorders>
          </w:tcPr>
          <w:p w14:paraId="38B26423" w14:textId="77777777" w:rsidR="00773902" w:rsidRPr="00FE22E5" w:rsidRDefault="00773902" w:rsidP="00DA5B3B">
            <w:pPr>
              <w:widowControl/>
              <w:tabs>
                <w:tab w:val="left" w:pos="360"/>
              </w:tabs>
              <w:autoSpaceDE/>
              <w:autoSpaceDN/>
              <w:adjustRightInd/>
              <w:spacing w:after="120"/>
              <w:ind w:firstLine="0"/>
              <w:rPr>
                <w:rFonts w:ascii="Times New Roman" w:eastAsia="Calibri" w:hAnsi="Times New Roman" w:cs="Times New Roman"/>
                <w:b/>
                <w:color w:val="000000" w:themeColor="text1"/>
                <w:lang w:val="bg-BG"/>
              </w:rPr>
            </w:pPr>
          </w:p>
        </w:tc>
        <w:tc>
          <w:tcPr>
            <w:tcW w:w="770" w:type="pct"/>
            <w:vMerge/>
            <w:tcBorders>
              <w:left w:val="single" w:sz="4" w:space="0" w:color="auto"/>
              <w:right w:val="single" w:sz="4" w:space="0" w:color="auto"/>
            </w:tcBorders>
            <w:shd w:val="clear" w:color="auto" w:fill="DEEAF6" w:themeFill="accent1" w:themeFillTint="33"/>
            <w:vAlign w:val="center"/>
          </w:tcPr>
          <w:p w14:paraId="38B26424" w14:textId="77777777" w:rsidR="00773902" w:rsidRPr="00FE22E5" w:rsidRDefault="00773902"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425" w14:textId="77777777" w:rsidR="00773902" w:rsidRPr="00FE22E5" w:rsidRDefault="00773902"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е предложил методология за оценка и за отговори на оценъчните въпроси по процедурите, свързани с повишаване на квалификацията на преподавателите и педагогическите специалисти в системата на образованието, </w:t>
            </w:r>
            <w:r w:rsidRPr="00FE22E5">
              <w:rPr>
                <w:rFonts w:ascii="Times New Roman" w:eastAsia="Calibri" w:hAnsi="Times New Roman" w:cs="Times New Roman"/>
                <w:color w:val="000000" w:themeColor="text1"/>
                <w:lang w:val="bg-BG"/>
              </w:rPr>
              <w:lastRenderedPageBreak/>
              <w:t>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 както и са синхронизирани със стратегическите документи и националното законодателство в областта на развитие на преподавателите и педагогическите кадри съгласно Техническата спецификация.</w:t>
            </w:r>
          </w:p>
          <w:p w14:paraId="38B26426" w14:textId="77777777" w:rsidR="00773902" w:rsidRPr="00FE22E5" w:rsidRDefault="00773902"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поне един</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427" w14:textId="77777777" w:rsidR="00773902" w:rsidRPr="00FE22E5" w:rsidRDefault="00773902"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въздействието в областта на квалификацията на преподавателите и  педагогическите кадри,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428" w14:textId="64377457" w:rsidR="00773902" w:rsidRPr="00FE22E5" w:rsidRDefault="00773902"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Участникът е предложил методология за оценка и за отговори на оценъчните въпроси, която се основава на референции към конкретни примери в областта на квалификацията на преподавателите и педагогическите кадри,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w:t>
            </w:r>
            <w:r w:rsidRPr="00FE22E5">
              <w:rPr>
                <w:rFonts w:ascii="Times New Roman" w:eastAsia="Calibri" w:hAnsi="Times New Roman" w:cs="Times New Roman"/>
                <w:color w:val="000000" w:themeColor="text1"/>
                <w:lang w:val="bg-BG"/>
              </w:rPr>
              <w:lastRenderedPageBreak/>
              <w:t>спецификация и има принос за качественото изпълнение на услугата, видно от обосновката и представените примери от участника.</w:t>
            </w:r>
          </w:p>
          <w:p w14:paraId="38B26429" w14:textId="77777777" w:rsidR="00773902" w:rsidRPr="00FE22E5" w:rsidRDefault="00773902" w:rsidP="00DA5B3B">
            <w:pPr>
              <w:widowControl/>
              <w:autoSpaceDE/>
              <w:autoSpaceDN/>
              <w:adjustRightInd/>
              <w:spacing w:after="120"/>
              <w:ind w:firstLine="0"/>
              <w:rPr>
                <w:rFonts w:ascii="Times New Roman" w:eastAsia="Calibri" w:hAnsi="Times New Roman" w:cs="Times New Roman"/>
                <w:color w:val="000000" w:themeColor="text1"/>
                <w:lang w:val="bg-BG"/>
              </w:rPr>
            </w:pP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42A" w14:textId="77777777" w:rsidR="00773902" w:rsidRPr="00FE22E5" w:rsidRDefault="00773902"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 точки</w:t>
            </w:r>
          </w:p>
        </w:tc>
      </w:tr>
      <w:tr w:rsidR="00773902" w:rsidRPr="00FE22E5" w14:paraId="38B26433" w14:textId="77777777" w:rsidTr="00E33CFC">
        <w:trPr>
          <w:trHeight w:val="20"/>
        </w:trPr>
        <w:tc>
          <w:tcPr>
            <w:tcW w:w="840" w:type="pct"/>
            <w:tcBorders>
              <w:top w:val="single" w:sz="4" w:space="0" w:color="auto"/>
              <w:left w:val="single" w:sz="4" w:space="0" w:color="auto"/>
              <w:bottom w:val="single" w:sz="4" w:space="0" w:color="auto"/>
              <w:right w:val="single" w:sz="4" w:space="0" w:color="auto"/>
            </w:tcBorders>
          </w:tcPr>
          <w:p w14:paraId="38B2642C" w14:textId="77777777" w:rsidR="00773902" w:rsidRPr="00FE22E5" w:rsidRDefault="00773902"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770" w:type="pct"/>
            <w:vMerge/>
            <w:tcBorders>
              <w:left w:val="single" w:sz="4" w:space="0" w:color="auto"/>
              <w:bottom w:val="single" w:sz="4" w:space="0" w:color="auto"/>
              <w:right w:val="single" w:sz="4" w:space="0" w:color="auto"/>
            </w:tcBorders>
            <w:shd w:val="clear" w:color="auto" w:fill="DEEAF6" w:themeFill="accent1" w:themeFillTint="33"/>
            <w:vAlign w:val="center"/>
          </w:tcPr>
          <w:p w14:paraId="38B2642D" w14:textId="77777777" w:rsidR="00773902" w:rsidRPr="00FE22E5" w:rsidRDefault="00773902"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42E" w14:textId="43DAE5B5" w:rsidR="00773902" w:rsidRPr="00FE22E5" w:rsidRDefault="00773902"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по процедурите, свързани с повишаване на квалификацията на преподавателите и педагогическите специалисти в системата на образованието,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развитие на преподавателите и педагогическите кадри</w:t>
            </w:r>
            <w:r w:rsidR="003B585E">
              <w:rPr>
                <w:rFonts w:ascii="Times New Roman" w:eastAsia="Calibri" w:hAnsi="Times New Roman" w:cs="Times New Roman"/>
                <w:color w:val="000000" w:themeColor="text1"/>
                <w:lang w:val="en-GB"/>
              </w:rPr>
              <w:t>,</w:t>
            </w:r>
            <w:r w:rsidRPr="00FE22E5">
              <w:rPr>
                <w:rFonts w:ascii="Times New Roman" w:eastAsia="Calibri" w:hAnsi="Times New Roman" w:cs="Times New Roman"/>
                <w:color w:val="000000" w:themeColor="text1"/>
                <w:lang w:val="bg-BG"/>
              </w:rPr>
              <w:t xml:space="preserve"> съгласно Техническата спецификация.</w:t>
            </w:r>
          </w:p>
          <w:p w14:paraId="38B2642F" w14:textId="77777777" w:rsidR="00773902" w:rsidRPr="00FE22E5" w:rsidRDefault="00773902" w:rsidP="00DA5B3B">
            <w:pPr>
              <w:widowControl/>
              <w:autoSpaceDE/>
              <w:autoSpaceDN/>
              <w:adjustRightInd/>
              <w:spacing w:after="120"/>
              <w:ind w:firstLine="771"/>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всички</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430" w14:textId="77777777" w:rsidR="00773902" w:rsidRPr="00FE22E5" w:rsidRDefault="00773902"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Участникът е предложил методология за оценка и за отговори на оценъчните въпроси, която се основава на добри практики в областта на квалификацията на преподавателите и  педагогическите кадри на международни институции или на институции на Европейския съюз при извършване на оценки на въздействието,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431" w14:textId="3E77208C" w:rsidR="00773902" w:rsidRPr="00FE22E5" w:rsidRDefault="00773902" w:rsidP="00921054">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конкретни примери в областта на квалификацията на преподавателите и педагогическите кадри,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432" w14:textId="77777777" w:rsidR="00773902" w:rsidRPr="00FE22E5" w:rsidRDefault="00773902"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5 точки</w:t>
            </w:r>
          </w:p>
        </w:tc>
      </w:tr>
      <w:tr w:rsidR="00C85DF6" w:rsidRPr="00FE22E5" w14:paraId="38B26439" w14:textId="77777777" w:rsidTr="00773902">
        <w:trPr>
          <w:trHeight w:val="20"/>
        </w:trPr>
        <w:tc>
          <w:tcPr>
            <w:tcW w:w="840" w:type="pct"/>
            <w:vMerge w:val="restart"/>
            <w:tcBorders>
              <w:top w:val="single" w:sz="4" w:space="0" w:color="auto"/>
              <w:left w:val="single" w:sz="4" w:space="0" w:color="auto"/>
              <w:right w:val="single" w:sz="4" w:space="0" w:color="auto"/>
            </w:tcBorders>
          </w:tcPr>
          <w:p w14:paraId="38B26434" w14:textId="77777777" w:rsidR="00C85DF6" w:rsidRPr="00FE22E5" w:rsidRDefault="00C85DF6" w:rsidP="00DA5B3B">
            <w:pPr>
              <w:pStyle w:val="ListParagraph"/>
              <w:widowControl/>
              <w:numPr>
                <w:ilvl w:val="1"/>
                <w:numId w:val="23"/>
              </w:numPr>
              <w:autoSpaceDE/>
              <w:autoSpaceDN/>
              <w:adjustRightInd/>
              <w:spacing w:after="120"/>
              <w:ind w:left="0"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lastRenderedPageBreak/>
              <w:t>Подобряване на връзката на професионалното образование с висшето образование и с нуждите на пазара на труда</w:t>
            </w:r>
          </w:p>
        </w:tc>
        <w:tc>
          <w:tcPr>
            <w:tcW w:w="770" w:type="pct"/>
            <w:vMerge w:val="restart"/>
            <w:tcBorders>
              <w:top w:val="single" w:sz="4" w:space="0" w:color="auto"/>
              <w:left w:val="single" w:sz="4" w:space="0" w:color="auto"/>
              <w:right w:val="single" w:sz="4" w:space="0" w:color="auto"/>
            </w:tcBorders>
            <w:shd w:val="clear" w:color="auto" w:fill="auto"/>
          </w:tcPr>
          <w:p w14:paraId="38B26435" w14:textId="77777777" w:rsidR="00C85DF6" w:rsidRPr="00FE22E5" w:rsidRDefault="00C85DF6" w:rsidP="00C85DF6">
            <w:pPr>
              <w:widowControl/>
              <w:autoSpaceDE/>
              <w:autoSpaceDN/>
              <w:adjustRightInd/>
              <w:spacing w:after="120"/>
              <w:ind w:left="89"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К</w:t>
            </w:r>
            <w:r w:rsidR="00A82A37" w:rsidRPr="00FE22E5">
              <w:rPr>
                <w:rFonts w:ascii="Times New Roman" w:eastAsia="Calibri" w:hAnsi="Times New Roman" w:cs="Times New Roman"/>
                <w:b/>
                <w:color w:val="000000" w:themeColor="text1"/>
                <w:lang w:val="bg-BG"/>
              </w:rPr>
              <w:t>1.10</w:t>
            </w:r>
            <w:r w:rsidRPr="00FE22E5">
              <w:rPr>
                <w:rFonts w:ascii="Times New Roman" w:eastAsia="Calibri" w:hAnsi="Times New Roman" w:cs="Times New Roman"/>
                <w:color w:val="000000" w:themeColor="text1"/>
                <w:lang w:val="bg-BG"/>
              </w:rPr>
              <w:t xml:space="preserve"> „Оценка на предложената методология за оценка и за отговори на оценъчните въпроси, по тематична оценка 3.5, съгласно т. 4.1.2 от Техническата спецификация</w:t>
            </w:r>
          </w:p>
        </w:tc>
        <w:tc>
          <w:tcPr>
            <w:tcW w:w="2970" w:type="pct"/>
            <w:tcBorders>
              <w:top w:val="single" w:sz="4" w:space="0" w:color="auto"/>
              <w:left w:val="single" w:sz="4" w:space="0" w:color="auto"/>
              <w:bottom w:val="single" w:sz="4" w:space="0" w:color="auto"/>
              <w:right w:val="single" w:sz="4" w:space="0" w:color="auto"/>
            </w:tcBorders>
            <w:shd w:val="clear" w:color="auto" w:fill="auto"/>
          </w:tcPr>
          <w:p w14:paraId="38B26437" w14:textId="57FB20C1" w:rsidR="00C85DF6" w:rsidRPr="00FE22E5" w:rsidRDefault="00C85DF6" w:rsidP="00DA5B3B">
            <w:pPr>
              <w:widowControl/>
              <w:autoSpaceDE/>
              <w:autoSpaceDN/>
              <w:adjustRightInd/>
              <w:spacing w:after="120"/>
              <w:ind w:firstLine="771"/>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по процедурите, свързани с подобряване на връзката на професионалното образование с висшето образование и нуждите на пазара на труда,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професионалното образование съгласно Техническата спецификация.</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38" w14:textId="77777777" w:rsidR="00C85DF6" w:rsidRPr="00FE22E5" w:rsidRDefault="00C85DF6"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C85DF6" w:rsidRPr="00FE22E5" w14:paraId="38B26443" w14:textId="77777777" w:rsidTr="00773902">
        <w:trPr>
          <w:trHeight w:val="20"/>
        </w:trPr>
        <w:tc>
          <w:tcPr>
            <w:tcW w:w="840" w:type="pct"/>
            <w:vMerge/>
            <w:tcBorders>
              <w:left w:val="single" w:sz="4" w:space="0" w:color="auto"/>
              <w:bottom w:val="single" w:sz="4" w:space="0" w:color="auto"/>
              <w:right w:val="single" w:sz="4" w:space="0" w:color="auto"/>
            </w:tcBorders>
          </w:tcPr>
          <w:p w14:paraId="38B2643A" w14:textId="77777777" w:rsidR="00C85DF6" w:rsidRPr="00FE22E5" w:rsidRDefault="00C85DF6" w:rsidP="00DA5B3B">
            <w:pPr>
              <w:widowControl/>
              <w:tabs>
                <w:tab w:val="left" w:pos="360"/>
              </w:tabs>
              <w:autoSpaceDE/>
              <w:autoSpaceDN/>
              <w:adjustRightInd/>
              <w:spacing w:after="120"/>
              <w:ind w:firstLine="0"/>
              <w:rPr>
                <w:rFonts w:ascii="Times New Roman" w:eastAsia="Calibri" w:hAnsi="Times New Roman" w:cs="Times New Roman"/>
                <w:b/>
                <w:color w:val="000000" w:themeColor="text1"/>
                <w:lang w:val="bg-BG"/>
              </w:rPr>
            </w:pPr>
          </w:p>
        </w:tc>
        <w:tc>
          <w:tcPr>
            <w:tcW w:w="770" w:type="pct"/>
            <w:vMerge/>
            <w:tcBorders>
              <w:left w:val="single" w:sz="4" w:space="0" w:color="auto"/>
              <w:right w:val="single" w:sz="4" w:space="0" w:color="auto"/>
            </w:tcBorders>
            <w:shd w:val="clear" w:color="auto" w:fill="auto"/>
            <w:vAlign w:val="center"/>
          </w:tcPr>
          <w:p w14:paraId="38B2643B"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tcPr>
          <w:p w14:paraId="38B2643C" w14:textId="582464C1"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е предложил методология за оценка и за отговори на оценъчните въпроси по процедурите, свързани с подобряване на връзката на професионалното образование с висшето образование и нуждите на пазара на труда,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w:t>
            </w:r>
            <w:r w:rsidRPr="00FE22E5">
              <w:rPr>
                <w:rFonts w:ascii="Times New Roman" w:eastAsia="Calibri" w:hAnsi="Times New Roman" w:cs="Times New Roman"/>
                <w:color w:val="000000" w:themeColor="text1"/>
                <w:lang w:val="bg-BG"/>
              </w:rPr>
              <w:lastRenderedPageBreak/>
              <w:t>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професионалното образование съгласно Техническата спецификация.</w:t>
            </w:r>
          </w:p>
          <w:p w14:paraId="38B2643D" w14:textId="77777777" w:rsidR="00C85DF6" w:rsidRPr="00FE22E5" w:rsidRDefault="00C85DF6" w:rsidP="00DA5B3B">
            <w:pPr>
              <w:widowControl/>
              <w:autoSpaceDE/>
              <w:autoSpaceDN/>
              <w:adjustRightInd/>
              <w:spacing w:after="120"/>
              <w:ind w:firstLine="63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поне един</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43E" w14:textId="77777777"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въздействието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в областта професионалното образование,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441" w14:textId="13D78FAA" w:rsidR="00C85DF6" w:rsidRPr="00FE22E5" w:rsidRDefault="00C85DF6" w:rsidP="00E33CFC">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 xml:space="preserve">Участникът е предложил методология за оценка и за отговори на оценъчните въпроси, която се основава на референции към конкретни примери в областта </w:t>
            </w:r>
            <w:r w:rsidR="00286236">
              <w:rPr>
                <w:rFonts w:ascii="Times New Roman" w:eastAsia="Calibri" w:hAnsi="Times New Roman" w:cs="Times New Roman"/>
                <w:color w:val="000000" w:themeColor="text1"/>
                <w:lang w:val="bg-BG"/>
              </w:rPr>
              <w:t xml:space="preserve">на </w:t>
            </w:r>
            <w:r w:rsidRPr="00FE22E5">
              <w:rPr>
                <w:rFonts w:ascii="Times New Roman" w:eastAsia="Calibri" w:hAnsi="Times New Roman" w:cs="Times New Roman"/>
                <w:color w:val="000000" w:themeColor="text1"/>
                <w:lang w:val="bg-BG"/>
              </w:rPr>
              <w:t>професионалното образование,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42" w14:textId="77777777" w:rsidR="00C85DF6" w:rsidRPr="00FE22E5" w:rsidRDefault="00C85DF6"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 точки</w:t>
            </w:r>
          </w:p>
        </w:tc>
      </w:tr>
      <w:tr w:rsidR="00C85DF6" w:rsidRPr="00FE22E5" w14:paraId="38B2644B" w14:textId="77777777" w:rsidTr="00773902">
        <w:trPr>
          <w:trHeight w:val="20"/>
        </w:trPr>
        <w:tc>
          <w:tcPr>
            <w:tcW w:w="840" w:type="pct"/>
            <w:tcBorders>
              <w:top w:val="single" w:sz="4" w:space="0" w:color="auto"/>
              <w:left w:val="single" w:sz="4" w:space="0" w:color="auto"/>
              <w:bottom w:val="single" w:sz="4" w:space="0" w:color="auto"/>
              <w:right w:val="single" w:sz="4" w:space="0" w:color="auto"/>
            </w:tcBorders>
          </w:tcPr>
          <w:p w14:paraId="38B26444" w14:textId="77777777" w:rsidR="00C85DF6" w:rsidRPr="00FE22E5" w:rsidRDefault="00C85DF6" w:rsidP="00DA5B3B">
            <w:pPr>
              <w:widowControl/>
              <w:tabs>
                <w:tab w:val="left" w:pos="360"/>
              </w:tabs>
              <w:autoSpaceDE/>
              <w:autoSpaceDN/>
              <w:adjustRightInd/>
              <w:spacing w:after="120"/>
              <w:ind w:firstLine="0"/>
              <w:rPr>
                <w:rFonts w:ascii="Times New Roman" w:eastAsia="Calibri" w:hAnsi="Times New Roman" w:cs="Times New Roman"/>
                <w:b/>
                <w:color w:val="000000" w:themeColor="text1"/>
                <w:lang w:val="bg-BG"/>
              </w:rPr>
            </w:pPr>
          </w:p>
        </w:tc>
        <w:tc>
          <w:tcPr>
            <w:tcW w:w="770" w:type="pct"/>
            <w:vMerge/>
            <w:tcBorders>
              <w:left w:val="single" w:sz="4" w:space="0" w:color="auto"/>
              <w:bottom w:val="single" w:sz="4" w:space="0" w:color="auto"/>
              <w:right w:val="single" w:sz="4" w:space="0" w:color="auto"/>
            </w:tcBorders>
            <w:shd w:val="clear" w:color="auto" w:fill="auto"/>
            <w:vAlign w:val="center"/>
          </w:tcPr>
          <w:p w14:paraId="38B26445"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auto"/>
          </w:tcPr>
          <w:p w14:paraId="38B26446" w14:textId="77777777"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Участникът е предложил методология за оценка и за отговори на оценъчните въпроси по процедурите, свързани с подобряване на връзката на професионалното образование с висшето образование и нуждите на пазара на труда,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w:t>
            </w:r>
            <w:r w:rsidRPr="00FE22E5">
              <w:rPr>
                <w:rFonts w:ascii="Times New Roman" w:eastAsia="Calibri" w:hAnsi="Times New Roman" w:cs="Times New Roman"/>
                <w:color w:val="000000" w:themeColor="text1"/>
                <w:lang w:val="bg-BG"/>
              </w:rPr>
              <w:lastRenderedPageBreak/>
              <w:t>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 както и са синхронизирани със стратегическите документи и нацоналното законодателство в областта на професионалното образование съгласно Техническата спецификация.</w:t>
            </w:r>
          </w:p>
          <w:p w14:paraId="38B26448" w14:textId="5A531F33"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всички</w:t>
            </w:r>
            <w:r w:rsidRPr="00FE22E5">
              <w:rPr>
                <w:rFonts w:ascii="Times New Roman" w:eastAsia="Calibri" w:hAnsi="Times New Roman" w:cs="Times New Roman"/>
                <w:color w:val="000000" w:themeColor="text1"/>
                <w:lang w:val="bg-BG"/>
              </w:rPr>
              <w:t xml:space="preserve"> от следните надграждащи елемента: -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въздействието в областта професионалното образование,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449" w14:textId="255CEE66"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Участникът е предложил методология за оценка и за отговори на оценъчните въпроси, която се основава на референции към конкретни примери в областта </w:t>
            </w:r>
            <w:r w:rsidR="00286236">
              <w:rPr>
                <w:rFonts w:ascii="Times New Roman" w:eastAsia="Calibri" w:hAnsi="Times New Roman" w:cs="Times New Roman"/>
                <w:color w:val="000000" w:themeColor="text1"/>
                <w:lang w:val="bg-BG"/>
              </w:rPr>
              <w:t xml:space="preserve">на </w:t>
            </w:r>
            <w:r w:rsidRPr="00FE22E5">
              <w:rPr>
                <w:rFonts w:ascii="Times New Roman" w:eastAsia="Calibri" w:hAnsi="Times New Roman" w:cs="Times New Roman"/>
                <w:color w:val="000000" w:themeColor="text1"/>
                <w:lang w:val="bg-BG"/>
              </w:rPr>
              <w:t>професионалното образование,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4A" w14:textId="77777777" w:rsidR="00C85DF6" w:rsidRPr="00FE22E5" w:rsidRDefault="00C85DF6"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5 точки</w:t>
            </w:r>
          </w:p>
        </w:tc>
      </w:tr>
      <w:tr w:rsidR="00C85DF6" w:rsidRPr="00FE22E5" w14:paraId="38B26451" w14:textId="77777777" w:rsidTr="00773902">
        <w:trPr>
          <w:trHeight w:val="20"/>
        </w:trPr>
        <w:tc>
          <w:tcPr>
            <w:tcW w:w="840" w:type="pct"/>
            <w:vMerge w:val="restart"/>
            <w:tcBorders>
              <w:top w:val="single" w:sz="4" w:space="0" w:color="auto"/>
              <w:left w:val="single" w:sz="4" w:space="0" w:color="auto"/>
              <w:right w:val="single" w:sz="4" w:space="0" w:color="auto"/>
            </w:tcBorders>
          </w:tcPr>
          <w:p w14:paraId="38B2644C" w14:textId="77777777" w:rsidR="00C85DF6" w:rsidRPr="00FE22E5" w:rsidRDefault="00C85DF6" w:rsidP="00DA5B3B">
            <w:pPr>
              <w:pStyle w:val="ListParagraph"/>
              <w:widowControl/>
              <w:numPr>
                <w:ilvl w:val="1"/>
                <w:numId w:val="23"/>
              </w:numPr>
              <w:autoSpaceDE/>
              <w:autoSpaceDN/>
              <w:adjustRightInd/>
              <w:spacing w:after="120"/>
              <w:ind w:left="0"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 xml:space="preserve">Подобряване на управлението на висшите училища и качеството на преподаване, в </w:t>
            </w:r>
            <w:r w:rsidRPr="00FE22E5">
              <w:rPr>
                <w:rFonts w:ascii="Times New Roman" w:eastAsia="Calibri" w:hAnsi="Times New Roman" w:cs="Times New Roman"/>
                <w:b/>
                <w:color w:val="000000" w:themeColor="text1"/>
                <w:lang w:val="bg-BG"/>
              </w:rPr>
              <w:lastRenderedPageBreak/>
              <w:t>съответствие с нуждите на пазара на труда; Увеличаване на дела на завършилите висше образование между 30-34 години.</w:t>
            </w:r>
          </w:p>
          <w:p w14:paraId="38B2644D"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770" w:type="pct"/>
            <w:vMerge w:val="restart"/>
            <w:tcBorders>
              <w:top w:val="single" w:sz="4" w:space="0" w:color="auto"/>
              <w:left w:val="single" w:sz="4" w:space="0" w:color="auto"/>
              <w:right w:val="single" w:sz="4" w:space="0" w:color="auto"/>
            </w:tcBorders>
            <w:shd w:val="clear" w:color="auto" w:fill="DEEAF6" w:themeFill="accent1" w:themeFillTint="33"/>
          </w:tcPr>
          <w:p w14:paraId="38B2644E" w14:textId="77777777" w:rsidR="00C85DF6" w:rsidRPr="00FE22E5" w:rsidRDefault="00A82A37" w:rsidP="00C85DF6">
            <w:pPr>
              <w:widowControl/>
              <w:autoSpaceDE/>
              <w:autoSpaceDN/>
              <w:adjustRightInd/>
              <w:spacing w:after="120"/>
              <w:ind w:left="89"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lastRenderedPageBreak/>
              <w:t>К1.11</w:t>
            </w:r>
            <w:r w:rsidR="00C85DF6" w:rsidRPr="00FE22E5">
              <w:rPr>
                <w:rFonts w:ascii="Times New Roman" w:eastAsia="Calibri" w:hAnsi="Times New Roman" w:cs="Times New Roman"/>
                <w:color w:val="000000" w:themeColor="text1"/>
                <w:lang w:val="bg-BG"/>
              </w:rPr>
              <w:t xml:space="preserve"> „Оценка на предложената методология за оценка и за отговори на </w:t>
            </w:r>
            <w:r w:rsidR="00C85DF6" w:rsidRPr="00FE22E5">
              <w:rPr>
                <w:rFonts w:ascii="Times New Roman" w:eastAsia="Calibri" w:hAnsi="Times New Roman" w:cs="Times New Roman"/>
                <w:color w:val="000000" w:themeColor="text1"/>
                <w:lang w:val="bg-BG"/>
              </w:rPr>
              <w:lastRenderedPageBreak/>
              <w:t>оценъчните въпроси, по тематична оценка 3.5, съгласно т. 4.1.2 от Техническата спецификация</w:t>
            </w: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44F" w14:textId="698340FF" w:rsidR="00C85DF6" w:rsidRPr="00FE22E5" w:rsidRDefault="00C85DF6" w:rsidP="005D6B26">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lastRenderedPageBreak/>
              <w:t xml:space="preserve">Участникът е предложил методология за оценка и за отговори на оценъчните въпроси по процедурите, свързани с управлението на висшите училища и качеството на преподаване, в съответствие с нуждите на пазара на труда, която се основава на референции към Ръководството на Европейската комисия за оценка на въздействието, както и към Насоките на Европейската комисия за </w:t>
            </w:r>
            <w:r w:rsidRPr="00FE22E5">
              <w:rPr>
                <w:rFonts w:ascii="Times New Roman" w:eastAsia="Calibri" w:hAnsi="Times New Roman" w:cs="Times New Roman"/>
                <w:color w:val="000000" w:themeColor="text1"/>
                <w:lang w:val="bg-BG"/>
              </w:rPr>
              <w:lastRenderedPageBreak/>
              <w:t>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висшето образование съгласно Техническата спецификация.</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450" w14:textId="77777777" w:rsidR="00C85DF6" w:rsidRPr="00FE22E5" w:rsidRDefault="00C85DF6"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1 точка</w:t>
            </w:r>
          </w:p>
        </w:tc>
      </w:tr>
      <w:tr w:rsidR="00C85DF6" w:rsidRPr="00FE22E5" w14:paraId="38B2645A" w14:textId="77777777" w:rsidTr="00773902">
        <w:trPr>
          <w:trHeight w:val="20"/>
        </w:trPr>
        <w:tc>
          <w:tcPr>
            <w:tcW w:w="840" w:type="pct"/>
            <w:vMerge/>
            <w:tcBorders>
              <w:left w:val="single" w:sz="4" w:space="0" w:color="auto"/>
              <w:right w:val="single" w:sz="4" w:space="0" w:color="auto"/>
            </w:tcBorders>
          </w:tcPr>
          <w:p w14:paraId="38B26452" w14:textId="77777777" w:rsidR="00C85DF6" w:rsidRPr="00FE22E5" w:rsidRDefault="00C85DF6" w:rsidP="00DA5B3B">
            <w:pPr>
              <w:widowControl/>
              <w:tabs>
                <w:tab w:val="left" w:pos="360"/>
              </w:tabs>
              <w:autoSpaceDE/>
              <w:autoSpaceDN/>
              <w:adjustRightInd/>
              <w:spacing w:after="120"/>
              <w:ind w:firstLine="0"/>
              <w:rPr>
                <w:rFonts w:ascii="Times New Roman" w:eastAsia="Calibri" w:hAnsi="Times New Roman" w:cs="Times New Roman"/>
                <w:b/>
                <w:color w:val="000000" w:themeColor="text1"/>
                <w:u w:val="single"/>
                <w:lang w:val="bg-BG"/>
              </w:rPr>
            </w:pPr>
          </w:p>
        </w:tc>
        <w:tc>
          <w:tcPr>
            <w:tcW w:w="770" w:type="pct"/>
            <w:vMerge/>
            <w:tcBorders>
              <w:left w:val="single" w:sz="4" w:space="0" w:color="auto"/>
              <w:right w:val="single" w:sz="4" w:space="0" w:color="auto"/>
            </w:tcBorders>
            <w:shd w:val="clear" w:color="auto" w:fill="DEEAF6" w:themeFill="accent1" w:themeFillTint="33"/>
            <w:vAlign w:val="center"/>
          </w:tcPr>
          <w:p w14:paraId="38B26453"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454" w14:textId="10AF3A9B"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по процедурите, свързани с управлението на висшите училища и качеството на преподаване, в съответствие с нуждите на пазара на труда,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w:t>
            </w:r>
            <w:r w:rsidRPr="00FE22E5">
              <w:rPr>
                <w:color w:val="000000" w:themeColor="text1"/>
                <w:lang w:val="bg-BG"/>
              </w:rPr>
              <w:t xml:space="preserve"> </w:t>
            </w:r>
            <w:r w:rsidRPr="00FE22E5">
              <w:rPr>
                <w:rFonts w:ascii="Times New Roman" w:hAnsi="Times New Roman" w:cs="Times New Roman"/>
                <w:color w:val="000000" w:themeColor="text1"/>
                <w:lang w:val="bg-BG"/>
              </w:rPr>
              <w:t>както</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и са синхронизирани със стратегическите документи и националното законодателство в областта на висшето образование съгласно Техническата спецификация.</w:t>
            </w:r>
          </w:p>
          <w:p w14:paraId="38B26456" w14:textId="31729F1A" w:rsidR="00C85DF6" w:rsidRPr="00FE22E5" w:rsidRDefault="00C85DF6" w:rsidP="00921054">
            <w:pPr>
              <w:widowControl/>
              <w:autoSpaceDE/>
              <w:autoSpaceDN/>
              <w:adjustRightInd/>
              <w:spacing w:after="120"/>
              <w:ind w:firstLine="63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поне един</w:t>
            </w:r>
            <w:r w:rsidRPr="00FE22E5">
              <w:rPr>
                <w:rFonts w:ascii="Times New Roman" w:eastAsia="Calibri" w:hAnsi="Times New Roman" w:cs="Times New Roman"/>
                <w:color w:val="000000" w:themeColor="text1"/>
                <w:lang w:val="bg-BG"/>
              </w:rPr>
              <w:t xml:space="preserve"> от следните надграждащи елемента-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оценки на въздействието в областта на висшето образование,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w:t>
            </w:r>
            <w:r w:rsidRPr="00FE22E5">
              <w:rPr>
                <w:rFonts w:ascii="Times New Roman" w:eastAsia="Calibri" w:hAnsi="Times New Roman" w:cs="Times New Roman"/>
                <w:color w:val="000000" w:themeColor="text1"/>
                <w:lang w:val="bg-BG"/>
              </w:rPr>
              <w:lastRenderedPageBreak/>
              <w:t>спецификация и има принос за качественото изпълнение на услугата, видно от обосновката и представените примери от участника.</w:t>
            </w:r>
          </w:p>
          <w:p w14:paraId="38B26457" w14:textId="77777777" w:rsidR="00C85DF6" w:rsidRPr="00FE22E5" w:rsidRDefault="00C85DF6" w:rsidP="00DA5B3B">
            <w:pPr>
              <w:widowControl/>
              <w:autoSpaceDE/>
              <w:autoSpaceDN/>
              <w:adjustRightInd/>
              <w:spacing w:after="120"/>
              <w:ind w:firstLine="771"/>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която се основава на референции към конкретни примери в областта на висшето образование,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458" w14:textId="77777777"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459" w14:textId="77777777" w:rsidR="00C85DF6" w:rsidRPr="00FE22E5" w:rsidRDefault="00C85DF6"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3 точки</w:t>
            </w:r>
          </w:p>
        </w:tc>
      </w:tr>
      <w:tr w:rsidR="00C85DF6" w:rsidRPr="00FE22E5" w14:paraId="38B26462" w14:textId="77777777" w:rsidTr="00773902">
        <w:trPr>
          <w:trHeight w:val="20"/>
        </w:trPr>
        <w:tc>
          <w:tcPr>
            <w:tcW w:w="840" w:type="pct"/>
            <w:vMerge/>
            <w:tcBorders>
              <w:left w:val="single" w:sz="4" w:space="0" w:color="auto"/>
              <w:bottom w:val="single" w:sz="4" w:space="0" w:color="auto"/>
              <w:right w:val="single" w:sz="4" w:space="0" w:color="auto"/>
            </w:tcBorders>
          </w:tcPr>
          <w:p w14:paraId="38B2645B" w14:textId="77777777" w:rsidR="00C85DF6" w:rsidRPr="00FE22E5" w:rsidRDefault="00C85DF6" w:rsidP="00DA5B3B">
            <w:pPr>
              <w:widowControl/>
              <w:tabs>
                <w:tab w:val="left" w:pos="360"/>
              </w:tabs>
              <w:autoSpaceDE/>
              <w:autoSpaceDN/>
              <w:adjustRightInd/>
              <w:spacing w:after="120"/>
              <w:ind w:firstLine="0"/>
              <w:rPr>
                <w:rFonts w:ascii="Times New Roman" w:eastAsia="Calibri" w:hAnsi="Times New Roman" w:cs="Times New Roman"/>
                <w:b/>
                <w:color w:val="000000" w:themeColor="text1"/>
                <w:u w:val="single"/>
                <w:lang w:val="bg-BG"/>
              </w:rPr>
            </w:pPr>
          </w:p>
        </w:tc>
        <w:tc>
          <w:tcPr>
            <w:tcW w:w="770" w:type="pct"/>
            <w:vMerge/>
            <w:tcBorders>
              <w:left w:val="single" w:sz="4" w:space="0" w:color="auto"/>
              <w:bottom w:val="single" w:sz="4" w:space="0" w:color="auto"/>
              <w:right w:val="single" w:sz="4" w:space="0" w:color="auto"/>
            </w:tcBorders>
            <w:shd w:val="clear" w:color="auto" w:fill="DEEAF6" w:themeFill="accent1" w:themeFillTint="33"/>
            <w:vAlign w:val="center"/>
          </w:tcPr>
          <w:p w14:paraId="38B2645C" w14:textId="77777777" w:rsidR="00C85DF6" w:rsidRPr="00FE22E5" w:rsidRDefault="00C85DF6" w:rsidP="00DA5B3B">
            <w:pPr>
              <w:widowControl/>
              <w:autoSpaceDE/>
              <w:autoSpaceDN/>
              <w:adjustRightInd/>
              <w:spacing w:after="120"/>
              <w:ind w:left="360" w:firstLine="0"/>
              <w:rPr>
                <w:rFonts w:ascii="Times New Roman" w:eastAsia="Calibri" w:hAnsi="Times New Roman" w:cs="Times New Roman"/>
                <w:color w:val="000000" w:themeColor="text1"/>
                <w:lang w:val="bg-BG"/>
              </w:rPr>
            </w:pPr>
          </w:p>
        </w:tc>
        <w:tc>
          <w:tcPr>
            <w:tcW w:w="297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B2645D" w14:textId="7E5F2DE8"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е предложил методология за оценка и за отговори на оценъчните въпроси по процедурите, свързани с управлението на висшите училища и качеството на преподаване, в съответствие с нуждите на пазара на труда, която се основава на референции към Ръководството на Европейската комисия за оценка на въздействието, както и към Насоките на Европейската комисия за изготвянето на методология за избора на контролни групи и оценка на социално-икономическото развитие EVALSED,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имат принос за качественото изпълнение на услугата, видно от обосновката и представените примери от участника, както и са синхронизирани със стратегическите документи и националното законодателство в областта на висшето образование съгласно Техническата спецификация.</w:t>
            </w:r>
          </w:p>
          <w:p w14:paraId="38B2645E" w14:textId="77777777"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Предложението на участника съдържа </w:t>
            </w:r>
            <w:r w:rsidRPr="00FE22E5">
              <w:rPr>
                <w:rFonts w:ascii="Times New Roman" w:eastAsia="Calibri" w:hAnsi="Times New Roman" w:cs="Times New Roman"/>
                <w:b/>
                <w:color w:val="000000" w:themeColor="text1"/>
                <w:lang w:val="bg-BG"/>
              </w:rPr>
              <w:t>всички</w:t>
            </w:r>
            <w:r w:rsidRPr="00FE22E5">
              <w:rPr>
                <w:rFonts w:ascii="Times New Roman" w:eastAsia="Calibri" w:hAnsi="Times New Roman" w:cs="Times New Roman"/>
                <w:color w:val="000000" w:themeColor="text1"/>
                <w:lang w:val="bg-BG"/>
              </w:rPr>
              <w:t xml:space="preserve"> от следните надграждащи елемента:</w:t>
            </w:r>
          </w:p>
          <w:p w14:paraId="38B2645F" w14:textId="77777777"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         - Участникът е предложил методология за оценка и за отговори на оценъчните въпроси, която се основава на добри практики на международни институции или на институции на Европейския съюз при извършване на </w:t>
            </w:r>
            <w:r w:rsidRPr="00FE22E5">
              <w:rPr>
                <w:rFonts w:ascii="Times New Roman" w:eastAsia="Calibri" w:hAnsi="Times New Roman" w:cs="Times New Roman"/>
                <w:color w:val="000000" w:themeColor="text1"/>
                <w:lang w:val="bg-BG"/>
              </w:rPr>
              <w:lastRenderedPageBreak/>
              <w:t>оценки на въздействието в областта на висшето образование, които са относими към изискванията за Тематична оценка 3 „Оценка на въздействието на процедурите в процес на изпълнение“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p w14:paraId="38B26460" w14:textId="77777777" w:rsidR="00C85DF6" w:rsidRPr="00FE22E5" w:rsidRDefault="00C85DF6" w:rsidP="00DA5B3B">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Участникът е предложил методология за оценка и за отговори на оценъчните въпроси, която се основава на референции към конкретни примери в областта на висшето образование, които са относими към изискванията за Тематична оценка 3 „Оценка на въздействието на процедурите в процес на изпълнение и завършили изпълнението“ в Раздел 4.1.2. „Основни тематични оценки и оценъчни въпроси“ от Техническата спецификация и има принос за качественото изпълнение на услугата, видно от обосновката и представените примери от участника.</w:t>
            </w: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26461" w14:textId="77777777" w:rsidR="00C85DF6" w:rsidRPr="00FE22E5" w:rsidRDefault="00C85DF6"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5 точки</w:t>
            </w:r>
          </w:p>
        </w:tc>
      </w:tr>
      <w:tr w:rsidR="006548A3" w:rsidRPr="00FE22E5" w14:paraId="38B26467" w14:textId="77777777" w:rsidTr="00DA5B3B">
        <w:trPr>
          <w:trHeight w:val="20"/>
        </w:trPr>
        <w:tc>
          <w:tcPr>
            <w:tcW w:w="840" w:type="pct"/>
            <w:tcBorders>
              <w:top w:val="single" w:sz="4" w:space="0" w:color="auto"/>
              <w:left w:val="nil"/>
              <w:bottom w:val="single" w:sz="4" w:space="0" w:color="auto"/>
              <w:right w:val="nil"/>
            </w:tcBorders>
            <w:shd w:val="clear" w:color="auto" w:fill="D0CECE" w:themeFill="background2" w:themeFillShade="E6"/>
          </w:tcPr>
          <w:p w14:paraId="38B26463" w14:textId="77777777" w:rsidR="006548A3" w:rsidRPr="00FE22E5" w:rsidRDefault="006548A3" w:rsidP="00DA5B3B">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70" w:type="pct"/>
            <w:tcBorders>
              <w:top w:val="single" w:sz="4" w:space="0" w:color="auto"/>
              <w:left w:val="nil"/>
              <w:bottom w:val="single" w:sz="4" w:space="0" w:color="auto"/>
              <w:right w:val="nil"/>
            </w:tcBorders>
            <w:shd w:val="clear" w:color="auto" w:fill="D0CECE" w:themeFill="background2" w:themeFillShade="E6"/>
            <w:vAlign w:val="center"/>
          </w:tcPr>
          <w:p w14:paraId="38B26464" w14:textId="77777777" w:rsidR="006548A3" w:rsidRPr="00FE22E5" w:rsidRDefault="006548A3" w:rsidP="00DA5B3B">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2970" w:type="pct"/>
            <w:tcBorders>
              <w:top w:val="single" w:sz="4" w:space="0" w:color="auto"/>
              <w:left w:val="nil"/>
              <w:bottom w:val="single" w:sz="4" w:space="0" w:color="auto"/>
              <w:right w:val="nil"/>
            </w:tcBorders>
            <w:shd w:val="clear" w:color="auto" w:fill="D0CECE" w:themeFill="background2" w:themeFillShade="E6"/>
          </w:tcPr>
          <w:p w14:paraId="38B26465" w14:textId="77777777" w:rsidR="006548A3" w:rsidRPr="00FE22E5" w:rsidRDefault="006548A3" w:rsidP="006548A3">
            <w:pPr>
              <w:widowControl/>
              <w:autoSpaceDE/>
              <w:autoSpaceDN/>
              <w:adjustRightInd/>
              <w:spacing w:after="120"/>
              <w:ind w:firstLine="0"/>
              <w:jc w:val="right"/>
              <w:rPr>
                <w:rFonts w:ascii="Times New Roman" w:eastAsia="Calibri" w:hAnsi="Times New Roman" w:cs="Times New Roman"/>
                <w:b/>
                <w:color w:val="000000" w:themeColor="text1"/>
                <w:highlight w:val="yellow"/>
                <w:lang w:val="bg-BG"/>
              </w:rPr>
            </w:pPr>
            <w:r w:rsidRPr="00FE22E5">
              <w:rPr>
                <w:rFonts w:ascii="Times New Roman" w:eastAsia="Calibri" w:hAnsi="Times New Roman" w:cs="Times New Roman"/>
                <w:b/>
                <w:color w:val="000000" w:themeColor="text1"/>
                <w:lang w:val="bg-BG"/>
              </w:rPr>
              <w:t>Максимален резултат-</w:t>
            </w:r>
          </w:p>
        </w:tc>
        <w:tc>
          <w:tcPr>
            <w:tcW w:w="42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8B26466" w14:textId="77777777" w:rsidR="006548A3" w:rsidRPr="00FE22E5" w:rsidRDefault="006548A3" w:rsidP="00DA5B3B">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55 точки</w:t>
            </w:r>
          </w:p>
        </w:tc>
      </w:tr>
    </w:tbl>
    <w:p w14:paraId="38B26468" w14:textId="77777777" w:rsidR="006548A3" w:rsidRPr="00FE22E5" w:rsidRDefault="006548A3">
      <w:pPr>
        <w:rPr>
          <w:lang w:val="bg-BG"/>
        </w:rPr>
      </w:pPr>
      <w:r w:rsidRPr="00FE22E5">
        <w:rPr>
          <w:lang w:val="bg-BG"/>
        </w:rPr>
        <w:br w:type="page"/>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038"/>
        <w:gridCol w:w="8118"/>
        <w:gridCol w:w="1176"/>
      </w:tblGrid>
      <w:tr w:rsidR="006548A3" w:rsidRPr="00FE22E5" w14:paraId="38B2646A" w14:textId="77777777" w:rsidTr="006548A3">
        <w:trPr>
          <w:trHeight w:val="20"/>
        </w:trPr>
        <w:tc>
          <w:tcPr>
            <w:tcW w:w="5000" w:type="pct"/>
            <w:gridSpan w:val="4"/>
            <w:tcBorders>
              <w:top w:val="nil"/>
              <w:left w:val="nil"/>
              <w:bottom w:val="single" w:sz="4" w:space="0" w:color="auto"/>
              <w:right w:val="nil"/>
            </w:tcBorders>
            <w:shd w:val="clear" w:color="auto" w:fill="FFFFFF" w:themeFill="background1"/>
          </w:tcPr>
          <w:p w14:paraId="38B26469" w14:textId="77777777" w:rsidR="006548A3" w:rsidRPr="00FE22E5" w:rsidRDefault="006548A3" w:rsidP="006548A3">
            <w:pPr>
              <w:widowControl/>
              <w:autoSpaceDE/>
              <w:autoSpaceDN/>
              <w:adjustRightInd/>
              <w:spacing w:after="120"/>
              <w:ind w:firstLine="0"/>
              <w:jc w:val="left"/>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К2 „ПРОФЕСИОНАЛНА КОМПЕТЕНТНОСТ НА ПЕРСОНАЛА“</w:t>
            </w:r>
          </w:p>
        </w:tc>
      </w:tr>
      <w:tr w:rsidR="006548A3" w:rsidRPr="00FE22E5" w14:paraId="38B2646F" w14:textId="77777777" w:rsidTr="004820BC">
        <w:trPr>
          <w:trHeight w:val="20"/>
        </w:trPr>
        <w:tc>
          <w:tcPr>
            <w:tcW w:w="952" w:type="pct"/>
            <w:tcBorders>
              <w:top w:val="single" w:sz="4" w:space="0" w:color="auto"/>
              <w:left w:val="single" w:sz="4" w:space="0" w:color="auto"/>
              <w:bottom w:val="single" w:sz="4" w:space="0" w:color="auto"/>
              <w:right w:val="single" w:sz="4" w:space="0" w:color="auto"/>
            </w:tcBorders>
            <w:shd w:val="clear" w:color="auto" w:fill="A6A6A6"/>
          </w:tcPr>
          <w:p w14:paraId="38B2646B" w14:textId="77777777" w:rsidR="006548A3" w:rsidRPr="00FE22E5" w:rsidRDefault="006548A3" w:rsidP="006548A3">
            <w:pPr>
              <w:widowControl/>
              <w:autoSpaceDE/>
              <w:autoSpaceDN/>
              <w:adjustRightInd/>
              <w:spacing w:after="120"/>
              <w:ind w:firstLine="0"/>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Ключов експерт</w:t>
            </w:r>
          </w:p>
        </w:tc>
        <w:tc>
          <w:tcPr>
            <w:tcW w:w="728" w:type="pct"/>
            <w:tcBorders>
              <w:top w:val="single" w:sz="4" w:space="0" w:color="auto"/>
              <w:left w:val="single" w:sz="4" w:space="0" w:color="auto"/>
              <w:bottom w:val="single" w:sz="4" w:space="0" w:color="auto"/>
              <w:right w:val="single" w:sz="4" w:space="0" w:color="auto"/>
            </w:tcBorders>
            <w:shd w:val="clear" w:color="auto" w:fill="A6A6A6"/>
            <w:vAlign w:val="center"/>
          </w:tcPr>
          <w:p w14:paraId="38B2646C" w14:textId="77777777" w:rsidR="006548A3" w:rsidRPr="00FE22E5" w:rsidRDefault="006548A3" w:rsidP="006548A3">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Подпоказател</w:t>
            </w:r>
          </w:p>
        </w:tc>
        <w:tc>
          <w:tcPr>
            <w:tcW w:w="2900" w:type="pct"/>
            <w:tcBorders>
              <w:top w:val="single" w:sz="4" w:space="0" w:color="auto"/>
              <w:left w:val="single" w:sz="4" w:space="0" w:color="auto"/>
              <w:bottom w:val="single" w:sz="4" w:space="0" w:color="auto"/>
              <w:right w:val="single" w:sz="4" w:space="0" w:color="auto"/>
            </w:tcBorders>
            <w:shd w:val="clear" w:color="auto" w:fill="A6A6A6"/>
            <w:vAlign w:val="center"/>
          </w:tcPr>
          <w:p w14:paraId="38B2646D" w14:textId="77777777" w:rsidR="006548A3" w:rsidRPr="00FE22E5" w:rsidRDefault="006548A3" w:rsidP="006548A3">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Критерий</w:t>
            </w:r>
          </w:p>
        </w:tc>
        <w:tc>
          <w:tcPr>
            <w:tcW w:w="420" w:type="pct"/>
            <w:tcBorders>
              <w:top w:val="single" w:sz="4" w:space="0" w:color="auto"/>
              <w:left w:val="single" w:sz="4" w:space="0" w:color="auto"/>
              <w:bottom w:val="single" w:sz="4" w:space="0" w:color="auto"/>
              <w:right w:val="single" w:sz="4" w:space="0" w:color="auto"/>
            </w:tcBorders>
            <w:shd w:val="clear" w:color="auto" w:fill="A6A6A6"/>
          </w:tcPr>
          <w:p w14:paraId="38B2646E" w14:textId="77777777" w:rsidR="006548A3" w:rsidRPr="00FE22E5" w:rsidRDefault="006548A3" w:rsidP="006548A3">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Резултат</w:t>
            </w:r>
          </w:p>
        </w:tc>
      </w:tr>
      <w:tr w:rsidR="00E33CFC" w:rsidRPr="00FE22E5" w14:paraId="38B26474" w14:textId="77777777" w:rsidTr="00773902">
        <w:trPr>
          <w:trHeight w:val="20"/>
        </w:trPr>
        <w:tc>
          <w:tcPr>
            <w:tcW w:w="952" w:type="pct"/>
            <w:vMerge w:val="restart"/>
            <w:tcBorders>
              <w:top w:val="single" w:sz="4" w:space="0" w:color="auto"/>
              <w:left w:val="single" w:sz="4" w:space="0" w:color="auto"/>
              <w:right w:val="single" w:sz="4" w:space="0" w:color="auto"/>
            </w:tcBorders>
          </w:tcPr>
          <w:p w14:paraId="38B26470" w14:textId="77777777" w:rsidR="00E33CFC" w:rsidRPr="00E33CFC" w:rsidRDefault="00E33CFC" w:rsidP="006548A3">
            <w:pPr>
              <w:widowControl/>
              <w:autoSpaceDE/>
              <w:autoSpaceDN/>
              <w:adjustRightInd/>
              <w:spacing w:after="120"/>
              <w:ind w:left="34" w:firstLine="0"/>
              <w:rPr>
                <w:rFonts w:ascii="Times New Roman" w:eastAsia="Calibri" w:hAnsi="Times New Roman" w:cs="Times New Roman"/>
                <w:b/>
                <w:color w:val="000000" w:themeColor="text1"/>
                <w:lang w:val="bg-BG"/>
              </w:rPr>
            </w:pPr>
            <w:r w:rsidRPr="00E33CFC">
              <w:rPr>
                <w:rFonts w:ascii="Times New Roman" w:eastAsia="Calibri" w:hAnsi="Times New Roman" w:cs="Times New Roman"/>
                <w:b/>
                <w:color w:val="000000" w:themeColor="text1"/>
                <w:lang w:val="bg-BG"/>
              </w:rPr>
              <w:t>1. Ръководител екип</w:t>
            </w:r>
          </w:p>
        </w:tc>
        <w:tc>
          <w:tcPr>
            <w:tcW w:w="728" w:type="pct"/>
            <w:vMerge w:val="restart"/>
            <w:tcBorders>
              <w:top w:val="single" w:sz="4" w:space="0" w:color="auto"/>
              <w:left w:val="single" w:sz="4" w:space="0" w:color="auto"/>
              <w:right w:val="single" w:sz="4" w:space="0" w:color="auto"/>
            </w:tcBorders>
            <w:shd w:val="clear" w:color="auto" w:fill="auto"/>
          </w:tcPr>
          <w:p w14:paraId="38B26471" w14:textId="77777777" w:rsidR="00E33CFC" w:rsidRPr="00FE22E5" w:rsidRDefault="00E33CFC" w:rsidP="004820BC">
            <w:pPr>
              <w:widowControl/>
              <w:autoSpaceDE/>
              <w:autoSpaceDN/>
              <w:adjustRightInd/>
              <w:spacing w:after="120"/>
              <w:ind w:left="34"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К2.1.</w:t>
            </w:r>
            <w:r w:rsidRPr="00FE22E5">
              <w:rPr>
                <w:rFonts w:ascii="Times New Roman" w:eastAsia="Calibri" w:hAnsi="Times New Roman" w:cs="Times New Roman"/>
                <w:color w:val="000000" w:themeColor="text1"/>
                <w:lang w:val="bg-BG"/>
              </w:rPr>
              <w:t xml:space="preserve"> Оценка на професионалната компетентност на  „Ръководител екип“ в част „Образование“</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72" w14:textId="77777777" w:rsidR="00E33CFC" w:rsidRPr="00FE22E5" w:rsidRDefault="00E33CFC" w:rsidP="006548A3">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предлага Ръководител екип с висше образование, образователно-квалификационна степен „бакалавар” в областта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73" w14:textId="77777777" w:rsidR="00E33CFC" w:rsidRPr="00FE22E5" w:rsidRDefault="00E33CFC" w:rsidP="006548A3">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E33CFC" w:rsidRPr="00FE22E5" w14:paraId="38B26479" w14:textId="77777777" w:rsidTr="00773902">
        <w:trPr>
          <w:trHeight w:val="20"/>
        </w:trPr>
        <w:tc>
          <w:tcPr>
            <w:tcW w:w="952" w:type="pct"/>
            <w:vMerge/>
            <w:tcBorders>
              <w:left w:val="single" w:sz="4" w:space="0" w:color="auto"/>
              <w:right w:val="single" w:sz="4" w:space="0" w:color="auto"/>
            </w:tcBorders>
          </w:tcPr>
          <w:p w14:paraId="38B26475" w14:textId="77777777" w:rsidR="00E33CFC" w:rsidRPr="00E33CFC" w:rsidRDefault="00E33CFC" w:rsidP="006548A3">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right w:val="single" w:sz="4" w:space="0" w:color="auto"/>
            </w:tcBorders>
            <w:shd w:val="clear" w:color="auto" w:fill="auto"/>
            <w:vAlign w:val="center"/>
          </w:tcPr>
          <w:p w14:paraId="38B26476" w14:textId="77777777" w:rsidR="00E33CFC" w:rsidRPr="00FE22E5" w:rsidRDefault="00E33CFC" w:rsidP="006548A3">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77" w14:textId="77777777" w:rsidR="00E33CFC" w:rsidRPr="00FE22E5" w:rsidRDefault="00E33CFC" w:rsidP="006548A3">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предлага Ръководител екип с висше образование, образователно-квалификационна степен „магистър” или по-висока в областта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 еквивалентна на посочената;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78" w14:textId="77777777" w:rsidR="00E33CFC" w:rsidRPr="00FE22E5" w:rsidRDefault="00E33CFC" w:rsidP="006548A3">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E33CFC" w:rsidRPr="00FE22E5" w14:paraId="38B2647E" w14:textId="77777777" w:rsidTr="00F616AB">
        <w:trPr>
          <w:trHeight w:val="20"/>
        </w:trPr>
        <w:tc>
          <w:tcPr>
            <w:tcW w:w="952" w:type="pct"/>
            <w:vMerge/>
            <w:tcBorders>
              <w:left w:val="single" w:sz="4" w:space="0" w:color="auto"/>
              <w:right w:val="single" w:sz="4" w:space="0" w:color="auto"/>
            </w:tcBorders>
          </w:tcPr>
          <w:p w14:paraId="38B2647A" w14:textId="77777777" w:rsidR="00E33CFC" w:rsidRPr="00E33CFC" w:rsidRDefault="00E33CFC" w:rsidP="006548A3">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bottom w:val="single" w:sz="4" w:space="0" w:color="auto"/>
              <w:right w:val="single" w:sz="4" w:space="0" w:color="auto"/>
            </w:tcBorders>
            <w:shd w:val="clear" w:color="auto" w:fill="auto"/>
            <w:vAlign w:val="center"/>
          </w:tcPr>
          <w:p w14:paraId="38B2647B" w14:textId="77777777" w:rsidR="00E33CFC" w:rsidRPr="00FE22E5" w:rsidRDefault="00E33CFC" w:rsidP="006548A3">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7C" w14:textId="77777777" w:rsidR="00E33CFC" w:rsidRPr="00FE22E5" w:rsidRDefault="00E33CFC" w:rsidP="006548A3">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предлага Ръководител екип с висше образование, образователно-квалификационна степен „магистър” или по-висока в областта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 еквивалентна на посочената и образователно научна степен „доктор“.</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7D" w14:textId="77777777" w:rsidR="00E33CFC" w:rsidRPr="00FE22E5" w:rsidRDefault="00E33CFC" w:rsidP="006548A3">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E33CFC" w:rsidRPr="00FE22E5" w14:paraId="38B26483" w14:textId="77777777" w:rsidTr="00F616AB">
        <w:trPr>
          <w:trHeight w:val="1191"/>
        </w:trPr>
        <w:tc>
          <w:tcPr>
            <w:tcW w:w="952" w:type="pct"/>
            <w:vMerge/>
            <w:tcBorders>
              <w:left w:val="single" w:sz="4" w:space="0" w:color="auto"/>
              <w:right w:val="single" w:sz="4" w:space="0" w:color="auto"/>
            </w:tcBorders>
          </w:tcPr>
          <w:p w14:paraId="38B2647F"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val="restart"/>
            <w:tcBorders>
              <w:top w:val="single" w:sz="4" w:space="0" w:color="auto"/>
              <w:left w:val="single" w:sz="4" w:space="0" w:color="auto"/>
              <w:right w:val="single" w:sz="4" w:space="0" w:color="auto"/>
            </w:tcBorders>
            <w:shd w:val="clear" w:color="auto" w:fill="auto"/>
            <w:vAlign w:val="center"/>
          </w:tcPr>
          <w:p w14:paraId="38B26480"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К2.2.</w:t>
            </w:r>
            <w:r w:rsidRPr="00FE22E5">
              <w:rPr>
                <w:rFonts w:ascii="Times New Roman" w:eastAsia="Calibri" w:hAnsi="Times New Roman" w:cs="Times New Roman"/>
                <w:color w:val="000000" w:themeColor="text1"/>
                <w:lang w:val="bg-BG"/>
              </w:rPr>
              <w:t xml:space="preserve"> Оценка на професионален  опит на „Ръководител екип“, в част: „Професионален опит“.</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81" w14:textId="2471122C" w:rsidR="00E33CFC" w:rsidRPr="00FE22E5" w:rsidRDefault="00E33CFC" w:rsidP="00555C49">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предлага „Ръководител екип“, който притежава 2 години опит </w:t>
            </w:r>
            <w:r w:rsidR="0015501E">
              <w:rPr>
                <w:rFonts w:ascii="Times New Roman" w:eastAsia="Calibri" w:hAnsi="Times New Roman" w:cs="Times New Roman"/>
                <w:color w:val="000000" w:themeColor="text1"/>
                <w:lang w:val="bg-BG"/>
              </w:rPr>
              <w:t xml:space="preserve">на ръководна позиция в изпълнение на трудови и/или служебни правоотношения и/или опит </w:t>
            </w:r>
            <w:r w:rsidRPr="00FE22E5">
              <w:rPr>
                <w:rFonts w:ascii="Times New Roman" w:eastAsia="Calibri" w:hAnsi="Times New Roman" w:cs="Times New Roman"/>
                <w:color w:val="000000" w:themeColor="text1"/>
                <w:lang w:val="bg-BG"/>
              </w:rPr>
              <w:t>като ръководител на екип</w:t>
            </w:r>
            <w:r w:rsidR="0015501E">
              <w:rPr>
                <w:rFonts w:ascii="Times New Roman" w:eastAsia="Calibri" w:hAnsi="Times New Roman" w:cs="Times New Roman"/>
                <w:color w:val="000000" w:themeColor="text1"/>
                <w:lang w:val="bg-BG"/>
              </w:rPr>
              <w:t xml:space="preserve"> в изпълнението на минимум един проект</w:t>
            </w:r>
            <w:r w:rsidR="00922CBF">
              <w:rPr>
                <w:rFonts w:ascii="Times New Roman" w:eastAsia="Calibri" w:hAnsi="Times New Roman" w:cs="Times New Roman"/>
                <w:color w:val="000000" w:themeColor="text1"/>
                <w:lang w:val="bg-BG"/>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82"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E33CFC" w:rsidRPr="00FE22E5" w14:paraId="38B26488" w14:textId="77777777" w:rsidTr="00F616AB">
        <w:trPr>
          <w:trHeight w:val="20"/>
        </w:trPr>
        <w:tc>
          <w:tcPr>
            <w:tcW w:w="952" w:type="pct"/>
            <w:vMerge/>
            <w:tcBorders>
              <w:left w:val="single" w:sz="4" w:space="0" w:color="auto"/>
              <w:right w:val="single" w:sz="4" w:space="0" w:color="auto"/>
            </w:tcBorders>
          </w:tcPr>
          <w:p w14:paraId="38B26484"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right w:val="single" w:sz="4" w:space="0" w:color="auto"/>
            </w:tcBorders>
            <w:shd w:val="clear" w:color="auto" w:fill="auto"/>
            <w:vAlign w:val="center"/>
          </w:tcPr>
          <w:p w14:paraId="38B26485"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86" w14:textId="20D2E340" w:rsidR="00E33CFC" w:rsidRPr="00FE22E5" w:rsidRDefault="00E33CFC" w:rsidP="00922CBF">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предлага „Ръководител екип“, </w:t>
            </w:r>
            <w:r w:rsidR="00922CBF">
              <w:rPr>
                <w:rFonts w:ascii="Times New Roman" w:eastAsia="Calibri" w:hAnsi="Times New Roman" w:cs="Times New Roman"/>
                <w:color w:val="000000" w:themeColor="text1"/>
                <w:lang w:val="bg-BG"/>
              </w:rPr>
              <w:t xml:space="preserve">който притежава три години опит </w:t>
            </w:r>
            <w:r w:rsidR="00922CBF" w:rsidRPr="00922CBF">
              <w:rPr>
                <w:rFonts w:ascii="Times New Roman" w:eastAsia="Calibri" w:hAnsi="Times New Roman" w:cs="Times New Roman"/>
                <w:color w:val="000000" w:themeColor="text1"/>
                <w:lang w:val="bg-BG"/>
              </w:rPr>
              <w:t xml:space="preserve">на ръководна позиция в изпълнение на трудови и/или служебни правоотношения и/или опит като ръководител на екип в изпълнението на </w:t>
            </w:r>
            <w:r w:rsidR="00922CBF">
              <w:rPr>
                <w:rFonts w:ascii="Times New Roman" w:eastAsia="Calibri" w:hAnsi="Times New Roman" w:cs="Times New Roman"/>
                <w:color w:val="000000" w:themeColor="text1"/>
                <w:lang w:val="bg-BG"/>
              </w:rPr>
              <w:t xml:space="preserve">поне два </w:t>
            </w:r>
            <w:r w:rsidR="00922CBF" w:rsidRPr="00922CBF">
              <w:rPr>
                <w:rFonts w:ascii="Times New Roman" w:eastAsia="Calibri" w:hAnsi="Times New Roman" w:cs="Times New Roman"/>
                <w:color w:val="000000" w:themeColor="text1"/>
                <w:lang w:val="bg-BG"/>
              </w:rPr>
              <w:t>проект</w:t>
            </w:r>
            <w:r w:rsidR="00922CBF">
              <w:rPr>
                <w:rFonts w:ascii="Times New Roman" w:eastAsia="Calibri" w:hAnsi="Times New Roman" w:cs="Times New Roman"/>
                <w:color w:val="000000" w:themeColor="text1"/>
                <w:lang w:val="bg-BG"/>
              </w:rPr>
              <w:t>а</w:t>
            </w:r>
            <w:r w:rsidR="00922CBF" w:rsidRPr="00922CBF">
              <w:rPr>
                <w:rFonts w:ascii="Times New Roman" w:eastAsia="Calibri" w:hAnsi="Times New Roman" w:cs="Times New Roman"/>
                <w:color w:val="000000" w:themeColor="text1"/>
                <w:lang w:val="bg-BG"/>
              </w:rPr>
              <w:t>.</w:t>
            </w:r>
            <w:r w:rsidR="00922CBF">
              <w:rPr>
                <w:rFonts w:ascii="Times New Roman" w:eastAsia="Calibri" w:hAnsi="Times New Roman" w:cs="Times New Roman"/>
                <w:color w:val="000000" w:themeColor="text1"/>
                <w:lang w:val="bg-BG"/>
              </w:rPr>
              <w:t xml:space="preserve"> </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87"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E33CFC" w:rsidRPr="00FE22E5" w14:paraId="38B2648D" w14:textId="77777777" w:rsidTr="00F616AB">
        <w:trPr>
          <w:trHeight w:val="268"/>
        </w:trPr>
        <w:tc>
          <w:tcPr>
            <w:tcW w:w="952" w:type="pct"/>
            <w:vMerge/>
            <w:tcBorders>
              <w:left w:val="single" w:sz="4" w:space="0" w:color="auto"/>
              <w:right w:val="single" w:sz="4" w:space="0" w:color="auto"/>
            </w:tcBorders>
          </w:tcPr>
          <w:p w14:paraId="38B26489"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bottom w:val="single" w:sz="4" w:space="0" w:color="auto"/>
              <w:right w:val="single" w:sz="4" w:space="0" w:color="auto"/>
            </w:tcBorders>
            <w:shd w:val="clear" w:color="auto" w:fill="auto"/>
            <w:vAlign w:val="center"/>
          </w:tcPr>
          <w:p w14:paraId="38B2648A"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8B" w14:textId="5564C9BE" w:rsidR="00E33CFC" w:rsidRPr="00FE22E5" w:rsidRDefault="00E33CFC" w:rsidP="00922CBF">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 xml:space="preserve">Участникът предлага „Ръководител екип“, </w:t>
            </w:r>
            <w:r w:rsidR="00922CBF" w:rsidRPr="00922CBF">
              <w:rPr>
                <w:rFonts w:ascii="Times New Roman" w:eastAsia="Calibri" w:hAnsi="Times New Roman" w:cs="Times New Roman"/>
                <w:color w:val="000000" w:themeColor="text1"/>
                <w:lang w:val="bg-BG"/>
              </w:rPr>
              <w:t xml:space="preserve">който притежава </w:t>
            </w:r>
            <w:r w:rsidR="00922CBF">
              <w:rPr>
                <w:rFonts w:ascii="Times New Roman" w:eastAsia="Calibri" w:hAnsi="Times New Roman" w:cs="Times New Roman"/>
                <w:color w:val="000000" w:themeColor="text1"/>
                <w:lang w:val="bg-BG"/>
              </w:rPr>
              <w:t>пет</w:t>
            </w:r>
            <w:r w:rsidR="00922CBF" w:rsidRPr="00922CBF">
              <w:rPr>
                <w:rFonts w:ascii="Times New Roman" w:eastAsia="Calibri" w:hAnsi="Times New Roman" w:cs="Times New Roman"/>
                <w:color w:val="000000" w:themeColor="text1"/>
                <w:lang w:val="bg-BG"/>
              </w:rPr>
              <w:t xml:space="preserve"> години опит на ръководна позиция в изпълнение на трудови и/или служебни </w:t>
            </w:r>
            <w:r w:rsidR="00922CBF" w:rsidRPr="00922CBF">
              <w:rPr>
                <w:rFonts w:ascii="Times New Roman" w:eastAsia="Calibri" w:hAnsi="Times New Roman" w:cs="Times New Roman"/>
                <w:color w:val="000000" w:themeColor="text1"/>
                <w:lang w:val="bg-BG"/>
              </w:rPr>
              <w:lastRenderedPageBreak/>
              <w:t xml:space="preserve">правоотношения и/или опит като ръководител на екип в изпълнението на поне </w:t>
            </w:r>
            <w:r w:rsidR="00922CBF">
              <w:rPr>
                <w:rFonts w:ascii="Times New Roman" w:eastAsia="Calibri" w:hAnsi="Times New Roman" w:cs="Times New Roman"/>
                <w:color w:val="000000" w:themeColor="text1"/>
                <w:lang w:val="bg-BG"/>
              </w:rPr>
              <w:t>три</w:t>
            </w:r>
            <w:r w:rsidR="00922CBF" w:rsidRPr="00922CBF">
              <w:rPr>
                <w:rFonts w:ascii="Times New Roman" w:eastAsia="Calibri" w:hAnsi="Times New Roman" w:cs="Times New Roman"/>
                <w:color w:val="000000" w:themeColor="text1"/>
                <w:lang w:val="bg-BG"/>
              </w:rPr>
              <w:t xml:space="preserve"> проекта.</w:t>
            </w:r>
            <w:r w:rsidRPr="00FE22E5">
              <w:rPr>
                <w:rFonts w:ascii="Times New Roman" w:eastAsia="Calibri" w:hAnsi="Times New Roman" w:cs="Times New Roman"/>
                <w:color w:val="000000" w:themeColor="text1"/>
                <w:lang w:val="bg-BG"/>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8C"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lastRenderedPageBreak/>
              <w:t>2</w:t>
            </w:r>
            <w:r w:rsidRPr="00FE22E5">
              <w:rPr>
                <w:rFonts w:ascii="Times New Roman" w:eastAsia="Calibri" w:hAnsi="Times New Roman" w:cs="Times New Roman"/>
                <w:b/>
                <w:color w:val="000000" w:themeColor="text1"/>
                <w:lang w:val="bg-BG"/>
              </w:rPr>
              <w:t xml:space="preserve"> точки</w:t>
            </w:r>
          </w:p>
        </w:tc>
      </w:tr>
      <w:tr w:rsidR="00E33CFC" w:rsidRPr="00FE22E5" w14:paraId="38B26492" w14:textId="77777777" w:rsidTr="00F616AB">
        <w:trPr>
          <w:trHeight w:val="268"/>
        </w:trPr>
        <w:tc>
          <w:tcPr>
            <w:tcW w:w="952" w:type="pct"/>
            <w:vMerge/>
            <w:tcBorders>
              <w:left w:val="single" w:sz="4" w:space="0" w:color="auto"/>
              <w:right w:val="single" w:sz="4" w:space="0" w:color="auto"/>
            </w:tcBorders>
          </w:tcPr>
          <w:p w14:paraId="38B2648E"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val="restart"/>
            <w:tcBorders>
              <w:top w:val="single" w:sz="4" w:space="0" w:color="auto"/>
              <w:left w:val="single" w:sz="4" w:space="0" w:color="auto"/>
              <w:right w:val="single" w:sz="4" w:space="0" w:color="auto"/>
            </w:tcBorders>
            <w:shd w:val="clear" w:color="auto" w:fill="auto"/>
            <w:vAlign w:val="center"/>
          </w:tcPr>
          <w:p w14:paraId="38B2648F"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К2.3.</w:t>
            </w:r>
            <w:r w:rsidRPr="00FE22E5">
              <w:rPr>
                <w:rFonts w:ascii="Times New Roman" w:eastAsia="Calibri" w:hAnsi="Times New Roman" w:cs="Times New Roman"/>
                <w:color w:val="000000" w:themeColor="text1"/>
                <w:lang w:val="bg-BG"/>
              </w:rPr>
              <w:t xml:space="preserve"> Оценка на професионалната компетентност на „Ръководител екип“, в част: „Професионален опит“</w:t>
            </w:r>
            <w:r>
              <w:rPr>
                <w:rFonts w:ascii="Times New Roman" w:eastAsia="Calibri" w:hAnsi="Times New Roman" w:cs="Times New Roman"/>
                <w:color w:val="000000" w:themeColor="text1"/>
                <w:lang w:val="bg-BG"/>
              </w:rPr>
              <w:t xml:space="preserve"> 2</w:t>
            </w:r>
            <w:r w:rsidRPr="00FE22E5">
              <w:rPr>
                <w:rFonts w:ascii="Times New Roman" w:eastAsia="Calibri" w:hAnsi="Times New Roman" w:cs="Times New Roman"/>
                <w:color w:val="000000" w:themeColor="text1"/>
                <w:lang w:val="bg-BG"/>
              </w:rPr>
              <w:t>.</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90" w14:textId="169C6068" w:rsidR="00E33CFC" w:rsidRPr="00FE22E5" w:rsidRDefault="00E33CFC" w:rsidP="00555C49">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предлага „Ръководител екип“, който е участвал в една дейност или проект или програма за оценка или анализ на социално-икономическото развитие</w:t>
            </w:r>
            <w:r w:rsidR="00866853">
              <w:rPr>
                <w:rFonts w:ascii="Times New Roman" w:eastAsia="Calibri" w:hAnsi="Times New Roman" w:cs="Times New Roman"/>
                <w:color w:val="000000" w:themeColor="text1"/>
                <w:lang w:val="bg-BG"/>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91"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E33CFC" w:rsidRPr="00FE22E5" w14:paraId="38B26497" w14:textId="77777777" w:rsidTr="00F616AB">
        <w:trPr>
          <w:trHeight w:val="268"/>
        </w:trPr>
        <w:tc>
          <w:tcPr>
            <w:tcW w:w="952" w:type="pct"/>
            <w:vMerge/>
            <w:tcBorders>
              <w:left w:val="single" w:sz="4" w:space="0" w:color="auto"/>
              <w:right w:val="single" w:sz="4" w:space="0" w:color="auto"/>
            </w:tcBorders>
          </w:tcPr>
          <w:p w14:paraId="38B26493"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right w:val="single" w:sz="4" w:space="0" w:color="auto"/>
            </w:tcBorders>
            <w:shd w:val="clear" w:color="auto" w:fill="auto"/>
            <w:vAlign w:val="center"/>
          </w:tcPr>
          <w:p w14:paraId="38B26494"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95" w14:textId="082B3C38" w:rsidR="00E33CFC" w:rsidRPr="00FE22E5" w:rsidRDefault="00E33CFC" w:rsidP="00555C49">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предлага „Ръководител екип“, който е участвал в две дейности или проекта или програми за оценка или анализ на социално-икономическото развитие</w:t>
            </w:r>
            <w:r w:rsidR="00866853">
              <w:rPr>
                <w:rFonts w:ascii="Times New Roman" w:eastAsia="Calibri" w:hAnsi="Times New Roman" w:cs="Times New Roman"/>
                <w:color w:val="000000" w:themeColor="text1"/>
                <w:lang w:val="bg-BG"/>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96"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E33CFC" w:rsidRPr="00FE22E5" w14:paraId="38B2649C" w14:textId="77777777" w:rsidTr="00F616AB">
        <w:trPr>
          <w:trHeight w:val="268"/>
        </w:trPr>
        <w:tc>
          <w:tcPr>
            <w:tcW w:w="952" w:type="pct"/>
            <w:vMerge/>
            <w:tcBorders>
              <w:left w:val="single" w:sz="4" w:space="0" w:color="auto"/>
              <w:bottom w:val="single" w:sz="4" w:space="0" w:color="auto"/>
              <w:right w:val="single" w:sz="4" w:space="0" w:color="auto"/>
            </w:tcBorders>
          </w:tcPr>
          <w:p w14:paraId="38B26498"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bottom w:val="single" w:sz="4" w:space="0" w:color="auto"/>
              <w:right w:val="single" w:sz="4" w:space="0" w:color="auto"/>
            </w:tcBorders>
            <w:shd w:val="clear" w:color="auto" w:fill="auto"/>
            <w:vAlign w:val="center"/>
          </w:tcPr>
          <w:p w14:paraId="38B26499"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9A" w14:textId="7DB1D9ED" w:rsidR="00E33CFC" w:rsidRPr="00FE22E5" w:rsidRDefault="00E33CFC" w:rsidP="00555C49">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предлага „Ръководител екип“, който е участвал в три дейности или проекта или програми за оценка или анализ на социално-икономическото развитие</w:t>
            </w:r>
            <w:r w:rsidR="00866853">
              <w:rPr>
                <w:rFonts w:ascii="Times New Roman" w:eastAsia="Calibri" w:hAnsi="Times New Roman" w:cs="Times New Roman"/>
                <w:color w:val="000000" w:themeColor="text1"/>
                <w:lang w:val="bg-BG"/>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9B"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773902" w:rsidRPr="00FE22E5" w14:paraId="38B264A1" w14:textId="77777777" w:rsidTr="00E33CFC">
        <w:trPr>
          <w:trHeight w:val="20"/>
        </w:trPr>
        <w:tc>
          <w:tcPr>
            <w:tcW w:w="952" w:type="pct"/>
            <w:tcBorders>
              <w:top w:val="single" w:sz="4" w:space="0" w:color="auto"/>
              <w:left w:val="single" w:sz="4" w:space="0" w:color="auto"/>
              <w:bottom w:val="nil"/>
              <w:right w:val="single" w:sz="4" w:space="0" w:color="auto"/>
            </w:tcBorders>
          </w:tcPr>
          <w:p w14:paraId="5F63C283" w14:textId="77777777" w:rsidR="00773902" w:rsidRPr="00E33CFC" w:rsidRDefault="00773902" w:rsidP="00555C49">
            <w:pPr>
              <w:widowControl/>
              <w:autoSpaceDE/>
              <w:autoSpaceDN/>
              <w:adjustRightInd/>
              <w:spacing w:after="120"/>
              <w:ind w:left="34" w:firstLine="0"/>
              <w:rPr>
                <w:rFonts w:ascii="Times New Roman" w:eastAsia="Calibri" w:hAnsi="Times New Roman" w:cs="Times New Roman"/>
                <w:b/>
                <w:color w:val="000000" w:themeColor="text1"/>
                <w:lang w:val="bg-BG"/>
              </w:rPr>
            </w:pPr>
            <w:r w:rsidRPr="00E33CFC">
              <w:rPr>
                <w:rFonts w:ascii="Times New Roman" w:eastAsia="Calibri" w:hAnsi="Times New Roman" w:cs="Times New Roman"/>
                <w:b/>
                <w:color w:val="000000" w:themeColor="text1"/>
                <w:lang w:val="bg-BG"/>
              </w:rPr>
              <w:t>2. Експерт икономист</w:t>
            </w:r>
          </w:p>
          <w:p w14:paraId="38B2649D" w14:textId="112A011F" w:rsidR="00773902" w:rsidRPr="00E33CFC" w:rsidRDefault="00773902" w:rsidP="00E33CFC">
            <w:pPr>
              <w:widowControl/>
              <w:autoSpaceDE/>
              <w:autoSpaceDN/>
              <w:adjustRightInd/>
              <w:spacing w:after="120"/>
              <w:ind w:left="34" w:firstLine="0"/>
              <w:rPr>
                <w:rFonts w:ascii="Times New Roman" w:eastAsia="Calibri" w:hAnsi="Times New Roman" w:cs="Times New Roman"/>
                <w:b/>
                <w:color w:val="000000" w:themeColor="text1"/>
                <w:lang w:val="bg-BG"/>
              </w:rPr>
            </w:pPr>
            <w:r w:rsidRPr="00E33CFC">
              <w:rPr>
                <w:rFonts w:ascii="Times New Roman" w:eastAsia="Calibri" w:hAnsi="Times New Roman" w:cs="Times New Roman"/>
                <w:b/>
                <w:color w:val="000000" w:themeColor="text1"/>
                <w:lang w:val="bg-BG"/>
              </w:rPr>
              <w:t>.</w:t>
            </w:r>
          </w:p>
        </w:tc>
        <w:tc>
          <w:tcPr>
            <w:tcW w:w="728" w:type="pct"/>
            <w:vMerge w:val="restart"/>
            <w:tcBorders>
              <w:top w:val="single" w:sz="4" w:space="0" w:color="auto"/>
              <w:left w:val="single" w:sz="4" w:space="0" w:color="auto"/>
              <w:right w:val="single" w:sz="4" w:space="0" w:color="auto"/>
            </w:tcBorders>
            <w:shd w:val="clear" w:color="auto" w:fill="auto"/>
          </w:tcPr>
          <w:p w14:paraId="38B2649E" w14:textId="77777777" w:rsidR="00773902" w:rsidRPr="00FE22E5" w:rsidRDefault="00773902"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b/>
                <w:color w:val="000000" w:themeColor="text1"/>
                <w:lang w:val="bg-BG"/>
              </w:rPr>
              <w:t>К2.4.</w:t>
            </w:r>
            <w:r w:rsidRPr="00FE22E5">
              <w:rPr>
                <w:b/>
                <w:color w:val="000000" w:themeColor="text1"/>
                <w:lang w:val="bg-BG"/>
              </w:rPr>
              <w:t xml:space="preserve"> </w:t>
            </w:r>
            <w:r w:rsidRPr="00FE22E5">
              <w:rPr>
                <w:rFonts w:ascii="Times New Roman" w:eastAsia="Calibri" w:hAnsi="Times New Roman" w:cs="Times New Roman"/>
                <w:color w:val="000000" w:themeColor="text1"/>
                <w:lang w:val="bg-BG"/>
              </w:rPr>
              <w:t>Оценка на професионалната компетентност на експерт № 1 „Експерт икономист“ в част „Образование“.</w:t>
            </w: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9F" w14:textId="77777777" w:rsidR="00773902" w:rsidRPr="00FE22E5" w:rsidRDefault="00773902" w:rsidP="00555C49">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предлага експерт № 1 с висше образование, образователно-квалификационна степен „бакалавър” в област „Социални, стопански и правни науки”, съгласно класификатор, утвърден с ПМС № 125/2002г., професионално направление „Икономика” или еквивалентна образователна степен, придобита в чужбина, в еквивалентно на посоченото направление.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A0" w14:textId="77777777" w:rsidR="00773902" w:rsidRPr="00FE22E5" w:rsidRDefault="00773902"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773902" w:rsidRPr="00FE22E5" w14:paraId="38B264A6" w14:textId="77777777" w:rsidTr="00E33CFC">
        <w:trPr>
          <w:trHeight w:val="20"/>
        </w:trPr>
        <w:tc>
          <w:tcPr>
            <w:tcW w:w="952" w:type="pct"/>
            <w:tcBorders>
              <w:top w:val="nil"/>
              <w:left w:val="single" w:sz="4" w:space="0" w:color="auto"/>
              <w:bottom w:val="nil"/>
              <w:right w:val="single" w:sz="4" w:space="0" w:color="auto"/>
            </w:tcBorders>
          </w:tcPr>
          <w:p w14:paraId="38B264A2" w14:textId="74759F0E" w:rsidR="00773902" w:rsidRPr="00E33CFC" w:rsidRDefault="00773902"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right w:val="single" w:sz="4" w:space="0" w:color="auto"/>
            </w:tcBorders>
            <w:shd w:val="clear" w:color="auto" w:fill="auto"/>
            <w:vAlign w:val="center"/>
          </w:tcPr>
          <w:p w14:paraId="38B264A3" w14:textId="77777777" w:rsidR="00773902" w:rsidRPr="00FE22E5" w:rsidRDefault="00773902"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A4" w14:textId="15293E77" w:rsidR="00773902" w:rsidRPr="00FE22E5" w:rsidRDefault="00773902" w:rsidP="00555C49">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предлага експерт № 1 с висше образование, образователно-квалификационна степен „магистър” в област „Социални, стопански и правни науки”, съгласно класификатор, утвърден с ПМС № 125/2002г., професионално направление „Икономика” или еквивалентна образователна степен, придобита в чужбина, в еквивалентно на посоченото направление</w:t>
            </w:r>
            <w:r w:rsidR="00866853">
              <w:rPr>
                <w:rFonts w:ascii="Times New Roman" w:eastAsia="Calibri" w:hAnsi="Times New Roman" w:cs="Times New Roman"/>
                <w:color w:val="000000" w:themeColor="text1"/>
                <w:lang w:val="bg-BG"/>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A5" w14:textId="77777777" w:rsidR="00773902" w:rsidRPr="00FE22E5" w:rsidRDefault="00773902"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E33CFC" w:rsidRPr="00FE22E5" w14:paraId="38B264AB" w14:textId="77777777" w:rsidTr="00732DE1">
        <w:trPr>
          <w:trHeight w:val="20"/>
        </w:trPr>
        <w:tc>
          <w:tcPr>
            <w:tcW w:w="952" w:type="pct"/>
            <w:vMerge w:val="restart"/>
            <w:tcBorders>
              <w:top w:val="nil"/>
              <w:left w:val="single" w:sz="4" w:space="0" w:color="auto"/>
              <w:right w:val="single" w:sz="4" w:space="0" w:color="auto"/>
            </w:tcBorders>
          </w:tcPr>
          <w:p w14:paraId="38B264A7"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bottom w:val="single" w:sz="4" w:space="0" w:color="auto"/>
              <w:right w:val="single" w:sz="4" w:space="0" w:color="auto"/>
            </w:tcBorders>
            <w:shd w:val="clear" w:color="auto" w:fill="auto"/>
            <w:vAlign w:val="center"/>
          </w:tcPr>
          <w:p w14:paraId="38B264A8"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auto"/>
              <w:left w:val="single" w:sz="4" w:space="0" w:color="auto"/>
              <w:bottom w:val="single" w:sz="4" w:space="0" w:color="auto"/>
              <w:right w:val="single" w:sz="4" w:space="0" w:color="auto"/>
            </w:tcBorders>
            <w:shd w:val="clear" w:color="auto" w:fill="auto"/>
          </w:tcPr>
          <w:p w14:paraId="38B264A9" w14:textId="77777777" w:rsidR="00E33CFC" w:rsidRPr="00FE22E5" w:rsidRDefault="00E33CFC" w:rsidP="00555C49">
            <w:pPr>
              <w:widowControl/>
              <w:autoSpaceDE/>
              <w:autoSpaceDN/>
              <w:adjustRightInd/>
              <w:spacing w:after="120"/>
              <w:ind w:firstLine="0"/>
              <w:rPr>
                <w:rFonts w:ascii="Times New Roman" w:eastAsia="Calibri" w:hAnsi="Times New Roman" w:cs="Times New Roman"/>
                <w:color w:val="000000" w:themeColor="text1"/>
                <w:lang w:val="bg-BG"/>
              </w:rPr>
            </w:pPr>
            <w:r w:rsidRPr="00FE22E5">
              <w:rPr>
                <w:rFonts w:ascii="Times New Roman" w:eastAsia="Calibri" w:hAnsi="Times New Roman" w:cs="Times New Roman"/>
                <w:color w:val="000000" w:themeColor="text1"/>
                <w:lang w:val="bg-BG"/>
              </w:rPr>
              <w:t>Участникът предлага експерт № 1 с образователна и  научна степен „доктор“ в област „Социални, стопански и правни науки”, съгласно класификатор, утвърден с ПМС № 125/2002г., професионално направление „Икономика” или еквивалентна образователна степен, придобита в чужбина, в еквивалентно на посоченото направление.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AA"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E33CFC" w:rsidRPr="00FE22E5" w14:paraId="38B264B0" w14:textId="77777777" w:rsidTr="00732DE1">
        <w:trPr>
          <w:trHeight w:val="20"/>
        </w:trPr>
        <w:tc>
          <w:tcPr>
            <w:tcW w:w="952" w:type="pct"/>
            <w:vMerge/>
            <w:tcBorders>
              <w:left w:val="single" w:sz="4" w:space="0" w:color="auto"/>
              <w:bottom w:val="nil"/>
              <w:right w:val="single" w:sz="4" w:space="0" w:color="auto"/>
            </w:tcBorders>
          </w:tcPr>
          <w:p w14:paraId="38B264AC"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single" w:sz="4" w:space="0" w:color="auto"/>
              <w:left w:val="single" w:sz="4" w:space="0" w:color="auto"/>
              <w:bottom w:val="nil"/>
              <w:right w:val="single" w:sz="4" w:space="0" w:color="auto"/>
            </w:tcBorders>
            <w:shd w:val="clear" w:color="auto" w:fill="auto"/>
            <w:vAlign w:val="center"/>
          </w:tcPr>
          <w:p w14:paraId="38B264AD" w14:textId="5F5E8A0C" w:rsidR="00E33CFC" w:rsidRPr="00FE22E5" w:rsidRDefault="00E33CFC" w:rsidP="00E33CFC">
            <w:pPr>
              <w:widowControl/>
              <w:autoSpaceDE/>
              <w:autoSpaceDN/>
              <w:adjustRightInd/>
              <w:spacing w:after="120"/>
              <w:ind w:left="34" w:firstLine="0"/>
              <w:rPr>
                <w:rFonts w:ascii="Times New Roman" w:eastAsia="Calibri" w:hAnsi="Times New Roman" w:cs="Times New Roman"/>
                <w:color w:val="000000" w:themeColor="text1"/>
                <w:lang w:val="bg-BG"/>
              </w:rPr>
            </w:pPr>
            <w:r w:rsidRPr="006F12D0">
              <w:rPr>
                <w:rFonts w:ascii="Times New Roman" w:eastAsia="Calibri" w:hAnsi="Times New Roman" w:cs="Times New Roman"/>
                <w:b/>
                <w:color w:val="000000" w:themeColor="text1"/>
                <w:lang w:val="bg-BG"/>
              </w:rPr>
              <w:t>К2.5.</w:t>
            </w:r>
            <w:r w:rsidRPr="00FE22E5">
              <w:rPr>
                <w:rFonts w:ascii="Times New Roman" w:eastAsia="Calibri" w:hAnsi="Times New Roman" w:cs="Times New Roman"/>
                <w:color w:val="000000" w:themeColor="text1"/>
                <w:lang w:val="bg-BG"/>
              </w:rPr>
              <w:t xml:space="preserve"> Оценка на професионален опит на експерт № 1: „Експерт икономист“.</w:t>
            </w:r>
          </w:p>
        </w:tc>
        <w:tc>
          <w:tcPr>
            <w:tcW w:w="2900" w:type="pct"/>
            <w:tcBorders>
              <w:top w:val="single" w:sz="4" w:space="0" w:color="000000"/>
              <w:left w:val="single" w:sz="4" w:space="0" w:color="000000"/>
              <w:bottom w:val="single" w:sz="4" w:space="0" w:color="000000"/>
            </w:tcBorders>
            <w:shd w:val="clear" w:color="auto" w:fill="auto"/>
          </w:tcPr>
          <w:p w14:paraId="38B264AE" w14:textId="77777777" w:rsidR="00E33CFC" w:rsidRPr="00FE22E5" w:rsidRDefault="00E33CFC" w:rsidP="00921054">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„икономист“, който притежава опит в изпълнението на една дейност или услуга за изготвянето икономически анализ.</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AF"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773902" w:rsidRPr="00FE22E5" w14:paraId="38B264B5" w14:textId="77777777" w:rsidTr="00E33CFC">
        <w:trPr>
          <w:trHeight w:val="20"/>
        </w:trPr>
        <w:tc>
          <w:tcPr>
            <w:tcW w:w="952" w:type="pct"/>
            <w:tcBorders>
              <w:top w:val="nil"/>
              <w:left w:val="single" w:sz="4" w:space="0" w:color="auto"/>
              <w:bottom w:val="nil"/>
              <w:right w:val="single" w:sz="4" w:space="0" w:color="auto"/>
            </w:tcBorders>
          </w:tcPr>
          <w:p w14:paraId="38B264B1" w14:textId="77777777" w:rsidR="00773902" w:rsidRPr="00E33CFC" w:rsidRDefault="00773902"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nil"/>
              <w:left w:val="single" w:sz="4" w:space="0" w:color="auto"/>
              <w:bottom w:val="nil"/>
              <w:right w:val="single" w:sz="4" w:space="0" w:color="auto"/>
            </w:tcBorders>
            <w:shd w:val="clear" w:color="auto" w:fill="auto"/>
            <w:vAlign w:val="center"/>
          </w:tcPr>
          <w:p w14:paraId="38B264B2" w14:textId="37EDF55B" w:rsidR="00773902" w:rsidRPr="00FE22E5" w:rsidRDefault="00773902" w:rsidP="00E33CFC">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B3" w14:textId="77777777" w:rsidR="00773902" w:rsidRPr="00FE22E5" w:rsidRDefault="00773902" w:rsidP="00921054">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„икономист“, който притежава опит в две дейности или услуги за изготвянето на икономически анализ</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B4" w14:textId="77777777" w:rsidR="00773902" w:rsidRPr="00FE22E5" w:rsidRDefault="00773902"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773902" w:rsidRPr="00FE22E5" w14:paraId="38B264BA" w14:textId="77777777" w:rsidTr="00E33CFC">
        <w:trPr>
          <w:trHeight w:val="20"/>
        </w:trPr>
        <w:tc>
          <w:tcPr>
            <w:tcW w:w="952" w:type="pct"/>
            <w:tcBorders>
              <w:top w:val="nil"/>
              <w:left w:val="single" w:sz="4" w:space="0" w:color="auto"/>
              <w:bottom w:val="single" w:sz="4" w:space="0" w:color="auto"/>
              <w:right w:val="single" w:sz="4" w:space="0" w:color="auto"/>
            </w:tcBorders>
          </w:tcPr>
          <w:p w14:paraId="38B264B6" w14:textId="77777777" w:rsidR="00773902" w:rsidRPr="00E33CFC" w:rsidRDefault="00773902"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nil"/>
              <w:left w:val="single" w:sz="4" w:space="0" w:color="auto"/>
              <w:bottom w:val="single" w:sz="4" w:space="0" w:color="auto"/>
              <w:right w:val="single" w:sz="4" w:space="0" w:color="auto"/>
            </w:tcBorders>
            <w:shd w:val="clear" w:color="auto" w:fill="auto"/>
            <w:vAlign w:val="center"/>
          </w:tcPr>
          <w:p w14:paraId="38B264B7" w14:textId="3D66E001" w:rsidR="00773902" w:rsidRPr="00FE22E5" w:rsidRDefault="00773902" w:rsidP="00E33CFC">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B8" w14:textId="77777777" w:rsidR="00773902" w:rsidRPr="00FE22E5" w:rsidRDefault="00773902" w:rsidP="00921054">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„икономист“, който притежава опит в три дейности или услуги за изготвянето на икономически анализ</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B9" w14:textId="77777777" w:rsidR="00773902" w:rsidRPr="00FE22E5" w:rsidRDefault="00773902"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773902" w:rsidRPr="00FE22E5" w14:paraId="38B264BF" w14:textId="77777777" w:rsidTr="00E33CFC">
        <w:trPr>
          <w:trHeight w:val="20"/>
        </w:trPr>
        <w:tc>
          <w:tcPr>
            <w:tcW w:w="952" w:type="pct"/>
            <w:tcBorders>
              <w:top w:val="single" w:sz="4" w:space="0" w:color="auto"/>
              <w:left w:val="single" w:sz="4" w:space="0" w:color="auto"/>
              <w:bottom w:val="nil"/>
              <w:right w:val="single" w:sz="4" w:space="0" w:color="auto"/>
            </w:tcBorders>
          </w:tcPr>
          <w:p w14:paraId="38B264BB" w14:textId="00BFF2E2" w:rsidR="00773902"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r w:rsidRPr="00E33CFC">
              <w:rPr>
                <w:rFonts w:ascii="Times New Roman" w:eastAsia="Calibri" w:hAnsi="Times New Roman" w:cs="Times New Roman"/>
                <w:b/>
                <w:color w:val="000000" w:themeColor="text1"/>
                <w:lang w:val="bg-BG"/>
              </w:rPr>
              <w:t>3. Експерт статистик</w:t>
            </w:r>
          </w:p>
        </w:tc>
        <w:tc>
          <w:tcPr>
            <w:tcW w:w="728" w:type="pct"/>
            <w:vMerge w:val="restart"/>
            <w:tcBorders>
              <w:top w:val="single" w:sz="4" w:space="0" w:color="auto"/>
              <w:left w:val="single" w:sz="4" w:space="0" w:color="auto"/>
              <w:right w:val="single" w:sz="4" w:space="0" w:color="auto"/>
            </w:tcBorders>
            <w:shd w:val="clear" w:color="auto" w:fill="auto"/>
          </w:tcPr>
          <w:p w14:paraId="38B264BC" w14:textId="6F43757C" w:rsidR="00773902" w:rsidRPr="00FE22E5" w:rsidRDefault="00773902" w:rsidP="00E33CFC">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К2.6.</w:t>
            </w:r>
            <w:r w:rsidRPr="00FE22E5">
              <w:rPr>
                <w:rFonts w:ascii="Times New Roman" w:eastAsia="Calibri" w:hAnsi="Times New Roman" w:cs="Times New Roman"/>
                <w:color w:val="000000" w:themeColor="text1"/>
                <w:lang w:val="bg-BG"/>
              </w:rPr>
              <w:t xml:space="preserve"> Оценка на професионалната компетентност на експерт № 2 „Експерт статистик“, в част: „Образование“.</w:t>
            </w:r>
          </w:p>
        </w:tc>
        <w:tc>
          <w:tcPr>
            <w:tcW w:w="2900" w:type="pct"/>
            <w:tcBorders>
              <w:top w:val="single" w:sz="4" w:space="0" w:color="000000"/>
              <w:left w:val="single" w:sz="4" w:space="0" w:color="000000"/>
              <w:bottom w:val="single" w:sz="4" w:space="0" w:color="000000"/>
            </w:tcBorders>
            <w:shd w:val="clear" w:color="auto" w:fill="auto"/>
          </w:tcPr>
          <w:p w14:paraId="38B264BD" w14:textId="77777777" w:rsidR="00773902" w:rsidRPr="00FE22E5" w:rsidRDefault="00773902"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статистик с висше образование по специалност „Статистика“ или еквивалент, образователно-квалификационна степен „бакалавър” в областта „Социални, стопански и правни науки”, „</w:t>
            </w:r>
            <w:r w:rsidRPr="00FE22E5">
              <w:rPr>
                <w:rFonts w:ascii="Times New Roman" w:hAnsi="Times New Roman" w:cs="Times New Roman"/>
                <w:color w:val="000000" w:themeColor="text1"/>
                <w:lang w:val="bg-BG"/>
              </w:rPr>
              <w:t>Природни науки, математика и информатика“</w:t>
            </w:r>
            <w:r w:rsidRPr="00FE22E5">
              <w:rPr>
                <w:rFonts w:ascii="Times New Roman" w:hAnsi="Times New Roman" w:cs="Times New Roman"/>
                <w:color w:val="000000" w:themeColor="text1"/>
                <w:lang w:val="bg-BG" w:eastAsia="zh-CN"/>
              </w:rPr>
              <w:t>,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BE" w14:textId="77777777" w:rsidR="00773902" w:rsidRPr="00FE22E5" w:rsidRDefault="00773902"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773902" w:rsidRPr="00FE22E5" w14:paraId="38B264C4" w14:textId="77777777" w:rsidTr="00773902">
        <w:trPr>
          <w:trHeight w:val="20"/>
        </w:trPr>
        <w:tc>
          <w:tcPr>
            <w:tcW w:w="952" w:type="pct"/>
            <w:tcBorders>
              <w:top w:val="nil"/>
              <w:left w:val="single" w:sz="4" w:space="0" w:color="auto"/>
              <w:bottom w:val="nil"/>
              <w:right w:val="single" w:sz="4" w:space="0" w:color="auto"/>
            </w:tcBorders>
          </w:tcPr>
          <w:p w14:paraId="38B264C0" w14:textId="77777777" w:rsidR="00773902" w:rsidRPr="00E33CFC" w:rsidRDefault="00773902"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right w:val="single" w:sz="4" w:space="0" w:color="auto"/>
            </w:tcBorders>
            <w:shd w:val="clear" w:color="auto" w:fill="auto"/>
            <w:vAlign w:val="center"/>
          </w:tcPr>
          <w:p w14:paraId="38B264C1" w14:textId="77777777" w:rsidR="00773902" w:rsidRPr="00FE22E5" w:rsidRDefault="00773902"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C2" w14:textId="77777777" w:rsidR="00773902" w:rsidRPr="00FE22E5" w:rsidRDefault="00773902"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статистик с висше образование</w:t>
            </w:r>
            <w:r>
              <w:rPr>
                <w:rFonts w:ascii="Times New Roman" w:hAnsi="Times New Roman" w:cs="Times New Roman"/>
                <w:color w:val="000000" w:themeColor="text1"/>
                <w:lang w:val="bg-BG" w:eastAsia="zh-CN"/>
              </w:rPr>
              <w:t xml:space="preserve"> </w:t>
            </w:r>
            <w:r w:rsidRPr="00AF445C">
              <w:rPr>
                <w:rFonts w:ascii="Times New Roman" w:hAnsi="Times New Roman" w:cs="Times New Roman"/>
                <w:color w:val="000000" w:themeColor="text1"/>
                <w:lang w:val="bg-BG" w:eastAsia="zh-CN"/>
              </w:rPr>
              <w:t>по специалност „Статистика“</w:t>
            </w:r>
            <w:r w:rsidRPr="00FE22E5">
              <w:rPr>
                <w:rFonts w:ascii="Times New Roman" w:hAnsi="Times New Roman" w:cs="Times New Roman"/>
                <w:color w:val="000000" w:themeColor="text1"/>
                <w:lang w:val="bg-BG" w:eastAsia="zh-CN"/>
              </w:rPr>
              <w:t>, образователно-квалификационна степен „магистър” в област</w:t>
            </w:r>
            <w:r>
              <w:rPr>
                <w:rFonts w:ascii="Times New Roman" w:hAnsi="Times New Roman" w:cs="Times New Roman"/>
                <w:color w:val="000000" w:themeColor="text1"/>
                <w:lang w:val="bg-BG" w:eastAsia="zh-CN"/>
              </w:rPr>
              <w:t>и</w:t>
            </w:r>
            <w:r w:rsidRPr="00FE22E5">
              <w:rPr>
                <w:rFonts w:ascii="Times New Roman" w:hAnsi="Times New Roman" w:cs="Times New Roman"/>
                <w:color w:val="000000" w:themeColor="text1"/>
                <w:lang w:val="bg-BG" w:eastAsia="zh-CN"/>
              </w:rPr>
              <w:t xml:space="preserve"> „Социални, стопански и правни науки”, „</w:t>
            </w:r>
            <w:r w:rsidRPr="00FE22E5">
              <w:rPr>
                <w:rFonts w:ascii="Times New Roman" w:hAnsi="Times New Roman" w:cs="Times New Roman"/>
                <w:color w:val="000000" w:themeColor="text1"/>
                <w:lang w:val="bg-BG"/>
              </w:rPr>
              <w:t>Природни науки, математика и информатика“</w:t>
            </w:r>
            <w:r w:rsidRPr="00FE22E5">
              <w:rPr>
                <w:rFonts w:ascii="Times New Roman" w:hAnsi="Times New Roman" w:cs="Times New Roman"/>
                <w:color w:val="000000" w:themeColor="text1"/>
                <w:lang w:val="bg-BG" w:eastAsia="zh-CN"/>
              </w:rPr>
              <w:t>,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по специалност „Статистика“ или еквивалент.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C3" w14:textId="77777777" w:rsidR="00773902" w:rsidRPr="00FE22E5" w:rsidRDefault="00773902"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E33CFC" w:rsidRPr="00FE22E5" w14:paraId="38B264C9" w14:textId="77777777" w:rsidTr="003235CD">
        <w:trPr>
          <w:trHeight w:val="20"/>
        </w:trPr>
        <w:tc>
          <w:tcPr>
            <w:tcW w:w="952" w:type="pct"/>
            <w:vMerge w:val="restart"/>
            <w:tcBorders>
              <w:top w:val="nil"/>
              <w:left w:val="single" w:sz="4" w:space="0" w:color="auto"/>
              <w:right w:val="single" w:sz="4" w:space="0" w:color="auto"/>
            </w:tcBorders>
          </w:tcPr>
          <w:p w14:paraId="38B264C5"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bottom w:val="single" w:sz="4" w:space="0" w:color="auto"/>
              <w:right w:val="single" w:sz="4" w:space="0" w:color="auto"/>
            </w:tcBorders>
            <w:shd w:val="clear" w:color="auto" w:fill="auto"/>
            <w:vAlign w:val="center"/>
          </w:tcPr>
          <w:p w14:paraId="38B264C6"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C7" w14:textId="77777777" w:rsidR="00E33CFC" w:rsidRPr="00FE22E5" w:rsidRDefault="00E33CFC"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статистик с образователна и научна степен „</w:t>
            </w:r>
            <w:r>
              <w:rPr>
                <w:rFonts w:ascii="Times New Roman" w:hAnsi="Times New Roman" w:cs="Times New Roman"/>
                <w:color w:val="000000" w:themeColor="text1"/>
                <w:lang w:val="bg-BG" w:eastAsia="zh-CN"/>
              </w:rPr>
              <w:t>доктор</w:t>
            </w:r>
            <w:r w:rsidRPr="00FE22E5">
              <w:rPr>
                <w:rFonts w:ascii="Times New Roman" w:hAnsi="Times New Roman" w:cs="Times New Roman"/>
                <w:color w:val="000000" w:themeColor="text1"/>
                <w:lang w:val="bg-BG" w:eastAsia="zh-CN"/>
              </w:rPr>
              <w:t xml:space="preserve">” </w:t>
            </w:r>
            <w:r w:rsidRPr="00AF445C">
              <w:rPr>
                <w:rFonts w:ascii="Times New Roman" w:hAnsi="Times New Roman" w:cs="Times New Roman"/>
                <w:color w:val="000000" w:themeColor="text1"/>
                <w:lang w:val="bg-BG" w:eastAsia="zh-CN"/>
              </w:rPr>
              <w:t>по специалност „Статистика“</w:t>
            </w:r>
            <w:r>
              <w:rPr>
                <w:rFonts w:ascii="Times New Roman" w:hAnsi="Times New Roman" w:cs="Times New Roman"/>
                <w:color w:val="000000" w:themeColor="text1"/>
                <w:lang w:val="bg-BG" w:eastAsia="zh-CN"/>
              </w:rPr>
              <w:t xml:space="preserve">, </w:t>
            </w:r>
            <w:r w:rsidRPr="00FE22E5">
              <w:rPr>
                <w:rFonts w:ascii="Times New Roman" w:hAnsi="Times New Roman" w:cs="Times New Roman"/>
                <w:color w:val="000000" w:themeColor="text1"/>
                <w:lang w:val="bg-BG" w:eastAsia="zh-CN"/>
              </w:rPr>
              <w:t>в областта „Социални, стопански и правни науки”, „</w:t>
            </w:r>
            <w:r w:rsidRPr="00FE22E5">
              <w:rPr>
                <w:rFonts w:ascii="Times New Roman" w:hAnsi="Times New Roman" w:cs="Times New Roman"/>
                <w:color w:val="000000" w:themeColor="text1"/>
                <w:lang w:val="bg-BG"/>
              </w:rPr>
              <w:t>Природни науки, математика и информатика“</w:t>
            </w:r>
            <w:r w:rsidRPr="00FE22E5">
              <w:rPr>
                <w:rFonts w:ascii="Times New Roman" w:hAnsi="Times New Roman" w:cs="Times New Roman"/>
                <w:color w:val="000000" w:themeColor="text1"/>
                <w:lang w:val="bg-BG" w:eastAsia="zh-CN"/>
              </w:rPr>
              <w:t>,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C8"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E33CFC" w:rsidRPr="00FE22E5" w14:paraId="38B264CE" w14:textId="77777777" w:rsidTr="00E33CFC">
        <w:trPr>
          <w:trHeight w:val="20"/>
        </w:trPr>
        <w:tc>
          <w:tcPr>
            <w:tcW w:w="952" w:type="pct"/>
            <w:vMerge/>
            <w:tcBorders>
              <w:left w:val="single" w:sz="4" w:space="0" w:color="auto"/>
              <w:right w:val="single" w:sz="4" w:space="0" w:color="auto"/>
            </w:tcBorders>
          </w:tcPr>
          <w:p w14:paraId="38B264CA"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val="restart"/>
            <w:tcBorders>
              <w:top w:val="single" w:sz="4" w:space="0" w:color="auto"/>
              <w:left w:val="single" w:sz="4" w:space="0" w:color="auto"/>
              <w:right w:val="single" w:sz="4" w:space="0" w:color="auto"/>
            </w:tcBorders>
            <w:shd w:val="clear" w:color="auto" w:fill="auto"/>
          </w:tcPr>
          <w:p w14:paraId="38B264CB"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К2.7.</w:t>
            </w:r>
            <w:r w:rsidRPr="00FE22E5">
              <w:rPr>
                <w:rFonts w:ascii="Times New Roman" w:eastAsia="Calibri" w:hAnsi="Times New Roman" w:cs="Times New Roman"/>
                <w:color w:val="000000" w:themeColor="text1"/>
                <w:lang w:val="bg-BG"/>
              </w:rPr>
              <w:t xml:space="preserve"> Оценка на професионален опит 2 на експерт № 1: „Експерт статистик“.</w:t>
            </w:r>
          </w:p>
        </w:tc>
        <w:tc>
          <w:tcPr>
            <w:tcW w:w="2900" w:type="pct"/>
            <w:tcBorders>
              <w:top w:val="single" w:sz="4" w:space="0" w:color="000000"/>
              <w:left w:val="single" w:sz="4" w:space="0" w:color="000000"/>
              <w:bottom w:val="single" w:sz="4" w:space="0" w:color="000000"/>
            </w:tcBorders>
            <w:shd w:val="clear" w:color="auto" w:fill="auto"/>
          </w:tcPr>
          <w:p w14:paraId="38B264CC" w14:textId="77777777" w:rsidR="00E33CFC" w:rsidRPr="00FE22E5" w:rsidRDefault="00E33CFC"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„статистик“, който притежава опит в изготвянето на един статистически анализ.</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CD"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E33CFC" w:rsidRPr="00FE22E5" w14:paraId="38B264D3" w14:textId="77777777" w:rsidTr="00CD372F">
        <w:trPr>
          <w:trHeight w:val="20"/>
        </w:trPr>
        <w:tc>
          <w:tcPr>
            <w:tcW w:w="952" w:type="pct"/>
            <w:vMerge/>
            <w:tcBorders>
              <w:left w:val="single" w:sz="4" w:space="0" w:color="auto"/>
              <w:bottom w:val="nil"/>
              <w:right w:val="single" w:sz="4" w:space="0" w:color="auto"/>
            </w:tcBorders>
          </w:tcPr>
          <w:p w14:paraId="38B264CF"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right w:val="single" w:sz="4" w:space="0" w:color="auto"/>
            </w:tcBorders>
            <w:shd w:val="clear" w:color="auto" w:fill="auto"/>
            <w:vAlign w:val="center"/>
          </w:tcPr>
          <w:p w14:paraId="38B264D0"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D1" w14:textId="77777777" w:rsidR="00E33CFC" w:rsidRPr="00FE22E5" w:rsidRDefault="00E33CFC" w:rsidP="00555C49">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„статистик“, който притежава опит в изготвянето на два статистически анализа.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D2"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E33CFC" w:rsidRPr="00FE22E5" w14:paraId="38B264D8" w14:textId="77777777" w:rsidTr="00CD372F">
        <w:trPr>
          <w:trHeight w:val="20"/>
        </w:trPr>
        <w:tc>
          <w:tcPr>
            <w:tcW w:w="952" w:type="pct"/>
            <w:tcBorders>
              <w:top w:val="nil"/>
              <w:left w:val="single" w:sz="4" w:space="0" w:color="auto"/>
              <w:bottom w:val="single" w:sz="4" w:space="0" w:color="auto"/>
              <w:right w:val="single" w:sz="4" w:space="0" w:color="auto"/>
            </w:tcBorders>
          </w:tcPr>
          <w:p w14:paraId="38B264D4"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bottom w:val="single" w:sz="4" w:space="0" w:color="auto"/>
              <w:right w:val="single" w:sz="4" w:space="0" w:color="auto"/>
            </w:tcBorders>
            <w:shd w:val="clear" w:color="auto" w:fill="auto"/>
            <w:vAlign w:val="center"/>
          </w:tcPr>
          <w:p w14:paraId="38B264D5"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D6" w14:textId="77777777" w:rsidR="00E33CFC" w:rsidRPr="00FE22E5" w:rsidRDefault="00E33CFC" w:rsidP="00555C49">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„статистик“, който притежава опит в изготвянето на три статистически анализа.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D7"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E33CFC" w:rsidRPr="00FE22E5" w14:paraId="38B264DD" w14:textId="77777777" w:rsidTr="00053260">
        <w:trPr>
          <w:trHeight w:val="20"/>
        </w:trPr>
        <w:tc>
          <w:tcPr>
            <w:tcW w:w="952" w:type="pct"/>
            <w:vMerge w:val="restart"/>
            <w:tcBorders>
              <w:top w:val="single" w:sz="4" w:space="0" w:color="auto"/>
              <w:left w:val="single" w:sz="4" w:space="0" w:color="auto"/>
              <w:right w:val="single" w:sz="4" w:space="0" w:color="auto"/>
            </w:tcBorders>
          </w:tcPr>
          <w:p w14:paraId="38B264D9" w14:textId="2BB5CF16"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r w:rsidRPr="00E33CFC">
              <w:rPr>
                <w:rFonts w:ascii="Times New Roman" w:eastAsia="Calibri" w:hAnsi="Times New Roman" w:cs="Times New Roman"/>
                <w:b/>
                <w:color w:val="000000" w:themeColor="text1"/>
                <w:lang w:val="bg-BG"/>
              </w:rPr>
              <w:lastRenderedPageBreak/>
              <w:t>4. Експерт - социолог</w:t>
            </w:r>
          </w:p>
        </w:tc>
        <w:tc>
          <w:tcPr>
            <w:tcW w:w="728" w:type="pct"/>
            <w:vMerge w:val="restart"/>
            <w:tcBorders>
              <w:top w:val="single" w:sz="4" w:space="0" w:color="auto"/>
              <w:left w:val="single" w:sz="4" w:space="0" w:color="auto"/>
              <w:right w:val="single" w:sz="4" w:space="0" w:color="auto"/>
            </w:tcBorders>
            <w:shd w:val="clear" w:color="auto" w:fill="auto"/>
            <w:vAlign w:val="center"/>
          </w:tcPr>
          <w:p w14:paraId="38B264DA"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К2.8</w:t>
            </w:r>
            <w:r w:rsidRPr="00FE22E5">
              <w:rPr>
                <w:rFonts w:ascii="Times New Roman" w:eastAsia="Calibri" w:hAnsi="Times New Roman" w:cs="Times New Roman"/>
                <w:color w:val="000000" w:themeColor="text1"/>
                <w:lang w:val="bg-BG"/>
              </w:rPr>
              <w:t xml:space="preserve"> Оценка на професионалната компетентност на експерт № 3 „Експерт - социолог“ в част „Образование“.</w:t>
            </w:r>
          </w:p>
        </w:tc>
        <w:tc>
          <w:tcPr>
            <w:tcW w:w="2900" w:type="pct"/>
            <w:tcBorders>
              <w:top w:val="single" w:sz="4" w:space="0" w:color="000000"/>
              <w:left w:val="single" w:sz="4" w:space="0" w:color="000000"/>
              <w:bottom w:val="single" w:sz="4" w:space="0" w:color="000000"/>
            </w:tcBorders>
            <w:shd w:val="clear" w:color="auto" w:fill="auto"/>
          </w:tcPr>
          <w:p w14:paraId="38B264DB" w14:textId="77777777" w:rsidR="00E33CFC" w:rsidRPr="00FE22E5" w:rsidRDefault="00E33CFC"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3 с висше образование, образователно-квалификационна степен „бакалавар” в област „Социални, стопански и правни науки”, по професионално направление: „</w:t>
            </w:r>
            <w:r w:rsidRPr="00FE22E5">
              <w:rPr>
                <w:rFonts w:ascii="Times New Roman" w:hAnsi="Times New Roman" w:cs="Times New Roman"/>
                <w:color w:val="000000" w:themeColor="text1"/>
                <w:lang w:val="bg-BG"/>
              </w:rPr>
              <w:t>Социология, антропология и науки за културата“</w:t>
            </w:r>
            <w:r w:rsidRPr="00FE22E5">
              <w:rPr>
                <w:rFonts w:ascii="Times New Roman" w:hAnsi="Times New Roman" w:cs="Times New Roman"/>
                <w:color w:val="000000" w:themeColor="text1"/>
                <w:lang w:val="bg-BG" w:eastAsia="zh-CN"/>
              </w:rPr>
              <w:t>,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DC"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E33CFC" w:rsidRPr="00FE22E5" w14:paraId="38B264E2" w14:textId="77777777" w:rsidTr="00053260">
        <w:trPr>
          <w:trHeight w:val="20"/>
        </w:trPr>
        <w:tc>
          <w:tcPr>
            <w:tcW w:w="952" w:type="pct"/>
            <w:vMerge/>
            <w:tcBorders>
              <w:left w:val="single" w:sz="4" w:space="0" w:color="auto"/>
              <w:right w:val="single" w:sz="4" w:space="0" w:color="auto"/>
            </w:tcBorders>
          </w:tcPr>
          <w:p w14:paraId="38B264DE"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right w:val="single" w:sz="4" w:space="0" w:color="auto"/>
            </w:tcBorders>
            <w:shd w:val="clear" w:color="auto" w:fill="auto"/>
            <w:vAlign w:val="center"/>
          </w:tcPr>
          <w:p w14:paraId="38B264DF"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E0" w14:textId="77777777" w:rsidR="00E33CFC" w:rsidRPr="00FE22E5" w:rsidRDefault="00E33CFC" w:rsidP="00555C49">
            <w:pPr>
              <w:spacing w:after="120"/>
              <w:ind w:firstLine="0"/>
              <w:rPr>
                <w:rFonts w:ascii="Times New Roman" w:eastAsia="Calibri"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3 с висше образование, образователно-квалификационна степен „магистър” в област „Социални, стопански и правни науки”, по професионално направление: „</w:t>
            </w:r>
            <w:r w:rsidRPr="00FE22E5">
              <w:rPr>
                <w:rFonts w:ascii="Times New Roman" w:hAnsi="Times New Roman" w:cs="Times New Roman"/>
                <w:color w:val="000000" w:themeColor="text1"/>
                <w:lang w:val="bg-BG"/>
              </w:rPr>
              <w:t>Социология, антропология и науки за културата“</w:t>
            </w:r>
            <w:r w:rsidRPr="00FE22E5">
              <w:rPr>
                <w:rFonts w:ascii="Times New Roman" w:hAnsi="Times New Roman" w:cs="Times New Roman"/>
                <w:color w:val="000000" w:themeColor="text1"/>
                <w:lang w:val="bg-BG" w:eastAsia="zh-CN"/>
              </w:rPr>
              <w:t>,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E1"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E33CFC" w:rsidRPr="00FE22E5" w14:paraId="38B264E7" w14:textId="77777777" w:rsidTr="00053260">
        <w:trPr>
          <w:trHeight w:val="20"/>
        </w:trPr>
        <w:tc>
          <w:tcPr>
            <w:tcW w:w="952" w:type="pct"/>
            <w:vMerge/>
            <w:tcBorders>
              <w:left w:val="single" w:sz="4" w:space="0" w:color="auto"/>
              <w:right w:val="single" w:sz="4" w:space="0" w:color="auto"/>
            </w:tcBorders>
          </w:tcPr>
          <w:p w14:paraId="38B264E3"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bottom w:val="single" w:sz="4" w:space="0" w:color="auto"/>
              <w:right w:val="single" w:sz="4" w:space="0" w:color="auto"/>
            </w:tcBorders>
            <w:shd w:val="clear" w:color="auto" w:fill="auto"/>
            <w:vAlign w:val="center"/>
          </w:tcPr>
          <w:p w14:paraId="38B264E4"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E5" w14:textId="77777777" w:rsidR="00E33CFC" w:rsidRPr="00FE22E5" w:rsidRDefault="00E33CFC"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3 с висше образование, образователн</w:t>
            </w:r>
            <w:r>
              <w:rPr>
                <w:rFonts w:ascii="Times New Roman" w:hAnsi="Times New Roman" w:cs="Times New Roman"/>
                <w:color w:val="000000" w:themeColor="text1"/>
                <w:lang w:val="bg-BG" w:eastAsia="zh-CN"/>
              </w:rPr>
              <w:t xml:space="preserve">а и научна </w:t>
            </w:r>
            <w:r w:rsidRPr="00FE22E5">
              <w:rPr>
                <w:rFonts w:ascii="Times New Roman" w:hAnsi="Times New Roman" w:cs="Times New Roman"/>
                <w:color w:val="000000" w:themeColor="text1"/>
                <w:lang w:val="bg-BG" w:eastAsia="zh-CN"/>
              </w:rPr>
              <w:t>степен „</w:t>
            </w:r>
            <w:r>
              <w:rPr>
                <w:rFonts w:ascii="Times New Roman" w:hAnsi="Times New Roman" w:cs="Times New Roman"/>
                <w:color w:val="000000" w:themeColor="text1"/>
                <w:lang w:val="bg-BG" w:eastAsia="zh-CN"/>
              </w:rPr>
              <w:t>доктор</w:t>
            </w:r>
            <w:r w:rsidRPr="00FE22E5">
              <w:rPr>
                <w:rFonts w:ascii="Times New Roman" w:hAnsi="Times New Roman" w:cs="Times New Roman"/>
                <w:color w:val="000000" w:themeColor="text1"/>
                <w:lang w:val="bg-BG" w:eastAsia="zh-CN"/>
              </w:rPr>
              <w:t>” в област „Социални, стопански и правни науки”, по професионално направление: „</w:t>
            </w:r>
            <w:r w:rsidRPr="00FE22E5">
              <w:rPr>
                <w:rFonts w:ascii="Times New Roman" w:hAnsi="Times New Roman" w:cs="Times New Roman"/>
                <w:color w:val="000000" w:themeColor="text1"/>
                <w:lang w:val="bg-BG"/>
              </w:rPr>
              <w:t>Социология, антропология и науки за културата“</w:t>
            </w:r>
            <w:r w:rsidRPr="00FE22E5">
              <w:rPr>
                <w:rFonts w:ascii="Times New Roman" w:hAnsi="Times New Roman" w:cs="Times New Roman"/>
                <w:color w:val="000000" w:themeColor="text1"/>
                <w:lang w:val="bg-BG" w:eastAsia="zh-CN"/>
              </w:rPr>
              <w:t>,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E6"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E33CFC" w:rsidRPr="00FE22E5" w14:paraId="38B264EC" w14:textId="77777777" w:rsidTr="00053260">
        <w:trPr>
          <w:trHeight w:val="20"/>
        </w:trPr>
        <w:tc>
          <w:tcPr>
            <w:tcW w:w="952" w:type="pct"/>
            <w:vMerge/>
            <w:tcBorders>
              <w:left w:val="single" w:sz="4" w:space="0" w:color="auto"/>
              <w:right w:val="single" w:sz="4" w:space="0" w:color="auto"/>
            </w:tcBorders>
          </w:tcPr>
          <w:p w14:paraId="38B264E8"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val="restart"/>
            <w:tcBorders>
              <w:top w:val="single" w:sz="4" w:space="0" w:color="auto"/>
              <w:left w:val="single" w:sz="4" w:space="0" w:color="auto"/>
              <w:right w:val="single" w:sz="4" w:space="0" w:color="auto"/>
            </w:tcBorders>
            <w:shd w:val="clear" w:color="auto" w:fill="auto"/>
            <w:vAlign w:val="center"/>
          </w:tcPr>
          <w:p w14:paraId="38B264E9"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К2.9</w:t>
            </w:r>
            <w:r w:rsidRPr="00555C49">
              <w:rPr>
                <w:b/>
                <w:color w:val="000000" w:themeColor="text1"/>
                <w:lang w:val="bg-BG"/>
              </w:rPr>
              <w:t xml:space="preserve"> </w:t>
            </w:r>
            <w:r w:rsidRPr="00FE22E5">
              <w:rPr>
                <w:rFonts w:ascii="Times New Roman" w:eastAsia="Calibri" w:hAnsi="Times New Roman" w:cs="Times New Roman"/>
                <w:color w:val="000000" w:themeColor="text1"/>
                <w:lang w:val="bg-BG"/>
              </w:rPr>
              <w:t>Оценка на професионален опит на експерт № 3: „Експерт социолог“.</w:t>
            </w:r>
          </w:p>
        </w:tc>
        <w:tc>
          <w:tcPr>
            <w:tcW w:w="2900" w:type="pct"/>
            <w:tcBorders>
              <w:top w:val="single" w:sz="4" w:space="0" w:color="000000"/>
              <w:left w:val="single" w:sz="4" w:space="0" w:color="000000"/>
              <w:bottom w:val="single" w:sz="4" w:space="0" w:color="000000"/>
            </w:tcBorders>
            <w:shd w:val="clear" w:color="auto" w:fill="auto"/>
          </w:tcPr>
          <w:p w14:paraId="38B264EA" w14:textId="77777777" w:rsidR="00E33CFC" w:rsidRPr="00FE22E5" w:rsidRDefault="00E33CFC" w:rsidP="00555C49">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 xml:space="preserve">Участникът предлага </w:t>
            </w:r>
            <w:r w:rsidRPr="00FE22E5">
              <w:rPr>
                <w:rFonts w:ascii="Times New Roman" w:eastAsia="Calibri" w:hAnsi="Times New Roman" w:cs="Times New Roman"/>
                <w:color w:val="000000" w:themeColor="text1"/>
                <w:lang w:val="bg-BG"/>
              </w:rPr>
              <w:t>„Експерт социолог</w:t>
            </w:r>
            <w:r>
              <w:rPr>
                <w:rFonts w:ascii="Times New Roman" w:eastAsia="Calibri" w:hAnsi="Times New Roman" w:cs="Times New Roman"/>
                <w:color w:val="000000" w:themeColor="text1"/>
                <w:lang w:val="bg-BG"/>
              </w:rPr>
              <w:t>“</w:t>
            </w:r>
            <w:r w:rsidRPr="00FE22E5">
              <w:rPr>
                <w:rFonts w:ascii="Times New Roman" w:hAnsi="Times New Roman" w:cs="Times New Roman"/>
                <w:color w:val="000000" w:themeColor="text1"/>
                <w:lang w:val="bg-BG" w:eastAsia="zh-CN"/>
              </w:rPr>
              <w:t>, който притежава опит в изготвянето на един социологически анализ.</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EB"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E33CFC" w:rsidRPr="00FE22E5" w14:paraId="38B264F1" w14:textId="77777777" w:rsidTr="00053260">
        <w:trPr>
          <w:trHeight w:val="20"/>
        </w:trPr>
        <w:tc>
          <w:tcPr>
            <w:tcW w:w="952" w:type="pct"/>
            <w:vMerge/>
            <w:tcBorders>
              <w:left w:val="single" w:sz="4" w:space="0" w:color="auto"/>
              <w:bottom w:val="nil"/>
              <w:right w:val="single" w:sz="4" w:space="0" w:color="auto"/>
            </w:tcBorders>
          </w:tcPr>
          <w:p w14:paraId="38B264ED"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right w:val="single" w:sz="4" w:space="0" w:color="auto"/>
            </w:tcBorders>
            <w:shd w:val="clear" w:color="auto" w:fill="auto"/>
            <w:vAlign w:val="center"/>
          </w:tcPr>
          <w:p w14:paraId="38B264EE"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EF" w14:textId="77777777" w:rsidR="00E33CFC" w:rsidRPr="00FE22E5" w:rsidRDefault="00E33CFC" w:rsidP="00555C49">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 xml:space="preserve">Участникът предлага </w:t>
            </w:r>
            <w:r w:rsidRPr="00FE22E5">
              <w:rPr>
                <w:rFonts w:ascii="Times New Roman" w:eastAsia="Calibri" w:hAnsi="Times New Roman" w:cs="Times New Roman"/>
                <w:color w:val="000000" w:themeColor="text1"/>
                <w:lang w:val="bg-BG"/>
              </w:rPr>
              <w:t>„Експерт социолог</w:t>
            </w:r>
            <w:r>
              <w:rPr>
                <w:rFonts w:ascii="Times New Roman" w:eastAsia="Calibri" w:hAnsi="Times New Roman" w:cs="Times New Roman"/>
                <w:color w:val="000000" w:themeColor="text1"/>
                <w:lang w:val="bg-BG"/>
              </w:rPr>
              <w:t>“</w:t>
            </w:r>
            <w:r w:rsidRPr="00FE22E5">
              <w:rPr>
                <w:rFonts w:ascii="Times New Roman" w:hAnsi="Times New Roman" w:cs="Times New Roman"/>
                <w:color w:val="000000" w:themeColor="text1"/>
                <w:lang w:val="bg-BG" w:eastAsia="zh-CN"/>
              </w:rPr>
              <w:t>, който притежава опит в изготвянето на два социологически анализа.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F0"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555C49" w:rsidRPr="00FE22E5" w14:paraId="38B264F6" w14:textId="77777777" w:rsidTr="00773902">
        <w:trPr>
          <w:trHeight w:val="20"/>
        </w:trPr>
        <w:tc>
          <w:tcPr>
            <w:tcW w:w="952" w:type="pct"/>
            <w:tcBorders>
              <w:top w:val="nil"/>
              <w:left w:val="single" w:sz="4" w:space="0" w:color="auto"/>
              <w:bottom w:val="single" w:sz="4" w:space="0" w:color="auto"/>
              <w:right w:val="single" w:sz="4" w:space="0" w:color="auto"/>
            </w:tcBorders>
          </w:tcPr>
          <w:p w14:paraId="38B264F2" w14:textId="77777777" w:rsidR="00555C49" w:rsidRPr="00E33CFC" w:rsidRDefault="00555C49"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bottom w:val="single" w:sz="4" w:space="0" w:color="auto"/>
              <w:right w:val="single" w:sz="4" w:space="0" w:color="auto"/>
            </w:tcBorders>
            <w:shd w:val="clear" w:color="auto" w:fill="auto"/>
            <w:vAlign w:val="center"/>
          </w:tcPr>
          <w:p w14:paraId="38B264F3"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F4" w14:textId="77777777" w:rsidR="00555C49" w:rsidRPr="00FE22E5" w:rsidRDefault="00555C49" w:rsidP="00555C49">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 xml:space="preserve">Участникът предлага </w:t>
            </w:r>
            <w:r>
              <w:rPr>
                <w:rFonts w:ascii="Times New Roman" w:hAnsi="Times New Roman" w:cs="Times New Roman"/>
                <w:color w:val="000000" w:themeColor="text1"/>
                <w:lang w:val="bg-BG" w:eastAsia="zh-CN"/>
              </w:rPr>
              <w:t>„Експерт социолог“</w:t>
            </w:r>
            <w:r w:rsidRPr="00FE22E5">
              <w:rPr>
                <w:rFonts w:ascii="Times New Roman" w:hAnsi="Times New Roman" w:cs="Times New Roman"/>
                <w:color w:val="000000" w:themeColor="text1"/>
                <w:lang w:val="bg-BG" w:eastAsia="zh-CN"/>
              </w:rPr>
              <w:t>, който притежава опит в изготвянето на три социологически анализа.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F5"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555C49" w:rsidRPr="00FE22E5" w14:paraId="38B264FB" w14:textId="77777777" w:rsidTr="00773902">
        <w:trPr>
          <w:trHeight w:val="20"/>
        </w:trPr>
        <w:tc>
          <w:tcPr>
            <w:tcW w:w="952" w:type="pct"/>
            <w:tcBorders>
              <w:top w:val="single" w:sz="4" w:space="0" w:color="auto"/>
              <w:left w:val="single" w:sz="4" w:space="0" w:color="auto"/>
              <w:bottom w:val="nil"/>
              <w:right w:val="single" w:sz="4" w:space="0" w:color="auto"/>
            </w:tcBorders>
          </w:tcPr>
          <w:p w14:paraId="38B264F7" w14:textId="646369A6" w:rsidR="00555C49"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r w:rsidRPr="00E33CFC">
              <w:rPr>
                <w:rFonts w:ascii="Times New Roman" w:eastAsia="Calibri" w:hAnsi="Times New Roman" w:cs="Times New Roman"/>
                <w:b/>
                <w:color w:val="000000" w:themeColor="text1"/>
                <w:lang w:val="bg-BG"/>
              </w:rPr>
              <w:t>5. Експерт в сферата на образователните политики</w:t>
            </w:r>
          </w:p>
        </w:tc>
        <w:tc>
          <w:tcPr>
            <w:tcW w:w="728" w:type="pct"/>
            <w:vMerge w:val="restart"/>
            <w:tcBorders>
              <w:top w:val="single" w:sz="4" w:space="0" w:color="auto"/>
              <w:left w:val="single" w:sz="4" w:space="0" w:color="auto"/>
              <w:right w:val="single" w:sz="4" w:space="0" w:color="auto"/>
            </w:tcBorders>
            <w:shd w:val="clear" w:color="auto" w:fill="auto"/>
            <w:vAlign w:val="center"/>
          </w:tcPr>
          <w:p w14:paraId="38B264F8"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К2.10.</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 xml:space="preserve">Оценка на професионалната компетентност на експерт № 4 „Експерт в </w:t>
            </w:r>
            <w:r w:rsidRPr="00FE22E5">
              <w:rPr>
                <w:rFonts w:ascii="Times New Roman" w:eastAsia="Calibri" w:hAnsi="Times New Roman" w:cs="Times New Roman"/>
                <w:color w:val="000000" w:themeColor="text1"/>
                <w:lang w:val="bg-BG"/>
              </w:rPr>
              <w:lastRenderedPageBreak/>
              <w:t xml:space="preserve">сферата на образователните политики“ </w:t>
            </w:r>
          </w:p>
        </w:tc>
        <w:tc>
          <w:tcPr>
            <w:tcW w:w="2900" w:type="pct"/>
            <w:tcBorders>
              <w:top w:val="single" w:sz="4" w:space="0" w:color="000000"/>
              <w:left w:val="single" w:sz="4" w:space="0" w:color="000000"/>
              <w:bottom w:val="single" w:sz="4" w:space="0" w:color="000000"/>
            </w:tcBorders>
            <w:shd w:val="clear" w:color="auto" w:fill="auto"/>
          </w:tcPr>
          <w:p w14:paraId="38B264F9" w14:textId="77777777" w:rsidR="00555C49" w:rsidRPr="00FE22E5" w:rsidRDefault="00555C49"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lastRenderedPageBreak/>
              <w:t xml:space="preserve">Участникът предлага експерт № 4 с висше образование, образователно-квалификационна степен „бакалавар” в област „Социални, стопански и правни науки”, „Хуманитарни науки“, „Педагогически науки“, съгласно Класификатор на областите на висше образование и професионалните направления, утвърден с ПМС № 125 от 2002 г. или еквивалентна </w:t>
            </w:r>
            <w:r w:rsidRPr="00FE22E5">
              <w:rPr>
                <w:rFonts w:ascii="Times New Roman" w:hAnsi="Times New Roman" w:cs="Times New Roman"/>
                <w:color w:val="000000" w:themeColor="text1"/>
                <w:lang w:val="bg-BG" w:eastAsia="zh-CN"/>
              </w:rPr>
              <w:lastRenderedPageBreak/>
              <w:t>образователна степен, придобита в чужбина, в области професионално направление, еквивалентно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4FA"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lastRenderedPageBreak/>
              <w:t>1 точка</w:t>
            </w:r>
          </w:p>
        </w:tc>
      </w:tr>
      <w:tr w:rsidR="00555C49" w:rsidRPr="00FE22E5" w14:paraId="38B26501" w14:textId="77777777" w:rsidTr="00773902">
        <w:trPr>
          <w:trHeight w:val="20"/>
        </w:trPr>
        <w:tc>
          <w:tcPr>
            <w:tcW w:w="952" w:type="pct"/>
            <w:tcBorders>
              <w:top w:val="nil"/>
              <w:left w:val="single" w:sz="4" w:space="0" w:color="auto"/>
              <w:bottom w:val="nil"/>
              <w:right w:val="single" w:sz="4" w:space="0" w:color="auto"/>
            </w:tcBorders>
          </w:tcPr>
          <w:p w14:paraId="38B264FC" w14:textId="77777777" w:rsidR="00555C49" w:rsidRPr="00E33CFC" w:rsidRDefault="00555C49"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right w:val="single" w:sz="4" w:space="0" w:color="auto"/>
            </w:tcBorders>
            <w:shd w:val="clear" w:color="auto" w:fill="auto"/>
            <w:vAlign w:val="center"/>
          </w:tcPr>
          <w:p w14:paraId="38B264FD"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4FE" w14:textId="77777777" w:rsidR="00555C49" w:rsidRPr="00FE22E5" w:rsidRDefault="00555C49"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4 с висше образование, образователно-квалификационна степен „магистър” в област „Социални, стопански и правни науки”, „Хуманитарни науки“, „Педагогически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p>
          <w:p w14:paraId="38B264FF" w14:textId="77777777" w:rsidR="00555C49" w:rsidRPr="00FE22E5" w:rsidRDefault="00555C49" w:rsidP="00555C49">
            <w:pPr>
              <w:spacing w:after="120"/>
              <w:ind w:left="884" w:firstLine="0"/>
              <w:jc w:val="left"/>
              <w:rPr>
                <w:rFonts w:ascii="Times New Roman" w:hAnsi="Times New Roman" w:cs="Times New Roman"/>
                <w:color w:val="000000" w:themeColor="text1"/>
                <w:lang w:val="bg-BG" w:eastAsia="zh-CN"/>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00"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E33CFC" w:rsidRPr="00FE22E5" w14:paraId="38B26506" w14:textId="77777777" w:rsidTr="00E75D63">
        <w:trPr>
          <w:trHeight w:val="20"/>
        </w:trPr>
        <w:tc>
          <w:tcPr>
            <w:tcW w:w="952" w:type="pct"/>
            <w:vMerge w:val="restart"/>
            <w:tcBorders>
              <w:top w:val="nil"/>
              <w:left w:val="single" w:sz="4" w:space="0" w:color="auto"/>
              <w:right w:val="single" w:sz="4" w:space="0" w:color="auto"/>
            </w:tcBorders>
          </w:tcPr>
          <w:p w14:paraId="38B26502"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vMerge/>
            <w:tcBorders>
              <w:left w:val="single" w:sz="4" w:space="0" w:color="auto"/>
              <w:bottom w:val="single" w:sz="4" w:space="0" w:color="auto"/>
              <w:right w:val="single" w:sz="4" w:space="0" w:color="auto"/>
            </w:tcBorders>
            <w:shd w:val="clear" w:color="auto" w:fill="auto"/>
            <w:vAlign w:val="center"/>
          </w:tcPr>
          <w:p w14:paraId="38B26503"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504" w14:textId="2B025209" w:rsidR="00E33CFC" w:rsidRPr="00FE22E5" w:rsidRDefault="00E33CFC" w:rsidP="009065FD">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 xml:space="preserve">Участникът предлага експерт № 4 с </w:t>
            </w:r>
            <w:r>
              <w:rPr>
                <w:rFonts w:ascii="Times New Roman" w:hAnsi="Times New Roman" w:cs="Times New Roman"/>
                <w:color w:val="000000" w:themeColor="text1"/>
                <w:lang w:val="bg-BG" w:eastAsia="zh-CN"/>
              </w:rPr>
              <w:t xml:space="preserve">висше образование, образователна и научна </w:t>
            </w:r>
            <w:r w:rsidRPr="00FE22E5">
              <w:rPr>
                <w:rFonts w:ascii="Times New Roman" w:hAnsi="Times New Roman" w:cs="Times New Roman"/>
                <w:color w:val="000000" w:themeColor="text1"/>
                <w:lang w:val="bg-BG" w:eastAsia="zh-CN"/>
              </w:rPr>
              <w:t>степен „</w:t>
            </w:r>
            <w:r>
              <w:rPr>
                <w:rFonts w:ascii="Times New Roman" w:hAnsi="Times New Roman" w:cs="Times New Roman"/>
                <w:color w:val="000000" w:themeColor="text1"/>
                <w:lang w:val="bg-BG" w:eastAsia="zh-CN"/>
              </w:rPr>
              <w:t>доктор</w:t>
            </w:r>
            <w:r w:rsidRPr="00FE22E5">
              <w:rPr>
                <w:rFonts w:ascii="Times New Roman" w:hAnsi="Times New Roman" w:cs="Times New Roman"/>
                <w:color w:val="000000" w:themeColor="text1"/>
                <w:lang w:val="bg-BG" w:eastAsia="zh-CN"/>
              </w:rPr>
              <w:t>” в област „Социални, стопански и правни науки”, „Хуманитарни науки“, „Педагогически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r>
              <w:rPr>
                <w:rFonts w:ascii="Times New Roman" w:hAnsi="Times New Roman" w:cs="Times New Roman"/>
                <w:color w:val="000000" w:themeColor="text1"/>
                <w:lang w:val="bg-BG" w:eastAsia="zh-CN"/>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05"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E33CFC" w:rsidRPr="00FE22E5" w14:paraId="38B2650B" w14:textId="77777777" w:rsidTr="00E75D63">
        <w:trPr>
          <w:trHeight w:val="20"/>
        </w:trPr>
        <w:tc>
          <w:tcPr>
            <w:tcW w:w="952" w:type="pct"/>
            <w:vMerge/>
            <w:tcBorders>
              <w:left w:val="single" w:sz="4" w:space="0" w:color="auto"/>
              <w:bottom w:val="nil"/>
              <w:right w:val="single" w:sz="4" w:space="0" w:color="auto"/>
            </w:tcBorders>
          </w:tcPr>
          <w:p w14:paraId="38B26507"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single" w:sz="4" w:space="0" w:color="auto"/>
              <w:left w:val="single" w:sz="4" w:space="0" w:color="auto"/>
              <w:bottom w:val="nil"/>
              <w:right w:val="single" w:sz="4" w:space="0" w:color="auto"/>
            </w:tcBorders>
            <w:shd w:val="clear" w:color="auto" w:fill="auto"/>
            <w:vAlign w:val="center"/>
          </w:tcPr>
          <w:p w14:paraId="38B26508"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К2.11</w:t>
            </w:r>
            <w:r w:rsidRPr="00FE22E5">
              <w:rPr>
                <w:rFonts w:ascii="Times New Roman" w:eastAsia="Calibri" w:hAnsi="Times New Roman" w:cs="Times New Roman"/>
                <w:color w:val="000000" w:themeColor="text1"/>
                <w:lang w:val="bg-BG"/>
              </w:rPr>
              <w:t>. Оценка на професионален опит 2 на експерт № 4 „Експерт в сферата на образователните политики“.</w:t>
            </w:r>
          </w:p>
        </w:tc>
        <w:tc>
          <w:tcPr>
            <w:tcW w:w="2900" w:type="pct"/>
            <w:tcBorders>
              <w:top w:val="single" w:sz="4" w:space="0" w:color="000000"/>
              <w:left w:val="single" w:sz="4" w:space="0" w:color="000000"/>
              <w:bottom w:val="single" w:sz="4" w:space="0" w:color="000000"/>
            </w:tcBorders>
            <w:shd w:val="clear" w:color="auto" w:fill="auto"/>
          </w:tcPr>
          <w:p w14:paraId="38B26509" w14:textId="1311DD58" w:rsidR="00E33CFC" w:rsidRPr="00FE22E5" w:rsidRDefault="00E33CFC" w:rsidP="009065FD">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в сферата на образователните политики, който притежава опит в един проект</w:t>
            </w:r>
            <w:r>
              <w:rPr>
                <w:rFonts w:ascii="Times New Roman" w:hAnsi="Times New Roman" w:cs="Times New Roman"/>
                <w:color w:val="000000" w:themeColor="text1"/>
                <w:lang w:val="bg-BG" w:eastAsia="zh-CN"/>
              </w:rPr>
              <w:t>, дейност или услуга</w:t>
            </w:r>
            <w:r w:rsidRPr="00FE22E5">
              <w:rPr>
                <w:rFonts w:ascii="Times New Roman" w:hAnsi="Times New Roman" w:cs="Times New Roman"/>
                <w:color w:val="000000" w:themeColor="text1"/>
                <w:lang w:val="bg-BG" w:eastAsia="zh-CN"/>
              </w:rPr>
              <w:t xml:space="preserve"> в сферата на анализа или прогнозирането на образованието вкл. и конкретен опит в планирането или анализа на политики, стратегии или програми в сферата на пазара на труда.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0A"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555C49" w:rsidRPr="00FE22E5" w14:paraId="38B26510" w14:textId="77777777" w:rsidTr="004820BC">
        <w:trPr>
          <w:trHeight w:val="20"/>
        </w:trPr>
        <w:tc>
          <w:tcPr>
            <w:tcW w:w="952" w:type="pct"/>
            <w:tcBorders>
              <w:top w:val="nil"/>
              <w:left w:val="single" w:sz="4" w:space="0" w:color="auto"/>
              <w:bottom w:val="nil"/>
              <w:right w:val="single" w:sz="4" w:space="0" w:color="auto"/>
            </w:tcBorders>
          </w:tcPr>
          <w:p w14:paraId="38B2650C" w14:textId="77777777" w:rsidR="00555C49" w:rsidRPr="00E33CFC" w:rsidRDefault="00555C49"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nil"/>
              <w:left w:val="single" w:sz="4" w:space="0" w:color="auto"/>
              <w:bottom w:val="nil"/>
              <w:right w:val="single" w:sz="4" w:space="0" w:color="auto"/>
            </w:tcBorders>
            <w:shd w:val="clear" w:color="auto" w:fill="auto"/>
            <w:vAlign w:val="center"/>
          </w:tcPr>
          <w:p w14:paraId="38B2650D"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50E" w14:textId="77777777" w:rsidR="00555C49" w:rsidRPr="00FE22E5" w:rsidRDefault="00555C49" w:rsidP="00921054">
            <w:pPr>
              <w:widowControl/>
              <w:autoSpaceDE/>
              <w:autoSpaceDN/>
              <w:adjustRightInd/>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в сферата на образователните политики, който притежава опит в два проекта</w:t>
            </w:r>
            <w:r>
              <w:rPr>
                <w:rFonts w:ascii="Times New Roman" w:hAnsi="Times New Roman" w:cs="Times New Roman"/>
                <w:color w:val="000000" w:themeColor="text1"/>
                <w:lang w:val="bg-BG" w:eastAsia="zh-CN"/>
              </w:rPr>
              <w:t xml:space="preserve"> или дейности или услуги </w:t>
            </w:r>
            <w:r w:rsidRPr="00FE22E5">
              <w:rPr>
                <w:rFonts w:ascii="Times New Roman" w:hAnsi="Times New Roman" w:cs="Times New Roman"/>
                <w:color w:val="000000" w:themeColor="text1"/>
                <w:lang w:val="bg-BG" w:eastAsia="zh-CN"/>
              </w:rPr>
              <w:t xml:space="preserve"> в сферата на анализа или прогнозирането на образованието вкл. и конкретен опит в планирането или анализа на политики, стратегии или програми в сферата на пазара на труда.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0F"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555C49" w:rsidRPr="00FE22E5" w14:paraId="38B26515" w14:textId="77777777" w:rsidTr="004820BC">
        <w:trPr>
          <w:trHeight w:val="20"/>
        </w:trPr>
        <w:tc>
          <w:tcPr>
            <w:tcW w:w="952" w:type="pct"/>
            <w:tcBorders>
              <w:top w:val="nil"/>
              <w:left w:val="single" w:sz="4" w:space="0" w:color="auto"/>
              <w:bottom w:val="single" w:sz="4" w:space="0" w:color="auto"/>
              <w:right w:val="single" w:sz="4" w:space="0" w:color="auto"/>
            </w:tcBorders>
          </w:tcPr>
          <w:p w14:paraId="38B26511" w14:textId="77777777" w:rsidR="00555C49" w:rsidRPr="00E33CFC" w:rsidRDefault="00555C49"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nil"/>
              <w:left w:val="single" w:sz="4" w:space="0" w:color="auto"/>
              <w:bottom w:val="single" w:sz="4" w:space="0" w:color="auto"/>
              <w:right w:val="single" w:sz="4" w:space="0" w:color="auto"/>
            </w:tcBorders>
            <w:shd w:val="clear" w:color="auto" w:fill="auto"/>
            <w:vAlign w:val="center"/>
          </w:tcPr>
          <w:p w14:paraId="38B26512"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513" w14:textId="77777777" w:rsidR="00555C49" w:rsidRPr="00FE22E5" w:rsidRDefault="00555C49" w:rsidP="00555C49">
            <w:pPr>
              <w:widowControl/>
              <w:autoSpaceDE/>
              <w:autoSpaceDN/>
              <w:adjustRightInd/>
              <w:spacing w:after="120"/>
              <w:ind w:firstLine="0"/>
              <w:jc w:val="left"/>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в сферата на образователните политики, който притежава опит в три проекта</w:t>
            </w:r>
            <w:r>
              <w:rPr>
                <w:rFonts w:ascii="Times New Roman" w:hAnsi="Times New Roman" w:cs="Times New Roman"/>
                <w:color w:val="000000" w:themeColor="text1"/>
                <w:lang w:val="bg-BG" w:eastAsia="zh-CN"/>
              </w:rPr>
              <w:t xml:space="preserve"> или дейности или услуги</w:t>
            </w:r>
            <w:r w:rsidRPr="00FE22E5">
              <w:rPr>
                <w:rFonts w:ascii="Times New Roman" w:hAnsi="Times New Roman" w:cs="Times New Roman"/>
                <w:color w:val="000000" w:themeColor="text1"/>
                <w:lang w:val="bg-BG" w:eastAsia="zh-CN"/>
              </w:rPr>
              <w:t xml:space="preserve"> в сферата на анализа или прогнозирането на образованието вкл. и конкретен опит в планирането </w:t>
            </w:r>
            <w:r w:rsidRPr="00FE22E5">
              <w:rPr>
                <w:rFonts w:ascii="Times New Roman" w:hAnsi="Times New Roman" w:cs="Times New Roman"/>
                <w:color w:val="000000" w:themeColor="text1"/>
                <w:lang w:val="bg-BG" w:eastAsia="zh-CN"/>
              </w:rPr>
              <w:lastRenderedPageBreak/>
              <w:t>или анализа на политики, стратегии или програми в сферата на пазара на труда.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14"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lastRenderedPageBreak/>
              <w:t>2</w:t>
            </w:r>
            <w:r w:rsidRPr="00FE22E5">
              <w:rPr>
                <w:rFonts w:ascii="Times New Roman" w:eastAsia="Calibri" w:hAnsi="Times New Roman" w:cs="Times New Roman"/>
                <w:b/>
                <w:color w:val="000000" w:themeColor="text1"/>
                <w:lang w:val="bg-BG"/>
              </w:rPr>
              <w:t xml:space="preserve"> точки</w:t>
            </w:r>
          </w:p>
        </w:tc>
      </w:tr>
      <w:tr w:rsidR="00555C49" w:rsidRPr="00FE22E5" w14:paraId="38B2651A" w14:textId="77777777" w:rsidTr="004820BC">
        <w:trPr>
          <w:trHeight w:val="20"/>
        </w:trPr>
        <w:tc>
          <w:tcPr>
            <w:tcW w:w="952" w:type="pct"/>
            <w:tcBorders>
              <w:top w:val="single" w:sz="4" w:space="0" w:color="auto"/>
              <w:left w:val="single" w:sz="4" w:space="0" w:color="auto"/>
              <w:bottom w:val="nil"/>
              <w:right w:val="single" w:sz="4" w:space="0" w:color="auto"/>
            </w:tcBorders>
          </w:tcPr>
          <w:p w14:paraId="38B26516" w14:textId="456D5024" w:rsidR="00555C49"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r w:rsidRPr="00E33CFC">
              <w:rPr>
                <w:rFonts w:ascii="Times New Roman" w:eastAsia="Calibri" w:hAnsi="Times New Roman" w:cs="Times New Roman"/>
                <w:b/>
                <w:color w:val="000000" w:themeColor="text1"/>
                <w:lang w:val="bg-BG"/>
              </w:rPr>
              <w:lastRenderedPageBreak/>
              <w:t>6. Експерт  в сферата на социалните политики и приобщаване</w:t>
            </w:r>
          </w:p>
        </w:tc>
        <w:tc>
          <w:tcPr>
            <w:tcW w:w="728" w:type="pct"/>
            <w:tcBorders>
              <w:top w:val="single" w:sz="4" w:space="0" w:color="auto"/>
              <w:left w:val="single" w:sz="4" w:space="0" w:color="auto"/>
              <w:bottom w:val="nil"/>
              <w:right w:val="single" w:sz="4" w:space="0" w:color="auto"/>
            </w:tcBorders>
            <w:shd w:val="clear" w:color="auto" w:fill="auto"/>
            <w:vAlign w:val="center"/>
          </w:tcPr>
          <w:p w14:paraId="38B26517"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К2.12.</w:t>
            </w:r>
            <w:r w:rsidRPr="00FE22E5">
              <w:rPr>
                <w:rFonts w:ascii="Times New Roman" w:eastAsia="Calibri" w:hAnsi="Times New Roman" w:cs="Times New Roman"/>
                <w:color w:val="000000" w:themeColor="text1"/>
                <w:lang w:val="bg-BG"/>
              </w:rPr>
              <w:t xml:space="preserve"> Оценка на професионалната компетентност на експерт № 5 „Експерт  в сферата на социалните политики и приобщаване“ </w:t>
            </w:r>
          </w:p>
        </w:tc>
        <w:tc>
          <w:tcPr>
            <w:tcW w:w="2900" w:type="pct"/>
            <w:tcBorders>
              <w:top w:val="single" w:sz="4" w:space="0" w:color="000000"/>
              <w:left w:val="single" w:sz="4" w:space="0" w:color="000000"/>
              <w:bottom w:val="single" w:sz="4" w:space="0" w:color="000000"/>
            </w:tcBorders>
            <w:shd w:val="clear" w:color="auto" w:fill="auto"/>
          </w:tcPr>
          <w:p w14:paraId="38B26518" w14:textId="77777777" w:rsidR="00555C49" w:rsidRPr="00FE22E5" w:rsidRDefault="00555C49"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5 с висше образование, образователно-квалификационна степен „бакалавар” в област „Социални, стопански и правни науки”, по професионално направление „Социални дейности“,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19"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555C49" w:rsidRPr="00FE22E5" w14:paraId="38B2651F" w14:textId="77777777" w:rsidTr="004820BC">
        <w:trPr>
          <w:trHeight w:val="20"/>
        </w:trPr>
        <w:tc>
          <w:tcPr>
            <w:tcW w:w="952" w:type="pct"/>
            <w:tcBorders>
              <w:top w:val="nil"/>
              <w:left w:val="single" w:sz="4" w:space="0" w:color="auto"/>
              <w:bottom w:val="nil"/>
              <w:right w:val="single" w:sz="4" w:space="0" w:color="auto"/>
            </w:tcBorders>
          </w:tcPr>
          <w:p w14:paraId="38B2651B" w14:textId="77777777" w:rsidR="00555C49" w:rsidRPr="00E33CFC" w:rsidRDefault="00555C49"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nil"/>
              <w:left w:val="single" w:sz="4" w:space="0" w:color="auto"/>
              <w:bottom w:val="nil"/>
              <w:right w:val="single" w:sz="4" w:space="0" w:color="auto"/>
            </w:tcBorders>
            <w:shd w:val="clear" w:color="auto" w:fill="auto"/>
            <w:vAlign w:val="center"/>
          </w:tcPr>
          <w:p w14:paraId="38B2651C"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51D" w14:textId="77777777" w:rsidR="00555C49" w:rsidRPr="00FE22E5" w:rsidRDefault="00555C49"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5 с висше образование, образователно-квалификационна степен „магистър” в област „Социални, стопански и правни науки”, по професионално направление „Социални дейности“,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1E"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E33CFC" w:rsidRPr="00FE22E5" w14:paraId="38B26524" w14:textId="77777777" w:rsidTr="008D0B60">
        <w:trPr>
          <w:trHeight w:val="20"/>
        </w:trPr>
        <w:tc>
          <w:tcPr>
            <w:tcW w:w="952" w:type="pct"/>
            <w:vMerge w:val="restart"/>
            <w:tcBorders>
              <w:top w:val="nil"/>
              <w:left w:val="single" w:sz="4" w:space="0" w:color="auto"/>
              <w:right w:val="single" w:sz="4" w:space="0" w:color="auto"/>
            </w:tcBorders>
          </w:tcPr>
          <w:p w14:paraId="38B26520"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nil"/>
              <w:left w:val="single" w:sz="4" w:space="0" w:color="auto"/>
              <w:bottom w:val="single" w:sz="4" w:space="0" w:color="auto"/>
              <w:right w:val="single" w:sz="4" w:space="0" w:color="auto"/>
            </w:tcBorders>
            <w:shd w:val="clear" w:color="auto" w:fill="auto"/>
            <w:vAlign w:val="center"/>
          </w:tcPr>
          <w:p w14:paraId="38B26521"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522" w14:textId="77777777" w:rsidR="00E33CFC" w:rsidRPr="00FE22E5" w:rsidRDefault="00E33CFC"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5 с висше образование, образователн</w:t>
            </w:r>
            <w:r>
              <w:rPr>
                <w:rFonts w:ascii="Times New Roman" w:hAnsi="Times New Roman" w:cs="Times New Roman"/>
                <w:color w:val="000000" w:themeColor="text1"/>
                <w:lang w:val="bg-BG" w:eastAsia="zh-CN"/>
              </w:rPr>
              <w:t>а и научна</w:t>
            </w:r>
            <w:r w:rsidRPr="00FE22E5">
              <w:rPr>
                <w:rFonts w:ascii="Times New Roman" w:hAnsi="Times New Roman" w:cs="Times New Roman"/>
                <w:color w:val="000000" w:themeColor="text1"/>
                <w:lang w:val="bg-BG" w:eastAsia="zh-CN"/>
              </w:rPr>
              <w:t xml:space="preserve"> степен „</w:t>
            </w:r>
            <w:r>
              <w:rPr>
                <w:rFonts w:ascii="Times New Roman" w:hAnsi="Times New Roman" w:cs="Times New Roman"/>
                <w:color w:val="000000" w:themeColor="text1"/>
                <w:lang w:val="bg-BG" w:eastAsia="zh-CN"/>
              </w:rPr>
              <w:t>доктор</w:t>
            </w:r>
            <w:r w:rsidRPr="00FE22E5">
              <w:rPr>
                <w:rFonts w:ascii="Times New Roman" w:hAnsi="Times New Roman" w:cs="Times New Roman"/>
                <w:color w:val="000000" w:themeColor="text1"/>
                <w:lang w:val="bg-BG" w:eastAsia="zh-CN"/>
              </w:rPr>
              <w:t>” в област „Социални, стопански и правни науки”, по професионално направление „Социални дейности“,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23"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E33CFC" w:rsidRPr="00FE22E5" w14:paraId="38B26529" w14:textId="77777777" w:rsidTr="008D0B60">
        <w:trPr>
          <w:trHeight w:val="20"/>
        </w:trPr>
        <w:tc>
          <w:tcPr>
            <w:tcW w:w="952" w:type="pct"/>
            <w:vMerge/>
            <w:tcBorders>
              <w:left w:val="single" w:sz="4" w:space="0" w:color="auto"/>
              <w:bottom w:val="nil"/>
              <w:right w:val="single" w:sz="4" w:space="0" w:color="auto"/>
            </w:tcBorders>
          </w:tcPr>
          <w:p w14:paraId="38B26525" w14:textId="77777777" w:rsidR="00E33CFC"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nil"/>
              <w:left w:val="single" w:sz="4" w:space="0" w:color="auto"/>
              <w:bottom w:val="nil"/>
              <w:right w:val="single" w:sz="4" w:space="0" w:color="auto"/>
            </w:tcBorders>
            <w:shd w:val="clear" w:color="auto" w:fill="auto"/>
            <w:vAlign w:val="center"/>
          </w:tcPr>
          <w:p w14:paraId="38B26526" w14:textId="77777777" w:rsidR="00E33CFC" w:rsidRPr="00FE22E5" w:rsidRDefault="00E33CFC"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К2.13</w:t>
            </w:r>
            <w:r w:rsidRPr="00FE22E5">
              <w:rPr>
                <w:color w:val="000000" w:themeColor="text1"/>
                <w:lang w:val="bg-BG"/>
              </w:rPr>
              <w:t xml:space="preserve"> </w:t>
            </w:r>
            <w:r>
              <w:rPr>
                <w:rFonts w:ascii="Times New Roman" w:eastAsia="Calibri" w:hAnsi="Times New Roman" w:cs="Times New Roman"/>
                <w:color w:val="000000" w:themeColor="text1"/>
                <w:lang w:val="bg-BG"/>
              </w:rPr>
              <w:t>Оценка на професионален опит</w:t>
            </w:r>
            <w:r w:rsidRPr="00FE22E5">
              <w:rPr>
                <w:rFonts w:ascii="Times New Roman" w:eastAsia="Calibri" w:hAnsi="Times New Roman" w:cs="Times New Roman"/>
                <w:color w:val="000000" w:themeColor="text1"/>
                <w:lang w:val="bg-BG"/>
              </w:rPr>
              <w:t xml:space="preserve"> на експерт №5 „Експерт  в сферата на социалните </w:t>
            </w:r>
            <w:r w:rsidRPr="00FE22E5">
              <w:rPr>
                <w:rFonts w:ascii="Times New Roman" w:eastAsia="Calibri" w:hAnsi="Times New Roman" w:cs="Times New Roman"/>
                <w:color w:val="000000" w:themeColor="text1"/>
                <w:lang w:val="bg-BG"/>
              </w:rPr>
              <w:lastRenderedPageBreak/>
              <w:t>политики и приобщаване “.</w:t>
            </w:r>
          </w:p>
        </w:tc>
        <w:tc>
          <w:tcPr>
            <w:tcW w:w="2900" w:type="pct"/>
            <w:tcBorders>
              <w:top w:val="single" w:sz="4" w:space="0" w:color="000000"/>
              <w:left w:val="single" w:sz="4" w:space="0" w:color="000000"/>
              <w:bottom w:val="single" w:sz="4" w:space="0" w:color="000000"/>
            </w:tcBorders>
            <w:shd w:val="clear" w:color="auto" w:fill="FFFFFF" w:themeFill="background1"/>
          </w:tcPr>
          <w:p w14:paraId="38B26527" w14:textId="7532B8F0" w:rsidR="00E33CFC" w:rsidRPr="00FE22E5" w:rsidRDefault="00E33CFC" w:rsidP="00555C49">
            <w:pPr>
              <w:spacing w:after="120"/>
              <w:ind w:firstLine="0"/>
              <w:rPr>
                <w:rFonts w:ascii="Times New Roman" w:hAnsi="Times New Roman" w:cs="Times New Roman"/>
                <w:b/>
                <w:color w:val="000000" w:themeColor="text1"/>
                <w:lang w:val="bg-BG" w:eastAsia="zh-CN"/>
              </w:rPr>
            </w:pPr>
            <w:r w:rsidRPr="00FE22E5">
              <w:rPr>
                <w:rFonts w:ascii="Times New Roman" w:hAnsi="Times New Roman" w:cs="Times New Roman"/>
                <w:color w:val="000000" w:themeColor="text1"/>
                <w:lang w:val="bg-BG" w:eastAsia="zh-CN"/>
              </w:rPr>
              <w:lastRenderedPageBreak/>
              <w:t xml:space="preserve">Участникът предлага експерт в сферата на социалните политики и приобщаване, който притежава опит в един проект </w:t>
            </w:r>
            <w:r>
              <w:rPr>
                <w:rFonts w:ascii="Times New Roman" w:hAnsi="Times New Roman" w:cs="Times New Roman"/>
                <w:color w:val="000000" w:themeColor="text1"/>
                <w:lang w:val="bg-BG" w:eastAsia="zh-CN"/>
              </w:rPr>
              <w:t xml:space="preserve">или дейност или услуга </w:t>
            </w:r>
            <w:r w:rsidRPr="00FE22E5">
              <w:rPr>
                <w:rFonts w:ascii="Times New Roman" w:hAnsi="Times New Roman" w:cs="Times New Roman"/>
                <w:color w:val="000000" w:themeColor="text1"/>
                <w:lang w:val="bg-BG" w:eastAsia="zh-CN"/>
              </w:rPr>
              <w:t>в сферата на анализа или прогнозирането в сферата на социалните дейности</w:t>
            </w:r>
            <w:r w:rsidR="009065FD">
              <w:rPr>
                <w:rFonts w:ascii="Times New Roman" w:hAnsi="Times New Roman" w:cs="Times New Roman"/>
                <w:color w:val="000000" w:themeColor="text1"/>
                <w:lang w:val="bg-BG" w:eastAsia="zh-CN"/>
              </w:rPr>
              <w:t>,</w:t>
            </w:r>
            <w:r w:rsidRPr="00FE22E5">
              <w:rPr>
                <w:rFonts w:ascii="Times New Roman" w:hAnsi="Times New Roman" w:cs="Times New Roman"/>
                <w:color w:val="000000" w:themeColor="text1"/>
                <w:lang w:val="bg-BG" w:eastAsia="zh-CN"/>
              </w:rPr>
              <w:t xml:space="preserve"> вкл. и конкретен опит в планирането или анализа на политики, стратегии или програми в сферата на социалните дейности;</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28" w14:textId="77777777" w:rsidR="00E33CFC" w:rsidRPr="00FE22E5" w:rsidRDefault="00E33CFC"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555C49" w:rsidRPr="00FE22E5" w14:paraId="38B2652E" w14:textId="77777777" w:rsidTr="004820BC">
        <w:trPr>
          <w:trHeight w:val="20"/>
        </w:trPr>
        <w:tc>
          <w:tcPr>
            <w:tcW w:w="952" w:type="pct"/>
            <w:tcBorders>
              <w:top w:val="nil"/>
              <w:left w:val="single" w:sz="4" w:space="0" w:color="auto"/>
              <w:bottom w:val="nil"/>
              <w:right w:val="single" w:sz="4" w:space="0" w:color="auto"/>
            </w:tcBorders>
          </w:tcPr>
          <w:p w14:paraId="38B2652A" w14:textId="77777777" w:rsidR="00555C49" w:rsidRPr="00E33CFC" w:rsidRDefault="00555C49"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nil"/>
              <w:left w:val="single" w:sz="4" w:space="0" w:color="auto"/>
              <w:bottom w:val="nil"/>
              <w:right w:val="single" w:sz="4" w:space="0" w:color="auto"/>
            </w:tcBorders>
            <w:shd w:val="clear" w:color="auto" w:fill="auto"/>
            <w:vAlign w:val="center"/>
          </w:tcPr>
          <w:p w14:paraId="38B2652B"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FFFFFF" w:themeFill="background1"/>
          </w:tcPr>
          <w:p w14:paraId="38B2652C" w14:textId="77777777" w:rsidR="00555C49" w:rsidRPr="00FE22E5" w:rsidRDefault="00555C49" w:rsidP="00555C49">
            <w:pPr>
              <w:spacing w:after="120"/>
              <w:ind w:firstLine="0"/>
              <w:rPr>
                <w:rFonts w:ascii="Times New Roman" w:hAnsi="Times New Roman" w:cs="Times New Roman"/>
                <w:b/>
                <w:color w:val="000000" w:themeColor="text1"/>
                <w:lang w:val="bg-BG" w:eastAsia="zh-CN"/>
              </w:rPr>
            </w:pPr>
            <w:r w:rsidRPr="00FE22E5">
              <w:rPr>
                <w:rFonts w:ascii="Times New Roman" w:hAnsi="Times New Roman" w:cs="Times New Roman"/>
                <w:color w:val="000000" w:themeColor="text1"/>
                <w:lang w:val="bg-BG" w:eastAsia="zh-CN"/>
              </w:rPr>
              <w:t xml:space="preserve">Участникът предлага експерт в сферата на социалните политики и приобщаване, който притежава опит в два проекта </w:t>
            </w:r>
            <w:r>
              <w:rPr>
                <w:rFonts w:ascii="Times New Roman" w:hAnsi="Times New Roman" w:cs="Times New Roman"/>
                <w:color w:val="000000" w:themeColor="text1"/>
                <w:lang w:val="bg-BG" w:eastAsia="zh-CN"/>
              </w:rPr>
              <w:t xml:space="preserve">или дейности или услуги </w:t>
            </w:r>
            <w:r w:rsidRPr="00FE22E5">
              <w:rPr>
                <w:rFonts w:ascii="Times New Roman" w:hAnsi="Times New Roman" w:cs="Times New Roman"/>
                <w:color w:val="000000" w:themeColor="text1"/>
                <w:lang w:val="bg-BG" w:eastAsia="zh-CN"/>
              </w:rPr>
              <w:t>в сферата на анализа или прогнозирането в сферата на социалните дейности вкл. и конкретен опит в планирането или анализа на политики, стратегии или програми в сферата на социалните дейности.</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2D"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555C49" w:rsidRPr="00FE22E5" w14:paraId="38B26533" w14:textId="77777777" w:rsidTr="004820BC">
        <w:trPr>
          <w:trHeight w:val="20"/>
        </w:trPr>
        <w:tc>
          <w:tcPr>
            <w:tcW w:w="952" w:type="pct"/>
            <w:tcBorders>
              <w:top w:val="nil"/>
              <w:left w:val="single" w:sz="4" w:space="0" w:color="auto"/>
              <w:bottom w:val="single" w:sz="4" w:space="0" w:color="auto"/>
              <w:right w:val="single" w:sz="4" w:space="0" w:color="auto"/>
            </w:tcBorders>
          </w:tcPr>
          <w:p w14:paraId="38B2652F" w14:textId="77777777" w:rsidR="00555C49" w:rsidRPr="00E33CFC" w:rsidRDefault="00555C49" w:rsidP="00555C49">
            <w:pPr>
              <w:widowControl/>
              <w:autoSpaceDE/>
              <w:autoSpaceDN/>
              <w:adjustRightInd/>
              <w:spacing w:after="120"/>
              <w:ind w:left="34" w:firstLine="0"/>
              <w:rPr>
                <w:rFonts w:ascii="Times New Roman" w:eastAsia="Calibri" w:hAnsi="Times New Roman" w:cs="Times New Roman"/>
                <w:b/>
                <w:color w:val="000000" w:themeColor="text1"/>
                <w:lang w:val="bg-BG"/>
              </w:rPr>
            </w:pPr>
          </w:p>
        </w:tc>
        <w:tc>
          <w:tcPr>
            <w:tcW w:w="728" w:type="pct"/>
            <w:tcBorders>
              <w:top w:val="nil"/>
              <w:left w:val="single" w:sz="4" w:space="0" w:color="auto"/>
              <w:bottom w:val="single" w:sz="4" w:space="0" w:color="auto"/>
              <w:right w:val="single" w:sz="4" w:space="0" w:color="auto"/>
            </w:tcBorders>
            <w:shd w:val="clear" w:color="auto" w:fill="auto"/>
            <w:vAlign w:val="center"/>
          </w:tcPr>
          <w:p w14:paraId="38B26530"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FFFFFF" w:themeFill="background1"/>
          </w:tcPr>
          <w:p w14:paraId="38B26531" w14:textId="77777777" w:rsidR="00555C49" w:rsidRPr="00FE22E5" w:rsidRDefault="00555C49" w:rsidP="00555C49">
            <w:pPr>
              <w:spacing w:after="120"/>
              <w:ind w:firstLine="0"/>
              <w:rPr>
                <w:rFonts w:ascii="Times New Roman" w:hAnsi="Times New Roman" w:cs="Times New Roman"/>
                <w:b/>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в сферата на социалните политики и приобщаване, който притежава опит в три проекта</w:t>
            </w:r>
            <w:r>
              <w:rPr>
                <w:rFonts w:ascii="Times New Roman" w:hAnsi="Times New Roman" w:cs="Times New Roman"/>
                <w:color w:val="000000" w:themeColor="text1"/>
                <w:lang w:val="bg-BG" w:eastAsia="zh-CN"/>
              </w:rPr>
              <w:t xml:space="preserve"> или дейности или услуги</w:t>
            </w:r>
            <w:r w:rsidRPr="00FE22E5">
              <w:rPr>
                <w:rFonts w:ascii="Times New Roman" w:hAnsi="Times New Roman" w:cs="Times New Roman"/>
                <w:color w:val="000000" w:themeColor="text1"/>
                <w:lang w:val="bg-BG" w:eastAsia="zh-CN"/>
              </w:rPr>
              <w:t xml:space="preserve"> в сферата на анализа или прогнозирането в сферата на социалните дейности вкл. и конкретен опит в планирането или анализа на политики, стратегии или програми в сферата на социалните дейности.</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32"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r w:rsidR="00555C49" w:rsidRPr="00FE22E5" w14:paraId="38B26538" w14:textId="77777777" w:rsidTr="004820BC">
        <w:trPr>
          <w:trHeight w:val="20"/>
        </w:trPr>
        <w:tc>
          <w:tcPr>
            <w:tcW w:w="952" w:type="pct"/>
            <w:tcBorders>
              <w:top w:val="single" w:sz="4" w:space="0" w:color="auto"/>
              <w:left w:val="single" w:sz="4" w:space="0" w:color="auto"/>
              <w:bottom w:val="nil"/>
              <w:right w:val="single" w:sz="4" w:space="0" w:color="auto"/>
            </w:tcBorders>
          </w:tcPr>
          <w:p w14:paraId="38B26534" w14:textId="2C56A772" w:rsidR="00555C49" w:rsidRPr="00E33CFC" w:rsidRDefault="00E33CFC" w:rsidP="00555C49">
            <w:pPr>
              <w:widowControl/>
              <w:autoSpaceDE/>
              <w:autoSpaceDN/>
              <w:adjustRightInd/>
              <w:spacing w:after="120"/>
              <w:ind w:left="34" w:firstLine="0"/>
              <w:rPr>
                <w:rFonts w:ascii="Times New Roman" w:eastAsia="Calibri" w:hAnsi="Times New Roman" w:cs="Times New Roman"/>
                <w:b/>
                <w:color w:val="000000" w:themeColor="text1"/>
                <w:lang w:val="bg-BG"/>
              </w:rPr>
            </w:pPr>
            <w:r w:rsidRPr="00E33CFC">
              <w:rPr>
                <w:rFonts w:ascii="Times New Roman" w:eastAsia="Calibri" w:hAnsi="Times New Roman" w:cs="Times New Roman"/>
                <w:b/>
                <w:color w:val="000000" w:themeColor="text1"/>
                <w:lang w:val="bg-BG"/>
              </w:rPr>
              <w:t>7. Експерт  в сферата на науката</w:t>
            </w:r>
          </w:p>
        </w:tc>
        <w:tc>
          <w:tcPr>
            <w:tcW w:w="728" w:type="pct"/>
            <w:tcBorders>
              <w:top w:val="single" w:sz="4" w:space="0" w:color="auto"/>
              <w:left w:val="single" w:sz="4" w:space="0" w:color="auto"/>
              <w:bottom w:val="nil"/>
              <w:right w:val="single" w:sz="4" w:space="0" w:color="auto"/>
            </w:tcBorders>
            <w:shd w:val="clear" w:color="auto" w:fill="auto"/>
            <w:vAlign w:val="center"/>
          </w:tcPr>
          <w:p w14:paraId="38B26535"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К2.14.</w:t>
            </w:r>
            <w:r w:rsidRPr="00FE22E5">
              <w:rPr>
                <w:color w:val="000000" w:themeColor="text1"/>
                <w:lang w:val="bg-BG"/>
              </w:rPr>
              <w:t xml:space="preserve"> </w:t>
            </w:r>
            <w:r w:rsidRPr="00FE22E5">
              <w:rPr>
                <w:rFonts w:ascii="Times New Roman" w:eastAsia="Calibri" w:hAnsi="Times New Roman" w:cs="Times New Roman"/>
                <w:color w:val="000000" w:themeColor="text1"/>
                <w:lang w:val="bg-BG"/>
              </w:rPr>
              <w:t>Оценка на професионалната компетентност на експерт № 5 „Експерт  в сферата на науката“</w:t>
            </w:r>
          </w:p>
        </w:tc>
        <w:tc>
          <w:tcPr>
            <w:tcW w:w="2900" w:type="pct"/>
            <w:tcBorders>
              <w:top w:val="single" w:sz="4" w:space="0" w:color="000000"/>
              <w:left w:val="single" w:sz="4" w:space="0" w:color="000000"/>
              <w:bottom w:val="single" w:sz="4" w:space="0" w:color="000000"/>
            </w:tcBorders>
            <w:shd w:val="clear" w:color="auto" w:fill="auto"/>
          </w:tcPr>
          <w:p w14:paraId="38B26536" w14:textId="77777777" w:rsidR="00555C49" w:rsidRPr="00FE22E5" w:rsidRDefault="00555C49"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6 с висше образование, образователно-квалификационна степен „бакалавар” в област „Социални, стопански и правни науки”, „Хуманитарни науки“, „Педагогически науки“, „Здравеопазване и спорт“,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37"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555C49" w:rsidRPr="00FE22E5" w14:paraId="38B2653D" w14:textId="77777777" w:rsidTr="004820BC">
        <w:trPr>
          <w:trHeight w:val="20"/>
        </w:trPr>
        <w:tc>
          <w:tcPr>
            <w:tcW w:w="952" w:type="pct"/>
            <w:tcBorders>
              <w:top w:val="nil"/>
              <w:left w:val="single" w:sz="4" w:space="0" w:color="auto"/>
              <w:bottom w:val="nil"/>
              <w:right w:val="single" w:sz="4" w:space="0" w:color="auto"/>
            </w:tcBorders>
          </w:tcPr>
          <w:p w14:paraId="38B26539"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728" w:type="pct"/>
            <w:tcBorders>
              <w:top w:val="nil"/>
              <w:left w:val="single" w:sz="4" w:space="0" w:color="auto"/>
              <w:bottom w:val="nil"/>
              <w:right w:val="single" w:sz="4" w:space="0" w:color="auto"/>
            </w:tcBorders>
            <w:shd w:val="clear" w:color="auto" w:fill="auto"/>
            <w:vAlign w:val="center"/>
          </w:tcPr>
          <w:p w14:paraId="38B2653A"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53B" w14:textId="77777777" w:rsidR="00555C49" w:rsidRPr="00FE22E5" w:rsidRDefault="00555C49"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6 с висше образование, образователно-квалификационна степен „магистър” в област „Социални, стопански и правни науки”, „Хуманитарни науки“, „Педагогически науки“, „Здравеопазване и спорт“,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професионално направление, еквивалентно на посочените.</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3C"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555C49" w:rsidRPr="00FE22E5" w14:paraId="38B26542" w14:textId="77777777" w:rsidTr="004820BC">
        <w:trPr>
          <w:trHeight w:val="20"/>
        </w:trPr>
        <w:tc>
          <w:tcPr>
            <w:tcW w:w="952" w:type="pct"/>
            <w:tcBorders>
              <w:top w:val="nil"/>
              <w:left w:val="single" w:sz="4" w:space="0" w:color="auto"/>
              <w:bottom w:val="single" w:sz="4" w:space="0" w:color="auto"/>
              <w:right w:val="single" w:sz="4" w:space="0" w:color="auto"/>
            </w:tcBorders>
          </w:tcPr>
          <w:p w14:paraId="38B2653E"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728" w:type="pct"/>
            <w:tcBorders>
              <w:top w:val="nil"/>
              <w:left w:val="single" w:sz="4" w:space="0" w:color="auto"/>
              <w:bottom w:val="single" w:sz="4" w:space="0" w:color="auto"/>
              <w:right w:val="single" w:sz="4" w:space="0" w:color="auto"/>
            </w:tcBorders>
            <w:shd w:val="clear" w:color="auto" w:fill="auto"/>
            <w:vAlign w:val="center"/>
          </w:tcPr>
          <w:p w14:paraId="38B2653F"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000000"/>
              <w:bottom w:val="single" w:sz="4" w:space="0" w:color="000000"/>
            </w:tcBorders>
            <w:shd w:val="clear" w:color="auto" w:fill="auto"/>
          </w:tcPr>
          <w:p w14:paraId="38B26540" w14:textId="77777777" w:rsidR="00555C49" w:rsidRPr="00FE22E5" w:rsidRDefault="00555C49" w:rsidP="00555C49">
            <w:pPr>
              <w:spacing w:after="120"/>
              <w:ind w:firstLine="0"/>
              <w:rPr>
                <w:rFonts w:ascii="Times New Roman" w:hAnsi="Times New Roman" w:cs="Times New Roman"/>
                <w:color w:val="000000" w:themeColor="text1"/>
                <w:lang w:val="bg-BG" w:eastAsia="zh-CN"/>
              </w:rPr>
            </w:pPr>
            <w:r w:rsidRPr="00FE22E5">
              <w:rPr>
                <w:rFonts w:ascii="Times New Roman" w:hAnsi="Times New Roman" w:cs="Times New Roman"/>
                <w:color w:val="000000" w:themeColor="text1"/>
                <w:lang w:val="bg-BG" w:eastAsia="zh-CN"/>
              </w:rPr>
              <w:t>Участникът предлага експерт № 6 с висше образование, образователн</w:t>
            </w:r>
            <w:r>
              <w:rPr>
                <w:rFonts w:ascii="Times New Roman" w:hAnsi="Times New Roman" w:cs="Times New Roman"/>
                <w:color w:val="000000" w:themeColor="text1"/>
                <w:lang w:val="bg-BG" w:eastAsia="zh-CN"/>
              </w:rPr>
              <w:t xml:space="preserve">а и научна </w:t>
            </w:r>
            <w:r w:rsidRPr="00FE22E5">
              <w:rPr>
                <w:rFonts w:ascii="Times New Roman" w:hAnsi="Times New Roman" w:cs="Times New Roman"/>
                <w:color w:val="000000" w:themeColor="text1"/>
                <w:lang w:val="bg-BG" w:eastAsia="zh-CN"/>
              </w:rPr>
              <w:t xml:space="preserve">степен „магистър” в област „Социални, стопански и правни науки”, „Хуманитарни науки“, „Педагогически науки“, „Здравеопазване и спорт“,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w:t>
            </w:r>
            <w:r w:rsidRPr="00FE22E5">
              <w:rPr>
                <w:rFonts w:ascii="Times New Roman" w:hAnsi="Times New Roman" w:cs="Times New Roman"/>
                <w:color w:val="000000" w:themeColor="text1"/>
                <w:lang w:val="bg-BG" w:eastAsia="zh-CN"/>
              </w:rPr>
              <w:lastRenderedPageBreak/>
              <w:t>професионално направление, еквивалентно на посочените и образователно научна степен „доктор“.</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41"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lastRenderedPageBreak/>
              <w:t>2</w:t>
            </w:r>
            <w:r w:rsidRPr="00FE22E5">
              <w:rPr>
                <w:rFonts w:ascii="Times New Roman" w:eastAsia="Calibri" w:hAnsi="Times New Roman" w:cs="Times New Roman"/>
                <w:b/>
                <w:color w:val="000000" w:themeColor="text1"/>
                <w:lang w:val="bg-BG"/>
              </w:rPr>
              <w:t xml:space="preserve"> точки</w:t>
            </w:r>
          </w:p>
        </w:tc>
      </w:tr>
      <w:tr w:rsidR="00555C49" w:rsidRPr="00FE22E5" w14:paraId="38B26547" w14:textId="77777777" w:rsidTr="004820BC">
        <w:trPr>
          <w:trHeight w:val="20"/>
        </w:trPr>
        <w:tc>
          <w:tcPr>
            <w:tcW w:w="952" w:type="pct"/>
            <w:tcBorders>
              <w:top w:val="single" w:sz="4" w:space="0" w:color="auto"/>
              <w:left w:val="single" w:sz="4" w:space="0" w:color="auto"/>
              <w:bottom w:val="nil"/>
              <w:right w:val="single" w:sz="4" w:space="0" w:color="auto"/>
            </w:tcBorders>
          </w:tcPr>
          <w:p w14:paraId="38B26543"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728" w:type="pct"/>
            <w:tcBorders>
              <w:top w:val="single" w:sz="4" w:space="0" w:color="auto"/>
              <w:left w:val="single" w:sz="4" w:space="0" w:color="auto"/>
              <w:bottom w:val="nil"/>
              <w:right w:val="single" w:sz="4" w:space="0" w:color="auto"/>
            </w:tcBorders>
            <w:shd w:val="clear" w:color="auto" w:fill="auto"/>
            <w:vAlign w:val="center"/>
          </w:tcPr>
          <w:p w14:paraId="38B26544"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r w:rsidRPr="00555C49">
              <w:rPr>
                <w:rFonts w:ascii="Times New Roman" w:eastAsia="Calibri" w:hAnsi="Times New Roman" w:cs="Times New Roman"/>
                <w:b/>
                <w:color w:val="000000" w:themeColor="text1"/>
                <w:lang w:val="bg-BG"/>
              </w:rPr>
              <w:t>К2.15.</w:t>
            </w:r>
            <w:r w:rsidRPr="00FE22E5">
              <w:rPr>
                <w:rFonts w:ascii="Times New Roman" w:eastAsia="Calibri" w:hAnsi="Times New Roman" w:cs="Times New Roman"/>
                <w:color w:val="000000" w:themeColor="text1"/>
                <w:lang w:val="bg-BG"/>
              </w:rPr>
              <w:t xml:space="preserve"> Оценка на професион</w:t>
            </w:r>
            <w:r>
              <w:rPr>
                <w:rFonts w:ascii="Times New Roman" w:eastAsia="Calibri" w:hAnsi="Times New Roman" w:cs="Times New Roman"/>
                <w:color w:val="000000" w:themeColor="text1"/>
                <w:lang w:val="bg-BG"/>
              </w:rPr>
              <w:t>ален опит</w:t>
            </w:r>
            <w:r w:rsidRPr="00FE22E5">
              <w:rPr>
                <w:rFonts w:ascii="Times New Roman" w:eastAsia="Calibri" w:hAnsi="Times New Roman" w:cs="Times New Roman"/>
                <w:color w:val="000000" w:themeColor="text1"/>
                <w:lang w:val="bg-BG"/>
              </w:rPr>
              <w:t xml:space="preserve"> на експерт № 5 „Експерт  в сферата на науката“</w:t>
            </w:r>
          </w:p>
        </w:tc>
        <w:tc>
          <w:tcPr>
            <w:tcW w:w="2900" w:type="pct"/>
            <w:tcBorders>
              <w:top w:val="single" w:sz="4" w:space="0" w:color="000000"/>
              <w:left w:val="single" w:sz="4" w:space="0" w:color="auto"/>
              <w:bottom w:val="single" w:sz="4" w:space="0" w:color="000000"/>
            </w:tcBorders>
            <w:shd w:val="clear" w:color="auto" w:fill="auto"/>
          </w:tcPr>
          <w:p w14:paraId="38B26545" w14:textId="77777777" w:rsidR="00555C49" w:rsidRPr="00FE22E5" w:rsidRDefault="00555C49" w:rsidP="00555C49">
            <w:pPr>
              <w:widowControl/>
              <w:autoSpaceDE/>
              <w:autoSpaceDN/>
              <w:adjustRightInd/>
              <w:spacing w:after="120"/>
              <w:ind w:firstLine="0"/>
              <w:rPr>
                <w:rFonts w:ascii="Times New Roman" w:hAnsi="Times New Roman" w:cs="Times New Roman"/>
                <w:color w:val="000000" w:themeColor="text1"/>
                <w:highlight w:val="yellow"/>
                <w:lang w:val="bg-BG" w:eastAsia="zh-CN"/>
              </w:rPr>
            </w:pPr>
            <w:r w:rsidRPr="00FE22E5">
              <w:rPr>
                <w:rFonts w:ascii="Times New Roman" w:hAnsi="Times New Roman" w:cs="Times New Roman"/>
                <w:color w:val="000000" w:themeColor="text1"/>
                <w:lang w:val="bg-BG" w:eastAsia="zh-CN"/>
              </w:rPr>
              <w:t xml:space="preserve">Участникът предлага експерт в сферата на науката, който притежава опит в един проект </w:t>
            </w:r>
            <w:r>
              <w:rPr>
                <w:rFonts w:ascii="Times New Roman" w:hAnsi="Times New Roman" w:cs="Times New Roman"/>
                <w:color w:val="000000" w:themeColor="text1"/>
                <w:lang w:val="bg-BG" w:eastAsia="zh-CN"/>
              </w:rPr>
              <w:t xml:space="preserve">или дейност или услуга </w:t>
            </w:r>
            <w:r w:rsidRPr="00FE22E5">
              <w:rPr>
                <w:rFonts w:ascii="Times New Roman" w:hAnsi="Times New Roman" w:cs="Times New Roman"/>
                <w:color w:val="000000" w:themeColor="text1"/>
                <w:lang w:val="bg-BG" w:eastAsia="zh-CN"/>
              </w:rPr>
              <w:t>в сферата на анализа или прогнозирането</w:t>
            </w:r>
            <w:r>
              <w:rPr>
                <w:rFonts w:ascii="Times New Roman" w:hAnsi="Times New Roman" w:cs="Times New Roman"/>
                <w:color w:val="000000" w:themeColor="text1"/>
                <w:lang w:val="bg-BG" w:eastAsia="zh-CN"/>
              </w:rPr>
              <w:t xml:space="preserve"> </w:t>
            </w:r>
            <w:r w:rsidRPr="00FE22E5">
              <w:rPr>
                <w:rFonts w:ascii="Times New Roman" w:hAnsi="Times New Roman" w:cs="Times New Roman"/>
                <w:color w:val="000000" w:themeColor="text1"/>
                <w:lang w:val="bg-BG" w:eastAsia="zh-CN"/>
              </w:rPr>
              <w:t>на развитието в науката и научните изследвания, вкл. и конкретен опит в планирането или анализа на политики, стратегии или програми в сферата на науката и научно иновационните изследвания.</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46"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sidRPr="00FE22E5">
              <w:rPr>
                <w:rFonts w:ascii="Times New Roman" w:eastAsia="Calibri" w:hAnsi="Times New Roman" w:cs="Times New Roman"/>
                <w:b/>
                <w:color w:val="000000" w:themeColor="text1"/>
                <w:lang w:val="bg-BG"/>
              </w:rPr>
              <w:t>1 точка</w:t>
            </w:r>
          </w:p>
        </w:tc>
      </w:tr>
      <w:tr w:rsidR="00555C49" w:rsidRPr="00FE22E5" w14:paraId="38B2654C" w14:textId="77777777" w:rsidTr="004820BC">
        <w:trPr>
          <w:trHeight w:val="20"/>
        </w:trPr>
        <w:tc>
          <w:tcPr>
            <w:tcW w:w="952" w:type="pct"/>
            <w:tcBorders>
              <w:top w:val="nil"/>
              <w:left w:val="single" w:sz="4" w:space="0" w:color="auto"/>
              <w:bottom w:val="nil"/>
              <w:right w:val="single" w:sz="4" w:space="0" w:color="auto"/>
            </w:tcBorders>
          </w:tcPr>
          <w:p w14:paraId="38B26548"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728" w:type="pct"/>
            <w:tcBorders>
              <w:top w:val="nil"/>
              <w:left w:val="single" w:sz="4" w:space="0" w:color="auto"/>
              <w:bottom w:val="nil"/>
              <w:right w:val="single" w:sz="4" w:space="0" w:color="auto"/>
            </w:tcBorders>
            <w:shd w:val="clear" w:color="auto" w:fill="auto"/>
            <w:vAlign w:val="center"/>
          </w:tcPr>
          <w:p w14:paraId="38B26549"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auto"/>
              <w:bottom w:val="single" w:sz="4" w:space="0" w:color="000000"/>
            </w:tcBorders>
            <w:shd w:val="clear" w:color="auto" w:fill="auto"/>
          </w:tcPr>
          <w:p w14:paraId="38B2654A" w14:textId="77777777" w:rsidR="00555C49" w:rsidRPr="00FE22E5" w:rsidRDefault="00555C49" w:rsidP="00555C49">
            <w:pPr>
              <w:widowControl/>
              <w:autoSpaceDE/>
              <w:autoSpaceDN/>
              <w:adjustRightInd/>
              <w:spacing w:after="120"/>
              <w:ind w:firstLine="0"/>
              <w:rPr>
                <w:rFonts w:ascii="Times New Roman" w:hAnsi="Times New Roman" w:cs="Times New Roman"/>
                <w:color w:val="000000" w:themeColor="text1"/>
                <w:highlight w:val="yellow"/>
                <w:lang w:val="bg-BG" w:eastAsia="zh-CN"/>
              </w:rPr>
            </w:pPr>
            <w:r w:rsidRPr="00FE22E5">
              <w:rPr>
                <w:rFonts w:ascii="Times New Roman" w:hAnsi="Times New Roman" w:cs="Times New Roman"/>
                <w:color w:val="000000" w:themeColor="text1"/>
                <w:lang w:val="bg-BG" w:eastAsia="zh-CN"/>
              </w:rPr>
              <w:t>Участникът предлага експерт в сферата на науката, който притежава опит в два проекта</w:t>
            </w:r>
            <w:r>
              <w:rPr>
                <w:rFonts w:ascii="Times New Roman" w:hAnsi="Times New Roman" w:cs="Times New Roman"/>
                <w:color w:val="000000" w:themeColor="text1"/>
                <w:lang w:val="bg-BG" w:eastAsia="zh-CN"/>
              </w:rPr>
              <w:t xml:space="preserve"> или дейности или услуги</w:t>
            </w:r>
            <w:r w:rsidRPr="00FE22E5">
              <w:rPr>
                <w:rFonts w:ascii="Times New Roman" w:hAnsi="Times New Roman" w:cs="Times New Roman"/>
                <w:color w:val="000000" w:themeColor="text1"/>
                <w:lang w:val="bg-BG" w:eastAsia="zh-CN"/>
              </w:rPr>
              <w:t xml:space="preserve"> в сферата на анализа или прогнозирането</w:t>
            </w:r>
            <w:r>
              <w:rPr>
                <w:rFonts w:ascii="Times New Roman" w:hAnsi="Times New Roman" w:cs="Times New Roman"/>
                <w:color w:val="000000" w:themeColor="text1"/>
                <w:lang w:val="bg-BG" w:eastAsia="zh-CN"/>
              </w:rPr>
              <w:t xml:space="preserve"> </w:t>
            </w:r>
            <w:r w:rsidRPr="00FE22E5">
              <w:rPr>
                <w:rFonts w:ascii="Times New Roman" w:hAnsi="Times New Roman" w:cs="Times New Roman"/>
                <w:color w:val="000000" w:themeColor="text1"/>
                <w:lang w:val="bg-BG" w:eastAsia="zh-CN"/>
              </w:rPr>
              <w:t>на развитието в науката и научните изследвания, вкл. и конкретен опит в планирането или анализа на политики, стратегии или програми в сферата на науката и научно иновационните изследвания.</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4B"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1,5</w:t>
            </w:r>
            <w:r w:rsidRPr="00FE22E5">
              <w:rPr>
                <w:rFonts w:ascii="Times New Roman" w:eastAsia="Calibri" w:hAnsi="Times New Roman" w:cs="Times New Roman"/>
                <w:b/>
                <w:color w:val="000000" w:themeColor="text1"/>
                <w:lang w:val="bg-BG"/>
              </w:rPr>
              <w:t xml:space="preserve"> точки</w:t>
            </w:r>
          </w:p>
        </w:tc>
      </w:tr>
      <w:tr w:rsidR="00555C49" w:rsidRPr="00FE22E5" w14:paraId="38B26551" w14:textId="77777777" w:rsidTr="004820BC">
        <w:trPr>
          <w:trHeight w:val="20"/>
        </w:trPr>
        <w:tc>
          <w:tcPr>
            <w:tcW w:w="952" w:type="pct"/>
            <w:tcBorders>
              <w:top w:val="nil"/>
              <w:left w:val="single" w:sz="4" w:space="0" w:color="auto"/>
              <w:bottom w:val="single" w:sz="4" w:space="0" w:color="auto"/>
              <w:right w:val="single" w:sz="4" w:space="0" w:color="auto"/>
            </w:tcBorders>
          </w:tcPr>
          <w:p w14:paraId="38B2654D"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728" w:type="pct"/>
            <w:tcBorders>
              <w:top w:val="nil"/>
              <w:left w:val="single" w:sz="4" w:space="0" w:color="auto"/>
              <w:bottom w:val="single" w:sz="4" w:space="0" w:color="auto"/>
              <w:right w:val="single" w:sz="4" w:space="0" w:color="auto"/>
            </w:tcBorders>
            <w:shd w:val="clear" w:color="auto" w:fill="auto"/>
            <w:vAlign w:val="center"/>
          </w:tcPr>
          <w:p w14:paraId="38B2654E" w14:textId="77777777" w:rsidR="00555C49" w:rsidRPr="00FE22E5" w:rsidRDefault="00555C49" w:rsidP="00555C49">
            <w:pPr>
              <w:widowControl/>
              <w:autoSpaceDE/>
              <w:autoSpaceDN/>
              <w:adjustRightInd/>
              <w:spacing w:after="120"/>
              <w:ind w:left="34" w:firstLine="0"/>
              <w:rPr>
                <w:rFonts w:ascii="Times New Roman" w:eastAsia="Calibri" w:hAnsi="Times New Roman" w:cs="Times New Roman"/>
                <w:color w:val="000000" w:themeColor="text1"/>
                <w:lang w:val="bg-BG"/>
              </w:rPr>
            </w:pPr>
          </w:p>
        </w:tc>
        <w:tc>
          <w:tcPr>
            <w:tcW w:w="2900" w:type="pct"/>
            <w:tcBorders>
              <w:top w:val="single" w:sz="4" w:space="0" w:color="000000"/>
              <w:left w:val="single" w:sz="4" w:space="0" w:color="auto"/>
              <w:bottom w:val="single" w:sz="4" w:space="0" w:color="000000"/>
            </w:tcBorders>
            <w:shd w:val="clear" w:color="auto" w:fill="auto"/>
          </w:tcPr>
          <w:p w14:paraId="38B2654F" w14:textId="77777777" w:rsidR="00555C49" w:rsidRPr="00FE22E5" w:rsidRDefault="00555C49" w:rsidP="00921054">
            <w:pPr>
              <w:widowControl/>
              <w:autoSpaceDE/>
              <w:autoSpaceDN/>
              <w:adjustRightInd/>
              <w:spacing w:after="120"/>
              <w:ind w:firstLine="0"/>
              <w:rPr>
                <w:rFonts w:ascii="Times New Roman" w:hAnsi="Times New Roman" w:cs="Times New Roman"/>
                <w:color w:val="000000" w:themeColor="text1"/>
                <w:highlight w:val="yellow"/>
                <w:lang w:val="bg-BG" w:eastAsia="zh-CN"/>
              </w:rPr>
            </w:pPr>
            <w:r w:rsidRPr="00FE22E5">
              <w:rPr>
                <w:rFonts w:ascii="Times New Roman" w:hAnsi="Times New Roman" w:cs="Times New Roman"/>
                <w:color w:val="000000" w:themeColor="text1"/>
                <w:lang w:val="bg-BG" w:eastAsia="zh-CN"/>
              </w:rPr>
              <w:t>Участникът предлага експерт в сферата на науката, който притежава опит в три проекта</w:t>
            </w:r>
            <w:r>
              <w:rPr>
                <w:rFonts w:ascii="Times New Roman" w:hAnsi="Times New Roman" w:cs="Times New Roman"/>
                <w:color w:val="000000" w:themeColor="text1"/>
                <w:lang w:val="bg-BG" w:eastAsia="zh-CN"/>
              </w:rPr>
              <w:t xml:space="preserve"> или дейности или услуги</w:t>
            </w:r>
            <w:r w:rsidRPr="00FE22E5">
              <w:rPr>
                <w:rFonts w:ascii="Times New Roman" w:hAnsi="Times New Roman" w:cs="Times New Roman"/>
                <w:color w:val="000000" w:themeColor="text1"/>
                <w:lang w:val="bg-BG" w:eastAsia="zh-CN"/>
              </w:rPr>
              <w:t xml:space="preserve"> в сферата на анализа или прогнозирането</w:t>
            </w:r>
            <w:r>
              <w:rPr>
                <w:rFonts w:ascii="Times New Roman" w:hAnsi="Times New Roman" w:cs="Times New Roman"/>
                <w:color w:val="000000" w:themeColor="text1"/>
                <w:lang w:val="bg-BG" w:eastAsia="zh-CN"/>
              </w:rPr>
              <w:t xml:space="preserve"> </w:t>
            </w:r>
            <w:r w:rsidRPr="00FE22E5">
              <w:rPr>
                <w:rFonts w:ascii="Times New Roman" w:hAnsi="Times New Roman" w:cs="Times New Roman"/>
                <w:color w:val="000000" w:themeColor="text1"/>
                <w:lang w:val="bg-BG" w:eastAsia="zh-CN"/>
              </w:rPr>
              <w:t>на развитието в науката и научните изследвания,   вкл. и конкретен опит в планирането или анализа на политики, стратегии или програми в сферата на науката и научно иновационните изследвания.</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8B26550" w14:textId="77777777" w:rsidR="00555C49" w:rsidRPr="00FE22E5" w:rsidRDefault="00555C49" w:rsidP="00555C49">
            <w:pPr>
              <w:widowControl/>
              <w:autoSpaceDE/>
              <w:autoSpaceDN/>
              <w:adjustRightInd/>
              <w:spacing w:after="120"/>
              <w:ind w:firstLine="0"/>
              <w:jc w:val="center"/>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bg-BG"/>
              </w:rPr>
              <w:t>2</w:t>
            </w:r>
            <w:r w:rsidRPr="00FE22E5">
              <w:rPr>
                <w:rFonts w:ascii="Times New Roman" w:eastAsia="Calibri" w:hAnsi="Times New Roman" w:cs="Times New Roman"/>
                <w:b/>
                <w:color w:val="000000" w:themeColor="text1"/>
                <w:lang w:val="bg-BG"/>
              </w:rPr>
              <w:t xml:space="preserve"> точки</w:t>
            </w:r>
          </w:p>
        </w:tc>
      </w:tr>
    </w:tbl>
    <w:p w14:paraId="1362977C" w14:textId="77777777" w:rsidR="00E33CFC" w:rsidRDefault="00E33CFC" w:rsidP="00BC6E4F">
      <w:pPr>
        <w:spacing w:after="120"/>
        <w:ind w:firstLine="0"/>
        <w:rPr>
          <w:rFonts w:ascii="Times New Roman" w:hAnsi="Times New Roman" w:cs="Times New Roman"/>
          <w:b/>
          <w:i/>
          <w:color w:val="000000" w:themeColor="text1"/>
          <w:lang w:val="bg-BG"/>
        </w:rPr>
      </w:pPr>
    </w:p>
    <w:p w14:paraId="38B26552" w14:textId="77777777" w:rsidR="00B31063" w:rsidRPr="00555C49" w:rsidRDefault="00B31063" w:rsidP="00BC6E4F">
      <w:pPr>
        <w:spacing w:after="120"/>
        <w:ind w:firstLine="0"/>
        <w:rPr>
          <w:rFonts w:ascii="Times New Roman" w:hAnsi="Times New Roman" w:cs="Times New Roman"/>
          <w:color w:val="000000" w:themeColor="text1"/>
          <w:lang w:val="bg-BG"/>
        </w:rPr>
      </w:pPr>
      <w:r w:rsidRPr="00FE22E5">
        <w:rPr>
          <w:rFonts w:ascii="Times New Roman" w:hAnsi="Times New Roman" w:cs="Times New Roman"/>
          <w:b/>
          <w:i/>
          <w:color w:val="000000" w:themeColor="text1"/>
          <w:lang w:val="bg-BG"/>
        </w:rPr>
        <w:t>Забележка:</w:t>
      </w:r>
      <w:r w:rsidRPr="00FE22E5">
        <w:rPr>
          <w:rFonts w:ascii="Times New Roman" w:hAnsi="Times New Roman" w:cs="Times New Roman"/>
          <w:color w:val="000000" w:themeColor="text1"/>
          <w:lang w:val="bg-BG"/>
        </w:rPr>
        <w:t xml:space="preserve"> Крайната оценка за експертите от </w:t>
      </w:r>
      <w:r w:rsidR="007F4943" w:rsidRPr="00FE22E5">
        <w:rPr>
          <w:rFonts w:ascii="Times New Roman" w:hAnsi="Times New Roman" w:cs="Times New Roman"/>
          <w:color w:val="000000" w:themeColor="text1"/>
          <w:lang w:val="bg-BG"/>
        </w:rPr>
        <w:t>К</w:t>
      </w:r>
      <w:r w:rsidRPr="00FE22E5">
        <w:rPr>
          <w:rFonts w:ascii="Times New Roman" w:hAnsi="Times New Roman" w:cs="Times New Roman"/>
          <w:color w:val="000000" w:themeColor="text1"/>
          <w:lang w:val="bg-BG"/>
        </w:rPr>
        <w:t>2.</w:t>
      </w:r>
      <w:r w:rsidR="00F4595C">
        <w:rPr>
          <w:rFonts w:ascii="Times New Roman" w:hAnsi="Times New Roman" w:cs="Times New Roman"/>
          <w:color w:val="000000" w:themeColor="text1"/>
          <w:lang w:val="bg-BG"/>
        </w:rPr>
        <w:t>1</w:t>
      </w:r>
      <w:r w:rsidRPr="00FE22E5">
        <w:rPr>
          <w:rFonts w:ascii="Times New Roman" w:hAnsi="Times New Roman" w:cs="Times New Roman"/>
          <w:color w:val="000000" w:themeColor="text1"/>
          <w:lang w:val="bg-BG"/>
        </w:rPr>
        <w:t xml:space="preserve"> до </w:t>
      </w:r>
      <w:r w:rsidR="007F4943" w:rsidRPr="00FE22E5">
        <w:rPr>
          <w:rFonts w:ascii="Times New Roman" w:hAnsi="Times New Roman" w:cs="Times New Roman"/>
          <w:color w:val="000000" w:themeColor="text1"/>
          <w:lang w:val="bg-BG"/>
        </w:rPr>
        <w:t>К</w:t>
      </w:r>
      <w:r w:rsidRPr="00FE22E5">
        <w:rPr>
          <w:rFonts w:ascii="Times New Roman" w:hAnsi="Times New Roman" w:cs="Times New Roman"/>
          <w:color w:val="000000" w:themeColor="text1"/>
          <w:lang w:val="bg-BG"/>
        </w:rPr>
        <w:t>2.</w:t>
      </w:r>
      <w:r w:rsidR="00F4595C">
        <w:rPr>
          <w:rFonts w:ascii="Times New Roman" w:hAnsi="Times New Roman" w:cs="Times New Roman"/>
          <w:color w:val="000000" w:themeColor="text1"/>
          <w:lang w:val="bg-BG"/>
        </w:rPr>
        <w:t>15</w:t>
      </w:r>
      <w:r w:rsidRPr="00FE22E5">
        <w:rPr>
          <w:rFonts w:ascii="Times New Roman" w:hAnsi="Times New Roman" w:cs="Times New Roman"/>
          <w:color w:val="000000" w:themeColor="text1"/>
          <w:lang w:val="bg-BG"/>
        </w:rPr>
        <w:t xml:space="preserve">, е  сбор от точките, посочени по-горе в зависимост от образованието, квалификацията и </w:t>
      </w:r>
      <w:r w:rsidRPr="00555C49">
        <w:rPr>
          <w:rFonts w:ascii="Times New Roman" w:hAnsi="Times New Roman" w:cs="Times New Roman"/>
          <w:color w:val="000000" w:themeColor="text1"/>
          <w:lang w:val="bg-BG"/>
        </w:rPr>
        <w:t>опита, които експертите притежават. Оценява се всеки предложен експерт поотделно. В случай</w:t>
      </w:r>
      <w:r w:rsidR="00A8617E" w:rsidRPr="00555C49">
        <w:rPr>
          <w:rFonts w:ascii="Times New Roman" w:hAnsi="Times New Roman" w:cs="Times New Roman"/>
          <w:color w:val="000000" w:themeColor="text1"/>
          <w:lang w:val="bg-BG"/>
        </w:rPr>
        <w:t>,</w:t>
      </w:r>
      <w:r w:rsidRPr="00555C49">
        <w:rPr>
          <w:rFonts w:ascii="Times New Roman" w:hAnsi="Times New Roman" w:cs="Times New Roman"/>
          <w:color w:val="000000" w:themeColor="text1"/>
          <w:lang w:val="bg-BG"/>
        </w:rPr>
        <w:t xml:space="preserve"> че участникът предложи повече от минималния брой експерти, Възложителят ще оцени само този, който ще получи най-голям брой точки.</w:t>
      </w:r>
    </w:p>
    <w:p w14:paraId="38B26553" w14:textId="2F6523AE" w:rsidR="00B31063" w:rsidRPr="00FE22E5" w:rsidRDefault="00B31063">
      <w:pPr>
        <w:spacing w:after="120"/>
        <w:ind w:firstLine="0"/>
        <w:rPr>
          <w:rFonts w:ascii="Times New Roman" w:hAnsi="Times New Roman" w:cs="Times New Roman"/>
          <w:color w:val="000000" w:themeColor="text1"/>
          <w:lang w:val="bg-BG"/>
        </w:rPr>
      </w:pPr>
      <w:r w:rsidRPr="00555C49">
        <w:rPr>
          <w:rFonts w:ascii="Times New Roman" w:hAnsi="Times New Roman" w:cs="Times New Roman"/>
          <w:color w:val="000000" w:themeColor="text1"/>
          <w:lang w:val="bg-BG"/>
        </w:rPr>
        <w:t>В случа</w:t>
      </w:r>
      <w:r w:rsidR="00555C49" w:rsidRPr="00555C49">
        <w:rPr>
          <w:rFonts w:ascii="Times New Roman" w:hAnsi="Times New Roman" w:cs="Times New Roman"/>
          <w:color w:val="000000" w:themeColor="text1"/>
          <w:lang w:val="bg-BG"/>
        </w:rPr>
        <w:t>й</w:t>
      </w:r>
      <w:r w:rsidRPr="00555C49">
        <w:rPr>
          <w:rFonts w:ascii="Times New Roman" w:hAnsi="Times New Roman" w:cs="Times New Roman"/>
          <w:color w:val="000000" w:themeColor="text1"/>
          <w:lang w:val="bg-BG"/>
        </w:rPr>
        <w:t xml:space="preserve"> че предложения</w:t>
      </w:r>
      <w:r w:rsidR="00AE69FC" w:rsidRPr="00555C49">
        <w:rPr>
          <w:rFonts w:ascii="Times New Roman" w:hAnsi="Times New Roman" w:cs="Times New Roman"/>
          <w:color w:val="000000" w:themeColor="text1"/>
          <w:lang w:val="bg-BG"/>
        </w:rPr>
        <w:t xml:space="preserve">т </w:t>
      </w:r>
      <w:r w:rsidRPr="00555C49">
        <w:rPr>
          <w:rFonts w:ascii="Times New Roman" w:hAnsi="Times New Roman" w:cs="Times New Roman"/>
          <w:color w:val="000000" w:themeColor="text1"/>
          <w:lang w:val="bg-BG"/>
        </w:rPr>
        <w:t>от участниците експерт/и за съответната позиция на ръководител екип и експерти не попада в някоя от скалите за оценка, касаещи „Образование“ или „Професионален опит“, участникът</w:t>
      </w:r>
      <w:r w:rsidRPr="00FE22E5">
        <w:rPr>
          <w:rFonts w:ascii="Times New Roman" w:hAnsi="Times New Roman" w:cs="Times New Roman"/>
          <w:color w:val="000000" w:themeColor="text1"/>
          <w:lang w:val="bg-BG"/>
        </w:rPr>
        <w:t xml:space="preserve"> се отстранява от участие.</w:t>
      </w:r>
    </w:p>
    <w:p w14:paraId="38B26554" w14:textId="77777777" w:rsidR="007F4943" w:rsidRPr="00FE22E5" w:rsidRDefault="007F4943">
      <w:pPr>
        <w:spacing w:after="120"/>
        <w:ind w:firstLine="0"/>
        <w:rPr>
          <w:rFonts w:ascii="Times New Roman" w:hAnsi="Times New Roman" w:cs="Times New Roman"/>
          <w:color w:val="000000" w:themeColor="text1"/>
          <w:lang w:val="bg-BG"/>
        </w:rPr>
      </w:pPr>
    </w:p>
    <w:p w14:paraId="38B26555" w14:textId="77777777" w:rsidR="001745F0" w:rsidRPr="00FE22E5" w:rsidRDefault="00BB159D">
      <w:pPr>
        <w:pBdr>
          <w:top w:val="dashSmallGap" w:sz="4" w:space="1" w:color="auto"/>
          <w:left w:val="dashSmallGap" w:sz="4" w:space="4" w:color="auto"/>
          <w:bottom w:val="dashSmallGap" w:sz="4" w:space="1" w:color="auto"/>
          <w:right w:val="dashSmallGap" w:sz="4" w:space="4" w:color="auto"/>
        </w:pBdr>
        <w:spacing w:after="120"/>
        <w:ind w:firstLine="0"/>
        <w:rPr>
          <w:rFonts w:ascii="Times New Roman" w:hAnsi="Times New Roman" w:cs="Times New Roman"/>
          <w:b/>
          <w:i/>
          <w:color w:val="000000" w:themeColor="text1"/>
          <w:u w:val="single"/>
          <w:lang w:val="bg-BG"/>
        </w:rPr>
      </w:pPr>
      <w:r w:rsidRPr="00FE22E5">
        <w:rPr>
          <w:rFonts w:ascii="Times New Roman" w:hAnsi="Times New Roman" w:cs="Times New Roman"/>
          <w:b/>
          <w:i/>
          <w:color w:val="000000" w:themeColor="text1"/>
          <w:u w:val="single"/>
          <w:lang w:val="bg-BG"/>
        </w:rPr>
        <w:t>Дефиниции:</w:t>
      </w:r>
    </w:p>
    <w:p w14:paraId="38B26556" w14:textId="77777777" w:rsidR="00BB159D" w:rsidRPr="00FE22E5" w:rsidRDefault="00BB159D">
      <w:pPr>
        <w:pBdr>
          <w:top w:val="dashSmallGap" w:sz="4" w:space="1" w:color="auto"/>
          <w:left w:val="dashSmallGap" w:sz="4" w:space="4" w:color="auto"/>
          <w:bottom w:val="dashSmallGap" w:sz="4" w:space="1" w:color="auto"/>
          <w:right w:val="dashSmallGap" w:sz="4" w:space="4" w:color="auto"/>
        </w:pBdr>
        <w:spacing w:after="120"/>
        <w:ind w:firstLine="709"/>
        <w:rPr>
          <w:rFonts w:ascii="Times New Roman" w:hAnsi="Times New Roman" w:cs="Times New Roman"/>
          <w:color w:val="000000" w:themeColor="text1"/>
          <w:lang w:val="bg-BG"/>
        </w:rPr>
      </w:pPr>
      <w:r w:rsidRPr="00FE22E5">
        <w:rPr>
          <w:rFonts w:ascii="Times New Roman" w:hAnsi="Times New Roman" w:cs="Times New Roman"/>
          <w:color w:val="000000" w:themeColor="text1"/>
          <w:lang w:val="bg-BG"/>
        </w:rPr>
        <w:t xml:space="preserve">Под </w:t>
      </w:r>
      <w:r w:rsidRPr="00FE22E5">
        <w:rPr>
          <w:rFonts w:ascii="Times New Roman" w:hAnsi="Times New Roman" w:cs="Times New Roman"/>
          <w:b/>
          <w:color w:val="000000" w:themeColor="text1"/>
          <w:lang w:val="bg-BG"/>
        </w:rPr>
        <w:t>„Добри практики“</w:t>
      </w:r>
      <w:r w:rsidRPr="00FE22E5">
        <w:rPr>
          <w:rFonts w:ascii="Times New Roman" w:hAnsi="Times New Roman" w:cs="Times New Roman"/>
          <w:color w:val="000000" w:themeColor="text1"/>
          <w:lang w:val="bg-BG"/>
        </w:rPr>
        <w:t xml:space="preserve"> следв</w:t>
      </w:r>
      <w:r w:rsidR="004440C4" w:rsidRPr="00FE22E5">
        <w:rPr>
          <w:rFonts w:ascii="Times New Roman" w:hAnsi="Times New Roman" w:cs="Times New Roman"/>
          <w:color w:val="000000" w:themeColor="text1"/>
          <w:lang w:val="bg-BG"/>
        </w:rPr>
        <w:t>а да се разбират стандарти, нормативни, организационни, научни и технологични/експертни решения</w:t>
      </w:r>
      <w:r w:rsidR="001F41F8" w:rsidRPr="00FE22E5">
        <w:rPr>
          <w:rFonts w:ascii="Times New Roman" w:hAnsi="Times New Roman" w:cs="Times New Roman"/>
          <w:color w:val="000000" w:themeColor="text1"/>
          <w:lang w:val="bg-BG"/>
        </w:rPr>
        <w:t xml:space="preserve"> и подходи</w:t>
      </w:r>
      <w:r w:rsidR="004440C4" w:rsidRPr="00FE22E5">
        <w:rPr>
          <w:rFonts w:ascii="Times New Roman" w:hAnsi="Times New Roman" w:cs="Times New Roman"/>
          <w:color w:val="000000" w:themeColor="text1"/>
          <w:lang w:val="bg-BG"/>
        </w:rPr>
        <w:t xml:space="preserve">, въведени в страната и чужбина, </w:t>
      </w:r>
      <w:r w:rsidR="00633AF3" w:rsidRPr="00FE22E5">
        <w:rPr>
          <w:rFonts w:ascii="Times New Roman" w:hAnsi="Times New Roman" w:cs="Times New Roman"/>
          <w:color w:val="000000" w:themeColor="text1"/>
          <w:lang w:val="bg-BG"/>
        </w:rPr>
        <w:t xml:space="preserve">които са се доказали във времето, </w:t>
      </w:r>
      <w:r w:rsidR="004440C4" w:rsidRPr="00FE22E5">
        <w:rPr>
          <w:rFonts w:ascii="Times New Roman" w:hAnsi="Times New Roman" w:cs="Times New Roman"/>
          <w:color w:val="000000" w:themeColor="text1"/>
          <w:lang w:val="bg-BG"/>
        </w:rPr>
        <w:t>вкл</w:t>
      </w:r>
      <w:r w:rsidR="001273AB" w:rsidRPr="00FE22E5">
        <w:rPr>
          <w:rFonts w:ascii="Times New Roman" w:hAnsi="Times New Roman" w:cs="Times New Roman"/>
          <w:color w:val="000000" w:themeColor="text1"/>
          <w:lang w:val="bg-BG"/>
        </w:rPr>
        <w:t>ючително</w:t>
      </w:r>
      <w:r w:rsidR="005735BE" w:rsidRPr="00FE22E5">
        <w:rPr>
          <w:rFonts w:ascii="Times New Roman" w:hAnsi="Times New Roman" w:cs="Times New Roman"/>
          <w:color w:val="000000" w:themeColor="text1"/>
          <w:lang w:val="bg-BG"/>
        </w:rPr>
        <w:t xml:space="preserve"> по отношение </w:t>
      </w:r>
      <w:r w:rsidR="00633AF3" w:rsidRPr="00FE22E5">
        <w:rPr>
          <w:rFonts w:ascii="Times New Roman" w:hAnsi="Times New Roman" w:cs="Times New Roman"/>
          <w:color w:val="000000" w:themeColor="text1"/>
          <w:lang w:val="bg-BG"/>
        </w:rPr>
        <w:t>на използвани методи</w:t>
      </w:r>
      <w:r w:rsidR="00CB4BAB" w:rsidRPr="00FE22E5">
        <w:rPr>
          <w:rFonts w:ascii="Times New Roman" w:hAnsi="Times New Roman" w:cs="Times New Roman"/>
          <w:color w:val="000000" w:themeColor="text1"/>
          <w:lang w:val="bg-BG"/>
        </w:rPr>
        <w:t xml:space="preserve"> и</w:t>
      </w:r>
      <w:r w:rsidR="00633AF3" w:rsidRPr="00FE22E5">
        <w:rPr>
          <w:rFonts w:ascii="Times New Roman" w:hAnsi="Times New Roman" w:cs="Times New Roman"/>
          <w:color w:val="000000" w:themeColor="text1"/>
          <w:lang w:val="bg-BG"/>
        </w:rPr>
        <w:t xml:space="preserve"> </w:t>
      </w:r>
      <w:r w:rsidR="000B615A" w:rsidRPr="00FE22E5">
        <w:rPr>
          <w:rFonts w:ascii="Times New Roman" w:hAnsi="Times New Roman" w:cs="Times New Roman"/>
          <w:color w:val="000000" w:themeColor="text1"/>
          <w:lang w:val="bg-BG"/>
        </w:rPr>
        <w:t xml:space="preserve">модели, </w:t>
      </w:r>
      <w:r w:rsidR="00CB4BAB" w:rsidRPr="00FE22E5">
        <w:rPr>
          <w:rFonts w:ascii="Times New Roman" w:hAnsi="Times New Roman" w:cs="Times New Roman"/>
          <w:color w:val="000000" w:themeColor="text1"/>
          <w:lang w:val="bg-BG"/>
        </w:rPr>
        <w:t xml:space="preserve">период и </w:t>
      </w:r>
      <w:r w:rsidR="00633AF3" w:rsidRPr="00FE22E5">
        <w:rPr>
          <w:rFonts w:ascii="Times New Roman" w:hAnsi="Times New Roman" w:cs="Times New Roman"/>
          <w:color w:val="000000" w:themeColor="text1"/>
          <w:lang w:val="bg-BG"/>
        </w:rPr>
        <w:t xml:space="preserve">честота на извършване, </w:t>
      </w:r>
      <w:r w:rsidR="000B615A" w:rsidRPr="00FE22E5">
        <w:rPr>
          <w:rFonts w:ascii="Times New Roman" w:hAnsi="Times New Roman" w:cs="Times New Roman"/>
          <w:color w:val="000000" w:themeColor="text1"/>
          <w:lang w:val="bg-BG"/>
        </w:rPr>
        <w:t>използвани ресурси</w:t>
      </w:r>
      <w:r w:rsidR="00CB4BAB" w:rsidRPr="00FE22E5">
        <w:rPr>
          <w:rFonts w:ascii="Times New Roman" w:hAnsi="Times New Roman" w:cs="Times New Roman"/>
          <w:color w:val="000000" w:themeColor="text1"/>
          <w:lang w:val="bg-BG"/>
        </w:rPr>
        <w:t xml:space="preserve"> и</w:t>
      </w:r>
      <w:r w:rsidR="000B615A" w:rsidRPr="00FE22E5">
        <w:rPr>
          <w:rFonts w:ascii="Times New Roman" w:hAnsi="Times New Roman" w:cs="Times New Roman"/>
          <w:color w:val="000000" w:themeColor="text1"/>
          <w:lang w:val="bg-BG"/>
        </w:rPr>
        <w:t xml:space="preserve"> </w:t>
      </w:r>
      <w:r w:rsidR="00CB4BAB" w:rsidRPr="00FE22E5">
        <w:rPr>
          <w:rFonts w:ascii="Times New Roman" w:hAnsi="Times New Roman" w:cs="Times New Roman"/>
          <w:color w:val="000000" w:themeColor="text1"/>
          <w:lang w:val="bg-BG"/>
        </w:rPr>
        <w:t>източници на информация</w:t>
      </w:r>
      <w:r w:rsidR="000B615A" w:rsidRPr="00FE22E5">
        <w:rPr>
          <w:rFonts w:ascii="Times New Roman" w:hAnsi="Times New Roman" w:cs="Times New Roman"/>
          <w:color w:val="000000" w:themeColor="text1"/>
          <w:lang w:val="bg-BG"/>
        </w:rPr>
        <w:t>.</w:t>
      </w:r>
      <w:r w:rsidR="00CB4BAB" w:rsidRPr="00FE22E5">
        <w:rPr>
          <w:rFonts w:ascii="Times New Roman" w:hAnsi="Times New Roman" w:cs="Times New Roman"/>
          <w:color w:val="000000" w:themeColor="text1"/>
          <w:lang w:val="bg-BG"/>
        </w:rPr>
        <w:t xml:space="preserve"> </w:t>
      </w:r>
    </w:p>
    <w:p w14:paraId="38B26557" w14:textId="00AE90A5" w:rsidR="009D0A26" w:rsidRPr="00FE22E5" w:rsidRDefault="009D0A26">
      <w:pPr>
        <w:pBdr>
          <w:top w:val="dashSmallGap" w:sz="4" w:space="1" w:color="auto"/>
          <w:left w:val="dashSmallGap" w:sz="4" w:space="4" w:color="auto"/>
          <w:bottom w:val="dashSmallGap" w:sz="4" w:space="1" w:color="auto"/>
          <w:right w:val="dashSmallGap" w:sz="4" w:space="4" w:color="auto"/>
        </w:pBdr>
        <w:spacing w:after="120"/>
        <w:ind w:firstLine="709"/>
        <w:rPr>
          <w:rFonts w:ascii="Times New Roman" w:hAnsi="Times New Roman" w:cs="Times New Roman"/>
          <w:color w:val="000000" w:themeColor="text1"/>
          <w:lang w:val="bg-BG"/>
        </w:rPr>
      </w:pPr>
      <w:r w:rsidRPr="00FE22E5">
        <w:rPr>
          <w:rFonts w:ascii="Times New Roman" w:hAnsi="Times New Roman" w:cs="Times New Roman"/>
          <w:color w:val="000000" w:themeColor="text1"/>
          <w:lang w:val="bg-BG"/>
        </w:rPr>
        <w:t xml:space="preserve">Под </w:t>
      </w:r>
      <w:r w:rsidRPr="00FE22E5">
        <w:rPr>
          <w:rFonts w:ascii="Times New Roman" w:hAnsi="Times New Roman" w:cs="Times New Roman"/>
          <w:b/>
          <w:color w:val="000000" w:themeColor="text1"/>
          <w:lang w:val="bg-BG"/>
        </w:rPr>
        <w:t>„Относими</w:t>
      </w:r>
      <w:r w:rsidR="00602D07" w:rsidRPr="00FE22E5">
        <w:rPr>
          <w:rFonts w:ascii="Times New Roman" w:hAnsi="Times New Roman" w:cs="Times New Roman"/>
          <w:b/>
          <w:color w:val="000000" w:themeColor="text1"/>
          <w:lang w:val="bg-BG"/>
        </w:rPr>
        <w:t>“</w:t>
      </w:r>
      <w:r w:rsidRPr="00FE22E5">
        <w:rPr>
          <w:rFonts w:ascii="Times New Roman" w:hAnsi="Times New Roman" w:cs="Times New Roman"/>
          <w:color w:val="000000" w:themeColor="text1"/>
          <w:lang w:val="bg-BG"/>
        </w:rPr>
        <w:t xml:space="preserve"> </w:t>
      </w:r>
      <w:r w:rsidR="00534B50" w:rsidRPr="00FE22E5">
        <w:rPr>
          <w:rFonts w:ascii="Times New Roman" w:hAnsi="Times New Roman" w:cs="Times New Roman"/>
          <w:color w:val="000000" w:themeColor="text1"/>
          <w:lang w:val="bg-BG"/>
        </w:rPr>
        <w:t>следва</w:t>
      </w:r>
      <w:r w:rsidRPr="00FE22E5">
        <w:rPr>
          <w:rFonts w:ascii="Times New Roman" w:hAnsi="Times New Roman" w:cs="Times New Roman"/>
          <w:color w:val="000000" w:themeColor="text1"/>
          <w:lang w:val="bg-BG"/>
        </w:rPr>
        <w:t xml:space="preserve"> да се разби</w:t>
      </w:r>
      <w:r w:rsidR="00C91E9C" w:rsidRPr="00FE22E5">
        <w:rPr>
          <w:rFonts w:ascii="Times New Roman" w:hAnsi="Times New Roman" w:cs="Times New Roman"/>
          <w:color w:val="000000" w:themeColor="text1"/>
          <w:lang w:val="bg-BG"/>
        </w:rPr>
        <w:t>ра</w:t>
      </w:r>
      <w:r w:rsidR="00602D07" w:rsidRPr="00FE22E5">
        <w:rPr>
          <w:rFonts w:ascii="Times New Roman" w:hAnsi="Times New Roman" w:cs="Times New Roman"/>
          <w:color w:val="000000" w:themeColor="text1"/>
          <w:lang w:val="bg-BG"/>
        </w:rPr>
        <w:t xml:space="preserve"> пряко свързани с изискванията на Техническата спецификация </w:t>
      </w:r>
      <w:r w:rsidR="005B4558" w:rsidRPr="00FE22E5">
        <w:rPr>
          <w:rFonts w:ascii="Times New Roman" w:hAnsi="Times New Roman" w:cs="Times New Roman"/>
          <w:color w:val="000000" w:themeColor="text1"/>
          <w:lang w:val="bg-BG"/>
        </w:rPr>
        <w:t>относно</w:t>
      </w:r>
      <w:r w:rsidR="00602D07" w:rsidRPr="00FE22E5">
        <w:rPr>
          <w:rFonts w:ascii="Times New Roman" w:hAnsi="Times New Roman" w:cs="Times New Roman"/>
          <w:color w:val="000000" w:themeColor="text1"/>
          <w:lang w:val="bg-BG"/>
        </w:rPr>
        <w:t xml:space="preserve"> задължителните </w:t>
      </w:r>
      <w:r w:rsidR="00602D07" w:rsidRPr="00FE22E5">
        <w:rPr>
          <w:rFonts w:ascii="Times New Roman" w:hAnsi="Times New Roman" w:cs="Times New Roman"/>
          <w:color w:val="000000" w:themeColor="text1"/>
          <w:lang w:val="bg-BG"/>
        </w:rPr>
        <w:lastRenderedPageBreak/>
        <w:t>елементи на докладите по тематични</w:t>
      </w:r>
      <w:r w:rsidR="00F97293" w:rsidRPr="00FE22E5">
        <w:rPr>
          <w:rFonts w:ascii="Times New Roman" w:hAnsi="Times New Roman" w:cs="Times New Roman"/>
          <w:color w:val="000000" w:themeColor="text1"/>
          <w:lang w:val="bg-BG"/>
        </w:rPr>
        <w:t>те оценки, посочени в т. 4.1.4. “Структура и съдържание на средносрочната оценка на ОП НОИР 2014-2020”</w:t>
      </w:r>
      <w:r w:rsidR="00D23ADA">
        <w:rPr>
          <w:rFonts w:ascii="Times New Roman" w:hAnsi="Times New Roman" w:cs="Times New Roman"/>
          <w:color w:val="000000" w:themeColor="text1"/>
          <w:lang w:val="bg-BG"/>
        </w:rPr>
        <w:t>,</w:t>
      </w:r>
      <w:r w:rsidR="00F97293" w:rsidRPr="00FE22E5">
        <w:rPr>
          <w:rFonts w:ascii="Times New Roman" w:hAnsi="Times New Roman" w:cs="Times New Roman"/>
          <w:color w:val="000000" w:themeColor="text1"/>
          <w:lang w:val="bg-BG"/>
        </w:rPr>
        <w:t xml:space="preserve"> </w:t>
      </w:r>
      <w:r w:rsidR="005B4558" w:rsidRPr="00FE22E5">
        <w:rPr>
          <w:rFonts w:ascii="Times New Roman" w:hAnsi="Times New Roman" w:cs="Times New Roman"/>
          <w:color w:val="000000" w:themeColor="text1"/>
          <w:lang w:val="bg-BG"/>
        </w:rPr>
        <w:t>вкл</w:t>
      </w:r>
      <w:r w:rsidR="001273AB" w:rsidRPr="00FE22E5">
        <w:rPr>
          <w:rFonts w:ascii="Times New Roman" w:hAnsi="Times New Roman" w:cs="Times New Roman"/>
          <w:color w:val="000000" w:themeColor="text1"/>
          <w:lang w:val="bg-BG"/>
        </w:rPr>
        <w:t>ючително</w:t>
      </w:r>
      <w:r w:rsidR="005B4558" w:rsidRPr="00FE22E5">
        <w:rPr>
          <w:rFonts w:ascii="Times New Roman" w:hAnsi="Times New Roman" w:cs="Times New Roman"/>
          <w:color w:val="000000" w:themeColor="text1"/>
          <w:lang w:val="bg-BG"/>
        </w:rPr>
        <w:t xml:space="preserve"> </w:t>
      </w:r>
      <w:r w:rsidR="00035720" w:rsidRPr="00FE22E5">
        <w:rPr>
          <w:rFonts w:ascii="Times New Roman" w:hAnsi="Times New Roman" w:cs="Times New Roman"/>
          <w:color w:val="000000" w:themeColor="text1"/>
          <w:lang w:val="bg-BG"/>
        </w:rPr>
        <w:t>по отношение на изискванията за констатации, изводи, заключения и препоръки</w:t>
      </w:r>
      <w:r w:rsidR="00602D07" w:rsidRPr="00FE22E5">
        <w:rPr>
          <w:rFonts w:ascii="Times New Roman" w:hAnsi="Times New Roman" w:cs="Times New Roman"/>
          <w:color w:val="000000" w:themeColor="text1"/>
          <w:lang w:val="bg-BG"/>
        </w:rPr>
        <w:t>.</w:t>
      </w:r>
    </w:p>
    <w:p w14:paraId="38B26558" w14:textId="77777777" w:rsidR="001273AB" w:rsidRPr="00FE22E5" w:rsidRDefault="001273AB">
      <w:pPr>
        <w:pBdr>
          <w:top w:val="dashSmallGap" w:sz="4" w:space="1" w:color="auto"/>
          <w:left w:val="dashSmallGap" w:sz="4" w:space="4" w:color="auto"/>
          <w:bottom w:val="dashSmallGap" w:sz="4" w:space="1" w:color="auto"/>
          <w:right w:val="dashSmallGap" w:sz="4" w:space="4" w:color="auto"/>
        </w:pBdr>
        <w:spacing w:after="120"/>
        <w:ind w:firstLine="709"/>
        <w:rPr>
          <w:rFonts w:ascii="Times New Roman" w:hAnsi="Times New Roman" w:cs="Times New Roman"/>
          <w:color w:val="000000" w:themeColor="text1"/>
          <w:lang w:val="bg-BG"/>
        </w:rPr>
      </w:pPr>
      <w:r w:rsidRPr="00FE22E5">
        <w:rPr>
          <w:rFonts w:ascii="Times New Roman" w:hAnsi="Times New Roman" w:cs="Times New Roman"/>
          <w:color w:val="000000" w:themeColor="text1"/>
          <w:lang w:val="bg-BG"/>
        </w:rPr>
        <w:t xml:space="preserve">Под </w:t>
      </w:r>
      <w:r w:rsidRPr="00FE22E5">
        <w:rPr>
          <w:rFonts w:ascii="Times New Roman" w:hAnsi="Times New Roman" w:cs="Times New Roman"/>
          <w:b/>
          <w:color w:val="000000" w:themeColor="text1"/>
          <w:lang w:val="bg-BG"/>
        </w:rPr>
        <w:t xml:space="preserve">„Логически“ </w:t>
      </w:r>
      <w:r w:rsidRPr="00FE22E5">
        <w:rPr>
          <w:rFonts w:ascii="Times New Roman" w:hAnsi="Times New Roman" w:cs="Times New Roman"/>
          <w:color w:val="000000" w:themeColor="text1"/>
          <w:lang w:val="bg-BG"/>
        </w:rPr>
        <w:t>следва да се разбира</w:t>
      </w:r>
      <w:r w:rsidRPr="00FE22E5">
        <w:rPr>
          <w:rFonts w:ascii="Times New Roman" w:hAnsi="Times New Roman" w:cs="Times New Roman"/>
          <w:b/>
          <w:color w:val="000000" w:themeColor="text1"/>
          <w:lang w:val="bg-BG"/>
        </w:rPr>
        <w:t xml:space="preserve"> </w:t>
      </w:r>
      <w:r w:rsidRPr="00FE22E5">
        <w:rPr>
          <w:rFonts w:ascii="Times New Roman" w:hAnsi="Times New Roman" w:cs="Times New Roman"/>
          <w:color w:val="000000" w:themeColor="text1"/>
          <w:lang w:val="bg-BG"/>
        </w:rPr>
        <w:t>основани на</w:t>
      </w:r>
      <w:r w:rsidRPr="00FE22E5">
        <w:rPr>
          <w:rFonts w:ascii="Times New Roman" w:hAnsi="Times New Roman" w:cs="Times New Roman"/>
          <w:b/>
          <w:color w:val="000000" w:themeColor="text1"/>
          <w:lang w:val="bg-BG"/>
        </w:rPr>
        <w:t xml:space="preserve"> </w:t>
      </w:r>
      <w:r w:rsidRPr="00FE22E5">
        <w:rPr>
          <w:rFonts w:ascii="Times New Roman" w:hAnsi="Times New Roman" w:cs="Times New Roman"/>
          <w:color w:val="000000" w:themeColor="text1"/>
          <w:lang w:val="bg-BG"/>
        </w:rPr>
        <w:t>последователност, свързаност и обусловеност от Техническата спецификация предложения.</w:t>
      </w:r>
    </w:p>
    <w:p w14:paraId="38B26559" w14:textId="77777777" w:rsidR="00CB0F3A" w:rsidRPr="00FE22E5" w:rsidRDefault="001273AB">
      <w:pPr>
        <w:pBdr>
          <w:top w:val="dashSmallGap" w:sz="4" w:space="1" w:color="auto"/>
          <w:left w:val="dashSmallGap" w:sz="4" w:space="4" w:color="auto"/>
          <w:bottom w:val="dashSmallGap" w:sz="4" w:space="1" w:color="auto"/>
          <w:right w:val="dashSmallGap" w:sz="4" w:space="4" w:color="auto"/>
        </w:pBdr>
        <w:spacing w:after="120"/>
        <w:ind w:firstLine="709"/>
        <w:rPr>
          <w:rFonts w:ascii="Times New Roman" w:hAnsi="Times New Roman" w:cs="Times New Roman"/>
          <w:color w:val="000000" w:themeColor="text1"/>
          <w:lang w:val="bg-BG"/>
        </w:rPr>
      </w:pPr>
      <w:r w:rsidRPr="00FE22E5">
        <w:rPr>
          <w:rFonts w:ascii="Times New Roman" w:hAnsi="Times New Roman" w:cs="Times New Roman"/>
          <w:color w:val="000000" w:themeColor="text1"/>
          <w:lang w:val="bg-BG"/>
        </w:rPr>
        <w:t>Под „</w:t>
      </w:r>
      <w:r w:rsidRPr="00FE22E5">
        <w:rPr>
          <w:rFonts w:ascii="Times New Roman" w:hAnsi="Times New Roman" w:cs="Times New Roman"/>
          <w:b/>
          <w:color w:val="000000" w:themeColor="text1"/>
          <w:lang w:val="bg-BG"/>
        </w:rPr>
        <w:t xml:space="preserve">Качествено изпълнение“ </w:t>
      </w:r>
      <w:r w:rsidRPr="00FE22E5">
        <w:rPr>
          <w:rFonts w:ascii="Times New Roman" w:hAnsi="Times New Roman" w:cs="Times New Roman"/>
          <w:color w:val="000000" w:themeColor="text1"/>
          <w:lang w:val="bg-BG"/>
        </w:rPr>
        <w:t>следва да се разбира</w:t>
      </w:r>
      <w:r w:rsidRPr="00FE22E5">
        <w:rPr>
          <w:rFonts w:ascii="Times New Roman" w:hAnsi="Times New Roman" w:cs="Times New Roman"/>
          <w:b/>
          <w:color w:val="000000" w:themeColor="text1"/>
          <w:lang w:val="bg-BG"/>
        </w:rPr>
        <w:t xml:space="preserve"> </w:t>
      </w:r>
      <w:r w:rsidRPr="00FE22E5">
        <w:rPr>
          <w:rFonts w:ascii="Times New Roman" w:hAnsi="Times New Roman" w:cs="Times New Roman"/>
          <w:color w:val="000000" w:themeColor="text1"/>
          <w:lang w:val="bg-BG"/>
        </w:rPr>
        <w:t>изпълнение, което в максимална степен отговаря на изискванията за изпълнение на Възложителя и добрите практики.</w:t>
      </w:r>
    </w:p>
    <w:sectPr w:rsidR="00CB0F3A" w:rsidRPr="00FE22E5" w:rsidSect="003524E6">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851" w:left="1418" w:header="284" w:footer="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9715" w14:textId="77777777" w:rsidR="000648DA" w:rsidRDefault="000648DA">
      <w:r>
        <w:separator/>
      </w:r>
    </w:p>
  </w:endnote>
  <w:endnote w:type="continuationSeparator" w:id="0">
    <w:p w14:paraId="62F24F19" w14:textId="77777777" w:rsidR="000648DA" w:rsidRDefault="000648DA">
      <w:r>
        <w:continuationSeparator/>
      </w:r>
    </w:p>
  </w:endnote>
  <w:endnote w:type="continuationNotice" w:id="1">
    <w:p w14:paraId="6F93694A" w14:textId="77777777" w:rsidR="000648DA" w:rsidRDefault="00064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70A4" w14:textId="77777777" w:rsidR="00893FB5" w:rsidRDefault="00893F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6564" w14:textId="77777777" w:rsidR="00773902" w:rsidRDefault="00773902" w:rsidP="00863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26565" w14:textId="77777777" w:rsidR="00773902" w:rsidRDefault="00773902" w:rsidP="00863199">
    <w:pPr>
      <w:pStyle w:val="Footer"/>
      <w:ind w:right="360"/>
    </w:pPr>
  </w:p>
  <w:p w14:paraId="38B26566" w14:textId="77777777" w:rsidR="00773902" w:rsidRDefault="0077390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6567" w14:textId="61C1F4E3" w:rsidR="00773902" w:rsidRPr="003524E6" w:rsidRDefault="00773902">
    <w:pPr>
      <w:pStyle w:val="Footer"/>
      <w:jc w:val="right"/>
      <w:rPr>
        <w:rFonts w:ascii="Times New Roman" w:hAnsi="Times New Roman" w:cs="Times New Roman"/>
      </w:rPr>
    </w:pPr>
    <w:r w:rsidRPr="003524E6">
      <w:rPr>
        <w:rFonts w:ascii="Times New Roman" w:hAnsi="Times New Roman" w:cs="Times New Roman"/>
      </w:rPr>
      <w:fldChar w:fldCharType="begin"/>
    </w:r>
    <w:r w:rsidRPr="003524E6">
      <w:rPr>
        <w:rFonts w:ascii="Times New Roman" w:hAnsi="Times New Roman" w:cs="Times New Roman"/>
      </w:rPr>
      <w:instrText xml:space="preserve"> PAGE   \* MERGEFORMAT </w:instrText>
    </w:r>
    <w:r w:rsidRPr="003524E6">
      <w:rPr>
        <w:rFonts w:ascii="Times New Roman" w:hAnsi="Times New Roman" w:cs="Times New Roman"/>
      </w:rPr>
      <w:fldChar w:fldCharType="separate"/>
    </w:r>
    <w:r w:rsidR="00921054">
      <w:rPr>
        <w:rFonts w:ascii="Times New Roman" w:hAnsi="Times New Roman" w:cs="Times New Roman"/>
        <w:noProof/>
      </w:rPr>
      <w:t>41</w:t>
    </w:r>
    <w:r w:rsidRPr="003524E6">
      <w:rPr>
        <w:rFonts w:ascii="Times New Roman" w:hAnsi="Times New Roman" w:cs="Times New Roman"/>
        <w:noProof/>
      </w:rPr>
      <w:fldChar w:fldCharType="end"/>
    </w:r>
  </w:p>
  <w:p w14:paraId="38B26568" w14:textId="77777777" w:rsidR="00773902" w:rsidRPr="00655A0D" w:rsidRDefault="00773902" w:rsidP="00655A0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656A" w14:textId="77777777" w:rsidR="00773902" w:rsidRDefault="007739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665EE" w14:textId="77777777" w:rsidR="000648DA" w:rsidRDefault="000648DA">
      <w:r>
        <w:separator/>
      </w:r>
    </w:p>
  </w:footnote>
  <w:footnote w:type="continuationSeparator" w:id="0">
    <w:p w14:paraId="171CDEEB" w14:textId="77777777" w:rsidR="000648DA" w:rsidRDefault="000648DA">
      <w:r>
        <w:continuationSeparator/>
      </w:r>
    </w:p>
  </w:footnote>
  <w:footnote w:type="continuationNotice" w:id="1">
    <w:p w14:paraId="327F685F" w14:textId="77777777" w:rsidR="000648DA" w:rsidRDefault="000648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655E" w14:textId="77777777" w:rsidR="00773902" w:rsidRDefault="00773902">
    <w:pPr>
      <w:pStyle w:val="Header"/>
    </w:pPr>
    <w:r>
      <w:rPr>
        <w:noProof/>
        <w:lang w:val="bg-BG" w:eastAsia="bg-BG"/>
      </w:rPr>
      <w:drawing>
        <wp:anchor distT="0" distB="0" distL="114300" distR="114300" simplePos="0" relativeHeight="251655680" behindDoc="0" locked="0" layoutInCell="1" allowOverlap="1" wp14:anchorId="38B2656B" wp14:editId="38B2656C">
          <wp:simplePos x="0" y="0"/>
          <wp:positionH relativeFrom="margin">
            <wp:posOffset>164465</wp:posOffset>
          </wp:positionH>
          <wp:positionV relativeFrom="margin">
            <wp:posOffset>-631190</wp:posOffset>
          </wp:positionV>
          <wp:extent cx="1521460" cy="504190"/>
          <wp:effectExtent l="0" t="0" r="2540" b="0"/>
          <wp:wrapSquare wrapText="bothSides"/>
          <wp:docPr id="3" name="Picture 9" descr="http://sf.mon.bg/img/logo_eu_r_dva_fo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mon.bg/img/logo_eu_r_dva_fon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56704" behindDoc="0" locked="0" layoutInCell="1" allowOverlap="1" wp14:anchorId="38B2656D" wp14:editId="38B2656E">
          <wp:simplePos x="0" y="0"/>
          <wp:positionH relativeFrom="page">
            <wp:posOffset>5186680</wp:posOffset>
          </wp:positionH>
          <wp:positionV relativeFrom="page">
            <wp:posOffset>392430</wp:posOffset>
          </wp:positionV>
          <wp:extent cx="1584325" cy="503555"/>
          <wp:effectExtent l="0" t="0" r="0" b="0"/>
          <wp:wrapSquare wrapText="bothSides"/>
          <wp:docPr id="6" name="Picture 8" descr="http://sf.mon.bg/attachments/542e6aa473f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mon.bg/attachments/542e6aa473f9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2655F" w14:textId="77777777" w:rsidR="00773902" w:rsidRDefault="00773902">
    <w:pPr>
      <w:pStyle w:val="Header"/>
    </w:pPr>
  </w:p>
  <w:p w14:paraId="38B26560" w14:textId="77777777" w:rsidR="00773902" w:rsidRDefault="00773902">
    <w:pPr>
      <w:pStyle w:val="Header"/>
    </w:pPr>
    <w:r>
      <w:rPr>
        <w:noProof/>
        <w:lang w:val="bg-BG" w:eastAsia="bg-BG"/>
      </w:rPr>
      <mc:AlternateContent>
        <mc:Choice Requires="wps">
          <w:drawing>
            <wp:anchor distT="4294967295" distB="4294967295" distL="114300" distR="114300" simplePos="0" relativeHeight="251657728" behindDoc="0" locked="0" layoutInCell="1" allowOverlap="1" wp14:anchorId="38B2656F" wp14:editId="38B26570">
              <wp:simplePos x="0" y="0"/>
              <wp:positionH relativeFrom="margin">
                <wp:posOffset>108585</wp:posOffset>
              </wp:positionH>
              <wp:positionV relativeFrom="paragraph">
                <wp:posOffset>145414</wp:posOffset>
              </wp:positionV>
              <wp:extent cx="59436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thinThick" algn="ctr">
                        <a:solidFill>
                          <a:sysClr val="windowText" lastClr="000000">
                            <a:shade val="95000"/>
                            <a:satMod val="105000"/>
                            <a:alpha val="72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A0F4F5" id="Straight Connector 24"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55pt,11.45pt" to="47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" strokeweight=".5pt">
              <v:stroke opacity="47288f" linestyle="thinThick"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6561" w14:textId="77777777" w:rsidR="00773902" w:rsidRDefault="00773902">
    <w:pPr>
      <w:pStyle w:val="Header"/>
    </w:pPr>
  </w:p>
  <w:p w14:paraId="38B26562" w14:textId="77777777" w:rsidR="00773902" w:rsidRDefault="0077390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6563" w14:textId="77777777" w:rsidR="00773902" w:rsidRPr="00685045" w:rsidRDefault="00773902" w:rsidP="003F3B3F">
    <w:pPr>
      <w:widowControl/>
      <w:pBdr>
        <w:bottom w:val="single" w:sz="6" w:space="28" w:color="auto"/>
      </w:pBdr>
      <w:tabs>
        <w:tab w:val="center" w:pos="4153"/>
        <w:tab w:val="left" w:pos="4796"/>
        <w:tab w:val="right" w:pos="8306"/>
      </w:tabs>
      <w:suppressAutoHyphens/>
      <w:autoSpaceDE/>
      <w:autoSpaceDN/>
      <w:adjustRightInd/>
      <w:spacing w:after="240"/>
      <w:ind w:left="-142" w:firstLine="0"/>
      <w:rPr>
        <w:rFonts w:cs="Times New Roman"/>
        <w:sz w:val="20"/>
        <w:szCs w:val="20"/>
        <w:lang w:val="en-US" w:eastAsia="ar-SA"/>
      </w:rPr>
    </w:pPr>
    <w:r>
      <w:rPr>
        <w:rFonts w:cs="Times New Roman"/>
        <w:noProof/>
        <w:sz w:val="20"/>
        <w:szCs w:val="20"/>
        <w:lang w:val="bg-BG" w:eastAsia="bg-BG"/>
      </w:rPr>
      <w:drawing>
        <wp:anchor distT="0" distB="0" distL="114300" distR="114300" simplePos="0" relativeHeight="251659776" behindDoc="0" locked="0" layoutInCell="1" allowOverlap="1" wp14:anchorId="38B26571" wp14:editId="38B26572">
          <wp:simplePos x="0" y="0"/>
          <wp:positionH relativeFrom="page">
            <wp:posOffset>8129905</wp:posOffset>
          </wp:positionH>
          <wp:positionV relativeFrom="page">
            <wp:posOffset>135890</wp:posOffset>
          </wp:positionV>
          <wp:extent cx="1584325" cy="503555"/>
          <wp:effectExtent l="0" t="0" r="0" b="0"/>
          <wp:wrapSquare wrapText="bothSides"/>
          <wp:docPr id="5" name="Picture 8" descr="http://sf.mon.bg/attachments/542e6aa473f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mon.bg/attachments/542e6aa473f9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noProof/>
        <w:sz w:val="20"/>
        <w:szCs w:val="20"/>
        <w:lang w:val="bg-BG" w:eastAsia="bg-BG"/>
      </w:rPr>
      <w:drawing>
        <wp:anchor distT="0" distB="0" distL="114300" distR="114300" simplePos="0" relativeHeight="251658752" behindDoc="0" locked="0" layoutInCell="1" allowOverlap="1" wp14:anchorId="38B26573" wp14:editId="38B26574">
          <wp:simplePos x="0" y="0"/>
          <wp:positionH relativeFrom="margin">
            <wp:posOffset>3175</wp:posOffset>
          </wp:positionH>
          <wp:positionV relativeFrom="margin">
            <wp:posOffset>-765175</wp:posOffset>
          </wp:positionV>
          <wp:extent cx="1521460" cy="504190"/>
          <wp:effectExtent l="0" t="0" r="2540" b="0"/>
          <wp:wrapSquare wrapText="bothSides"/>
          <wp:docPr id="4" name="Picture 9" descr="http://sf.mon.bg/img/logo_eu_r_dva_fo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mon.bg/img/logo_eu_r_dva_fon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46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6569" w14:textId="77777777" w:rsidR="00773902" w:rsidRDefault="007739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lvlText w:val=""/>
      <w:lvlJc w:val="left"/>
      <w:pPr>
        <w:tabs>
          <w:tab w:val="num" w:pos="0"/>
        </w:tabs>
        <w:ind w:left="835" w:hanging="360"/>
      </w:pPr>
      <w:rPr>
        <w:rFonts w:ascii="Symbol" w:hAnsi="Symbol" w:cs="Symbol" w:hint="default"/>
        <w:sz w:val="24"/>
        <w:szCs w:val="24"/>
      </w:rPr>
    </w:lvl>
  </w:abstractNum>
  <w:abstractNum w:abstractNumId="1" w15:restartNumberingAfterBreak="0">
    <w:nsid w:val="0A8E0A32"/>
    <w:multiLevelType w:val="hybridMultilevel"/>
    <w:tmpl w:val="C69A824E"/>
    <w:lvl w:ilvl="0" w:tplc="080AE96A">
      <w:start w:val="4"/>
      <w:numFmt w:val="bullet"/>
      <w:lvlText w:val="-"/>
      <w:lvlJc w:val="left"/>
      <w:pPr>
        <w:ind w:left="1420" w:hanging="360"/>
      </w:pPr>
      <w:rPr>
        <w:rFonts w:ascii="Verdana" w:eastAsia="Calibri" w:hAnsi="Verdana" w:cs="Times New Roman"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 w15:restartNumberingAfterBreak="0">
    <w:nsid w:val="0AAE65A4"/>
    <w:multiLevelType w:val="multilevel"/>
    <w:tmpl w:val="CA2200B4"/>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45290"/>
    <w:multiLevelType w:val="hybridMultilevel"/>
    <w:tmpl w:val="DED06376"/>
    <w:lvl w:ilvl="0" w:tplc="4E24389A">
      <w:numFmt w:val="bullet"/>
      <w:lvlText w:val="-"/>
      <w:lvlJc w:val="left"/>
      <w:pPr>
        <w:ind w:left="1065" w:hanging="705"/>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262744"/>
    <w:multiLevelType w:val="hybridMultilevel"/>
    <w:tmpl w:val="4B5C7B86"/>
    <w:lvl w:ilvl="0" w:tplc="080AE96A">
      <w:start w:val="4"/>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BC59A2"/>
    <w:multiLevelType w:val="hybridMultilevel"/>
    <w:tmpl w:val="F9AAAD2E"/>
    <w:lvl w:ilvl="0" w:tplc="04020001">
      <w:start w:val="1"/>
      <w:numFmt w:val="bullet"/>
      <w:lvlText w:val=""/>
      <w:lvlJc w:val="left"/>
      <w:pPr>
        <w:ind w:left="4896" w:hanging="360"/>
      </w:pPr>
      <w:rPr>
        <w:rFonts w:ascii="Symbol" w:hAnsi="Symbol" w:hint="default"/>
      </w:rPr>
    </w:lvl>
    <w:lvl w:ilvl="1" w:tplc="04020003" w:tentative="1">
      <w:start w:val="1"/>
      <w:numFmt w:val="bullet"/>
      <w:lvlText w:val="o"/>
      <w:lvlJc w:val="left"/>
      <w:pPr>
        <w:ind w:left="2229" w:hanging="360"/>
      </w:pPr>
      <w:rPr>
        <w:rFonts w:ascii="Courier New" w:hAnsi="Courier New" w:cs="Courier New" w:hint="default"/>
      </w:rPr>
    </w:lvl>
    <w:lvl w:ilvl="2" w:tplc="04020005" w:tentative="1">
      <w:start w:val="1"/>
      <w:numFmt w:val="bullet"/>
      <w:lvlText w:val=""/>
      <w:lvlJc w:val="left"/>
      <w:pPr>
        <w:ind w:left="2949" w:hanging="360"/>
      </w:pPr>
      <w:rPr>
        <w:rFonts w:ascii="Wingdings" w:hAnsi="Wingdings" w:hint="default"/>
      </w:rPr>
    </w:lvl>
    <w:lvl w:ilvl="3" w:tplc="04020001" w:tentative="1">
      <w:start w:val="1"/>
      <w:numFmt w:val="bullet"/>
      <w:lvlText w:val=""/>
      <w:lvlJc w:val="left"/>
      <w:pPr>
        <w:ind w:left="3669" w:hanging="360"/>
      </w:pPr>
      <w:rPr>
        <w:rFonts w:ascii="Symbol" w:hAnsi="Symbol" w:hint="default"/>
      </w:rPr>
    </w:lvl>
    <w:lvl w:ilvl="4" w:tplc="04020003" w:tentative="1">
      <w:start w:val="1"/>
      <w:numFmt w:val="bullet"/>
      <w:lvlText w:val="o"/>
      <w:lvlJc w:val="left"/>
      <w:pPr>
        <w:ind w:left="4389" w:hanging="360"/>
      </w:pPr>
      <w:rPr>
        <w:rFonts w:ascii="Courier New" w:hAnsi="Courier New" w:cs="Courier New" w:hint="default"/>
      </w:rPr>
    </w:lvl>
    <w:lvl w:ilvl="5" w:tplc="04020005" w:tentative="1">
      <w:start w:val="1"/>
      <w:numFmt w:val="bullet"/>
      <w:lvlText w:val=""/>
      <w:lvlJc w:val="left"/>
      <w:pPr>
        <w:ind w:left="5109" w:hanging="360"/>
      </w:pPr>
      <w:rPr>
        <w:rFonts w:ascii="Wingdings" w:hAnsi="Wingdings" w:hint="default"/>
      </w:rPr>
    </w:lvl>
    <w:lvl w:ilvl="6" w:tplc="04020001" w:tentative="1">
      <w:start w:val="1"/>
      <w:numFmt w:val="bullet"/>
      <w:lvlText w:val=""/>
      <w:lvlJc w:val="left"/>
      <w:pPr>
        <w:ind w:left="5829" w:hanging="360"/>
      </w:pPr>
      <w:rPr>
        <w:rFonts w:ascii="Symbol" w:hAnsi="Symbol" w:hint="default"/>
      </w:rPr>
    </w:lvl>
    <w:lvl w:ilvl="7" w:tplc="04020003" w:tentative="1">
      <w:start w:val="1"/>
      <w:numFmt w:val="bullet"/>
      <w:lvlText w:val="o"/>
      <w:lvlJc w:val="left"/>
      <w:pPr>
        <w:ind w:left="6549" w:hanging="360"/>
      </w:pPr>
      <w:rPr>
        <w:rFonts w:ascii="Courier New" w:hAnsi="Courier New" w:cs="Courier New" w:hint="default"/>
      </w:rPr>
    </w:lvl>
    <w:lvl w:ilvl="8" w:tplc="04020005" w:tentative="1">
      <w:start w:val="1"/>
      <w:numFmt w:val="bullet"/>
      <w:lvlText w:val=""/>
      <w:lvlJc w:val="left"/>
      <w:pPr>
        <w:ind w:left="7269" w:hanging="360"/>
      </w:pPr>
      <w:rPr>
        <w:rFonts w:ascii="Wingdings" w:hAnsi="Wingdings" w:hint="default"/>
      </w:rPr>
    </w:lvl>
  </w:abstractNum>
  <w:abstractNum w:abstractNumId="6" w15:restartNumberingAfterBreak="0">
    <w:nsid w:val="17456072"/>
    <w:multiLevelType w:val="hybridMultilevel"/>
    <w:tmpl w:val="821E4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64902"/>
    <w:multiLevelType w:val="hybridMultilevel"/>
    <w:tmpl w:val="184A228E"/>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8" w15:restartNumberingAfterBreak="0">
    <w:nsid w:val="19A04EAF"/>
    <w:multiLevelType w:val="hybridMultilevel"/>
    <w:tmpl w:val="A9768BAE"/>
    <w:lvl w:ilvl="0" w:tplc="080AE96A">
      <w:start w:val="4"/>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E640E0"/>
    <w:multiLevelType w:val="hybridMultilevel"/>
    <w:tmpl w:val="165AD7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81D2C69"/>
    <w:multiLevelType w:val="hybridMultilevel"/>
    <w:tmpl w:val="D5829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654E28"/>
    <w:multiLevelType w:val="hybridMultilevel"/>
    <w:tmpl w:val="6A0014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E0DDF"/>
    <w:multiLevelType w:val="multilevel"/>
    <w:tmpl w:val="C2E8DD4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EA6CF7"/>
    <w:multiLevelType w:val="hybridMultilevel"/>
    <w:tmpl w:val="440AC98A"/>
    <w:lvl w:ilvl="0" w:tplc="080AE96A">
      <w:start w:val="4"/>
      <w:numFmt w:val="bullet"/>
      <w:lvlText w:val="-"/>
      <w:lvlJc w:val="left"/>
      <w:pPr>
        <w:ind w:left="1428" w:hanging="360"/>
      </w:pPr>
      <w:rPr>
        <w:rFonts w:ascii="Verdana" w:eastAsia="Calibri" w:hAnsi="Verdana"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53D4438C"/>
    <w:multiLevelType w:val="hybridMultilevel"/>
    <w:tmpl w:val="C5B8B068"/>
    <w:lvl w:ilvl="0" w:tplc="080AE96A">
      <w:start w:val="4"/>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6BD5035"/>
    <w:multiLevelType w:val="hybridMultilevel"/>
    <w:tmpl w:val="829652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3E45E0F"/>
    <w:multiLevelType w:val="hybridMultilevel"/>
    <w:tmpl w:val="30021636"/>
    <w:lvl w:ilvl="0" w:tplc="080AE96A">
      <w:start w:val="4"/>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5150FFA"/>
    <w:multiLevelType w:val="hybridMultilevel"/>
    <w:tmpl w:val="3C96C19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6A145A4A"/>
    <w:multiLevelType w:val="hybridMultilevel"/>
    <w:tmpl w:val="41026156"/>
    <w:lvl w:ilvl="0" w:tplc="ECD8C098">
      <w:start w:val="1"/>
      <w:numFmt w:val="decimal"/>
      <w:lvlText w:val="%1."/>
      <w:lvlJc w:val="left"/>
      <w:pPr>
        <w:ind w:left="1504" w:hanging="360"/>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15:restartNumberingAfterBreak="0">
    <w:nsid w:val="6F431B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483CE9"/>
    <w:multiLevelType w:val="hybridMultilevel"/>
    <w:tmpl w:val="185E1A52"/>
    <w:lvl w:ilvl="0" w:tplc="A3A68118">
      <w:start w:val="1"/>
      <w:numFmt w:val="upperRoman"/>
      <w:lvlText w:val="Раздел %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57836"/>
    <w:multiLevelType w:val="hybridMultilevel"/>
    <w:tmpl w:val="185E1A52"/>
    <w:lvl w:ilvl="0" w:tplc="A3A68118">
      <w:start w:val="1"/>
      <w:numFmt w:val="upperRoman"/>
      <w:lvlText w:val="Раздел %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21"/>
  </w:num>
  <w:num w:numId="5">
    <w:abstractNumId w:val="18"/>
  </w:num>
  <w:num w:numId="6">
    <w:abstractNumId w:val="6"/>
  </w:num>
  <w:num w:numId="7">
    <w:abstractNumId w:val="20"/>
  </w:num>
  <w:num w:numId="8">
    <w:abstractNumId w:val="2"/>
  </w:num>
  <w:num w:numId="9">
    <w:abstractNumId w:val="13"/>
  </w:num>
  <w:num w:numId="10">
    <w:abstractNumId w:val="15"/>
  </w:num>
  <w:num w:numId="11">
    <w:abstractNumId w:val="2"/>
  </w:num>
  <w:num w:numId="12">
    <w:abstractNumId w:val="9"/>
  </w:num>
  <w:num w:numId="13">
    <w:abstractNumId w:val="3"/>
  </w:num>
  <w:num w:numId="14">
    <w:abstractNumId w:val="16"/>
  </w:num>
  <w:num w:numId="15">
    <w:abstractNumId w:val="14"/>
  </w:num>
  <w:num w:numId="16">
    <w:abstractNumId w:val="1"/>
  </w:num>
  <w:num w:numId="17">
    <w:abstractNumId w:val="4"/>
  </w:num>
  <w:num w:numId="18">
    <w:abstractNumId w:val="8"/>
  </w:num>
  <w:num w:numId="19">
    <w:abstractNumId w:val="17"/>
  </w:num>
  <w:num w:numId="20">
    <w:abstractNumId w:val="0"/>
  </w:num>
  <w:num w:numId="21">
    <w:abstractNumId w:val="5"/>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05"/>
    <w:rsid w:val="0000189D"/>
    <w:rsid w:val="00004148"/>
    <w:rsid w:val="00006E83"/>
    <w:rsid w:val="00007BEC"/>
    <w:rsid w:val="00007F3B"/>
    <w:rsid w:val="00011304"/>
    <w:rsid w:val="00015742"/>
    <w:rsid w:val="00022A3F"/>
    <w:rsid w:val="00022CB3"/>
    <w:rsid w:val="00022F8C"/>
    <w:rsid w:val="000258FC"/>
    <w:rsid w:val="00025E6C"/>
    <w:rsid w:val="00027127"/>
    <w:rsid w:val="00027DC1"/>
    <w:rsid w:val="000305BC"/>
    <w:rsid w:val="00032495"/>
    <w:rsid w:val="00033D77"/>
    <w:rsid w:val="00035720"/>
    <w:rsid w:val="00037358"/>
    <w:rsid w:val="0003766F"/>
    <w:rsid w:val="000406B7"/>
    <w:rsid w:val="0004369B"/>
    <w:rsid w:val="000455F3"/>
    <w:rsid w:val="00045C04"/>
    <w:rsid w:val="000460DC"/>
    <w:rsid w:val="00047023"/>
    <w:rsid w:val="000502F4"/>
    <w:rsid w:val="00051435"/>
    <w:rsid w:val="00056E17"/>
    <w:rsid w:val="00057D60"/>
    <w:rsid w:val="000612A2"/>
    <w:rsid w:val="00063489"/>
    <w:rsid w:val="000648DA"/>
    <w:rsid w:val="00067369"/>
    <w:rsid w:val="0006776E"/>
    <w:rsid w:val="00070C77"/>
    <w:rsid w:val="00072613"/>
    <w:rsid w:val="000767BF"/>
    <w:rsid w:val="00082062"/>
    <w:rsid w:val="00084653"/>
    <w:rsid w:val="0008797E"/>
    <w:rsid w:val="000911D4"/>
    <w:rsid w:val="0009144A"/>
    <w:rsid w:val="00097FCF"/>
    <w:rsid w:val="000A04FB"/>
    <w:rsid w:val="000A51FF"/>
    <w:rsid w:val="000A53D8"/>
    <w:rsid w:val="000A621A"/>
    <w:rsid w:val="000B198C"/>
    <w:rsid w:val="000B4E8F"/>
    <w:rsid w:val="000B615A"/>
    <w:rsid w:val="000C1FA8"/>
    <w:rsid w:val="000C3438"/>
    <w:rsid w:val="000C4D8B"/>
    <w:rsid w:val="000C4F93"/>
    <w:rsid w:val="000C5B97"/>
    <w:rsid w:val="000C7474"/>
    <w:rsid w:val="000D1CF4"/>
    <w:rsid w:val="000D29E8"/>
    <w:rsid w:val="000D5B45"/>
    <w:rsid w:val="000D5F7D"/>
    <w:rsid w:val="000E1E3F"/>
    <w:rsid w:val="000E214E"/>
    <w:rsid w:val="000E3996"/>
    <w:rsid w:val="000E60DA"/>
    <w:rsid w:val="000E6C59"/>
    <w:rsid w:val="000E72EA"/>
    <w:rsid w:val="000F192C"/>
    <w:rsid w:val="000F42B0"/>
    <w:rsid w:val="000F499A"/>
    <w:rsid w:val="000F7604"/>
    <w:rsid w:val="000F7F3A"/>
    <w:rsid w:val="001015B6"/>
    <w:rsid w:val="00101CBD"/>
    <w:rsid w:val="00102F79"/>
    <w:rsid w:val="00104891"/>
    <w:rsid w:val="001104D1"/>
    <w:rsid w:val="00117CD1"/>
    <w:rsid w:val="00123BB5"/>
    <w:rsid w:val="00124FDB"/>
    <w:rsid w:val="00126BE0"/>
    <w:rsid w:val="001273AB"/>
    <w:rsid w:val="00132788"/>
    <w:rsid w:val="00132955"/>
    <w:rsid w:val="00132DF5"/>
    <w:rsid w:val="00134B45"/>
    <w:rsid w:val="00134CCE"/>
    <w:rsid w:val="001404C6"/>
    <w:rsid w:val="00145749"/>
    <w:rsid w:val="00146E4E"/>
    <w:rsid w:val="001518C3"/>
    <w:rsid w:val="001542C8"/>
    <w:rsid w:val="0015501E"/>
    <w:rsid w:val="001552B4"/>
    <w:rsid w:val="00155D73"/>
    <w:rsid w:val="001565A8"/>
    <w:rsid w:val="0015734B"/>
    <w:rsid w:val="00157AB8"/>
    <w:rsid w:val="00164176"/>
    <w:rsid w:val="00173329"/>
    <w:rsid w:val="00173418"/>
    <w:rsid w:val="00173BA9"/>
    <w:rsid w:val="001745F0"/>
    <w:rsid w:val="001769C0"/>
    <w:rsid w:val="001770E1"/>
    <w:rsid w:val="00180CAF"/>
    <w:rsid w:val="00183277"/>
    <w:rsid w:val="001838A5"/>
    <w:rsid w:val="0018501D"/>
    <w:rsid w:val="00185358"/>
    <w:rsid w:val="00185598"/>
    <w:rsid w:val="00187873"/>
    <w:rsid w:val="00187E8C"/>
    <w:rsid w:val="0019431B"/>
    <w:rsid w:val="00195DF0"/>
    <w:rsid w:val="001A3893"/>
    <w:rsid w:val="001B0762"/>
    <w:rsid w:val="001B5A6B"/>
    <w:rsid w:val="001C3C18"/>
    <w:rsid w:val="001C3D9C"/>
    <w:rsid w:val="001C572F"/>
    <w:rsid w:val="001C6028"/>
    <w:rsid w:val="001C6E12"/>
    <w:rsid w:val="001C74D3"/>
    <w:rsid w:val="001D0747"/>
    <w:rsid w:val="001D10C5"/>
    <w:rsid w:val="001D1C07"/>
    <w:rsid w:val="001D4989"/>
    <w:rsid w:val="001D498D"/>
    <w:rsid w:val="001D585C"/>
    <w:rsid w:val="001D594D"/>
    <w:rsid w:val="001D65FA"/>
    <w:rsid w:val="001D77E2"/>
    <w:rsid w:val="001E3D3B"/>
    <w:rsid w:val="001E47DA"/>
    <w:rsid w:val="001E4BDC"/>
    <w:rsid w:val="001E57AC"/>
    <w:rsid w:val="001F0A5A"/>
    <w:rsid w:val="001F20A8"/>
    <w:rsid w:val="001F41F8"/>
    <w:rsid w:val="001F4A26"/>
    <w:rsid w:val="00204D25"/>
    <w:rsid w:val="00210A38"/>
    <w:rsid w:val="00210BE4"/>
    <w:rsid w:val="002131C9"/>
    <w:rsid w:val="002201DB"/>
    <w:rsid w:val="00223FBC"/>
    <w:rsid w:val="00225B6D"/>
    <w:rsid w:val="00225E26"/>
    <w:rsid w:val="0022618D"/>
    <w:rsid w:val="00230493"/>
    <w:rsid w:val="002310AC"/>
    <w:rsid w:val="00236CCC"/>
    <w:rsid w:val="00242630"/>
    <w:rsid w:val="00244472"/>
    <w:rsid w:val="00246A05"/>
    <w:rsid w:val="00246A8B"/>
    <w:rsid w:val="00247926"/>
    <w:rsid w:val="0025171D"/>
    <w:rsid w:val="00253CCE"/>
    <w:rsid w:val="00254A84"/>
    <w:rsid w:val="00255DB1"/>
    <w:rsid w:val="002563D4"/>
    <w:rsid w:val="00256B4C"/>
    <w:rsid w:val="0026179C"/>
    <w:rsid w:val="00264717"/>
    <w:rsid w:val="0026479F"/>
    <w:rsid w:val="00270138"/>
    <w:rsid w:val="00270B88"/>
    <w:rsid w:val="00270F64"/>
    <w:rsid w:val="0027103B"/>
    <w:rsid w:val="00272B44"/>
    <w:rsid w:val="00275565"/>
    <w:rsid w:val="002761C2"/>
    <w:rsid w:val="002809EF"/>
    <w:rsid w:val="00282E22"/>
    <w:rsid w:val="002830CE"/>
    <w:rsid w:val="00286236"/>
    <w:rsid w:val="002872A7"/>
    <w:rsid w:val="002908D7"/>
    <w:rsid w:val="002943AA"/>
    <w:rsid w:val="002945EA"/>
    <w:rsid w:val="002949E3"/>
    <w:rsid w:val="0029673A"/>
    <w:rsid w:val="00297323"/>
    <w:rsid w:val="002A24D2"/>
    <w:rsid w:val="002A26DD"/>
    <w:rsid w:val="002A7D9E"/>
    <w:rsid w:val="002B3390"/>
    <w:rsid w:val="002B3D1F"/>
    <w:rsid w:val="002B66D2"/>
    <w:rsid w:val="002C416E"/>
    <w:rsid w:val="002D1F6A"/>
    <w:rsid w:val="002D5DEB"/>
    <w:rsid w:val="002D5FCA"/>
    <w:rsid w:val="002D60A9"/>
    <w:rsid w:val="002D7BF0"/>
    <w:rsid w:val="002E2381"/>
    <w:rsid w:val="002E2922"/>
    <w:rsid w:val="002E522E"/>
    <w:rsid w:val="002E59D1"/>
    <w:rsid w:val="002E6197"/>
    <w:rsid w:val="002F096F"/>
    <w:rsid w:val="002F12E4"/>
    <w:rsid w:val="002F2F4C"/>
    <w:rsid w:val="002F46BD"/>
    <w:rsid w:val="002F606C"/>
    <w:rsid w:val="00302E1C"/>
    <w:rsid w:val="0030361A"/>
    <w:rsid w:val="00303C2A"/>
    <w:rsid w:val="00304BDB"/>
    <w:rsid w:val="00306FA9"/>
    <w:rsid w:val="003125D9"/>
    <w:rsid w:val="00313D4B"/>
    <w:rsid w:val="00314A00"/>
    <w:rsid w:val="00317964"/>
    <w:rsid w:val="003231FB"/>
    <w:rsid w:val="003259B7"/>
    <w:rsid w:val="00325AAC"/>
    <w:rsid w:val="00331F56"/>
    <w:rsid w:val="00333623"/>
    <w:rsid w:val="00333C5D"/>
    <w:rsid w:val="00335768"/>
    <w:rsid w:val="00336505"/>
    <w:rsid w:val="00336F11"/>
    <w:rsid w:val="003376D4"/>
    <w:rsid w:val="00345046"/>
    <w:rsid w:val="0034659D"/>
    <w:rsid w:val="00346795"/>
    <w:rsid w:val="003524E6"/>
    <w:rsid w:val="0035255B"/>
    <w:rsid w:val="00352FF7"/>
    <w:rsid w:val="00353534"/>
    <w:rsid w:val="0035394F"/>
    <w:rsid w:val="00355521"/>
    <w:rsid w:val="00360656"/>
    <w:rsid w:val="00360E70"/>
    <w:rsid w:val="0036517E"/>
    <w:rsid w:val="00370BA0"/>
    <w:rsid w:val="00372342"/>
    <w:rsid w:val="003739A3"/>
    <w:rsid w:val="0037798C"/>
    <w:rsid w:val="003800B4"/>
    <w:rsid w:val="00381BD8"/>
    <w:rsid w:val="00381F27"/>
    <w:rsid w:val="00384FEC"/>
    <w:rsid w:val="003870E9"/>
    <w:rsid w:val="003879F2"/>
    <w:rsid w:val="003A05C1"/>
    <w:rsid w:val="003A176A"/>
    <w:rsid w:val="003A2890"/>
    <w:rsid w:val="003A2EE7"/>
    <w:rsid w:val="003A4F1D"/>
    <w:rsid w:val="003A5BC9"/>
    <w:rsid w:val="003A6080"/>
    <w:rsid w:val="003A769E"/>
    <w:rsid w:val="003B19FE"/>
    <w:rsid w:val="003B39C3"/>
    <w:rsid w:val="003B585E"/>
    <w:rsid w:val="003B60E6"/>
    <w:rsid w:val="003B6A65"/>
    <w:rsid w:val="003B761D"/>
    <w:rsid w:val="003C0E45"/>
    <w:rsid w:val="003C3896"/>
    <w:rsid w:val="003C3925"/>
    <w:rsid w:val="003C51C7"/>
    <w:rsid w:val="003C56FA"/>
    <w:rsid w:val="003C649A"/>
    <w:rsid w:val="003C67FA"/>
    <w:rsid w:val="003D318A"/>
    <w:rsid w:val="003D3C2D"/>
    <w:rsid w:val="003D5EEC"/>
    <w:rsid w:val="003D66B7"/>
    <w:rsid w:val="003E0A71"/>
    <w:rsid w:val="003E0DD1"/>
    <w:rsid w:val="003E2224"/>
    <w:rsid w:val="003E2FE1"/>
    <w:rsid w:val="003E5056"/>
    <w:rsid w:val="003E6459"/>
    <w:rsid w:val="003E6F39"/>
    <w:rsid w:val="003F3AD6"/>
    <w:rsid w:val="003F3B3F"/>
    <w:rsid w:val="003F7846"/>
    <w:rsid w:val="003F7976"/>
    <w:rsid w:val="00402430"/>
    <w:rsid w:val="00403198"/>
    <w:rsid w:val="00412EC7"/>
    <w:rsid w:val="00415560"/>
    <w:rsid w:val="00417A55"/>
    <w:rsid w:val="00417D78"/>
    <w:rsid w:val="004235F7"/>
    <w:rsid w:val="004242A4"/>
    <w:rsid w:val="004270B6"/>
    <w:rsid w:val="00427ECF"/>
    <w:rsid w:val="00430B78"/>
    <w:rsid w:val="0043206B"/>
    <w:rsid w:val="004377D4"/>
    <w:rsid w:val="00437E53"/>
    <w:rsid w:val="004400E4"/>
    <w:rsid w:val="004440C4"/>
    <w:rsid w:val="00444360"/>
    <w:rsid w:val="004457A1"/>
    <w:rsid w:val="0044746F"/>
    <w:rsid w:val="004523EA"/>
    <w:rsid w:val="00453382"/>
    <w:rsid w:val="0045518B"/>
    <w:rsid w:val="0046397E"/>
    <w:rsid w:val="00463FA8"/>
    <w:rsid w:val="00471526"/>
    <w:rsid w:val="004733B0"/>
    <w:rsid w:val="00474326"/>
    <w:rsid w:val="004820BC"/>
    <w:rsid w:val="00482AAF"/>
    <w:rsid w:val="00484810"/>
    <w:rsid w:val="00493E4E"/>
    <w:rsid w:val="004954DE"/>
    <w:rsid w:val="00495CFC"/>
    <w:rsid w:val="0049631E"/>
    <w:rsid w:val="004A1E92"/>
    <w:rsid w:val="004B3F11"/>
    <w:rsid w:val="004B4C73"/>
    <w:rsid w:val="004B5BA6"/>
    <w:rsid w:val="004B66F8"/>
    <w:rsid w:val="004B6FA8"/>
    <w:rsid w:val="004B798D"/>
    <w:rsid w:val="004C03CD"/>
    <w:rsid w:val="004C21E7"/>
    <w:rsid w:val="004C33A3"/>
    <w:rsid w:val="004C3E45"/>
    <w:rsid w:val="004C5543"/>
    <w:rsid w:val="004C5ECE"/>
    <w:rsid w:val="004C6520"/>
    <w:rsid w:val="004C6EA3"/>
    <w:rsid w:val="004D270A"/>
    <w:rsid w:val="004D5A13"/>
    <w:rsid w:val="004E45DC"/>
    <w:rsid w:val="004E7F39"/>
    <w:rsid w:val="004F21E5"/>
    <w:rsid w:val="004F2464"/>
    <w:rsid w:val="004F36BB"/>
    <w:rsid w:val="004F4C59"/>
    <w:rsid w:val="004F5214"/>
    <w:rsid w:val="004F5C1F"/>
    <w:rsid w:val="004F727F"/>
    <w:rsid w:val="00512C8D"/>
    <w:rsid w:val="0051421E"/>
    <w:rsid w:val="0051688B"/>
    <w:rsid w:val="00523C4B"/>
    <w:rsid w:val="0052405E"/>
    <w:rsid w:val="005244A0"/>
    <w:rsid w:val="00525458"/>
    <w:rsid w:val="00526C38"/>
    <w:rsid w:val="005319CD"/>
    <w:rsid w:val="00534B50"/>
    <w:rsid w:val="00536126"/>
    <w:rsid w:val="00540884"/>
    <w:rsid w:val="005432FF"/>
    <w:rsid w:val="0054532A"/>
    <w:rsid w:val="0054538B"/>
    <w:rsid w:val="005501CA"/>
    <w:rsid w:val="00550D07"/>
    <w:rsid w:val="00551B7C"/>
    <w:rsid w:val="00551FC7"/>
    <w:rsid w:val="0055303E"/>
    <w:rsid w:val="00554A85"/>
    <w:rsid w:val="00555C49"/>
    <w:rsid w:val="00555F0C"/>
    <w:rsid w:val="00556634"/>
    <w:rsid w:val="00561040"/>
    <w:rsid w:val="005617E4"/>
    <w:rsid w:val="00566DC4"/>
    <w:rsid w:val="005676A0"/>
    <w:rsid w:val="00570CB9"/>
    <w:rsid w:val="00572A60"/>
    <w:rsid w:val="0057302F"/>
    <w:rsid w:val="005735BE"/>
    <w:rsid w:val="00573AF5"/>
    <w:rsid w:val="005763DD"/>
    <w:rsid w:val="00587238"/>
    <w:rsid w:val="0059032F"/>
    <w:rsid w:val="005903BE"/>
    <w:rsid w:val="0059137A"/>
    <w:rsid w:val="00591756"/>
    <w:rsid w:val="00591D16"/>
    <w:rsid w:val="005951E9"/>
    <w:rsid w:val="00595B51"/>
    <w:rsid w:val="00596894"/>
    <w:rsid w:val="00596FB5"/>
    <w:rsid w:val="005A1A7B"/>
    <w:rsid w:val="005A2F01"/>
    <w:rsid w:val="005A5606"/>
    <w:rsid w:val="005A7A40"/>
    <w:rsid w:val="005A7B04"/>
    <w:rsid w:val="005B1CF5"/>
    <w:rsid w:val="005B4558"/>
    <w:rsid w:val="005B723A"/>
    <w:rsid w:val="005B75C5"/>
    <w:rsid w:val="005B7A40"/>
    <w:rsid w:val="005C2A8F"/>
    <w:rsid w:val="005C3820"/>
    <w:rsid w:val="005C7AC7"/>
    <w:rsid w:val="005C7E4F"/>
    <w:rsid w:val="005D3CEF"/>
    <w:rsid w:val="005D509D"/>
    <w:rsid w:val="005D6B26"/>
    <w:rsid w:val="005D7507"/>
    <w:rsid w:val="005E20D4"/>
    <w:rsid w:val="005E35F4"/>
    <w:rsid w:val="005E64F7"/>
    <w:rsid w:val="005E6725"/>
    <w:rsid w:val="005F0C2C"/>
    <w:rsid w:val="005F2C8E"/>
    <w:rsid w:val="005F4966"/>
    <w:rsid w:val="005F7777"/>
    <w:rsid w:val="00600055"/>
    <w:rsid w:val="00600334"/>
    <w:rsid w:val="00601FE7"/>
    <w:rsid w:val="00602576"/>
    <w:rsid w:val="00602D07"/>
    <w:rsid w:val="00602E73"/>
    <w:rsid w:val="006061AF"/>
    <w:rsid w:val="00607E85"/>
    <w:rsid w:val="00611FC7"/>
    <w:rsid w:val="006141A4"/>
    <w:rsid w:val="006147FB"/>
    <w:rsid w:val="00615AC0"/>
    <w:rsid w:val="006210C6"/>
    <w:rsid w:val="00631137"/>
    <w:rsid w:val="006311A3"/>
    <w:rsid w:val="00631643"/>
    <w:rsid w:val="00633899"/>
    <w:rsid w:val="00633AF3"/>
    <w:rsid w:val="00634530"/>
    <w:rsid w:val="00642705"/>
    <w:rsid w:val="0064412B"/>
    <w:rsid w:val="006456FD"/>
    <w:rsid w:val="00645AD6"/>
    <w:rsid w:val="00646A0C"/>
    <w:rsid w:val="00647212"/>
    <w:rsid w:val="0065076D"/>
    <w:rsid w:val="006548A3"/>
    <w:rsid w:val="00655A0D"/>
    <w:rsid w:val="0065716E"/>
    <w:rsid w:val="0066431E"/>
    <w:rsid w:val="006755D1"/>
    <w:rsid w:val="0068144B"/>
    <w:rsid w:val="00683544"/>
    <w:rsid w:val="00685045"/>
    <w:rsid w:val="006851F8"/>
    <w:rsid w:val="00687A41"/>
    <w:rsid w:val="00692918"/>
    <w:rsid w:val="00696CE3"/>
    <w:rsid w:val="006978E8"/>
    <w:rsid w:val="006A08B3"/>
    <w:rsid w:val="006A2362"/>
    <w:rsid w:val="006A2C52"/>
    <w:rsid w:val="006A671E"/>
    <w:rsid w:val="006A6D67"/>
    <w:rsid w:val="006B0D04"/>
    <w:rsid w:val="006B4E17"/>
    <w:rsid w:val="006B5185"/>
    <w:rsid w:val="006C0E8B"/>
    <w:rsid w:val="006C28B5"/>
    <w:rsid w:val="006C6C38"/>
    <w:rsid w:val="006D0881"/>
    <w:rsid w:val="006D545B"/>
    <w:rsid w:val="006D585F"/>
    <w:rsid w:val="006E03B3"/>
    <w:rsid w:val="006E3356"/>
    <w:rsid w:val="006E5DD2"/>
    <w:rsid w:val="006F060E"/>
    <w:rsid w:val="006F0DBB"/>
    <w:rsid w:val="006F12D0"/>
    <w:rsid w:val="006F7D86"/>
    <w:rsid w:val="00700F58"/>
    <w:rsid w:val="007014F5"/>
    <w:rsid w:val="00706ED0"/>
    <w:rsid w:val="0071267D"/>
    <w:rsid w:val="00714B8C"/>
    <w:rsid w:val="00720107"/>
    <w:rsid w:val="00720DD6"/>
    <w:rsid w:val="0072215E"/>
    <w:rsid w:val="00722870"/>
    <w:rsid w:val="0072741D"/>
    <w:rsid w:val="00730F80"/>
    <w:rsid w:val="007339CF"/>
    <w:rsid w:val="00737631"/>
    <w:rsid w:val="00742531"/>
    <w:rsid w:val="00745948"/>
    <w:rsid w:val="00745C94"/>
    <w:rsid w:val="00747775"/>
    <w:rsid w:val="007520B7"/>
    <w:rsid w:val="00753097"/>
    <w:rsid w:val="00754168"/>
    <w:rsid w:val="00756674"/>
    <w:rsid w:val="0076059D"/>
    <w:rsid w:val="00762042"/>
    <w:rsid w:val="00762C51"/>
    <w:rsid w:val="007637C4"/>
    <w:rsid w:val="00763D33"/>
    <w:rsid w:val="00773902"/>
    <w:rsid w:val="0077707D"/>
    <w:rsid w:val="007860CB"/>
    <w:rsid w:val="00795143"/>
    <w:rsid w:val="007A1156"/>
    <w:rsid w:val="007A1712"/>
    <w:rsid w:val="007A208F"/>
    <w:rsid w:val="007A2214"/>
    <w:rsid w:val="007A34A6"/>
    <w:rsid w:val="007A62BB"/>
    <w:rsid w:val="007A6C3A"/>
    <w:rsid w:val="007A6C4B"/>
    <w:rsid w:val="007B364B"/>
    <w:rsid w:val="007B44EC"/>
    <w:rsid w:val="007B51DF"/>
    <w:rsid w:val="007B676B"/>
    <w:rsid w:val="007C146A"/>
    <w:rsid w:val="007C4D58"/>
    <w:rsid w:val="007C797C"/>
    <w:rsid w:val="007C7B7F"/>
    <w:rsid w:val="007D0EEB"/>
    <w:rsid w:val="007D24AB"/>
    <w:rsid w:val="007D42DE"/>
    <w:rsid w:val="007D5F9C"/>
    <w:rsid w:val="007E1609"/>
    <w:rsid w:val="007E1C8E"/>
    <w:rsid w:val="007E201B"/>
    <w:rsid w:val="007E22C3"/>
    <w:rsid w:val="007E2F12"/>
    <w:rsid w:val="007E532A"/>
    <w:rsid w:val="007F4943"/>
    <w:rsid w:val="007F75D3"/>
    <w:rsid w:val="00801F35"/>
    <w:rsid w:val="00801FA4"/>
    <w:rsid w:val="00807806"/>
    <w:rsid w:val="0081246F"/>
    <w:rsid w:val="00812F54"/>
    <w:rsid w:val="00813F05"/>
    <w:rsid w:val="00814706"/>
    <w:rsid w:val="0081533C"/>
    <w:rsid w:val="008175F1"/>
    <w:rsid w:val="008177F9"/>
    <w:rsid w:val="00820E7B"/>
    <w:rsid w:val="00823C9D"/>
    <w:rsid w:val="00827DBE"/>
    <w:rsid w:val="00833A71"/>
    <w:rsid w:val="00841BB0"/>
    <w:rsid w:val="008423C8"/>
    <w:rsid w:val="00842A8E"/>
    <w:rsid w:val="008430F3"/>
    <w:rsid w:val="008438D9"/>
    <w:rsid w:val="00846A5D"/>
    <w:rsid w:val="00847736"/>
    <w:rsid w:val="0085245E"/>
    <w:rsid w:val="00855833"/>
    <w:rsid w:val="0085659A"/>
    <w:rsid w:val="00857105"/>
    <w:rsid w:val="008577AB"/>
    <w:rsid w:val="008601FD"/>
    <w:rsid w:val="008605C3"/>
    <w:rsid w:val="00861572"/>
    <w:rsid w:val="00862BC8"/>
    <w:rsid w:val="00863134"/>
    <w:rsid w:val="00863199"/>
    <w:rsid w:val="008645E6"/>
    <w:rsid w:val="00864E72"/>
    <w:rsid w:val="00866853"/>
    <w:rsid w:val="0086687A"/>
    <w:rsid w:val="00872CA9"/>
    <w:rsid w:val="00874CFF"/>
    <w:rsid w:val="00875CA7"/>
    <w:rsid w:val="00882623"/>
    <w:rsid w:val="00882A12"/>
    <w:rsid w:val="00882DD8"/>
    <w:rsid w:val="00884BB8"/>
    <w:rsid w:val="00885509"/>
    <w:rsid w:val="008925EA"/>
    <w:rsid w:val="00893FB5"/>
    <w:rsid w:val="008951C2"/>
    <w:rsid w:val="008A17D8"/>
    <w:rsid w:val="008A2CAD"/>
    <w:rsid w:val="008A7208"/>
    <w:rsid w:val="008B1FC8"/>
    <w:rsid w:val="008B40D1"/>
    <w:rsid w:val="008B43EE"/>
    <w:rsid w:val="008B55F5"/>
    <w:rsid w:val="008B6428"/>
    <w:rsid w:val="008B77C9"/>
    <w:rsid w:val="008C1317"/>
    <w:rsid w:val="008C272E"/>
    <w:rsid w:val="008C5157"/>
    <w:rsid w:val="008C56DD"/>
    <w:rsid w:val="008D12DE"/>
    <w:rsid w:val="008D1442"/>
    <w:rsid w:val="008D1558"/>
    <w:rsid w:val="008D6AEC"/>
    <w:rsid w:val="008D76CE"/>
    <w:rsid w:val="008E1051"/>
    <w:rsid w:val="008E61AC"/>
    <w:rsid w:val="008E7C86"/>
    <w:rsid w:val="008F1F66"/>
    <w:rsid w:val="008F4401"/>
    <w:rsid w:val="008F6CEB"/>
    <w:rsid w:val="009011D6"/>
    <w:rsid w:val="00901F3A"/>
    <w:rsid w:val="00904CAD"/>
    <w:rsid w:val="00905175"/>
    <w:rsid w:val="009065FD"/>
    <w:rsid w:val="00912736"/>
    <w:rsid w:val="0091492E"/>
    <w:rsid w:val="00915AEB"/>
    <w:rsid w:val="00921054"/>
    <w:rsid w:val="00922957"/>
    <w:rsid w:val="00922CBF"/>
    <w:rsid w:val="00925CE7"/>
    <w:rsid w:val="00927295"/>
    <w:rsid w:val="009333E9"/>
    <w:rsid w:val="009340B7"/>
    <w:rsid w:val="0093533A"/>
    <w:rsid w:val="0093678B"/>
    <w:rsid w:val="009400D7"/>
    <w:rsid w:val="00942CA1"/>
    <w:rsid w:val="00943405"/>
    <w:rsid w:val="009453F7"/>
    <w:rsid w:val="0094667B"/>
    <w:rsid w:val="009511D6"/>
    <w:rsid w:val="00952CA1"/>
    <w:rsid w:val="00953219"/>
    <w:rsid w:val="00955426"/>
    <w:rsid w:val="00957A85"/>
    <w:rsid w:val="009607F7"/>
    <w:rsid w:val="009608D8"/>
    <w:rsid w:val="0096471C"/>
    <w:rsid w:val="0096509B"/>
    <w:rsid w:val="00966417"/>
    <w:rsid w:val="00971832"/>
    <w:rsid w:val="0097700E"/>
    <w:rsid w:val="00983C0D"/>
    <w:rsid w:val="0098716A"/>
    <w:rsid w:val="00987249"/>
    <w:rsid w:val="00987F88"/>
    <w:rsid w:val="009936AF"/>
    <w:rsid w:val="0099497C"/>
    <w:rsid w:val="0099721D"/>
    <w:rsid w:val="00997727"/>
    <w:rsid w:val="009A2AD7"/>
    <w:rsid w:val="009A5196"/>
    <w:rsid w:val="009B30C7"/>
    <w:rsid w:val="009B341E"/>
    <w:rsid w:val="009B3820"/>
    <w:rsid w:val="009B717F"/>
    <w:rsid w:val="009B7791"/>
    <w:rsid w:val="009C01BF"/>
    <w:rsid w:val="009D0A26"/>
    <w:rsid w:val="009D32A9"/>
    <w:rsid w:val="009D5550"/>
    <w:rsid w:val="009D58EA"/>
    <w:rsid w:val="009D7364"/>
    <w:rsid w:val="009E0CAE"/>
    <w:rsid w:val="009E3838"/>
    <w:rsid w:val="009E3B63"/>
    <w:rsid w:val="009E7A8B"/>
    <w:rsid w:val="009F4BD1"/>
    <w:rsid w:val="009F6909"/>
    <w:rsid w:val="009F7DE4"/>
    <w:rsid w:val="00A0145E"/>
    <w:rsid w:val="00A01A33"/>
    <w:rsid w:val="00A03150"/>
    <w:rsid w:val="00A0424A"/>
    <w:rsid w:val="00A10D92"/>
    <w:rsid w:val="00A11D1E"/>
    <w:rsid w:val="00A125B3"/>
    <w:rsid w:val="00A14367"/>
    <w:rsid w:val="00A15355"/>
    <w:rsid w:val="00A1682C"/>
    <w:rsid w:val="00A24202"/>
    <w:rsid w:val="00A26288"/>
    <w:rsid w:val="00A2691A"/>
    <w:rsid w:val="00A27392"/>
    <w:rsid w:val="00A274E4"/>
    <w:rsid w:val="00A325D5"/>
    <w:rsid w:val="00A32896"/>
    <w:rsid w:val="00A3330E"/>
    <w:rsid w:val="00A36ED9"/>
    <w:rsid w:val="00A37D76"/>
    <w:rsid w:val="00A418C7"/>
    <w:rsid w:val="00A4228D"/>
    <w:rsid w:val="00A446C0"/>
    <w:rsid w:val="00A4733F"/>
    <w:rsid w:val="00A55596"/>
    <w:rsid w:val="00A6038C"/>
    <w:rsid w:val="00A6194B"/>
    <w:rsid w:val="00A6261A"/>
    <w:rsid w:val="00A67399"/>
    <w:rsid w:val="00A7310E"/>
    <w:rsid w:val="00A74391"/>
    <w:rsid w:val="00A74AD6"/>
    <w:rsid w:val="00A769E1"/>
    <w:rsid w:val="00A77160"/>
    <w:rsid w:val="00A8119C"/>
    <w:rsid w:val="00A81E56"/>
    <w:rsid w:val="00A8209A"/>
    <w:rsid w:val="00A82A37"/>
    <w:rsid w:val="00A8569B"/>
    <w:rsid w:val="00A85BD7"/>
    <w:rsid w:val="00A8617E"/>
    <w:rsid w:val="00A879A0"/>
    <w:rsid w:val="00A91720"/>
    <w:rsid w:val="00A93E72"/>
    <w:rsid w:val="00A95925"/>
    <w:rsid w:val="00A963A6"/>
    <w:rsid w:val="00AA1B3F"/>
    <w:rsid w:val="00AA5112"/>
    <w:rsid w:val="00AA6EA7"/>
    <w:rsid w:val="00AB1991"/>
    <w:rsid w:val="00AB25B4"/>
    <w:rsid w:val="00AC1F40"/>
    <w:rsid w:val="00AC6BF5"/>
    <w:rsid w:val="00AD1028"/>
    <w:rsid w:val="00AD48E3"/>
    <w:rsid w:val="00AD4BA8"/>
    <w:rsid w:val="00AD5C33"/>
    <w:rsid w:val="00AD7B91"/>
    <w:rsid w:val="00AE21D1"/>
    <w:rsid w:val="00AE4773"/>
    <w:rsid w:val="00AE57F0"/>
    <w:rsid w:val="00AE69FC"/>
    <w:rsid w:val="00AF085B"/>
    <w:rsid w:val="00AF445C"/>
    <w:rsid w:val="00AF48D3"/>
    <w:rsid w:val="00AF552F"/>
    <w:rsid w:val="00AF71BF"/>
    <w:rsid w:val="00AF7660"/>
    <w:rsid w:val="00B043C1"/>
    <w:rsid w:val="00B12A41"/>
    <w:rsid w:val="00B17D9B"/>
    <w:rsid w:val="00B17E61"/>
    <w:rsid w:val="00B23BEA"/>
    <w:rsid w:val="00B3105C"/>
    <w:rsid w:val="00B31063"/>
    <w:rsid w:val="00B31D98"/>
    <w:rsid w:val="00B32359"/>
    <w:rsid w:val="00B32607"/>
    <w:rsid w:val="00B32839"/>
    <w:rsid w:val="00B361BF"/>
    <w:rsid w:val="00B3652D"/>
    <w:rsid w:val="00B37B68"/>
    <w:rsid w:val="00B446B6"/>
    <w:rsid w:val="00B449FD"/>
    <w:rsid w:val="00B46338"/>
    <w:rsid w:val="00B47CB4"/>
    <w:rsid w:val="00B52D5A"/>
    <w:rsid w:val="00B53BE3"/>
    <w:rsid w:val="00B55115"/>
    <w:rsid w:val="00B55A29"/>
    <w:rsid w:val="00B56959"/>
    <w:rsid w:val="00B61CEE"/>
    <w:rsid w:val="00B634DA"/>
    <w:rsid w:val="00B80E7C"/>
    <w:rsid w:val="00B865CF"/>
    <w:rsid w:val="00B8763D"/>
    <w:rsid w:val="00B949FB"/>
    <w:rsid w:val="00BA3718"/>
    <w:rsid w:val="00BA3CC8"/>
    <w:rsid w:val="00BB0B9E"/>
    <w:rsid w:val="00BB159D"/>
    <w:rsid w:val="00BB2A0D"/>
    <w:rsid w:val="00BB2C3C"/>
    <w:rsid w:val="00BB3B60"/>
    <w:rsid w:val="00BB7B51"/>
    <w:rsid w:val="00BC1337"/>
    <w:rsid w:val="00BC6E4F"/>
    <w:rsid w:val="00BD2D10"/>
    <w:rsid w:val="00BD3320"/>
    <w:rsid w:val="00BD3561"/>
    <w:rsid w:val="00BD4B9C"/>
    <w:rsid w:val="00BE3410"/>
    <w:rsid w:val="00BE4CC1"/>
    <w:rsid w:val="00BE61D9"/>
    <w:rsid w:val="00BE7262"/>
    <w:rsid w:val="00BE7B4A"/>
    <w:rsid w:val="00BE7B95"/>
    <w:rsid w:val="00BF1636"/>
    <w:rsid w:val="00BF284C"/>
    <w:rsid w:val="00BF3AAD"/>
    <w:rsid w:val="00BF4BE8"/>
    <w:rsid w:val="00BF4FF6"/>
    <w:rsid w:val="00C020A6"/>
    <w:rsid w:val="00C10C2B"/>
    <w:rsid w:val="00C13E31"/>
    <w:rsid w:val="00C1489E"/>
    <w:rsid w:val="00C14F98"/>
    <w:rsid w:val="00C17F54"/>
    <w:rsid w:val="00C21863"/>
    <w:rsid w:val="00C22E69"/>
    <w:rsid w:val="00C23830"/>
    <w:rsid w:val="00C2386A"/>
    <w:rsid w:val="00C251FF"/>
    <w:rsid w:val="00C252D4"/>
    <w:rsid w:val="00C2655F"/>
    <w:rsid w:val="00C267FC"/>
    <w:rsid w:val="00C303C3"/>
    <w:rsid w:val="00C328EB"/>
    <w:rsid w:val="00C33BB1"/>
    <w:rsid w:val="00C37022"/>
    <w:rsid w:val="00C41041"/>
    <w:rsid w:val="00C43EF2"/>
    <w:rsid w:val="00C44AA4"/>
    <w:rsid w:val="00C44D80"/>
    <w:rsid w:val="00C51B21"/>
    <w:rsid w:val="00C51E08"/>
    <w:rsid w:val="00C567B6"/>
    <w:rsid w:val="00C61A63"/>
    <w:rsid w:val="00C62AFF"/>
    <w:rsid w:val="00C702DE"/>
    <w:rsid w:val="00C723EA"/>
    <w:rsid w:val="00C746E9"/>
    <w:rsid w:val="00C749CE"/>
    <w:rsid w:val="00C7798D"/>
    <w:rsid w:val="00C803FC"/>
    <w:rsid w:val="00C828FD"/>
    <w:rsid w:val="00C84708"/>
    <w:rsid w:val="00C84DAB"/>
    <w:rsid w:val="00C85DF6"/>
    <w:rsid w:val="00C870F9"/>
    <w:rsid w:val="00C878FE"/>
    <w:rsid w:val="00C8793E"/>
    <w:rsid w:val="00C90F7F"/>
    <w:rsid w:val="00C91E9C"/>
    <w:rsid w:val="00C934A4"/>
    <w:rsid w:val="00C946E4"/>
    <w:rsid w:val="00C96E4C"/>
    <w:rsid w:val="00CA2054"/>
    <w:rsid w:val="00CA24EC"/>
    <w:rsid w:val="00CA462D"/>
    <w:rsid w:val="00CA4C5A"/>
    <w:rsid w:val="00CB0869"/>
    <w:rsid w:val="00CB0F3A"/>
    <w:rsid w:val="00CB20CA"/>
    <w:rsid w:val="00CB4742"/>
    <w:rsid w:val="00CB4BAB"/>
    <w:rsid w:val="00CC1779"/>
    <w:rsid w:val="00CC1B9D"/>
    <w:rsid w:val="00CC1C02"/>
    <w:rsid w:val="00CC644D"/>
    <w:rsid w:val="00CD0807"/>
    <w:rsid w:val="00CD0AF6"/>
    <w:rsid w:val="00CD1115"/>
    <w:rsid w:val="00CD7658"/>
    <w:rsid w:val="00CD7C20"/>
    <w:rsid w:val="00CE1FED"/>
    <w:rsid w:val="00CF3C7A"/>
    <w:rsid w:val="00CF51E3"/>
    <w:rsid w:val="00D00803"/>
    <w:rsid w:val="00D00AA1"/>
    <w:rsid w:val="00D03FA3"/>
    <w:rsid w:val="00D0507E"/>
    <w:rsid w:val="00D053E7"/>
    <w:rsid w:val="00D05B92"/>
    <w:rsid w:val="00D07E69"/>
    <w:rsid w:val="00D10EBB"/>
    <w:rsid w:val="00D1157C"/>
    <w:rsid w:val="00D11F04"/>
    <w:rsid w:val="00D1223F"/>
    <w:rsid w:val="00D12693"/>
    <w:rsid w:val="00D13036"/>
    <w:rsid w:val="00D1390E"/>
    <w:rsid w:val="00D15222"/>
    <w:rsid w:val="00D23661"/>
    <w:rsid w:val="00D23ADA"/>
    <w:rsid w:val="00D24771"/>
    <w:rsid w:val="00D3270A"/>
    <w:rsid w:val="00D328AB"/>
    <w:rsid w:val="00D355D3"/>
    <w:rsid w:val="00D425B5"/>
    <w:rsid w:val="00D429E8"/>
    <w:rsid w:val="00D43074"/>
    <w:rsid w:val="00D43C7C"/>
    <w:rsid w:val="00D43F67"/>
    <w:rsid w:val="00D45BDA"/>
    <w:rsid w:val="00D46F6F"/>
    <w:rsid w:val="00D519EA"/>
    <w:rsid w:val="00D5285B"/>
    <w:rsid w:val="00D52E2A"/>
    <w:rsid w:val="00D603D3"/>
    <w:rsid w:val="00D61733"/>
    <w:rsid w:val="00D63922"/>
    <w:rsid w:val="00D6550F"/>
    <w:rsid w:val="00D664CE"/>
    <w:rsid w:val="00D66AE9"/>
    <w:rsid w:val="00D67910"/>
    <w:rsid w:val="00D7127B"/>
    <w:rsid w:val="00D74D2A"/>
    <w:rsid w:val="00D76C9D"/>
    <w:rsid w:val="00D80E00"/>
    <w:rsid w:val="00D83072"/>
    <w:rsid w:val="00D83EBC"/>
    <w:rsid w:val="00D92394"/>
    <w:rsid w:val="00D9413D"/>
    <w:rsid w:val="00D952B3"/>
    <w:rsid w:val="00D9571B"/>
    <w:rsid w:val="00D95F13"/>
    <w:rsid w:val="00D97A59"/>
    <w:rsid w:val="00DA1C5B"/>
    <w:rsid w:val="00DA22DB"/>
    <w:rsid w:val="00DA3041"/>
    <w:rsid w:val="00DA5B3B"/>
    <w:rsid w:val="00DA6543"/>
    <w:rsid w:val="00DA7A27"/>
    <w:rsid w:val="00DB1658"/>
    <w:rsid w:val="00DB1F34"/>
    <w:rsid w:val="00DB5507"/>
    <w:rsid w:val="00DC0864"/>
    <w:rsid w:val="00DC0E90"/>
    <w:rsid w:val="00DC104E"/>
    <w:rsid w:val="00DC17E8"/>
    <w:rsid w:val="00DC3530"/>
    <w:rsid w:val="00DC62E0"/>
    <w:rsid w:val="00DC6581"/>
    <w:rsid w:val="00DC6A07"/>
    <w:rsid w:val="00DD53B1"/>
    <w:rsid w:val="00DD6042"/>
    <w:rsid w:val="00DE0BF5"/>
    <w:rsid w:val="00DE0FB8"/>
    <w:rsid w:val="00DE1D46"/>
    <w:rsid w:val="00DE1D92"/>
    <w:rsid w:val="00DE2EAA"/>
    <w:rsid w:val="00DE3C35"/>
    <w:rsid w:val="00DE3CA3"/>
    <w:rsid w:val="00DE3D2E"/>
    <w:rsid w:val="00DF05A5"/>
    <w:rsid w:val="00DF0768"/>
    <w:rsid w:val="00DF4AE2"/>
    <w:rsid w:val="00DF7DB7"/>
    <w:rsid w:val="00DF7ED5"/>
    <w:rsid w:val="00E01E61"/>
    <w:rsid w:val="00E02387"/>
    <w:rsid w:val="00E0410C"/>
    <w:rsid w:val="00E04913"/>
    <w:rsid w:val="00E07A72"/>
    <w:rsid w:val="00E102E3"/>
    <w:rsid w:val="00E12AFA"/>
    <w:rsid w:val="00E13E01"/>
    <w:rsid w:val="00E14F53"/>
    <w:rsid w:val="00E2394C"/>
    <w:rsid w:val="00E244B3"/>
    <w:rsid w:val="00E24D9D"/>
    <w:rsid w:val="00E305CA"/>
    <w:rsid w:val="00E3071E"/>
    <w:rsid w:val="00E30EE6"/>
    <w:rsid w:val="00E33CFC"/>
    <w:rsid w:val="00E33DD9"/>
    <w:rsid w:val="00E36E24"/>
    <w:rsid w:val="00E429A5"/>
    <w:rsid w:val="00E45839"/>
    <w:rsid w:val="00E46130"/>
    <w:rsid w:val="00E46F25"/>
    <w:rsid w:val="00E52572"/>
    <w:rsid w:val="00E528A8"/>
    <w:rsid w:val="00E5291E"/>
    <w:rsid w:val="00E52F7D"/>
    <w:rsid w:val="00E53D23"/>
    <w:rsid w:val="00E60178"/>
    <w:rsid w:val="00E616FB"/>
    <w:rsid w:val="00E640C7"/>
    <w:rsid w:val="00E64D30"/>
    <w:rsid w:val="00E67731"/>
    <w:rsid w:val="00E67DD0"/>
    <w:rsid w:val="00E70861"/>
    <w:rsid w:val="00E718C7"/>
    <w:rsid w:val="00E74733"/>
    <w:rsid w:val="00E761B0"/>
    <w:rsid w:val="00E7629D"/>
    <w:rsid w:val="00E77493"/>
    <w:rsid w:val="00E77A59"/>
    <w:rsid w:val="00E81637"/>
    <w:rsid w:val="00E820AA"/>
    <w:rsid w:val="00E83789"/>
    <w:rsid w:val="00E856D3"/>
    <w:rsid w:val="00E86617"/>
    <w:rsid w:val="00E8736A"/>
    <w:rsid w:val="00E87D6A"/>
    <w:rsid w:val="00E9291E"/>
    <w:rsid w:val="00E933BC"/>
    <w:rsid w:val="00E94430"/>
    <w:rsid w:val="00E945D5"/>
    <w:rsid w:val="00E952ED"/>
    <w:rsid w:val="00E9583B"/>
    <w:rsid w:val="00E96602"/>
    <w:rsid w:val="00E96624"/>
    <w:rsid w:val="00EA08A2"/>
    <w:rsid w:val="00EA2607"/>
    <w:rsid w:val="00EB0768"/>
    <w:rsid w:val="00EB6A4D"/>
    <w:rsid w:val="00EC1058"/>
    <w:rsid w:val="00EC3D17"/>
    <w:rsid w:val="00EC3D2C"/>
    <w:rsid w:val="00EC406B"/>
    <w:rsid w:val="00EC52D6"/>
    <w:rsid w:val="00EC722A"/>
    <w:rsid w:val="00EC78DD"/>
    <w:rsid w:val="00EC7BB4"/>
    <w:rsid w:val="00ED08F9"/>
    <w:rsid w:val="00ED08FC"/>
    <w:rsid w:val="00ED0F13"/>
    <w:rsid w:val="00ED19C9"/>
    <w:rsid w:val="00ED5783"/>
    <w:rsid w:val="00EE1364"/>
    <w:rsid w:val="00EE1413"/>
    <w:rsid w:val="00EE17D6"/>
    <w:rsid w:val="00EE1996"/>
    <w:rsid w:val="00EE30B7"/>
    <w:rsid w:val="00EE4A5B"/>
    <w:rsid w:val="00EF3395"/>
    <w:rsid w:val="00EF6F1D"/>
    <w:rsid w:val="00F002D4"/>
    <w:rsid w:val="00F01B3A"/>
    <w:rsid w:val="00F054FC"/>
    <w:rsid w:val="00F11344"/>
    <w:rsid w:val="00F1140D"/>
    <w:rsid w:val="00F12363"/>
    <w:rsid w:val="00F123A6"/>
    <w:rsid w:val="00F12609"/>
    <w:rsid w:val="00F149CB"/>
    <w:rsid w:val="00F14E75"/>
    <w:rsid w:val="00F2034E"/>
    <w:rsid w:val="00F277A7"/>
    <w:rsid w:val="00F27C11"/>
    <w:rsid w:val="00F301A6"/>
    <w:rsid w:val="00F3494E"/>
    <w:rsid w:val="00F3587B"/>
    <w:rsid w:val="00F36174"/>
    <w:rsid w:val="00F429D3"/>
    <w:rsid w:val="00F44573"/>
    <w:rsid w:val="00F4595C"/>
    <w:rsid w:val="00F50386"/>
    <w:rsid w:val="00F5200A"/>
    <w:rsid w:val="00F553C9"/>
    <w:rsid w:val="00F5745D"/>
    <w:rsid w:val="00F64E76"/>
    <w:rsid w:val="00F66B64"/>
    <w:rsid w:val="00F67A80"/>
    <w:rsid w:val="00F67EA0"/>
    <w:rsid w:val="00F67F3F"/>
    <w:rsid w:val="00F765EE"/>
    <w:rsid w:val="00F771F4"/>
    <w:rsid w:val="00F77DE4"/>
    <w:rsid w:val="00F8324C"/>
    <w:rsid w:val="00F948D7"/>
    <w:rsid w:val="00F97293"/>
    <w:rsid w:val="00FA0661"/>
    <w:rsid w:val="00FA1468"/>
    <w:rsid w:val="00FA1593"/>
    <w:rsid w:val="00FA2810"/>
    <w:rsid w:val="00FA52D4"/>
    <w:rsid w:val="00FA5847"/>
    <w:rsid w:val="00FA59E3"/>
    <w:rsid w:val="00FA7215"/>
    <w:rsid w:val="00FA798A"/>
    <w:rsid w:val="00FB04F3"/>
    <w:rsid w:val="00FB3D2B"/>
    <w:rsid w:val="00FB5A7B"/>
    <w:rsid w:val="00FB7BF3"/>
    <w:rsid w:val="00FC3392"/>
    <w:rsid w:val="00FC41C7"/>
    <w:rsid w:val="00FC572D"/>
    <w:rsid w:val="00FC6B4D"/>
    <w:rsid w:val="00FD1A22"/>
    <w:rsid w:val="00FD61C1"/>
    <w:rsid w:val="00FD7058"/>
    <w:rsid w:val="00FE0012"/>
    <w:rsid w:val="00FE22E5"/>
    <w:rsid w:val="00FE402F"/>
    <w:rsid w:val="00FE675F"/>
    <w:rsid w:val="00FF1743"/>
    <w:rsid w:val="00FF23E5"/>
    <w:rsid w:val="00FF3011"/>
    <w:rsid w:val="00FF44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B262E4"/>
  <w15:chartTrackingRefBased/>
  <w15:docId w15:val="{7DB7BC40-B39C-4306-A34D-C4DE78A6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B8"/>
    <w:pPr>
      <w:widowControl w:val="0"/>
      <w:autoSpaceDE w:val="0"/>
      <w:autoSpaceDN w:val="0"/>
      <w:adjustRightInd w:val="0"/>
      <w:ind w:firstLine="700"/>
      <w:jc w:val="both"/>
    </w:pPr>
    <w:rPr>
      <w:rFonts w:ascii="Arial" w:hAnsi="Arial" w:cs="Arial"/>
      <w:sz w:val="24"/>
      <w:szCs w:val="24"/>
      <w:lang w:val="ru-RU" w:eastAsia="en-US"/>
    </w:rPr>
  </w:style>
  <w:style w:type="paragraph" w:styleId="Heading1">
    <w:name w:val="heading 1"/>
    <w:basedOn w:val="Normal"/>
    <w:next w:val="Normal"/>
    <w:qFormat/>
    <w:rsid w:val="00D03FA3"/>
    <w:pPr>
      <w:keepNext/>
      <w:ind w:firstLine="0"/>
      <w:jc w:val="left"/>
      <w:outlineLvl w:val="0"/>
    </w:pPr>
    <w:rPr>
      <w:b/>
      <w:bCs/>
      <w:sz w:val="28"/>
      <w:lang w:val="bg-BG"/>
    </w:rPr>
  </w:style>
  <w:style w:type="paragraph" w:styleId="Heading2">
    <w:name w:val="heading 2"/>
    <w:basedOn w:val="Normal"/>
    <w:next w:val="Normal"/>
    <w:link w:val="Heading2Char"/>
    <w:qFormat/>
    <w:rsid w:val="00C2386A"/>
    <w:pPr>
      <w:keepNext/>
      <w:spacing w:before="240" w:after="60"/>
      <w:ind w:firstLine="0"/>
      <w:jc w:val="left"/>
      <w:outlineLvl w:val="1"/>
    </w:pPr>
    <w:rPr>
      <w:rFonts w:eastAsia="Batang"/>
      <w:b/>
      <w:bCs/>
      <w:i/>
      <w:iCs/>
      <w:sz w:val="28"/>
      <w:szCs w:val="28"/>
      <w:lang w:val="bg-B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BodyText"/>
    <w:autoRedefine/>
    <w:rsid w:val="00801F35"/>
    <w:pPr>
      <w:ind w:firstLine="357"/>
    </w:pPr>
    <w:rPr>
      <w:b/>
      <w:lang w:val="bg-BG"/>
    </w:rPr>
  </w:style>
  <w:style w:type="paragraph" w:styleId="BodyText">
    <w:name w:val="Body Text"/>
    <w:basedOn w:val="Normal"/>
    <w:rsid w:val="00801F35"/>
    <w:pPr>
      <w:spacing w:after="120"/>
    </w:pPr>
  </w:style>
  <w:style w:type="paragraph" w:customStyle="1" w:styleId="FR1">
    <w:name w:val="FR1"/>
    <w:rsid w:val="00813F05"/>
    <w:pPr>
      <w:widowControl w:val="0"/>
      <w:autoSpaceDE w:val="0"/>
      <w:autoSpaceDN w:val="0"/>
      <w:adjustRightInd w:val="0"/>
      <w:spacing w:before="280" w:line="260" w:lineRule="auto"/>
      <w:ind w:left="1640" w:right="1600"/>
      <w:jc w:val="center"/>
    </w:pPr>
    <w:rPr>
      <w:rFonts w:ascii="Arial" w:hAnsi="Arial" w:cs="Arial"/>
      <w:sz w:val="28"/>
      <w:szCs w:val="28"/>
      <w:lang w:val="ru-RU" w:eastAsia="en-US"/>
    </w:rPr>
  </w:style>
  <w:style w:type="character" w:styleId="CommentReference">
    <w:name w:val="annotation reference"/>
    <w:uiPriority w:val="99"/>
    <w:semiHidden/>
    <w:rsid w:val="00A4733F"/>
    <w:rPr>
      <w:sz w:val="16"/>
      <w:szCs w:val="16"/>
    </w:rPr>
  </w:style>
  <w:style w:type="paragraph" w:styleId="CommentText">
    <w:name w:val="annotation text"/>
    <w:basedOn w:val="Normal"/>
    <w:semiHidden/>
    <w:rsid w:val="00A4733F"/>
    <w:rPr>
      <w:sz w:val="20"/>
      <w:szCs w:val="20"/>
    </w:rPr>
  </w:style>
  <w:style w:type="paragraph" w:styleId="CommentSubject">
    <w:name w:val="annotation subject"/>
    <w:basedOn w:val="CommentText"/>
    <w:next w:val="CommentText"/>
    <w:semiHidden/>
    <w:rsid w:val="00A4733F"/>
    <w:rPr>
      <w:b/>
      <w:bCs/>
    </w:rPr>
  </w:style>
  <w:style w:type="paragraph" w:styleId="BalloonText">
    <w:name w:val="Balloon Text"/>
    <w:basedOn w:val="Normal"/>
    <w:semiHidden/>
    <w:rsid w:val="00A4733F"/>
    <w:rPr>
      <w:rFonts w:ascii="Tahoma" w:hAnsi="Tahoma" w:cs="Tahoma"/>
      <w:sz w:val="16"/>
      <w:szCs w:val="16"/>
    </w:rPr>
  </w:style>
  <w:style w:type="paragraph" w:customStyle="1" w:styleId="a">
    <w:name w:val="Знак Знак"/>
    <w:basedOn w:val="Normal"/>
    <w:rsid w:val="00BF4FF6"/>
    <w:pPr>
      <w:widowControl/>
      <w:tabs>
        <w:tab w:val="left" w:pos="709"/>
      </w:tabs>
      <w:autoSpaceDE/>
      <w:autoSpaceDN/>
      <w:adjustRightInd/>
      <w:ind w:firstLine="0"/>
      <w:jc w:val="left"/>
    </w:pPr>
    <w:rPr>
      <w:rFonts w:ascii="Tahoma" w:hAnsi="Tahoma" w:cs="Times New Roman"/>
      <w:lang w:val="pl-PL" w:eastAsia="pl-PL"/>
    </w:rPr>
  </w:style>
  <w:style w:type="paragraph" w:customStyle="1" w:styleId="CharCharChar">
    <w:name w:val="Знак Char Знак Char Char Знак"/>
    <w:basedOn w:val="Normal"/>
    <w:rsid w:val="0029673A"/>
    <w:pPr>
      <w:widowControl/>
      <w:tabs>
        <w:tab w:val="left" w:pos="709"/>
      </w:tabs>
      <w:autoSpaceDE/>
      <w:autoSpaceDN/>
      <w:adjustRightInd/>
      <w:ind w:firstLine="0"/>
      <w:jc w:val="left"/>
    </w:pPr>
    <w:rPr>
      <w:rFonts w:ascii="Tahoma" w:hAnsi="Tahoma" w:cs="Times New Roman"/>
      <w:lang w:val="pl-PL" w:eastAsia="pl-PL"/>
    </w:rPr>
  </w:style>
  <w:style w:type="paragraph" w:customStyle="1" w:styleId="CharCharCharChar">
    <w:name w:val="Char Char Char Знак Char"/>
    <w:basedOn w:val="Normal"/>
    <w:rsid w:val="00AC6BF5"/>
    <w:pPr>
      <w:widowControl/>
      <w:tabs>
        <w:tab w:val="left" w:pos="709"/>
      </w:tabs>
      <w:autoSpaceDE/>
      <w:autoSpaceDN/>
      <w:adjustRightInd/>
      <w:ind w:firstLine="0"/>
      <w:jc w:val="left"/>
    </w:pPr>
    <w:rPr>
      <w:rFonts w:ascii="Tahoma" w:hAnsi="Tahoma" w:cs="Times New Roman"/>
      <w:lang w:val="pl-PL" w:eastAsia="pl-PL"/>
    </w:rPr>
  </w:style>
  <w:style w:type="character" w:customStyle="1" w:styleId="Heading2Char">
    <w:name w:val="Heading 2 Char"/>
    <w:link w:val="Heading2"/>
    <w:locked/>
    <w:rsid w:val="00C2386A"/>
    <w:rPr>
      <w:rFonts w:ascii="Arial" w:eastAsia="Batang" w:hAnsi="Arial" w:cs="Arial"/>
      <w:b/>
      <w:bCs/>
      <w:i/>
      <w:iCs/>
      <w:sz w:val="28"/>
      <w:szCs w:val="28"/>
      <w:lang w:val="bg-BG" w:eastAsia="ko-KR" w:bidi="ar-SA"/>
    </w:rPr>
  </w:style>
  <w:style w:type="paragraph" w:customStyle="1" w:styleId="a0">
    <w:name w:val="Знак"/>
    <w:basedOn w:val="Normal"/>
    <w:rsid w:val="00484810"/>
    <w:pPr>
      <w:widowControl/>
      <w:tabs>
        <w:tab w:val="left" w:pos="709"/>
      </w:tabs>
      <w:autoSpaceDE/>
      <w:autoSpaceDN/>
      <w:adjustRightInd/>
      <w:ind w:firstLine="0"/>
      <w:jc w:val="left"/>
    </w:pPr>
    <w:rPr>
      <w:rFonts w:ascii="Tahoma" w:hAnsi="Tahoma" w:cs="Times New Roman"/>
      <w:lang w:val="pl-PL" w:eastAsia="pl-PL"/>
    </w:rPr>
  </w:style>
  <w:style w:type="paragraph" w:styleId="DocumentMap">
    <w:name w:val="Document Map"/>
    <w:basedOn w:val="Normal"/>
    <w:semiHidden/>
    <w:rsid w:val="007E22C3"/>
    <w:pPr>
      <w:shd w:val="clear" w:color="auto" w:fill="000080"/>
    </w:pPr>
    <w:rPr>
      <w:rFonts w:ascii="Tahoma" w:hAnsi="Tahoma" w:cs="Tahoma"/>
      <w:sz w:val="20"/>
      <w:szCs w:val="20"/>
    </w:rPr>
  </w:style>
  <w:style w:type="paragraph" w:styleId="Footer">
    <w:name w:val="footer"/>
    <w:basedOn w:val="Normal"/>
    <w:link w:val="FooterChar"/>
    <w:uiPriority w:val="99"/>
    <w:rsid w:val="00863199"/>
    <w:pPr>
      <w:tabs>
        <w:tab w:val="center" w:pos="4536"/>
        <w:tab w:val="right" w:pos="9072"/>
      </w:tabs>
    </w:pPr>
  </w:style>
  <w:style w:type="character" w:styleId="PageNumber">
    <w:name w:val="page number"/>
    <w:basedOn w:val="DefaultParagraphFont"/>
    <w:rsid w:val="00863199"/>
  </w:style>
  <w:style w:type="paragraph" w:styleId="Header">
    <w:name w:val="header"/>
    <w:basedOn w:val="Normal"/>
    <w:link w:val="HeaderChar"/>
    <w:uiPriority w:val="99"/>
    <w:rsid w:val="00863199"/>
    <w:pPr>
      <w:tabs>
        <w:tab w:val="center" w:pos="4536"/>
        <w:tab w:val="right" w:pos="9072"/>
      </w:tabs>
    </w:pPr>
  </w:style>
  <w:style w:type="paragraph" w:styleId="TOC1">
    <w:name w:val="toc 1"/>
    <w:basedOn w:val="Normal"/>
    <w:next w:val="Normal"/>
    <w:autoRedefine/>
    <w:uiPriority w:val="39"/>
    <w:qFormat/>
    <w:rsid w:val="000D29E8"/>
    <w:pPr>
      <w:widowControl/>
      <w:tabs>
        <w:tab w:val="left" w:pos="368"/>
        <w:tab w:val="right" w:leader="dot" w:pos="9288"/>
      </w:tabs>
      <w:autoSpaceDE/>
      <w:autoSpaceDN/>
      <w:adjustRightInd/>
      <w:spacing w:before="120"/>
      <w:ind w:firstLine="0"/>
      <w:jc w:val="left"/>
    </w:pPr>
    <w:rPr>
      <w:rFonts w:ascii="Cambria" w:hAnsi="Cambria" w:cs="Times New Roman"/>
      <w:b/>
      <w:caps/>
      <w:sz w:val="22"/>
      <w:szCs w:val="22"/>
      <w:lang w:val="bg-BG" w:eastAsia="bg-BG"/>
    </w:rPr>
  </w:style>
  <w:style w:type="paragraph" w:styleId="TOC2">
    <w:name w:val="toc 2"/>
    <w:basedOn w:val="Normal"/>
    <w:next w:val="Normal"/>
    <w:autoRedefine/>
    <w:uiPriority w:val="39"/>
    <w:qFormat/>
    <w:rsid w:val="000D29E8"/>
    <w:pPr>
      <w:widowControl/>
      <w:autoSpaceDE/>
      <w:autoSpaceDN/>
      <w:adjustRightInd/>
      <w:ind w:left="240" w:firstLine="0"/>
      <w:jc w:val="left"/>
    </w:pPr>
    <w:rPr>
      <w:rFonts w:ascii="Cambria" w:hAnsi="Cambria" w:cs="Times New Roman"/>
      <w:smallCaps/>
      <w:sz w:val="22"/>
      <w:szCs w:val="22"/>
      <w:lang w:val="bg-BG" w:eastAsia="bg-BG"/>
    </w:rPr>
  </w:style>
  <w:style w:type="table" w:styleId="TableGrid">
    <w:name w:val="Table Grid"/>
    <w:basedOn w:val="TableNormal"/>
    <w:uiPriority w:val="59"/>
    <w:rsid w:val="00AC1F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382"/>
    <w:rPr>
      <w:sz w:val="20"/>
      <w:szCs w:val="20"/>
    </w:rPr>
  </w:style>
  <w:style w:type="character" w:customStyle="1" w:styleId="FootnoteTextChar">
    <w:name w:val="Footnote Text Char"/>
    <w:link w:val="FootnoteText"/>
    <w:rsid w:val="00453382"/>
    <w:rPr>
      <w:rFonts w:ascii="Arial" w:hAnsi="Arial" w:cs="Arial"/>
      <w:lang w:val="ru-RU" w:eastAsia="en-US"/>
    </w:rPr>
  </w:style>
  <w:style w:type="character" w:styleId="FootnoteReference">
    <w:name w:val="footnote reference"/>
    <w:rsid w:val="00453382"/>
    <w:rPr>
      <w:vertAlign w:val="superscript"/>
    </w:rPr>
  </w:style>
  <w:style w:type="character" w:customStyle="1" w:styleId="FooterChar">
    <w:name w:val="Footer Char"/>
    <w:link w:val="Footer"/>
    <w:uiPriority w:val="99"/>
    <w:rsid w:val="00A125B3"/>
    <w:rPr>
      <w:rFonts w:ascii="Arial" w:hAnsi="Arial" w:cs="Arial"/>
      <w:sz w:val="24"/>
      <w:szCs w:val="24"/>
      <w:lang w:val="ru-RU" w:eastAsia="en-US"/>
    </w:rPr>
  </w:style>
  <w:style w:type="character" w:customStyle="1" w:styleId="HeaderChar">
    <w:name w:val="Header Char"/>
    <w:link w:val="Header"/>
    <w:uiPriority w:val="99"/>
    <w:rsid w:val="003F3B3F"/>
    <w:rPr>
      <w:rFonts w:ascii="Arial" w:hAnsi="Arial" w:cs="Arial"/>
      <w:sz w:val="24"/>
      <w:szCs w:val="24"/>
      <w:lang w:val="ru-RU"/>
    </w:rPr>
  </w:style>
  <w:style w:type="paragraph" w:styleId="ListParagraph">
    <w:name w:val="List Paragraph"/>
    <w:aliases w:val="ПАРАГРАФ,List1"/>
    <w:basedOn w:val="Normal"/>
    <w:link w:val="ListParagraphChar"/>
    <w:uiPriority w:val="34"/>
    <w:qFormat/>
    <w:rsid w:val="00846A5D"/>
    <w:pPr>
      <w:ind w:left="708"/>
    </w:pPr>
  </w:style>
  <w:style w:type="paragraph" w:styleId="Subtitle">
    <w:name w:val="Subtitle"/>
    <w:basedOn w:val="Normal"/>
    <w:next w:val="Normal"/>
    <w:link w:val="SubtitleChar"/>
    <w:qFormat/>
    <w:rsid w:val="00345046"/>
    <w:pPr>
      <w:spacing w:after="60"/>
      <w:jc w:val="center"/>
      <w:outlineLvl w:val="1"/>
    </w:pPr>
    <w:rPr>
      <w:rFonts w:ascii="Calibri Light" w:hAnsi="Calibri Light" w:cs="Times New Roman"/>
    </w:rPr>
  </w:style>
  <w:style w:type="character" w:customStyle="1" w:styleId="SubtitleChar">
    <w:name w:val="Subtitle Char"/>
    <w:link w:val="Subtitle"/>
    <w:rsid w:val="00345046"/>
    <w:rPr>
      <w:rFonts w:ascii="Calibri Light" w:eastAsia="Times New Roman" w:hAnsi="Calibri Light" w:cs="Times New Roman"/>
      <w:sz w:val="24"/>
      <w:szCs w:val="24"/>
      <w:lang w:val="ru-RU" w:eastAsia="en-US"/>
    </w:rPr>
  </w:style>
  <w:style w:type="character" w:customStyle="1" w:styleId="ListParagraphChar">
    <w:name w:val="List Paragraph Char"/>
    <w:aliases w:val="ПАРАГРАФ Char,List1 Char"/>
    <w:link w:val="ListParagraph"/>
    <w:uiPriority w:val="34"/>
    <w:rsid w:val="008951C2"/>
    <w:rPr>
      <w:rFonts w:ascii="Arial" w:hAnsi="Arial" w:cs="Arial"/>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10995">
      <w:bodyDiv w:val="1"/>
      <w:marLeft w:val="0"/>
      <w:marRight w:val="0"/>
      <w:marTop w:val="0"/>
      <w:marBottom w:val="0"/>
      <w:divBdr>
        <w:top w:val="none" w:sz="0" w:space="0" w:color="auto"/>
        <w:left w:val="none" w:sz="0" w:space="0" w:color="auto"/>
        <w:bottom w:val="none" w:sz="0" w:space="0" w:color="auto"/>
        <w:right w:val="none" w:sz="0" w:space="0" w:color="auto"/>
      </w:divBdr>
    </w:div>
    <w:div w:id="304550175">
      <w:bodyDiv w:val="1"/>
      <w:marLeft w:val="0"/>
      <w:marRight w:val="0"/>
      <w:marTop w:val="0"/>
      <w:marBottom w:val="0"/>
      <w:divBdr>
        <w:top w:val="none" w:sz="0" w:space="0" w:color="auto"/>
        <w:left w:val="none" w:sz="0" w:space="0" w:color="auto"/>
        <w:bottom w:val="none" w:sz="0" w:space="0" w:color="auto"/>
        <w:right w:val="none" w:sz="0" w:space="0" w:color="auto"/>
      </w:divBdr>
    </w:div>
    <w:div w:id="410007823">
      <w:bodyDiv w:val="1"/>
      <w:marLeft w:val="0"/>
      <w:marRight w:val="0"/>
      <w:marTop w:val="0"/>
      <w:marBottom w:val="0"/>
      <w:divBdr>
        <w:top w:val="none" w:sz="0" w:space="0" w:color="auto"/>
        <w:left w:val="none" w:sz="0" w:space="0" w:color="auto"/>
        <w:bottom w:val="none" w:sz="0" w:space="0" w:color="auto"/>
        <w:right w:val="none" w:sz="0" w:space="0" w:color="auto"/>
      </w:divBdr>
    </w:div>
    <w:div w:id="428547198">
      <w:bodyDiv w:val="1"/>
      <w:marLeft w:val="0"/>
      <w:marRight w:val="0"/>
      <w:marTop w:val="0"/>
      <w:marBottom w:val="0"/>
      <w:divBdr>
        <w:top w:val="none" w:sz="0" w:space="0" w:color="auto"/>
        <w:left w:val="none" w:sz="0" w:space="0" w:color="auto"/>
        <w:bottom w:val="none" w:sz="0" w:space="0" w:color="auto"/>
        <w:right w:val="none" w:sz="0" w:space="0" w:color="auto"/>
      </w:divBdr>
    </w:div>
    <w:div w:id="1141117209">
      <w:bodyDiv w:val="1"/>
      <w:marLeft w:val="0"/>
      <w:marRight w:val="0"/>
      <w:marTop w:val="0"/>
      <w:marBottom w:val="0"/>
      <w:divBdr>
        <w:top w:val="none" w:sz="0" w:space="0" w:color="auto"/>
        <w:left w:val="none" w:sz="0" w:space="0" w:color="auto"/>
        <w:bottom w:val="none" w:sz="0" w:space="0" w:color="auto"/>
        <w:right w:val="none" w:sz="0" w:space="0" w:color="auto"/>
      </w:divBdr>
    </w:div>
    <w:div w:id="15161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6448-BBB2-4CD5-A0F1-E46DD6B7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41</Pages>
  <Words>11061</Words>
  <Characters>69212</Characters>
  <Application>Microsoft Office Word</Application>
  <DocSecurity>0</DocSecurity>
  <Lines>576</Lines>
  <Paragraphs>160</Paragraphs>
  <ScaleCrop>false</ScaleCrop>
  <HeadingPairs>
    <vt:vector size="2" baseType="variant">
      <vt:variant>
        <vt:lpstr>Title</vt:lpstr>
      </vt:variant>
      <vt:variant>
        <vt:i4>1</vt:i4>
      </vt:variant>
    </vt:vector>
  </HeadingPairs>
  <TitlesOfParts>
    <vt:vector size="1" baseType="lpstr">
      <vt:lpstr>Head page &amp; Content</vt:lpstr>
    </vt:vector>
  </TitlesOfParts>
  <Company>MRRB</Company>
  <LinksUpToDate>false</LinksUpToDate>
  <CharactersWithSpaces>80113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page &amp; Content</dc:title>
  <dc:subject/>
  <dc:creator>Implementation unit</dc:creator>
  <cp:keywords/>
  <dc:description/>
  <cp:lastModifiedBy>Lora Borisova</cp:lastModifiedBy>
  <cp:revision>24</cp:revision>
  <cp:lastPrinted>2019-02-20T14:43:00Z</cp:lastPrinted>
  <dcterms:created xsi:type="dcterms:W3CDTF">2019-03-19T15:20:00Z</dcterms:created>
  <dcterms:modified xsi:type="dcterms:W3CDTF">2019-04-08T11:38:00Z</dcterms:modified>
</cp:coreProperties>
</file>